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5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2809240</wp:posOffset>
            </wp:positionH>
            <wp:positionV relativeFrom="paragraph">
              <wp:posOffset>49530</wp:posOffset>
            </wp:positionV>
            <wp:extent cx="164655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646555" cy="8890"/>
                    </a:xfrm>
                    <a:prstGeom prst="rect">
                      <a:avLst/>
                    </a:prstGeom>
                    <a:noFill/>
                  </pic:spPr>
                </pic:pic>
              </a:graphicData>
            </a:graphic>
          </wp:anchor>
        </w:drawing>
      </w:r>
    </w:p>
    <w:p>
      <w:pPr>
        <w:spacing w:after="0" w:line="11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2809240</wp:posOffset>
            </wp:positionH>
            <wp:positionV relativeFrom="paragraph">
              <wp:posOffset>84455</wp:posOffset>
            </wp:positionV>
            <wp:extent cx="16465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46555" cy="8890"/>
                    </a:xfrm>
                    <a:prstGeom prst="rect">
                      <a:avLst/>
                    </a:prstGeom>
                    <a:noFill/>
                  </pic:spPr>
                </pic:pic>
              </a:graphicData>
            </a:graphic>
          </wp:anchor>
        </w:drawing>
      </w:r>
    </w:p>
    <w:p>
      <w:pPr>
        <w:spacing w:after="0" w:line="171" w:lineRule="exact"/>
        <w:rPr>
          <w:sz w:val="24"/>
          <w:szCs w:val="24"/>
          <w:color w:val="auto"/>
        </w:rPr>
      </w:pPr>
    </w:p>
    <w:p>
      <w:pPr>
        <w:ind w:left="540" w:right="20" w:hanging="532"/>
        <w:spacing w:after="0" w:line="268" w:lineRule="auto"/>
        <w:tabs>
          <w:tab w:leader="none" w:pos="54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ind w:left="540"/>
        <w:spacing w:after="0"/>
        <w:rPr>
          <w:sz w:val="20"/>
          <w:szCs w:val="20"/>
          <w:color w:val="auto"/>
        </w:rPr>
      </w:pPr>
      <w:r>
        <w:rPr>
          <w:rFonts w:ascii="Arial" w:cs="Arial" w:eastAsia="Arial" w:hAnsi="Arial"/>
          <w:sz w:val="18"/>
          <w:szCs w:val="18"/>
          <w:b w:val="1"/>
          <w:bCs w:val="1"/>
          <w:color w:val="auto"/>
        </w:rPr>
        <w:t>For the Quarterly Period Ended September 30, 2017</w:t>
      </w:r>
    </w:p>
    <w:p>
      <w:pPr>
        <w:spacing w:after="0" w:line="5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OR</w:t>
      </w:r>
    </w:p>
    <w:p>
      <w:pPr>
        <w:spacing w:after="0" w:line="58" w:lineRule="exact"/>
        <w:rPr>
          <w:sz w:val="24"/>
          <w:szCs w:val="24"/>
          <w:color w:val="auto"/>
        </w:rPr>
      </w:pPr>
    </w:p>
    <w:p>
      <w:pPr>
        <w:ind w:left="540" w:right="40" w:hanging="532"/>
        <w:spacing w:after="0" w:line="268" w:lineRule="auto"/>
        <w:tabs>
          <w:tab w:leader="none" w:pos="54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ectPr>
          <w:pgSz w:w="11900" w:h="16838" w:orient="portrait"/>
          <w:cols w:equalWidth="0" w:num="1">
            <w:col w:w="11440"/>
          </w:cols>
          <w:pgMar w:left="240" w:top="502" w:right="219" w:bottom="1440" w:gutter="0" w:footer="0" w:header="0"/>
        </w:sectPr>
      </w:pPr>
    </w:p>
    <w:p>
      <w:pPr>
        <w:ind w:left="540"/>
        <w:spacing w:after="0"/>
        <w:rPr>
          <w:sz w:val="20"/>
          <w:szCs w:val="20"/>
          <w:color w:val="auto"/>
        </w:rPr>
      </w:pPr>
      <w:r>
        <w:rPr>
          <w:rFonts w:ascii="Arial" w:cs="Arial" w:eastAsia="Arial" w:hAnsi="Arial"/>
          <w:sz w:val="17"/>
          <w:szCs w:val="17"/>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b w:val="1"/>
          <w:bCs w:val="1"/>
          <w:color w:val="auto"/>
        </w:rPr>
        <w:t>to</w:t>
      </w:r>
    </w:p>
    <w:p>
      <w:pPr>
        <w:spacing w:after="0" w:line="99" w:lineRule="exact"/>
        <w:rPr>
          <w:sz w:val="24"/>
          <w:szCs w:val="24"/>
          <w:color w:val="auto"/>
        </w:rPr>
      </w:pPr>
    </w:p>
    <w:p>
      <w:pPr>
        <w:sectPr>
          <w:pgSz w:w="11900" w:h="16838" w:orient="portrait"/>
          <w:cols w:equalWidth="0" w:num="2">
            <w:col w:w="3180" w:space="600"/>
            <w:col w:w="7660"/>
          </w:cols>
          <w:pgMar w:left="240" w:top="502" w:right="219" w:bottom="1440" w:gutter="0" w:footer="0" w:header="0"/>
          <w:type w:val="continuous"/>
        </w:sectPr>
      </w:pPr>
    </w:p>
    <w:p>
      <w:pPr>
        <w:jc w:val="center"/>
        <w:ind w:right="20"/>
        <w:spacing w:after="0"/>
        <w:rPr>
          <w:sz w:val="20"/>
          <w:szCs w:val="20"/>
          <w:color w:val="auto"/>
        </w:rPr>
      </w:pPr>
      <w:r>
        <w:rPr>
          <w:rFonts w:ascii="Arial" w:cs="Arial" w:eastAsia="Arial" w:hAnsi="Arial"/>
          <w:sz w:val="17"/>
          <w:szCs w:val="17"/>
          <w:b w:val="1"/>
          <w:bCs w:val="1"/>
          <w:color w:val="auto"/>
        </w:rPr>
        <w:t>Commission File Number: 001-37845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2809240</wp:posOffset>
            </wp:positionH>
            <wp:positionV relativeFrom="paragraph">
              <wp:posOffset>71755</wp:posOffset>
            </wp:positionV>
            <wp:extent cx="16465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46555" cy="8890"/>
                    </a:xfrm>
                    <a:prstGeom prst="rect">
                      <a:avLst/>
                    </a:prstGeom>
                    <a:noFill/>
                  </pic:spPr>
                </pic:pic>
              </a:graphicData>
            </a:graphic>
          </wp:anchor>
        </w:drawing>
      </w:r>
    </w:p>
    <w:p>
      <w:pPr>
        <w:sectPr>
          <w:pgSz w:w="11900" w:h="16838" w:orient="portrait"/>
          <w:cols w:equalWidth="0" w:num="1">
            <w:col w:w="11440"/>
          </w:cols>
          <w:pgMar w:left="240" w:top="502" w:right="219" w:bottom="1440" w:gutter="0" w:footer="0" w:header="0"/>
          <w:type w:val="continuous"/>
        </w:sectPr>
      </w:pPr>
    </w:p>
    <w:p>
      <w:pPr>
        <w:spacing w:after="0" w:line="148"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MICROSOFT CORPORATION</w:t>
      </w:r>
    </w:p>
    <w:p>
      <w:pPr>
        <w:spacing w:after="0" w:line="64"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2809240</wp:posOffset>
            </wp:positionH>
            <wp:positionV relativeFrom="paragraph">
              <wp:posOffset>43815</wp:posOffset>
            </wp:positionV>
            <wp:extent cx="16465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46555" cy="8890"/>
                    </a:xfrm>
                    <a:prstGeom prst="rect">
                      <a:avLst/>
                    </a:prstGeom>
                    <a:noFill/>
                  </pic:spPr>
                </pic:pic>
              </a:graphicData>
            </a:graphic>
          </wp:anchor>
        </w:drawing>
      </w:r>
    </w:p>
    <w:p>
      <w:pPr>
        <w:spacing w:after="0" w:line="119" w:lineRule="exact"/>
        <w:rPr>
          <w:sz w:val="24"/>
          <w:szCs w:val="24"/>
          <w:color w:val="auto"/>
        </w:rPr>
      </w:pPr>
    </w:p>
    <w:tbl>
      <w:tblPr>
        <w:tblLayout w:type="fixed"/>
        <w:tblInd w:w="1060" w:type="dxa"/>
        <w:tblCellMar>
          <w:top w:w="0" w:type="dxa"/>
          <w:left w:w="0" w:type="dxa"/>
          <w:bottom w:w="0" w:type="dxa"/>
          <w:right w:w="0" w:type="dxa"/>
        </w:tblCellMar>
      </w:tblPr>
      <w:tr>
        <w:trPr>
          <w:trHeight w:val="209"/>
        </w:trPr>
        <w:tc>
          <w:tcPr>
            <w:tcW w:w="6700" w:type="dxa"/>
            <w:vAlign w:val="bottom"/>
          </w:tcPr>
          <w:p>
            <w:pPr>
              <w:jc w:val="center"/>
              <w:ind w:right="2963"/>
              <w:spacing w:after="0"/>
              <w:rPr>
                <w:sz w:val="20"/>
                <w:szCs w:val="20"/>
                <w:color w:val="auto"/>
              </w:rPr>
            </w:pPr>
            <w:r>
              <w:rPr>
                <w:rFonts w:ascii="Arial" w:cs="Arial" w:eastAsia="Arial" w:hAnsi="Arial"/>
                <w:sz w:val="18"/>
                <w:szCs w:val="18"/>
                <w:b w:val="1"/>
                <w:bCs w:val="1"/>
                <w:color w:val="auto"/>
                <w:w w:val="98"/>
              </w:rPr>
              <w:t>Washington</w:t>
            </w:r>
          </w:p>
        </w:tc>
        <w:tc>
          <w:tcPr>
            <w:tcW w:w="1460" w:type="dxa"/>
            <w:vAlign w:val="bottom"/>
          </w:tcPr>
          <w:p>
            <w:pPr>
              <w:jc w:val="center"/>
              <w:ind w:left="263"/>
              <w:spacing w:after="0"/>
              <w:rPr>
                <w:sz w:val="20"/>
                <w:szCs w:val="20"/>
                <w:color w:val="auto"/>
              </w:rPr>
            </w:pPr>
            <w:r>
              <w:rPr>
                <w:rFonts w:ascii="Arial" w:cs="Arial" w:eastAsia="Arial" w:hAnsi="Arial"/>
                <w:sz w:val="18"/>
                <w:szCs w:val="18"/>
                <w:b w:val="1"/>
                <w:bCs w:val="1"/>
                <w:color w:val="auto"/>
                <w:w w:val="99"/>
              </w:rPr>
              <w:t>91-1144442</w:t>
            </w:r>
          </w:p>
        </w:tc>
      </w:tr>
      <w:tr>
        <w:trPr>
          <w:trHeight w:val="149"/>
        </w:trPr>
        <w:tc>
          <w:tcPr>
            <w:tcW w:w="6700" w:type="dxa"/>
            <w:vAlign w:val="bottom"/>
          </w:tcPr>
          <w:p>
            <w:pPr>
              <w:jc w:val="center"/>
              <w:ind w:right="2963"/>
              <w:spacing w:after="0" w:line="149" w:lineRule="exact"/>
              <w:rPr>
                <w:sz w:val="20"/>
                <w:szCs w:val="20"/>
                <w:color w:val="auto"/>
              </w:rPr>
            </w:pPr>
            <w:r>
              <w:rPr>
                <w:rFonts w:ascii="Arial" w:cs="Arial" w:eastAsia="Arial" w:hAnsi="Arial"/>
                <w:sz w:val="14"/>
                <w:szCs w:val="14"/>
                <w:b w:val="1"/>
                <w:bCs w:val="1"/>
                <w:color w:val="auto"/>
                <w:w w:val="96"/>
              </w:rPr>
              <w:t>(State or other jurisdiction of</w:t>
            </w:r>
          </w:p>
        </w:tc>
        <w:tc>
          <w:tcPr>
            <w:tcW w:w="1460" w:type="dxa"/>
            <w:vAlign w:val="bottom"/>
          </w:tcPr>
          <w:p>
            <w:pPr>
              <w:jc w:val="center"/>
              <w:ind w:left="263"/>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90"/>
        </w:trPr>
        <w:tc>
          <w:tcPr>
            <w:tcW w:w="6700" w:type="dxa"/>
            <w:vAlign w:val="bottom"/>
          </w:tcPr>
          <w:p>
            <w:pPr>
              <w:jc w:val="center"/>
              <w:ind w:right="2963"/>
              <w:spacing w:after="0"/>
              <w:rPr>
                <w:sz w:val="20"/>
                <w:szCs w:val="20"/>
                <w:color w:val="auto"/>
              </w:rPr>
            </w:pPr>
            <w:r>
              <w:rPr>
                <w:rFonts w:ascii="Arial" w:cs="Arial" w:eastAsia="Arial" w:hAnsi="Arial"/>
                <w:sz w:val="14"/>
                <w:szCs w:val="14"/>
                <w:b w:val="1"/>
                <w:bCs w:val="1"/>
                <w:color w:val="auto"/>
                <w:w w:val="97"/>
              </w:rPr>
              <w:t>incorporation or organization)</w:t>
            </w:r>
          </w:p>
        </w:tc>
        <w:tc>
          <w:tcPr>
            <w:tcW w:w="1460" w:type="dxa"/>
            <w:vAlign w:val="bottom"/>
          </w:tcPr>
          <w:p>
            <w:pPr>
              <w:jc w:val="center"/>
              <w:ind w:left="243"/>
              <w:spacing w:after="0"/>
              <w:rPr>
                <w:sz w:val="20"/>
                <w:szCs w:val="20"/>
                <w:color w:val="auto"/>
              </w:rPr>
            </w:pPr>
            <w:r>
              <w:rPr>
                <w:rFonts w:ascii="Arial" w:cs="Arial" w:eastAsia="Arial" w:hAnsi="Arial"/>
                <w:sz w:val="14"/>
                <w:szCs w:val="14"/>
                <w:b w:val="1"/>
                <w:bCs w:val="1"/>
                <w:color w:val="auto"/>
                <w:w w:val="96"/>
              </w:rPr>
              <w:t>Identification No.)</w:t>
            </w:r>
          </w:p>
        </w:tc>
      </w:tr>
      <w:tr>
        <w:trPr>
          <w:trHeight w:val="242"/>
        </w:trPr>
        <w:tc>
          <w:tcPr>
            <w:tcW w:w="6700" w:type="dxa"/>
            <w:vAlign w:val="bottom"/>
          </w:tcPr>
          <w:p>
            <w:pPr>
              <w:jc w:val="center"/>
              <w:ind w:right="2963"/>
              <w:spacing w:after="0"/>
              <w:rPr>
                <w:sz w:val="20"/>
                <w:szCs w:val="20"/>
                <w:color w:val="auto"/>
              </w:rPr>
            </w:pPr>
            <w:r>
              <w:rPr>
                <w:rFonts w:ascii="Arial" w:cs="Arial" w:eastAsia="Arial" w:hAnsi="Arial"/>
                <w:sz w:val="18"/>
                <w:szCs w:val="18"/>
                <w:b w:val="1"/>
                <w:bCs w:val="1"/>
                <w:color w:val="auto"/>
                <w:w w:val="99"/>
              </w:rPr>
              <w:t>One Microsoft Way, Redmond, Washington</w:t>
            </w:r>
          </w:p>
        </w:tc>
        <w:tc>
          <w:tcPr>
            <w:tcW w:w="1460" w:type="dxa"/>
            <w:vAlign w:val="bottom"/>
          </w:tcPr>
          <w:p>
            <w:pPr>
              <w:jc w:val="center"/>
              <w:ind w:left="263"/>
              <w:spacing w:after="0"/>
              <w:rPr>
                <w:sz w:val="20"/>
                <w:szCs w:val="20"/>
                <w:color w:val="auto"/>
              </w:rPr>
            </w:pPr>
            <w:r>
              <w:rPr>
                <w:rFonts w:ascii="Arial" w:cs="Arial" w:eastAsia="Arial" w:hAnsi="Arial"/>
                <w:sz w:val="18"/>
                <w:szCs w:val="18"/>
                <w:b w:val="1"/>
                <w:bCs w:val="1"/>
                <w:color w:val="auto"/>
                <w:w w:val="99"/>
              </w:rPr>
              <w:t>98052-6399</w:t>
            </w:r>
          </w:p>
        </w:tc>
      </w:tr>
      <w:tr>
        <w:trPr>
          <w:trHeight w:val="190"/>
        </w:trPr>
        <w:tc>
          <w:tcPr>
            <w:tcW w:w="6700" w:type="dxa"/>
            <w:vAlign w:val="bottom"/>
          </w:tcPr>
          <w:p>
            <w:pPr>
              <w:jc w:val="center"/>
              <w:ind w:right="2943"/>
              <w:spacing w:after="0"/>
              <w:rPr>
                <w:sz w:val="20"/>
                <w:szCs w:val="20"/>
                <w:color w:val="auto"/>
              </w:rPr>
            </w:pPr>
            <w:r>
              <w:rPr>
                <w:rFonts w:ascii="Arial" w:cs="Arial" w:eastAsia="Arial" w:hAnsi="Arial"/>
                <w:sz w:val="14"/>
                <w:szCs w:val="14"/>
                <w:b w:val="1"/>
                <w:bCs w:val="1"/>
                <w:color w:val="auto"/>
                <w:w w:val="96"/>
              </w:rPr>
              <w:t>(Address of principal executive offices)</w:t>
            </w:r>
          </w:p>
        </w:tc>
        <w:tc>
          <w:tcPr>
            <w:tcW w:w="1460" w:type="dxa"/>
            <w:vAlign w:val="bottom"/>
          </w:tcPr>
          <w:p>
            <w:pPr>
              <w:jc w:val="center"/>
              <w:ind w:left="263"/>
              <w:spacing w:after="0"/>
              <w:rPr>
                <w:sz w:val="20"/>
                <w:szCs w:val="20"/>
                <w:color w:val="auto"/>
              </w:rPr>
            </w:pPr>
            <w:r>
              <w:rPr>
                <w:rFonts w:ascii="Arial" w:cs="Arial" w:eastAsia="Arial" w:hAnsi="Arial"/>
                <w:sz w:val="14"/>
                <w:szCs w:val="14"/>
                <w:b w:val="1"/>
                <w:bCs w:val="1"/>
                <w:color w:val="auto"/>
                <w:w w:val="98"/>
              </w:rPr>
              <w:t>(Zip Code)</w:t>
            </w:r>
          </w:p>
        </w:tc>
      </w:tr>
      <w:tr>
        <w:trPr>
          <w:trHeight w:val="242"/>
        </w:trPr>
        <w:tc>
          <w:tcPr>
            <w:tcW w:w="6700" w:type="dxa"/>
            <w:vAlign w:val="bottom"/>
          </w:tcPr>
          <w:p>
            <w:pPr>
              <w:jc w:val="right"/>
              <w:ind w:right="1363"/>
              <w:spacing w:after="0"/>
              <w:rPr>
                <w:sz w:val="20"/>
                <w:szCs w:val="20"/>
                <w:color w:val="auto"/>
              </w:rPr>
            </w:pPr>
            <w:r>
              <w:rPr>
                <w:rFonts w:ascii="Arial" w:cs="Arial" w:eastAsia="Arial" w:hAnsi="Arial"/>
                <w:sz w:val="18"/>
                <w:szCs w:val="18"/>
                <w:b w:val="1"/>
                <w:bCs w:val="1"/>
                <w:color w:val="auto"/>
              </w:rPr>
              <w:t>(425) 882-8080</w:t>
            </w:r>
          </w:p>
        </w:tc>
        <w:tc>
          <w:tcPr>
            <w:tcW w:w="1460" w:type="dxa"/>
            <w:vAlign w:val="bottom"/>
          </w:tcPr>
          <w:p>
            <w:pPr>
              <w:spacing w:after="0"/>
              <w:rPr>
                <w:sz w:val="21"/>
                <w:szCs w:val="21"/>
                <w:color w:val="auto"/>
              </w:rPr>
            </w:pPr>
          </w:p>
        </w:tc>
      </w:tr>
      <w:tr>
        <w:trPr>
          <w:trHeight w:val="190"/>
        </w:trPr>
        <w:tc>
          <w:tcPr>
            <w:tcW w:w="6700" w:type="dxa"/>
            <w:vAlign w:val="bottom"/>
          </w:tcPr>
          <w:p>
            <w:pPr>
              <w:jc w:val="center"/>
              <w:ind w:left="2523"/>
              <w:spacing w:after="0"/>
              <w:rPr>
                <w:sz w:val="20"/>
                <w:szCs w:val="20"/>
                <w:color w:val="auto"/>
              </w:rPr>
            </w:pPr>
            <w:r>
              <w:rPr>
                <w:rFonts w:ascii="Arial" w:cs="Arial" w:eastAsia="Arial" w:hAnsi="Arial"/>
                <w:sz w:val="14"/>
                <w:szCs w:val="14"/>
                <w:b w:val="1"/>
                <w:bCs w:val="1"/>
                <w:color w:val="auto"/>
                <w:w w:val="96"/>
              </w:rPr>
              <w:t>(Registrant’s telephone number, including area code)</w:t>
            </w:r>
          </w:p>
        </w:tc>
        <w:tc>
          <w:tcPr>
            <w:tcW w:w="1460" w:type="dxa"/>
            <w:vAlign w:val="bottom"/>
          </w:tcPr>
          <w:p>
            <w:pPr>
              <w:spacing w:after="0"/>
              <w:rPr>
                <w:sz w:val="16"/>
                <w:szCs w:val="16"/>
                <w:color w:val="auto"/>
              </w:rPr>
            </w:pPr>
          </w:p>
        </w:tc>
      </w:tr>
    </w:tbl>
    <w:p>
      <w:pPr>
        <w:spacing w:after="0" w:line="2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None</w:t>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(Former name, former address and former fiscal year, if changed since last report)</w:t>
      </w:r>
    </w:p>
    <w:p>
      <w:pPr>
        <w:spacing w:after="0" w:line="33" w:lineRule="exact"/>
        <w:rPr>
          <w:sz w:val="24"/>
          <w:szCs w:val="24"/>
          <w:color w:val="auto"/>
        </w:rPr>
      </w:pPr>
    </w:p>
    <w:p>
      <w:pPr>
        <w:jc w:val="both"/>
        <w:ind w:right="20"/>
        <w:spacing w:after="0" w:line="221"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40" w:lineRule="exact"/>
        <w:rPr>
          <w:sz w:val="24"/>
          <w:szCs w:val="24"/>
          <w:color w:val="auto"/>
        </w:rPr>
      </w:pPr>
    </w:p>
    <w:p>
      <w:pPr>
        <w:jc w:val="both"/>
        <w:ind w:right="40"/>
        <w:spacing w:after="0" w:line="221"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6" w:lineRule="exact"/>
        <w:rPr>
          <w:sz w:val="24"/>
          <w:szCs w:val="24"/>
          <w:color w:val="auto"/>
        </w:rPr>
      </w:pPr>
    </w:p>
    <w:p>
      <w:pPr>
        <w:jc w:val="both"/>
        <w:ind w:right="20"/>
        <w:spacing w:after="0" w:line="255"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440"/>
          </w:cols>
          <w:pgMar w:left="240" w:top="502" w:right="219" w:bottom="1440" w:gutter="0" w:footer="0" w:header="0"/>
          <w:type w:val="continuous"/>
        </w:sectPr>
      </w:pPr>
    </w:p>
    <w:p>
      <w:pPr>
        <w:spacing w:after="0" w:line="45" w:lineRule="exact"/>
        <w:rPr>
          <w:sz w:val="24"/>
          <w:szCs w:val="24"/>
          <w:color w:val="auto"/>
        </w:rPr>
      </w:pPr>
    </w:p>
    <w:p>
      <w:pPr>
        <w:spacing w:after="0" w:line="196" w:lineRule="exact"/>
        <w:rPr>
          <w:sz w:val="20"/>
          <w:szCs w:val="20"/>
          <w:color w:val="auto"/>
        </w:rPr>
      </w:pPr>
      <w:r>
        <w:rPr>
          <w:rFonts w:ascii="Arial" w:cs="Arial" w:eastAsia="Arial" w:hAnsi="Arial"/>
          <w:sz w:val="17"/>
          <w:szCs w:val="17"/>
          <w:color w:val="auto"/>
        </w:rPr>
        <w:t xml:space="preserve">Large accelerated filer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25" w:lineRule="exact"/>
        <w:rPr>
          <w:sz w:val="24"/>
          <w:szCs w:val="24"/>
          <w:color w:val="auto"/>
        </w:rPr>
      </w:pPr>
    </w:p>
    <w:p>
      <w:pPr>
        <w:spacing w:after="0" w:line="196" w:lineRule="exact"/>
        <w:rPr>
          <w:sz w:val="20"/>
          <w:szCs w:val="20"/>
          <w:color w:val="auto"/>
        </w:rPr>
      </w:pPr>
      <w:r>
        <w:rPr>
          <w:rFonts w:ascii="Arial" w:cs="Arial" w:eastAsia="Arial" w:hAnsi="Arial"/>
          <w:sz w:val="17"/>
          <w:szCs w:val="17"/>
          <w:color w:val="auto"/>
        </w:rPr>
        <w:t xml:space="preserve">Accelerated filer </w:t>
      </w:r>
      <w:r>
        <w:rPr>
          <w:rFonts w:ascii="MS PGothic" w:cs="MS PGothic" w:eastAsia="MS PGothic" w:hAnsi="MS PGothic"/>
          <w:sz w:val="17"/>
          <w:szCs w:val="17"/>
          <w:color w:val="auto"/>
        </w:rPr>
        <w:t>☐</w:t>
      </w:r>
    </w:p>
    <w:p>
      <w:pPr>
        <w:spacing w:after="0" w:line="88" w:lineRule="exact"/>
        <w:rPr>
          <w:sz w:val="24"/>
          <w:szCs w:val="24"/>
          <w:color w:val="auto"/>
        </w:rPr>
      </w:pPr>
    </w:p>
    <w:p>
      <w:pPr>
        <w:sectPr>
          <w:pgSz w:w="11900" w:h="16838" w:orient="portrait"/>
          <w:cols w:equalWidth="0" w:num="2">
            <w:col w:w="7760" w:space="720"/>
            <w:col w:w="2960"/>
          </w:cols>
          <w:pgMar w:left="240" w:top="502" w:right="219" w:bottom="1440" w:gutter="0" w:footer="0" w:header="0"/>
          <w:type w:val="continuous"/>
        </w:sectPr>
      </w:pPr>
    </w:p>
    <w:p>
      <w:pPr>
        <w:spacing w:after="0" w:line="196" w:lineRule="exact"/>
        <w:rPr>
          <w:sz w:val="20"/>
          <w:szCs w:val="20"/>
          <w:color w:val="auto"/>
        </w:rPr>
      </w:pPr>
      <w:r>
        <w:rPr>
          <w:rFonts w:ascii="Arial" w:cs="Arial" w:eastAsia="Arial" w:hAnsi="Arial"/>
          <w:sz w:val="17"/>
          <w:szCs w:val="17"/>
          <w:color w:val="auto"/>
        </w:rPr>
        <w:t xml:space="preserve">Non-accelerated filer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76" w:lineRule="exact"/>
        <w:rPr>
          <w:sz w:val="20"/>
          <w:szCs w:val="20"/>
          <w:color w:val="auto"/>
        </w:rPr>
      </w:pPr>
      <w:r>
        <w:rPr>
          <w:rFonts w:ascii="Arial" w:cs="Arial" w:eastAsia="Arial" w:hAnsi="Arial"/>
          <w:sz w:val="17"/>
          <w:szCs w:val="17"/>
          <w:color w:val="auto"/>
        </w:rPr>
        <w:t xml:space="preserve">Smaller reporting company </w:t>
      </w:r>
      <w:r>
        <w:rPr>
          <w:rFonts w:ascii="MS PGothic" w:cs="MS PGothic" w:eastAsia="MS PGothic" w:hAnsi="MS PGothic"/>
          <w:sz w:val="17"/>
          <w:szCs w:val="17"/>
          <w:color w:val="auto"/>
        </w:rPr>
        <w:t>☐</w:t>
      </w:r>
    </w:p>
    <w:p>
      <w:pPr>
        <w:spacing w:after="0" w:line="21" w:lineRule="exact"/>
        <w:rPr>
          <w:sz w:val="24"/>
          <w:szCs w:val="24"/>
          <w:color w:val="auto"/>
        </w:rPr>
      </w:pPr>
    </w:p>
    <w:p>
      <w:pPr>
        <w:sectPr>
          <w:pgSz w:w="11900" w:h="16838" w:orient="portrait"/>
          <w:cols w:equalWidth="0" w:num="3">
            <w:col w:w="1880" w:space="60"/>
            <w:col w:w="5820" w:space="720"/>
            <w:col w:w="2960"/>
          </w:cols>
          <w:pgMar w:left="240" w:top="502" w:right="219" w:bottom="1440" w:gutter="0" w:footer="0" w:header="0"/>
          <w:type w:val="continuous"/>
        </w:sectPr>
      </w:pPr>
    </w:p>
    <w:p>
      <w:pPr>
        <w:spacing w:after="0" w:line="196" w:lineRule="exact"/>
        <w:rPr>
          <w:sz w:val="20"/>
          <w:szCs w:val="20"/>
          <w:color w:val="auto"/>
        </w:rPr>
      </w:pPr>
      <w:r>
        <w:rPr>
          <w:rFonts w:ascii="Arial" w:cs="Arial" w:eastAsia="Arial" w:hAnsi="Arial"/>
          <w:sz w:val="17"/>
          <w:szCs w:val="17"/>
          <w:color w:val="auto"/>
        </w:rPr>
        <w:t xml:space="preserve">Emerging growth company </w:t>
      </w:r>
      <w:r>
        <w:rPr>
          <w:rFonts w:ascii="MS PGothic" w:cs="MS PGothic" w:eastAsia="MS PGothic" w:hAnsi="MS PGothic"/>
          <w:sz w:val="17"/>
          <w:szCs w:val="17"/>
          <w:color w:val="auto"/>
        </w:rPr>
        <w:t>☐</w:t>
      </w:r>
    </w:p>
    <w:p>
      <w:pPr>
        <w:sectPr>
          <w:pgSz w:w="11900" w:h="16838" w:orient="portrait"/>
          <w:cols w:equalWidth="0" w:num="1">
            <w:col w:w="11440"/>
          </w:cols>
          <w:pgMar w:left="240" w:top="502" w:right="219" w:bottom="1440" w:gutter="0" w:footer="0" w:header="0"/>
          <w:type w:val="continuous"/>
        </w:sectPr>
      </w:pPr>
    </w:p>
    <w:p>
      <w:pPr>
        <w:spacing w:after="0" w:line="86" w:lineRule="exact"/>
        <w:rPr>
          <w:sz w:val="24"/>
          <w:szCs w:val="24"/>
          <w:color w:val="auto"/>
        </w:rPr>
      </w:pPr>
    </w:p>
    <w:p>
      <w:pPr>
        <w:ind w:right="20"/>
        <w:spacing w:after="0" w:line="231"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 w:lineRule="exact"/>
        <w:rPr>
          <w:sz w:val="24"/>
          <w:szCs w:val="24"/>
          <w:color w:val="auto"/>
        </w:rPr>
      </w:pPr>
    </w:p>
    <w:p>
      <w:pPr>
        <w:ind w:right="1400"/>
        <w:spacing w:after="0" w:line="282"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r>
        <w:rPr>
          <w:rFonts w:ascii="Arial" w:cs="Arial" w:eastAsia="Arial" w:hAnsi="Arial"/>
          <w:sz w:val="17"/>
          <w:szCs w:val="17"/>
          <w:color w:val="auto"/>
        </w:rPr>
        <w:t xml:space="preserve"> Indicate the number of shares outstanding of each of the issuer’s classes of common stock, as of the latest practicable date.</w:t>
      </w:r>
    </w:p>
    <w:p>
      <w:pPr>
        <w:spacing w:after="0" w:line="45" w:lineRule="exact"/>
        <w:rPr>
          <w:sz w:val="24"/>
          <w:szCs w:val="24"/>
          <w:color w:val="auto"/>
        </w:rPr>
      </w:pPr>
    </w:p>
    <w:tbl>
      <w:tblPr>
        <w:tblLayout w:type="fixed"/>
        <w:tblInd w:w="0" w:type="dxa"/>
        <w:tblCellMar>
          <w:top w:w="0" w:type="dxa"/>
          <w:left w:w="0" w:type="dxa"/>
          <w:bottom w:w="0" w:type="dxa"/>
          <w:right w:w="0" w:type="dxa"/>
        </w:tblCellMar>
      </w:tblPr>
      <w:tr>
        <w:trPr>
          <w:trHeight w:val="201"/>
        </w:trPr>
        <w:tc>
          <w:tcPr>
            <w:tcW w:w="65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Class</w:t>
            </w:r>
          </w:p>
        </w:tc>
        <w:tc>
          <w:tcPr>
            <w:tcW w:w="4900" w:type="dxa"/>
            <w:vAlign w:val="bottom"/>
            <w:tcBorders>
              <w:bottom w:val="single" w:sz="8" w:color="auto"/>
            </w:tcBorders>
          </w:tcPr>
          <w:p>
            <w:pPr>
              <w:ind w:left="2520"/>
              <w:spacing w:after="0"/>
              <w:rPr>
                <w:sz w:val="20"/>
                <w:szCs w:val="20"/>
                <w:color w:val="auto"/>
              </w:rPr>
            </w:pPr>
            <w:r>
              <w:rPr>
                <w:rFonts w:ascii="Arial" w:cs="Arial" w:eastAsia="Arial" w:hAnsi="Arial"/>
                <w:sz w:val="14"/>
                <w:szCs w:val="14"/>
                <w:b w:val="1"/>
                <w:bCs w:val="1"/>
                <w:color w:val="auto"/>
              </w:rPr>
              <w:t>Outstanding as of October 20, 2017</w:t>
            </w:r>
          </w:p>
        </w:tc>
        <w:tc>
          <w:tcPr>
            <w:tcW w:w="20" w:type="dxa"/>
            <w:vAlign w:val="bottom"/>
          </w:tcPr>
          <w:p>
            <w:pPr>
              <w:spacing w:after="0"/>
              <w:rPr>
                <w:sz w:val="17"/>
                <w:szCs w:val="17"/>
                <w:color w:val="auto"/>
              </w:rPr>
            </w:pPr>
          </w:p>
        </w:tc>
      </w:tr>
      <w:tr>
        <w:trPr>
          <w:trHeight w:val="279"/>
        </w:trPr>
        <w:tc>
          <w:tcPr>
            <w:tcW w:w="6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Common Stock, $0.00000625 par value per share</w:t>
            </w:r>
          </w:p>
        </w:tc>
        <w:tc>
          <w:tcPr>
            <w:tcW w:w="4900" w:type="dxa"/>
            <w:vAlign w:val="bottom"/>
            <w:tcBorders>
              <w:bottom w:val="single" w:sz="8" w:color="auto"/>
            </w:tcBorders>
          </w:tcPr>
          <w:p>
            <w:pPr>
              <w:ind w:left="3060"/>
              <w:spacing w:after="0"/>
              <w:rPr>
                <w:sz w:val="20"/>
                <w:szCs w:val="20"/>
                <w:color w:val="auto"/>
              </w:rPr>
            </w:pPr>
            <w:r>
              <w:rPr>
                <w:rFonts w:ascii="Arial" w:cs="Arial" w:eastAsia="Arial" w:hAnsi="Arial"/>
                <w:sz w:val="18"/>
                <w:szCs w:val="18"/>
                <w:color w:val="auto"/>
              </w:rPr>
              <w:t>7,714,590,195 shares</w:t>
            </w:r>
          </w:p>
        </w:tc>
        <w:tc>
          <w:tcPr>
            <w:tcW w:w="20" w:type="dxa"/>
            <w:vAlign w:val="bottom"/>
          </w:tcPr>
          <w:p>
            <w:pPr>
              <w:spacing w:after="0"/>
              <w:rPr>
                <w:sz w:val="24"/>
                <w:szCs w:val="24"/>
                <w:color w:val="auto"/>
              </w:rPr>
            </w:pPr>
          </w:p>
        </w:tc>
      </w:tr>
      <w:tr>
        <w:trPr>
          <w:trHeight w:val="667"/>
        </w:trPr>
        <w:tc>
          <w:tcPr>
            <w:tcW w:w="6520" w:type="dxa"/>
            <w:vAlign w:val="bottom"/>
            <w:tcBorders>
              <w:bottom w:val="single" w:sz="8" w:color="9A9A9A"/>
            </w:tcBorders>
          </w:tcPr>
          <w:p>
            <w:pPr>
              <w:spacing w:after="0"/>
              <w:rPr>
                <w:sz w:val="24"/>
                <w:szCs w:val="24"/>
                <w:color w:val="auto"/>
              </w:rPr>
            </w:pPr>
          </w:p>
        </w:tc>
        <w:tc>
          <w:tcPr>
            <w:tcW w:w="49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02" w:right="219" w:bottom="1440" w:gutter="0" w:footer="0" w:header="0"/>
          <w:type w:val="continuous"/>
        </w:sectPr>
      </w:pPr>
    </w:p>
    <w:bookmarkStart w:id="1" w:name="page2"/>
    <w:bookmarkEnd w:id="1"/>
    <w:p>
      <w:pPr>
        <w:jc w:val="center"/>
        <w:ind w:left="1040"/>
        <w:spacing w:after="0"/>
        <w:rPr>
          <w:sz w:val="20"/>
          <w:szCs w:val="20"/>
          <w:color w:val="auto"/>
        </w:rPr>
      </w:pPr>
      <w:r>
        <w:rPr>
          <w:rFonts w:ascii="Arial" w:cs="Arial" w:eastAsia="Arial" w:hAnsi="Arial"/>
          <w:sz w:val="18"/>
          <w:szCs w:val="18"/>
          <w:b w:val="1"/>
          <w:bCs w:val="1"/>
          <w:color w:val="auto"/>
        </w:rPr>
        <w:t>MICROSOFT CORPORATION</w:t>
      </w:r>
    </w:p>
    <w:p>
      <w:pPr>
        <w:spacing w:after="0" w:line="63" w:lineRule="exact"/>
        <w:rPr>
          <w:sz w:val="20"/>
          <w:szCs w:val="20"/>
          <w:color w:val="auto"/>
        </w:rPr>
      </w:pPr>
    </w:p>
    <w:p>
      <w:pPr>
        <w:jc w:val="center"/>
        <w:ind w:left="1040"/>
        <w:spacing w:after="0"/>
        <w:rPr>
          <w:sz w:val="20"/>
          <w:szCs w:val="20"/>
          <w:color w:val="auto"/>
        </w:rPr>
      </w:pPr>
      <w:r>
        <w:rPr>
          <w:rFonts w:ascii="Arial" w:cs="Arial" w:eastAsia="Arial" w:hAnsi="Arial"/>
          <w:sz w:val="18"/>
          <w:szCs w:val="18"/>
          <w:b w:val="1"/>
          <w:bCs w:val="1"/>
          <w:color w:val="auto"/>
        </w:rPr>
        <w:t>FORM 10-Q</w:t>
      </w:r>
    </w:p>
    <w:p>
      <w:pPr>
        <w:spacing w:after="0" w:line="77" w:lineRule="exact"/>
        <w:rPr>
          <w:sz w:val="20"/>
          <w:szCs w:val="20"/>
          <w:color w:val="auto"/>
        </w:rPr>
      </w:pPr>
    </w:p>
    <w:p>
      <w:pPr>
        <w:jc w:val="center"/>
        <w:ind w:left="1040"/>
        <w:spacing w:after="0"/>
        <w:rPr>
          <w:sz w:val="20"/>
          <w:szCs w:val="20"/>
          <w:color w:val="auto"/>
        </w:rPr>
      </w:pPr>
      <w:r>
        <w:rPr>
          <w:rFonts w:ascii="Arial" w:cs="Arial" w:eastAsia="Arial" w:hAnsi="Arial"/>
          <w:sz w:val="18"/>
          <w:szCs w:val="18"/>
          <w:b w:val="1"/>
          <w:bCs w:val="1"/>
          <w:color w:val="auto"/>
        </w:rPr>
        <w:t>For the Quarter Ended September 30, 2017</w:t>
      </w:r>
    </w:p>
    <w:p>
      <w:pPr>
        <w:spacing w:after="0" w:line="63" w:lineRule="exact"/>
        <w:rPr>
          <w:sz w:val="20"/>
          <w:szCs w:val="20"/>
          <w:color w:val="auto"/>
        </w:rPr>
      </w:pPr>
    </w:p>
    <w:p>
      <w:pPr>
        <w:jc w:val="center"/>
        <w:ind w:left="1040"/>
        <w:spacing w:after="0"/>
        <w:rPr>
          <w:sz w:val="20"/>
          <w:szCs w:val="20"/>
          <w:color w:val="auto"/>
        </w:rPr>
      </w:pPr>
      <w:r>
        <w:rPr>
          <w:rFonts w:ascii="Arial" w:cs="Arial" w:eastAsia="Arial" w:hAnsi="Arial"/>
          <w:sz w:val="18"/>
          <w:szCs w:val="18"/>
          <w:b w:val="1"/>
          <w:bCs w:val="1"/>
          <w:color w:val="auto"/>
        </w:rPr>
        <w:t>INDEX</w:t>
      </w:r>
    </w:p>
    <w:p>
      <w:pPr>
        <w:spacing w:after="0" w:line="333" w:lineRule="exact"/>
        <w:rPr>
          <w:sz w:val="20"/>
          <w:szCs w:val="20"/>
          <w:color w:val="auto"/>
        </w:rPr>
      </w:pPr>
    </w:p>
    <w:p>
      <w:pPr>
        <w:spacing w:after="0"/>
        <w:tabs>
          <w:tab w:leader="none" w:pos="880" w:val="left"/>
        </w:tabs>
        <w:rPr>
          <w:rFonts w:ascii="Arial" w:cs="Arial" w:eastAsia="Arial" w:hAnsi="Arial"/>
          <w:sz w:val="17"/>
          <w:szCs w:val="17"/>
          <w:b w:val="1"/>
          <w:bCs w:val="1"/>
          <w:u w:val="single" w:color="auto"/>
          <w:color w:val="0000EE"/>
        </w:rPr>
      </w:pPr>
      <w:hyperlink w:anchor="page3"/>
      <w:r>
        <w:rPr>
          <w:rFonts w:ascii="Arial" w:cs="Arial" w:eastAsia="Arial" w:hAnsi="Arial"/>
          <w:sz w:val="36"/>
          <w:szCs w:val="36"/>
          <w:b w:val="1"/>
          <w:bCs w:val="1"/>
          <w:color w:val="000000"/>
          <w:vertAlign w:val="superscript"/>
        </w:rPr>
        <w:t>PART</w:t>
      </w:r>
      <w:r>
        <w:rPr>
          <w:rFonts w:ascii="Arial" w:cs="Arial" w:eastAsia="Arial" w:hAnsi="Arial"/>
          <w:sz w:val="18"/>
          <w:szCs w:val="18"/>
          <w:b w:val="1"/>
          <w:bCs w:val="1"/>
          <w:color w:val="0000EE"/>
        </w:rPr>
        <w:t xml:space="preserve"> </w:t>
      </w:r>
      <w:r>
        <w:rPr>
          <w:rFonts w:ascii="Arial" w:cs="Arial" w:eastAsia="Arial" w:hAnsi="Arial"/>
          <w:sz w:val="36"/>
          <w:szCs w:val="36"/>
          <w:b w:val="1"/>
          <w:bCs w:val="1"/>
          <w:color w:val="000000"/>
          <w:vertAlign w:val="superscript"/>
        </w:rPr>
        <w:t>I.</w:t>
      </w:r>
      <w:r>
        <w:rPr>
          <w:rFonts w:ascii="Arial" w:cs="Arial" w:eastAsia="Arial" w:hAnsi="Arial"/>
          <w:sz w:val="18"/>
          <w:szCs w:val="18"/>
          <w:b w:val="1"/>
          <w:bCs w:val="1"/>
          <w:color w:val="0000EE"/>
        </w:rPr>
        <w:tab/>
      </w:r>
      <w:hyperlink w:anchor="page3">
        <w:r>
          <w:rPr>
            <w:rFonts w:ascii="Arial" w:cs="Arial" w:eastAsia="Arial" w:hAnsi="Arial"/>
            <w:sz w:val="17"/>
            <w:szCs w:val="17"/>
            <w:b w:val="1"/>
            <w:bCs w:val="1"/>
            <w:u w:val="single" w:color="auto"/>
            <w:color w:val="0000EE"/>
          </w:rPr>
          <w:t>FINANCIAL INFORMATION</w:t>
        </w:r>
      </w:hyperlink>
    </w:p>
    <w:p>
      <w:pPr>
        <w:spacing w:after="0" w:line="115" w:lineRule="exact"/>
        <w:rPr>
          <w:sz w:val="20"/>
          <w:szCs w:val="20"/>
          <w:color w:val="auto"/>
        </w:rPr>
      </w:pPr>
    </w:p>
    <w:p>
      <w:pPr>
        <w:ind w:left="900"/>
        <w:spacing w:after="0"/>
        <w:tabs>
          <w:tab w:leader="none" w:pos="1680" w:val="left"/>
        </w:tabs>
        <w:rPr>
          <w:rFonts w:ascii="Arial" w:cs="Arial" w:eastAsia="Arial" w:hAnsi="Arial"/>
          <w:sz w:val="18"/>
          <w:szCs w:val="18"/>
          <w:u w:val="single" w:color="auto"/>
          <w:color w:val="0000EE"/>
        </w:rPr>
      </w:pPr>
      <w:r>
        <w:rPr>
          <w:rFonts w:ascii="Arial" w:cs="Arial" w:eastAsia="Arial" w:hAnsi="Arial"/>
          <w:sz w:val="18"/>
          <w:szCs w:val="18"/>
          <w:color w:val="auto"/>
        </w:rPr>
        <w:t>Item 1.</w:t>
      </w:r>
      <w:r>
        <w:rPr>
          <w:sz w:val="20"/>
          <w:szCs w:val="20"/>
          <w:color w:val="auto"/>
        </w:rPr>
        <w:tab/>
      </w:r>
      <w:hyperlink w:anchor="page3">
        <w:r>
          <w:rPr>
            <w:rFonts w:ascii="Arial" w:cs="Arial" w:eastAsia="Arial" w:hAnsi="Arial"/>
            <w:sz w:val="18"/>
            <w:szCs w:val="18"/>
            <w:u w:val="single" w:color="auto"/>
            <w:color w:val="0000EE"/>
          </w:rPr>
          <w:t>Financial Statements</w:t>
        </w:r>
      </w:hyperlink>
    </w:p>
    <w:p>
      <w:pPr>
        <w:spacing w:after="0" w:line="239" w:lineRule="exact"/>
        <w:rPr>
          <w:sz w:val="20"/>
          <w:szCs w:val="20"/>
          <w:color w:val="auto"/>
        </w:rPr>
      </w:pPr>
    </w:p>
    <w:p>
      <w:pPr>
        <w:ind w:left="1960" w:hanging="250"/>
        <w:spacing w:after="0"/>
        <w:tabs>
          <w:tab w:leader="none" w:pos="1960" w:val="left"/>
        </w:tabs>
        <w:numPr>
          <w:ilvl w:val="0"/>
          <w:numId w:val="3"/>
        </w:numPr>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Income Statements for the Three Months Ended September 30, 2017 and 2016</w:t>
        </w:r>
      </w:hyperlink>
    </w:p>
    <w:p>
      <w:pPr>
        <w:spacing w:after="0" w:line="108" w:lineRule="exact"/>
        <w:rPr>
          <w:rFonts w:ascii="Arial" w:cs="Arial" w:eastAsia="Arial" w:hAnsi="Arial"/>
          <w:sz w:val="18"/>
          <w:szCs w:val="18"/>
          <w:u w:val="single" w:color="auto"/>
          <w:color w:val="0000EE"/>
        </w:rPr>
      </w:pPr>
    </w:p>
    <w:p>
      <w:pPr>
        <w:ind w:left="1960" w:hanging="250"/>
        <w:spacing w:after="0"/>
        <w:tabs>
          <w:tab w:leader="none" w:pos="1960" w:val="left"/>
        </w:tabs>
        <w:numPr>
          <w:ilvl w:val="0"/>
          <w:numId w:val="3"/>
        </w:numPr>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Comprehensive Income Statements for the Three Months Ended September 30, 2017 and 2016</w:t>
        </w:r>
      </w:hyperlink>
    </w:p>
    <w:p>
      <w:pPr>
        <w:spacing w:after="0" w:line="203" w:lineRule="exact"/>
        <w:rPr>
          <w:rFonts w:ascii="Arial" w:cs="Arial" w:eastAsia="Arial" w:hAnsi="Arial"/>
          <w:sz w:val="18"/>
          <w:szCs w:val="18"/>
          <w:u w:val="single" w:color="auto"/>
          <w:color w:val="0000EE"/>
        </w:rPr>
      </w:pPr>
    </w:p>
    <w:p>
      <w:pPr>
        <w:ind w:left="1960" w:hanging="250"/>
        <w:spacing w:after="0" w:line="184" w:lineRule="auto"/>
        <w:tabs>
          <w:tab w:leader="none" w:pos="1960" w:val="left"/>
        </w:tabs>
        <w:numPr>
          <w:ilvl w:val="0"/>
          <w:numId w:val="3"/>
        </w:numPr>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Balance Sheets as of September 30, 2017 and June 30, 2017</w:t>
        </w:r>
      </w:hyperlink>
    </w:p>
    <w:p>
      <w:pPr>
        <w:spacing w:after="0" w:line="204" w:lineRule="exact"/>
        <w:rPr>
          <w:rFonts w:ascii="Arial" w:cs="Arial" w:eastAsia="Arial" w:hAnsi="Arial"/>
          <w:sz w:val="17"/>
          <w:szCs w:val="17"/>
          <w:u w:val="single" w:color="auto"/>
          <w:color w:val="0000EE"/>
        </w:rPr>
      </w:pPr>
    </w:p>
    <w:p>
      <w:pPr>
        <w:ind w:left="1960" w:hanging="250"/>
        <w:spacing w:after="0" w:line="184" w:lineRule="auto"/>
        <w:tabs>
          <w:tab w:leader="none" w:pos="1960" w:val="left"/>
        </w:tabs>
        <w:numPr>
          <w:ilvl w:val="0"/>
          <w:numId w:val="3"/>
        </w:numPr>
        <w:rPr>
          <w:rFonts w:ascii="Arial" w:cs="Arial" w:eastAsia="Arial" w:hAnsi="Arial"/>
          <w:sz w:val="17"/>
          <w:szCs w:val="17"/>
          <w:u w:val="single" w:color="auto"/>
          <w:color w:val="0000EE"/>
        </w:rPr>
      </w:pPr>
      <w:hyperlink w:anchor="page6">
        <w:r>
          <w:rPr>
            <w:rFonts w:ascii="Arial" w:cs="Arial" w:eastAsia="Arial" w:hAnsi="Arial"/>
            <w:sz w:val="17"/>
            <w:szCs w:val="17"/>
            <w:u w:val="single" w:color="auto"/>
            <w:color w:val="0000EE"/>
          </w:rPr>
          <w:t>Cash Flows Statements for the Three Months Ended September 30, 2017 and 2016</w:t>
        </w:r>
      </w:hyperlink>
    </w:p>
    <w:p>
      <w:pPr>
        <w:spacing w:after="0" w:line="204" w:lineRule="exact"/>
        <w:rPr>
          <w:rFonts w:ascii="Arial" w:cs="Arial" w:eastAsia="Arial" w:hAnsi="Arial"/>
          <w:sz w:val="17"/>
          <w:szCs w:val="17"/>
          <w:u w:val="single" w:color="auto"/>
          <w:color w:val="0000EE"/>
        </w:rPr>
      </w:pPr>
    </w:p>
    <w:p>
      <w:pPr>
        <w:ind w:left="1960" w:hanging="250"/>
        <w:spacing w:after="0" w:line="184" w:lineRule="auto"/>
        <w:tabs>
          <w:tab w:leader="none" w:pos="1960" w:val="left"/>
        </w:tabs>
        <w:numPr>
          <w:ilvl w:val="0"/>
          <w:numId w:val="3"/>
        </w:numPr>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Stockholders’ Equity Statements for the Three Months Ended September 30, 2017 and 2016</w:t>
        </w:r>
      </w:hyperlink>
    </w:p>
    <w:p>
      <w:pPr>
        <w:spacing w:after="0" w:line="204" w:lineRule="exact"/>
        <w:rPr>
          <w:rFonts w:ascii="Arial" w:cs="Arial" w:eastAsia="Arial" w:hAnsi="Arial"/>
          <w:sz w:val="17"/>
          <w:szCs w:val="17"/>
          <w:u w:val="single" w:color="auto"/>
          <w:color w:val="0000EE"/>
        </w:rPr>
      </w:pPr>
    </w:p>
    <w:p>
      <w:pPr>
        <w:ind w:left="1960" w:hanging="250"/>
        <w:spacing w:after="0" w:line="184" w:lineRule="auto"/>
        <w:tabs>
          <w:tab w:leader="none" w:pos="1960" w:val="left"/>
        </w:tabs>
        <w:numPr>
          <w:ilvl w:val="0"/>
          <w:numId w:val="3"/>
        </w:numPr>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Notes to Financial Statements</w:t>
        </w:r>
      </w:hyperlink>
    </w:p>
    <w:p>
      <w:pPr>
        <w:spacing w:after="0" w:line="204" w:lineRule="exact"/>
        <w:rPr>
          <w:rFonts w:ascii="Arial" w:cs="Arial" w:eastAsia="Arial" w:hAnsi="Arial"/>
          <w:sz w:val="17"/>
          <w:szCs w:val="17"/>
          <w:u w:val="single" w:color="auto"/>
          <w:color w:val="0000EE"/>
        </w:rPr>
      </w:pPr>
    </w:p>
    <w:p>
      <w:pPr>
        <w:ind w:left="1960" w:hanging="250"/>
        <w:spacing w:after="0" w:line="184" w:lineRule="auto"/>
        <w:tabs>
          <w:tab w:leader="none" w:pos="1960" w:val="left"/>
        </w:tabs>
        <w:numPr>
          <w:ilvl w:val="0"/>
          <w:numId w:val="3"/>
        </w:numPr>
        <w:rPr>
          <w:rFonts w:ascii="Arial" w:cs="Arial" w:eastAsia="Arial" w:hAnsi="Arial"/>
          <w:sz w:val="17"/>
          <w:szCs w:val="17"/>
          <w:u w:val="single" w:color="auto"/>
          <w:color w:val="0000EE"/>
        </w:rPr>
      </w:pPr>
      <w:hyperlink w:anchor="page36">
        <w:r>
          <w:rPr>
            <w:rFonts w:ascii="Arial" w:cs="Arial" w:eastAsia="Arial" w:hAnsi="Arial"/>
            <w:sz w:val="17"/>
            <w:szCs w:val="17"/>
            <w:u w:val="single" w:color="auto"/>
            <w:color w:val="0000EE"/>
          </w:rPr>
          <w:t>Report of Independent Registered Public Accounting Firm</w:t>
        </w:r>
      </w:hyperlink>
    </w:p>
    <w:p>
      <w:pPr>
        <w:spacing w:after="0" w:line="204" w:lineRule="exact"/>
        <w:rPr>
          <w:rFonts w:ascii="Arial" w:cs="Arial" w:eastAsia="Arial" w:hAnsi="Arial"/>
          <w:sz w:val="32"/>
          <w:szCs w:val="32"/>
          <w:color w:val="auto"/>
          <w:vertAlign w:val="superscript"/>
        </w:rPr>
      </w:pPr>
    </w:p>
    <w:p>
      <w:pPr>
        <w:ind w:left="900"/>
        <w:spacing w:after="0"/>
        <w:tabs>
          <w:tab w:leader="none" w:pos="1680" w:val="left"/>
        </w:tabs>
        <w:rPr>
          <w:rFonts w:ascii="Arial" w:cs="Arial" w:eastAsia="Arial" w:hAnsi="Arial"/>
          <w:sz w:val="18"/>
          <w:szCs w:val="18"/>
          <w:u w:val="single" w:color="auto"/>
          <w:color w:val="0000EE"/>
        </w:rPr>
      </w:pPr>
      <w:r>
        <w:rPr>
          <w:rFonts w:ascii="Arial" w:cs="Arial" w:eastAsia="Arial" w:hAnsi="Arial"/>
          <w:sz w:val="18"/>
          <w:szCs w:val="18"/>
          <w:color w:val="auto"/>
        </w:rPr>
        <w:t>Item 2.</w:t>
      </w:r>
      <w:r>
        <w:rPr>
          <w:sz w:val="20"/>
          <w:szCs w:val="20"/>
          <w:color w:val="auto"/>
        </w:rPr>
        <w:tab/>
      </w:r>
      <w:hyperlink w:anchor="page37">
        <w:r>
          <w:rPr>
            <w:rFonts w:ascii="Arial" w:cs="Arial" w:eastAsia="Arial" w:hAnsi="Arial"/>
            <w:sz w:val="18"/>
            <w:szCs w:val="18"/>
            <w:u w:val="single" w:color="auto"/>
            <w:color w:val="0000EE"/>
          </w:rPr>
          <w:t>Management’s Discussion and Analysis of Financial Condition and Results of Operations</w:t>
        </w:r>
      </w:hyperlink>
    </w:p>
    <w:p>
      <w:pPr>
        <w:spacing w:after="0" w:line="278" w:lineRule="exact"/>
        <w:rPr>
          <w:rFonts w:ascii="Arial" w:cs="Arial" w:eastAsia="Arial" w:hAnsi="Arial"/>
          <w:sz w:val="32"/>
          <w:szCs w:val="32"/>
          <w:color w:val="auto"/>
          <w:vertAlign w:val="superscript"/>
        </w:rPr>
      </w:pPr>
    </w:p>
    <w:p>
      <w:pPr>
        <w:ind w:left="900"/>
        <w:spacing w:after="0"/>
        <w:tabs>
          <w:tab w:leader="none" w:pos="1680" w:val="left"/>
        </w:tabs>
        <w:rPr>
          <w:rFonts w:ascii="Arial" w:cs="Arial" w:eastAsia="Arial" w:hAnsi="Arial"/>
          <w:sz w:val="18"/>
          <w:szCs w:val="18"/>
          <w:u w:val="single" w:color="auto"/>
          <w:color w:val="0000EE"/>
        </w:rPr>
      </w:pPr>
      <w:r>
        <w:rPr>
          <w:rFonts w:ascii="Arial" w:cs="Arial" w:eastAsia="Arial" w:hAnsi="Arial"/>
          <w:sz w:val="18"/>
          <w:szCs w:val="18"/>
          <w:color w:val="auto"/>
        </w:rPr>
        <w:t>Item 3.</w:t>
      </w:r>
      <w:r>
        <w:rPr>
          <w:sz w:val="20"/>
          <w:szCs w:val="20"/>
          <w:color w:val="auto"/>
        </w:rPr>
        <w:tab/>
      </w:r>
      <w:hyperlink w:anchor="page49">
        <w:r>
          <w:rPr>
            <w:rFonts w:ascii="Arial" w:cs="Arial" w:eastAsia="Arial" w:hAnsi="Arial"/>
            <w:sz w:val="18"/>
            <w:szCs w:val="18"/>
            <w:u w:val="single" w:color="auto"/>
            <w:color w:val="0000EE"/>
          </w:rPr>
          <w:t>Quantitative and Qualitative Disclosures About Market Risk</w:t>
        </w:r>
      </w:hyperlink>
    </w:p>
    <w:p>
      <w:pPr>
        <w:spacing w:after="0" w:line="279" w:lineRule="exact"/>
        <w:rPr>
          <w:rFonts w:ascii="Arial" w:cs="Arial" w:eastAsia="Arial" w:hAnsi="Arial"/>
          <w:sz w:val="32"/>
          <w:szCs w:val="32"/>
          <w:color w:val="auto"/>
          <w:vertAlign w:val="superscript"/>
        </w:rPr>
      </w:pPr>
    </w:p>
    <w:p>
      <w:pPr>
        <w:ind w:left="900"/>
        <w:spacing w:after="0"/>
        <w:tabs>
          <w:tab w:leader="none" w:pos="1680" w:val="left"/>
        </w:tabs>
        <w:rPr>
          <w:rFonts w:ascii="Arial" w:cs="Arial" w:eastAsia="Arial" w:hAnsi="Arial"/>
          <w:sz w:val="18"/>
          <w:szCs w:val="18"/>
          <w:u w:val="single" w:color="auto"/>
          <w:color w:val="0000EE"/>
        </w:rPr>
      </w:pPr>
      <w:r>
        <w:rPr>
          <w:rFonts w:ascii="Arial" w:cs="Arial" w:eastAsia="Arial" w:hAnsi="Arial"/>
          <w:sz w:val="18"/>
          <w:szCs w:val="18"/>
          <w:color w:val="auto"/>
        </w:rPr>
        <w:t>Item 4.</w:t>
      </w:r>
      <w:r>
        <w:rPr>
          <w:sz w:val="20"/>
          <w:szCs w:val="20"/>
          <w:color w:val="auto"/>
        </w:rPr>
        <w:tab/>
      </w:r>
      <w:hyperlink w:anchor="page50">
        <w:r>
          <w:rPr>
            <w:rFonts w:ascii="Arial" w:cs="Arial" w:eastAsia="Arial" w:hAnsi="Arial"/>
            <w:sz w:val="18"/>
            <w:szCs w:val="18"/>
            <w:u w:val="single" w:color="auto"/>
            <w:color w:val="0000EE"/>
          </w:rPr>
          <w:t>Controls and Procedures</w:t>
        </w:r>
      </w:hyperlink>
    </w:p>
    <w:p>
      <w:pPr>
        <w:spacing w:after="0" w:line="291" w:lineRule="exact"/>
        <w:rPr>
          <w:rFonts w:ascii="Arial" w:cs="Arial" w:eastAsia="Arial" w:hAnsi="Arial"/>
          <w:sz w:val="32"/>
          <w:szCs w:val="32"/>
          <w:color w:val="auto"/>
          <w:vertAlign w:val="superscript"/>
        </w:rPr>
      </w:pPr>
    </w:p>
    <w:p>
      <w:pPr>
        <w:spacing w:after="0"/>
        <w:tabs>
          <w:tab w:leader="none" w:pos="880" w:val="left"/>
        </w:tabs>
        <w:rPr>
          <w:rFonts w:ascii="Arial" w:cs="Arial" w:eastAsia="Arial" w:hAnsi="Arial"/>
          <w:sz w:val="17"/>
          <w:szCs w:val="17"/>
          <w:b w:val="1"/>
          <w:bCs w:val="1"/>
          <w:u w:val="single" w:color="auto"/>
          <w:color w:val="0000EE"/>
        </w:rPr>
      </w:pPr>
      <w:r>
        <w:rPr>
          <w:rFonts w:ascii="Arial" w:cs="Arial" w:eastAsia="Arial" w:hAnsi="Arial"/>
          <w:sz w:val="18"/>
          <w:szCs w:val="18"/>
          <w:b w:val="1"/>
          <w:bCs w:val="1"/>
          <w:color w:val="auto"/>
        </w:rPr>
        <w:t>PART II.</w:t>
      </w:r>
      <w:r>
        <w:rPr>
          <w:sz w:val="20"/>
          <w:szCs w:val="20"/>
          <w:color w:val="auto"/>
        </w:rPr>
        <w:tab/>
      </w:r>
      <w:hyperlink w:anchor="page51">
        <w:r>
          <w:rPr>
            <w:rFonts w:ascii="Arial" w:cs="Arial" w:eastAsia="Arial" w:hAnsi="Arial"/>
            <w:sz w:val="17"/>
            <w:szCs w:val="17"/>
            <w:b w:val="1"/>
            <w:bCs w:val="1"/>
            <w:u w:val="single" w:color="auto"/>
            <w:color w:val="0000EE"/>
          </w:rPr>
          <w:t>OTHER INFORMATION</w:t>
        </w:r>
      </w:hyperlink>
    </w:p>
    <w:p>
      <w:pPr>
        <w:spacing w:after="0" w:line="268" w:lineRule="exact"/>
        <w:rPr>
          <w:rFonts w:ascii="Arial" w:cs="Arial" w:eastAsia="Arial" w:hAnsi="Arial"/>
          <w:sz w:val="32"/>
          <w:szCs w:val="32"/>
          <w:color w:val="auto"/>
          <w:vertAlign w:val="superscript"/>
        </w:rPr>
      </w:pPr>
    </w:p>
    <w:p>
      <w:pPr>
        <w:ind w:left="900"/>
        <w:spacing w:after="0"/>
        <w:tabs>
          <w:tab w:leader="none" w:pos="1680" w:val="left"/>
        </w:tabs>
        <w:rPr>
          <w:rFonts w:ascii="Arial" w:cs="Arial" w:eastAsia="Arial" w:hAnsi="Arial"/>
          <w:sz w:val="18"/>
          <w:szCs w:val="18"/>
          <w:u w:val="single" w:color="auto"/>
          <w:color w:val="0000EE"/>
        </w:rPr>
      </w:pPr>
      <w:r>
        <w:rPr>
          <w:rFonts w:ascii="Arial" w:cs="Arial" w:eastAsia="Arial" w:hAnsi="Arial"/>
          <w:sz w:val="18"/>
          <w:szCs w:val="18"/>
          <w:color w:val="auto"/>
        </w:rPr>
        <w:t>Item 1.</w:t>
      </w:r>
      <w:r>
        <w:rPr>
          <w:sz w:val="20"/>
          <w:szCs w:val="20"/>
          <w:color w:val="auto"/>
        </w:rPr>
        <w:tab/>
      </w:r>
      <w:hyperlink w:anchor="page51">
        <w:r>
          <w:rPr>
            <w:rFonts w:ascii="Arial" w:cs="Arial" w:eastAsia="Arial" w:hAnsi="Arial"/>
            <w:sz w:val="18"/>
            <w:szCs w:val="18"/>
            <w:u w:val="single" w:color="auto"/>
            <w:color w:val="0000EE"/>
          </w:rPr>
          <w:t>Legal Proceedings</w:t>
        </w:r>
      </w:hyperlink>
    </w:p>
    <w:p>
      <w:pPr>
        <w:spacing w:after="0" w:line="279" w:lineRule="exact"/>
        <w:rPr>
          <w:rFonts w:ascii="Arial" w:cs="Arial" w:eastAsia="Arial" w:hAnsi="Arial"/>
          <w:sz w:val="32"/>
          <w:szCs w:val="32"/>
          <w:color w:val="auto"/>
          <w:vertAlign w:val="superscript"/>
        </w:rPr>
      </w:pPr>
    </w:p>
    <w:p>
      <w:pPr>
        <w:ind w:left="900"/>
        <w:spacing w:after="0"/>
        <w:rPr>
          <w:rFonts w:ascii="Arial" w:cs="Arial" w:eastAsia="Arial" w:hAnsi="Arial"/>
          <w:sz w:val="18"/>
          <w:szCs w:val="18"/>
          <w:color w:val="auto"/>
        </w:rPr>
      </w:pPr>
      <w:r>
        <w:rPr>
          <w:rFonts w:ascii="Arial" w:cs="Arial" w:eastAsia="Arial" w:hAnsi="Arial"/>
          <w:sz w:val="18"/>
          <w:szCs w:val="18"/>
          <w:color w:val="auto"/>
        </w:rPr>
        <w:t xml:space="preserve">Item 1A.  </w:t>
      </w:r>
      <w:hyperlink w:anchor="page51">
        <w:r>
          <w:rPr>
            <w:rFonts w:ascii="Arial" w:cs="Arial" w:eastAsia="Arial" w:hAnsi="Arial"/>
            <w:sz w:val="18"/>
            <w:szCs w:val="18"/>
            <w:u w:val="single" w:color="auto"/>
            <w:color w:val="0000EE"/>
          </w:rPr>
          <w:t>Risk Factors</w:t>
        </w:r>
      </w:hyperlink>
    </w:p>
    <w:p>
      <w:pPr>
        <w:spacing w:after="0" w:line="279" w:lineRule="exact"/>
        <w:rPr>
          <w:rFonts w:ascii="Arial" w:cs="Arial" w:eastAsia="Arial" w:hAnsi="Arial"/>
          <w:sz w:val="32"/>
          <w:szCs w:val="32"/>
          <w:color w:val="auto"/>
          <w:vertAlign w:val="superscript"/>
        </w:rPr>
      </w:pPr>
    </w:p>
    <w:p>
      <w:pPr>
        <w:ind w:left="900"/>
        <w:spacing w:after="0"/>
        <w:tabs>
          <w:tab w:leader="none" w:pos="1680" w:val="left"/>
        </w:tabs>
        <w:rPr>
          <w:rFonts w:ascii="Arial" w:cs="Arial" w:eastAsia="Arial" w:hAnsi="Arial"/>
          <w:sz w:val="18"/>
          <w:szCs w:val="18"/>
          <w:u w:val="single" w:color="auto"/>
          <w:color w:val="0000EE"/>
        </w:rPr>
      </w:pPr>
      <w:r>
        <w:rPr>
          <w:rFonts w:ascii="Arial" w:cs="Arial" w:eastAsia="Arial" w:hAnsi="Arial"/>
          <w:sz w:val="18"/>
          <w:szCs w:val="18"/>
          <w:color w:val="auto"/>
        </w:rPr>
        <w:t>Item 2.</w:t>
      </w:r>
      <w:r>
        <w:rPr>
          <w:sz w:val="20"/>
          <w:szCs w:val="20"/>
          <w:color w:val="auto"/>
        </w:rPr>
        <w:tab/>
      </w:r>
      <w:hyperlink w:anchor="page61">
        <w:r>
          <w:rPr>
            <w:rFonts w:ascii="Arial" w:cs="Arial" w:eastAsia="Arial" w:hAnsi="Arial"/>
            <w:sz w:val="18"/>
            <w:szCs w:val="18"/>
            <w:u w:val="single" w:color="auto"/>
            <w:color w:val="0000EE"/>
          </w:rPr>
          <w:t>Unregistered Sales of Equity Securities and Use of Proceeds</w:t>
        </w:r>
      </w:hyperlink>
    </w:p>
    <w:p>
      <w:pPr>
        <w:spacing w:after="0" w:line="279" w:lineRule="exact"/>
        <w:rPr>
          <w:rFonts w:ascii="Arial" w:cs="Arial" w:eastAsia="Arial" w:hAnsi="Arial"/>
          <w:sz w:val="32"/>
          <w:szCs w:val="32"/>
          <w:color w:val="auto"/>
          <w:vertAlign w:val="superscript"/>
        </w:rPr>
      </w:pPr>
    </w:p>
    <w:p>
      <w:pPr>
        <w:ind w:left="900"/>
        <w:spacing w:after="0"/>
        <w:tabs>
          <w:tab w:leader="none" w:pos="1680" w:val="left"/>
        </w:tabs>
        <w:rPr>
          <w:rFonts w:ascii="Arial" w:cs="Arial" w:eastAsia="Arial" w:hAnsi="Arial"/>
          <w:sz w:val="18"/>
          <w:szCs w:val="18"/>
          <w:u w:val="single" w:color="auto"/>
          <w:color w:val="0000EE"/>
        </w:rPr>
      </w:pPr>
      <w:r>
        <w:rPr>
          <w:rFonts w:ascii="Arial" w:cs="Arial" w:eastAsia="Arial" w:hAnsi="Arial"/>
          <w:sz w:val="18"/>
          <w:szCs w:val="18"/>
          <w:color w:val="auto"/>
        </w:rPr>
        <w:t>Item 6.</w:t>
      </w:r>
      <w:r>
        <w:rPr>
          <w:sz w:val="20"/>
          <w:szCs w:val="20"/>
          <w:color w:val="auto"/>
        </w:rPr>
        <w:tab/>
      </w:r>
      <w:hyperlink w:anchor="page62">
        <w:r>
          <w:rPr>
            <w:rFonts w:ascii="Arial" w:cs="Arial" w:eastAsia="Arial" w:hAnsi="Arial"/>
            <w:sz w:val="18"/>
            <w:szCs w:val="18"/>
            <w:u w:val="single" w:color="auto"/>
            <w:color w:val="0000EE"/>
          </w:rPr>
          <w:t>Exhibits</w:t>
        </w:r>
      </w:hyperlink>
    </w:p>
    <w:p>
      <w:pPr>
        <w:spacing w:after="0" w:line="277" w:lineRule="exact"/>
        <w:rPr>
          <w:rFonts w:ascii="Arial" w:cs="Arial" w:eastAsia="Arial" w:hAnsi="Arial"/>
          <w:sz w:val="32"/>
          <w:szCs w:val="32"/>
          <w:color w:val="auto"/>
          <w:vertAlign w:val="superscript"/>
        </w:rPr>
      </w:pPr>
    </w:p>
    <w:p>
      <w:pPr>
        <w:spacing w:after="0"/>
        <w:rPr>
          <w:rFonts w:ascii="Arial" w:cs="Arial" w:eastAsia="Arial" w:hAnsi="Arial"/>
          <w:sz w:val="18"/>
          <w:szCs w:val="18"/>
          <w:b w:val="1"/>
          <w:bCs w:val="1"/>
          <w:u w:val="single" w:color="auto"/>
          <w:color w:val="0000EE"/>
        </w:rPr>
      </w:pPr>
      <w:hyperlink w:anchor="page63">
        <w:r>
          <w:rPr>
            <w:rFonts w:ascii="Arial" w:cs="Arial" w:eastAsia="Arial" w:hAnsi="Arial"/>
            <w:sz w:val="18"/>
            <w:szCs w:val="18"/>
            <w:b w:val="1"/>
            <w:bCs w:val="1"/>
            <w:u w:val="single" w:color="auto"/>
            <w:color w:val="0000EE"/>
          </w:rPr>
          <w:t>SIGNATURE</w:t>
        </w:r>
      </w:hyperlink>
    </w:p>
    <w:p>
      <w:pPr>
        <w:spacing w:after="0" w:line="200" w:lineRule="exact"/>
        <w:rPr>
          <w:rFonts w:ascii="Arial" w:cs="Arial" w:eastAsia="Arial" w:hAnsi="Arial"/>
          <w:sz w:val="32"/>
          <w:szCs w:val="32"/>
          <w:color w:val="auto"/>
          <w:vertAlign w:val="superscript"/>
        </w:rPr>
      </w:pPr>
    </w:p>
    <w:p>
      <w:pPr>
        <w:spacing w:after="0" w:line="200" w:lineRule="exact"/>
        <w:rPr>
          <w:rFonts w:ascii="Arial" w:cs="Arial" w:eastAsia="Arial" w:hAnsi="Arial"/>
          <w:sz w:val="32"/>
          <w:szCs w:val="32"/>
          <w:color w:val="auto"/>
          <w:vertAlign w:val="superscript"/>
        </w:rPr>
      </w:pPr>
    </w:p>
    <w:p>
      <w:pPr>
        <w:spacing w:after="0" w:line="200" w:lineRule="exact"/>
        <w:rPr>
          <w:rFonts w:ascii="Arial" w:cs="Arial" w:eastAsia="Arial" w:hAnsi="Arial"/>
          <w:sz w:val="32"/>
          <w:szCs w:val="32"/>
          <w:color w:val="auto"/>
          <w:vertAlign w:val="superscript"/>
        </w:rPr>
      </w:pPr>
    </w:p>
    <w:p>
      <w:pPr>
        <w:spacing w:after="0" w:line="272" w:lineRule="exact"/>
        <w:rPr>
          <w:rFonts w:ascii="Arial" w:cs="Arial" w:eastAsia="Arial" w:hAnsi="Arial"/>
          <w:sz w:val="32"/>
          <w:szCs w:val="32"/>
          <w:color w:val="auto"/>
          <w:vertAlign w:val="superscript"/>
        </w:rPr>
      </w:pPr>
    </w:p>
    <w:p>
      <w:pPr>
        <w:jc w:val="center"/>
        <w:ind w:left="1040"/>
        <w:spacing w:after="0"/>
        <w:rPr>
          <w:sz w:val="20"/>
          <w:szCs w:val="20"/>
          <w:color w:val="auto"/>
        </w:rPr>
      </w:pPr>
      <w:r>
        <w:rPr>
          <w:rFonts w:ascii="Arial" w:cs="Arial" w:eastAsia="Arial" w:hAnsi="Arial"/>
          <w:sz w:val="14"/>
          <w:szCs w:val="14"/>
          <w:color w:val="auto"/>
        </w:rPr>
        <w:t>2</w:t>
      </w:r>
    </w:p>
    <w:p>
      <w:pPr>
        <w:spacing w:after="0" w:line="20" w:lineRule="exact"/>
        <w:rPr>
          <w:rFonts w:ascii="Arial" w:cs="Arial" w:eastAsia="Arial" w:hAnsi="Arial"/>
          <w:sz w:val="32"/>
          <w:szCs w:val="32"/>
          <w:color w:val="auto"/>
          <w:vertAlign w:val="superscript"/>
        </w:rPr>
      </w:pPr>
      <w:r>
        <w:rPr>
          <w:rFonts w:ascii="Arial" w:cs="Arial" w:eastAsia="Arial" w:hAnsi="Arial"/>
          <w:sz w:val="32"/>
          <w:szCs w:val="32"/>
          <w:color w:val="auto"/>
          <w:vertAlign w:val="superscript"/>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28916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pacing w:after="0" w:line="20" w:lineRule="exact"/>
        <w:rPr>
          <w:rFonts w:ascii="Arial" w:cs="Arial" w:eastAsia="Arial" w:hAnsi="Arial"/>
          <w:sz w:val="32"/>
          <w:szCs w:val="32"/>
          <w:color w:val="auto"/>
          <w:vertAlign w:val="superscript"/>
        </w:rPr>
      </w:pPr>
      <w:r>
        <w:rPr>
          <w:rFonts w:ascii="Arial" w:cs="Arial" w:eastAsia="Arial" w:hAnsi="Arial"/>
          <w:sz w:val="32"/>
          <w:szCs w:val="32"/>
          <w:color w:val="auto"/>
          <w:vertAlign w:val="superscript"/>
        </w:rPr>
        <w:br w:type="column"/>
      </w:r>
    </w:p>
    <w:p>
      <w:pPr>
        <w:spacing w:after="0" w:line="200" w:lineRule="exact"/>
        <w:rPr>
          <w:rFonts w:ascii="Arial" w:cs="Arial" w:eastAsia="Arial" w:hAnsi="Arial"/>
          <w:sz w:val="32"/>
          <w:szCs w:val="32"/>
          <w:color w:val="auto"/>
          <w:vertAlign w:val="superscript"/>
        </w:rPr>
      </w:pPr>
    </w:p>
    <w:p>
      <w:pPr>
        <w:spacing w:after="0" w:line="200" w:lineRule="exact"/>
        <w:rPr>
          <w:rFonts w:ascii="Arial" w:cs="Arial" w:eastAsia="Arial" w:hAnsi="Arial"/>
          <w:sz w:val="32"/>
          <w:szCs w:val="32"/>
          <w:color w:val="auto"/>
          <w:vertAlign w:val="superscript"/>
        </w:rPr>
      </w:pPr>
    </w:p>
    <w:p>
      <w:pPr>
        <w:spacing w:after="0" w:line="200" w:lineRule="exact"/>
        <w:rPr>
          <w:rFonts w:ascii="Arial" w:cs="Arial" w:eastAsia="Arial" w:hAnsi="Arial"/>
          <w:sz w:val="32"/>
          <w:szCs w:val="32"/>
          <w:color w:val="auto"/>
          <w:vertAlign w:val="superscript"/>
        </w:rPr>
      </w:pPr>
    </w:p>
    <w:p>
      <w:pPr>
        <w:spacing w:after="0" w:line="200" w:lineRule="exact"/>
        <w:rPr>
          <w:rFonts w:ascii="Arial" w:cs="Arial" w:eastAsia="Arial" w:hAnsi="Arial"/>
          <w:sz w:val="32"/>
          <w:szCs w:val="32"/>
          <w:color w:val="auto"/>
          <w:vertAlign w:val="superscript"/>
        </w:rPr>
      </w:pPr>
    </w:p>
    <w:p>
      <w:pPr>
        <w:spacing w:after="0" w:line="200" w:lineRule="exact"/>
        <w:rPr>
          <w:rFonts w:ascii="Arial" w:cs="Arial" w:eastAsia="Arial" w:hAnsi="Arial"/>
          <w:sz w:val="32"/>
          <w:szCs w:val="32"/>
          <w:color w:val="auto"/>
          <w:vertAlign w:val="superscript"/>
        </w:rPr>
      </w:pPr>
    </w:p>
    <w:p>
      <w:pPr>
        <w:spacing w:after="0" w:line="202" w:lineRule="exact"/>
        <w:rPr>
          <w:rFonts w:ascii="Arial" w:cs="Arial" w:eastAsia="Arial" w:hAnsi="Arial"/>
          <w:sz w:val="32"/>
          <w:szCs w:val="32"/>
          <w:color w:val="auto"/>
          <w:vertAlign w:val="superscript"/>
        </w:rPr>
      </w:pPr>
    </w:p>
    <w:p>
      <w:pPr>
        <w:spacing w:after="0"/>
        <w:rPr>
          <w:sz w:val="20"/>
          <w:szCs w:val="20"/>
          <w:color w:val="auto"/>
        </w:rPr>
      </w:pPr>
      <w:r>
        <w:rPr>
          <w:rFonts w:ascii="Arial" w:cs="Arial" w:eastAsia="Arial" w:hAnsi="Arial"/>
          <w:sz w:val="12"/>
          <w:szCs w:val="12"/>
          <w:b w:val="1"/>
          <w:bCs w:val="1"/>
          <w:color w:val="auto"/>
        </w:rPr>
        <w:t>Page</w:t>
      </w:r>
    </w:p>
    <w:p>
      <w:pPr>
        <w:spacing w:after="0" w:line="200" w:lineRule="exact"/>
        <w:rPr>
          <w:rFonts w:ascii="Arial" w:cs="Arial" w:eastAsia="Arial" w:hAnsi="Arial"/>
          <w:sz w:val="32"/>
          <w:szCs w:val="32"/>
          <w:color w:val="auto"/>
          <w:vertAlign w:val="superscript"/>
        </w:rPr>
      </w:pPr>
    </w:p>
    <w:p>
      <w:pPr>
        <w:spacing w:after="0" w:line="200" w:lineRule="exact"/>
        <w:rPr>
          <w:rFonts w:ascii="Arial" w:cs="Arial" w:eastAsia="Arial" w:hAnsi="Arial"/>
          <w:sz w:val="32"/>
          <w:szCs w:val="32"/>
          <w:color w:val="auto"/>
          <w:vertAlign w:val="superscript"/>
        </w:rPr>
      </w:pPr>
    </w:p>
    <w:p>
      <w:pPr>
        <w:spacing w:after="0" w:line="200" w:lineRule="exact"/>
        <w:rPr>
          <w:rFonts w:ascii="Arial" w:cs="Arial" w:eastAsia="Arial" w:hAnsi="Arial"/>
          <w:sz w:val="32"/>
          <w:szCs w:val="32"/>
          <w:color w:val="auto"/>
          <w:vertAlign w:val="superscript"/>
        </w:rPr>
      </w:pPr>
    </w:p>
    <w:p>
      <w:pPr>
        <w:spacing w:after="0" w:line="379" w:lineRule="exact"/>
        <w:rPr>
          <w:rFonts w:ascii="Arial" w:cs="Arial" w:eastAsia="Arial" w:hAnsi="Arial"/>
          <w:sz w:val="32"/>
          <w:szCs w:val="32"/>
          <w:color w:val="auto"/>
          <w:vertAlign w:val="superscript"/>
        </w:rPr>
      </w:pPr>
    </w:p>
    <w:p>
      <w:pPr>
        <w:ind w:left="220"/>
        <w:spacing w:after="0"/>
        <w:rPr>
          <w:sz w:val="20"/>
          <w:szCs w:val="20"/>
          <w:color w:val="auto"/>
        </w:rPr>
      </w:pPr>
      <w:r>
        <w:rPr>
          <w:rFonts w:ascii="Arial" w:cs="Arial" w:eastAsia="Arial" w:hAnsi="Arial"/>
          <w:sz w:val="17"/>
          <w:szCs w:val="17"/>
          <w:color w:val="auto"/>
        </w:rPr>
        <w:t>3</w:t>
      </w:r>
    </w:p>
    <w:p>
      <w:pPr>
        <w:spacing w:after="0" w:line="291" w:lineRule="exact"/>
        <w:rPr>
          <w:rFonts w:ascii="Arial" w:cs="Arial" w:eastAsia="Arial" w:hAnsi="Arial"/>
          <w:sz w:val="32"/>
          <w:szCs w:val="32"/>
          <w:color w:val="auto"/>
          <w:vertAlign w:val="superscript"/>
        </w:rPr>
      </w:pPr>
    </w:p>
    <w:p>
      <w:pPr>
        <w:ind w:left="220"/>
        <w:spacing w:after="0"/>
        <w:rPr>
          <w:sz w:val="20"/>
          <w:szCs w:val="20"/>
          <w:color w:val="auto"/>
        </w:rPr>
      </w:pPr>
      <w:r>
        <w:rPr>
          <w:rFonts w:ascii="Arial" w:cs="Arial" w:eastAsia="Arial" w:hAnsi="Arial"/>
          <w:sz w:val="17"/>
          <w:szCs w:val="17"/>
          <w:color w:val="auto"/>
        </w:rPr>
        <w:t>4</w:t>
      </w:r>
    </w:p>
    <w:p>
      <w:pPr>
        <w:spacing w:after="0" w:line="291" w:lineRule="exact"/>
        <w:rPr>
          <w:rFonts w:ascii="Arial" w:cs="Arial" w:eastAsia="Arial" w:hAnsi="Arial"/>
          <w:sz w:val="32"/>
          <w:szCs w:val="32"/>
          <w:color w:val="auto"/>
          <w:vertAlign w:val="superscript"/>
        </w:rPr>
      </w:pPr>
    </w:p>
    <w:p>
      <w:pPr>
        <w:ind w:left="220"/>
        <w:spacing w:after="0"/>
        <w:rPr>
          <w:sz w:val="20"/>
          <w:szCs w:val="20"/>
          <w:color w:val="auto"/>
        </w:rPr>
      </w:pPr>
      <w:r>
        <w:rPr>
          <w:rFonts w:ascii="Arial" w:cs="Arial" w:eastAsia="Arial" w:hAnsi="Arial"/>
          <w:sz w:val="17"/>
          <w:szCs w:val="17"/>
          <w:color w:val="auto"/>
        </w:rPr>
        <w:t>5</w:t>
      </w:r>
    </w:p>
    <w:p>
      <w:pPr>
        <w:spacing w:after="0" w:line="291" w:lineRule="exact"/>
        <w:rPr>
          <w:rFonts w:ascii="Arial" w:cs="Arial" w:eastAsia="Arial" w:hAnsi="Arial"/>
          <w:sz w:val="32"/>
          <w:szCs w:val="32"/>
          <w:color w:val="auto"/>
          <w:vertAlign w:val="superscript"/>
        </w:rPr>
      </w:pPr>
    </w:p>
    <w:p>
      <w:pPr>
        <w:ind w:left="220"/>
        <w:spacing w:after="0"/>
        <w:rPr>
          <w:sz w:val="20"/>
          <w:szCs w:val="20"/>
          <w:color w:val="auto"/>
        </w:rPr>
      </w:pPr>
      <w:r>
        <w:rPr>
          <w:rFonts w:ascii="Arial" w:cs="Arial" w:eastAsia="Arial" w:hAnsi="Arial"/>
          <w:sz w:val="17"/>
          <w:szCs w:val="17"/>
          <w:color w:val="auto"/>
        </w:rPr>
        <w:t>6</w:t>
      </w:r>
    </w:p>
    <w:p>
      <w:pPr>
        <w:spacing w:after="0" w:line="291" w:lineRule="exact"/>
        <w:rPr>
          <w:rFonts w:ascii="Arial" w:cs="Arial" w:eastAsia="Arial" w:hAnsi="Arial"/>
          <w:sz w:val="32"/>
          <w:szCs w:val="32"/>
          <w:color w:val="auto"/>
          <w:vertAlign w:val="superscript"/>
        </w:rPr>
      </w:pPr>
    </w:p>
    <w:p>
      <w:pPr>
        <w:ind w:left="220"/>
        <w:spacing w:after="0"/>
        <w:rPr>
          <w:sz w:val="20"/>
          <w:szCs w:val="20"/>
          <w:color w:val="auto"/>
        </w:rPr>
      </w:pPr>
      <w:r>
        <w:rPr>
          <w:rFonts w:ascii="Arial" w:cs="Arial" w:eastAsia="Arial" w:hAnsi="Arial"/>
          <w:sz w:val="17"/>
          <w:szCs w:val="17"/>
          <w:color w:val="auto"/>
        </w:rPr>
        <w:t>7</w:t>
      </w:r>
    </w:p>
    <w:p>
      <w:pPr>
        <w:spacing w:after="0" w:line="291" w:lineRule="exact"/>
        <w:rPr>
          <w:rFonts w:ascii="Arial" w:cs="Arial" w:eastAsia="Arial" w:hAnsi="Arial"/>
          <w:sz w:val="32"/>
          <w:szCs w:val="32"/>
          <w:color w:val="auto"/>
          <w:vertAlign w:val="superscript"/>
        </w:rPr>
      </w:pPr>
    </w:p>
    <w:p>
      <w:pPr>
        <w:jc w:val="right"/>
        <w:spacing w:after="0"/>
        <w:rPr>
          <w:sz w:val="20"/>
          <w:szCs w:val="20"/>
          <w:color w:val="auto"/>
        </w:rPr>
      </w:pPr>
      <w:r>
        <w:rPr>
          <w:rFonts w:ascii="Arial" w:cs="Arial" w:eastAsia="Arial" w:hAnsi="Arial"/>
          <w:sz w:val="18"/>
          <w:szCs w:val="18"/>
          <w:color w:val="auto"/>
        </w:rPr>
        <w:t>8</w:t>
      </w:r>
    </w:p>
    <w:p>
      <w:pPr>
        <w:spacing w:after="0" w:line="279" w:lineRule="exact"/>
        <w:rPr>
          <w:rFonts w:ascii="Arial" w:cs="Arial" w:eastAsia="Arial" w:hAnsi="Arial"/>
          <w:sz w:val="32"/>
          <w:szCs w:val="32"/>
          <w:color w:val="auto"/>
          <w:vertAlign w:val="superscript"/>
        </w:rPr>
      </w:pPr>
    </w:p>
    <w:p>
      <w:pPr>
        <w:jc w:val="right"/>
        <w:spacing w:after="0"/>
        <w:rPr>
          <w:sz w:val="20"/>
          <w:szCs w:val="20"/>
          <w:color w:val="auto"/>
        </w:rPr>
      </w:pPr>
      <w:r>
        <w:rPr>
          <w:rFonts w:ascii="Arial" w:cs="Arial" w:eastAsia="Arial" w:hAnsi="Arial"/>
          <w:sz w:val="18"/>
          <w:szCs w:val="18"/>
          <w:color w:val="auto"/>
        </w:rPr>
        <w:t>36</w:t>
      </w:r>
    </w:p>
    <w:p>
      <w:pPr>
        <w:spacing w:after="0" w:line="279" w:lineRule="exact"/>
        <w:rPr>
          <w:rFonts w:ascii="Arial" w:cs="Arial" w:eastAsia="Arial" w:hAnsi="Arial"/>
          <w:sz w:val="32"/>
          <w:szCs w:val="32"/>
          <w:color w:val="auto"/>
          <w:vertAlign w:val="superscript"/>
        </w:rPr>
      </w:pPr>
    </w:p>
    <w:p>
      <w:pPr>
        <w:jc w:val="right"/>
        <w:spacing w:after="0"/>
        <w:rPr>
          <w:sz w:val="20"/>
          <w:szCs w:val="20"/>
          <w:color w:val="auto"/>
        </w:rPr>
      </w:pPr>
      <w:r>
        <w:rPr>
          <w:rFonts w:ascii="Arial" w:cs="Arial" w:eastAsia="Arial" w:hAnsi="Arial"/>
          <w:sz w:val="18"/>
          <w:szCs w:val="18"/>
          <w:color w:val="auto"/>
        </w:rPr>
        <w:t>37</w:t>
      </w:r>
    </w:p>
    <w:p>
      <w:pPr>
        <w:spacing w:after="0" w:line="279" w:lineRule="exact"/>
        <w:rPr>
          <w:rFonts w:ascii="Arial" w:cs="Arial" w:eastAsia="Arial" w:hAnsi="Arial"/>
          <w:sz w:val="32"/>
          <w:szCs w:val="32"/>
          <w:color w:val="auto"/>
          <w:vertAlign w:val="superscript"/>
        </w:rPr>
      </w:pPr>
    </w:p>
    <w:p>
      <w:pPr>
        <w:jc w:val="right"/>
        <w:spacing w:after="0"/>
        <w:rPr>
          <w:sz w:val="20"/>
          <w:szCs w:val="20"/>
          <w:color w:val="auto"/>
        </w:rPr>
      </w:pPr>
      <w:r>
        <w:rPr>
          <w:rFonts w:ascii="Arial" w:cs="Arial" w:eastAsia="Arial" w:hAnsi="Arial"/>
          <w:sz w:val="18"/>
          <w:szCs w:val="18"/>
          <w:color w:val="auto"/>
        </w:rPr>
        <w:t>49</w:t>
      </w:r>
    </w:p>
    <w:p>
      <w:pPr>
        <w:spacing w:after="0" w:line="279" w:lineRule="exact"/>
        <w:rPr>
          <w:rFonts w:ascii="Arial" w:cs="Arial" w:eastAsia="Arial" w:hAnsi="Arial"/>
          <w:sz w:val="32"/>
          <w:szCs w:val="32"/>
          <w:color w:val="auto"/>
          <w:vertAlign w:val="superscript"/>
        </w:rPr>
      </w:pPr>
    </w:p>
    <w:p>
      <w:pPr>
        <w:jc w:val="right"/>
        <w:spacing w:after="0"/>
        <w:rPr>
          <w:sz w:val="20"/>
          <w:szCs w:val="20"/>
          <w:color w:val="auto"/>
        </w:rPr>
      </w:pPr>
      <w:r>
        <w:rPr>
          <w:rFonts w:ascii="Arial" w:cs="Arial" w:eastAsia="Arial" w:hAnsi="Arial"/>
          <w:sz w:val="18"/>
          <w:szCs w:val="18"/>
          <w:color w:val="auto"/>
        </w:rPr>
        <w:t>50</w:t>
      </w:r>
    </w:p>
    <w:p>
      <w:pPr>
        <w:spacing w:after="0" w:line="200" w:lineRule="exact"/>
        <w:rPr>
          <w:rFonts w:ascii="Arial" w:cs="Arial" w:eastAsia="Arial" w:hAnsi="Arial"/>
          <w:sz w:val="32"/>
          <w:szCs w:val="32"/>
          <w:color w:val="auto"/>
          <w:vertAlign w:val="superscript"/>
        </w:rPr>
      </w:pPr>
    </w:p>
    <w:p>
      <w:pPr>
        <w:spacing w:after="0" w:line="200" w:lineRule="exact"/>
        <w:rPr>
          <w:rFonts w:ascii="Arial" w:cs="Arial" w:eastAsia="Arial" w:hAnsi="Arial"/>
          <w:sz w:val="32"/>
          <w:szCs w:val="32"/>
          <w:color w:val="auto"/>
          <w:vertAlign w:val="superscript"/>
        </w:rPr>
      </w:pPr>
    </w:p>
    <w:p>
      <w:pPr>
        <w:spacing w:after="0" w:line="365" w:lineRule="exact"/>
        <w:rPr>
          <w:rFonts w:ascii="Arial" w:cs="Arial" w:eastAsia="Arial" w:hAnsi="Arial"/>
          <w:sz w:val="32"/>
          <w:szCs w:val="32"/>
          <w:color w:val="auto"/>
          <w:vertAlign w:val="superscript"/>
        </w:rPr>
      </w:pPr>
    </w:p>
    <w:p>
      <w:pPr>
        <w:jc w:val="right"/>
        <w:spacing w:after="0"/>
        <w:rPr>
          <w:sz w:val="20"/>
          <w:szCs w:val="20"/>
          <w:color w:val="auto"/>
        </w:rPr>
      </w:pPr>
      <w:r>
        <w:rPr>
          <w:rFonts w:ascii="Arial" w:cs="Arial" w:eastAsia="Arial" w:hAnsi="Arial"/>
          <w:sz w:val="18"/>
          <w:szCs w:val="18"/>
          <w:color w:val="auto"/>
        </w:rPr>
        <w:t>51</w:t>
      </w:r>
    </w:p>
    <w:p>
      <w:pPr>
        <w:spacing w:after="0" w:line="279" w:lineRule="exact"/>
        <w:rPr>
          <w:rFonts w:ascii="Arial" w:cs="Arial" w:eastAsia="Arial" w:hAnsi="Arial"/>
          <w:sz w:val="32"/>
          <w:szCs w:val="32"/>
          <w:color w:val="auto"/>
          <w:vertAlign w:val="superscript"/>
        </w:rPr>
      </w:pPr>
    </w:p>
    <w:p>
      <w:pPr>
        <w:jc w:val="right"/>
        <w:spacing w:after="0"/>
        <w:rPr>
          <w:sz w:val="20"/>
          <w:szCs w:val="20"/>
          <w:color w:val="auto"/>
        </w:rPr>
      </w:pPr>
      <w:r>
        <w:rPr>
          <w:rFonts w:ascii="Arial" w:cs="Arial" w:eastAsia="Arial" w:hAnsi="Arial"/>
          <w:sz w:val="18"/>
          <w:szCs w:val="18"/>
          <w:color w:val="auto"/>
        </w:rPr>
        <w:t>51</w:t>
      </w:r>
    </w:p>
    <w:p>
      <w:pPr>
        <w:spacing w:after="0" w:line="279" w:lineRule="exact"/>
        <w:rPr>
          <w:rFonts w:ascii="Arial" w:cs="Arial" w:eastAsia="Arial" w:hAnsi="Arial"/>
          <w:sz w:val="32"/>
          <w:szCs w:val="32"/>
          <w:color w:val="auto"/>
          <w:vertAlign w:val="superscript"/>
        </w:rPr>
      </w:pPr>
    </w:p>
    <w:p>
      <w:pPr>
        <w:jc w:val="right"/>
        <w:spacing w:after="0"/>
        <w:rPr>
          <w:sz w:val="20"/>
          <w:szCs w:val="20"/>
          <w:color w:val="auto"/>
        </w:rPr>
      </w:pPr>
      <w:r>
        <w:rPr>
          <w:rFonts w:ascii="Arial" w:cs="Arial" w:eastAsia="Arial" w:hAnsi="Arial"/>
          <w:sz w:val="18"/>
          <w:szCs w:val="18"/>
          <w:color w:val="auto"/>
        </w:rPr>
        <w:t>61</w:t>
      </w:r>
    </w:p>
    <w:p>
      <w:pPr>
        <w:spacing w:after="0" w:line="279" w:lineRule="exact"/>
        <w:rPr>
          <w:rFonts w:ascii="Arial" w:cs="Arial" w:eastAsia="Arial" w:hAnsi="Arial"/>
          <w:sz w:val="32"/>
          <w:szCs w:val="32"/>
          <w:color w:val="auto"/>
          <w:vertAlign w:val="superscript"/>
        </w:rPr>
      </w:pPr>
    </w:p>
    <w:p>
      <w:pPr>
        <w:jc w:val="right"/>
        <w:spacing w:after="0"/>
        <w:rPr>
          <w:sz w:val="20"/>
          <w:szCs w:val="20"/>
          <w:color w:val="auto"/>
        </w:rPr>
      </w:pPr>
      <w:r>
        <w:rPr>
          <w:rFonts w:ascii="Arial" w:cs="Arial" w:eastAsia="Arial" w:hAnsi="Arial"/>
          <w:sz w:val="18"/>
          <w:szCs w:val="18"/>
          <w:color w:val="auto"/>
        </w:rPr>
        <w:t>62</w:t>
      </w:r>
    </w:p>
    <w:p>
      <w:pPr>
        <w:spacing w:after="0" w:line="239" w:lineRule="exact"/>
        <w:rPr>
          <w:rFonts w:ascii="Arial" w:cs="Arial" w:eastAsia="Arial" w:hAnsi="Arial"/>
          <w:sz w:val="32"/>
          <w:szCs w:val="32"/>
          <w:color w:val="auto"/>
          <w:vertAlign w:val="superscript"/>
        </w:rPr>
      </w:pPr>
    </w:p>
    <w:p>
      <w:pPr>
        <w:jc w:val="right"/>
        <w:spacing w:after="0"/>
        <w:rPr>
          <w:sz w:val="20"/>
          <w:szCs w:val="20"/>
          <w:color w:val="auto"/>
        </w:rPr>
      </w:pPr>
      <w:r>
        <w:rPr>
          <w:rFonts w:ascii="Arial" w:cs="Arial" w:eastAsia="Arial" w:hAnsi="Arial"/>
          <w:sz w:val="18"/>
          <w:szCs w:val="18"/>
          <w:color w:val="auto"/>
        </w:rPr>
        <w:t>63</w:t>
      </w:r>
    </w:p>
    <w:p>
      <w:pPr>
        <w:sectPr>
          <w:pgSz w:w="11900" w:h="16838" w:orient="portrait"/>
          <w:cols w:equalWidth="0" w:num="2">
            <w:col w:w="10380" w:space="720"/>
            <w:col w:w="320"/>
          </w:cols>
          <w:pgMar w:left="240" w:top="331" w:right="239" w:bottom="1440" w:gutter="0" w:footer="0" w:header="0"/>
        </w:sectPr>
      </w:pPr>
    </w:p>
    <w:bookmarkStart w:id="2" w:name="page3"/>
    <w:bookmarkEnd w:id="2"/>
    <w:p>
      <w:pPr>
        <w:ind w:left="5500"/>
        <w:spacing w:after="0"/>
        <w:rPr>
          <w:sz w:val="20"/>
          <w:szCs w:val="20"/>
          <w:color w:val="auto"/>
        </w:rPr>
      </w:pPr>
      <w:r>
        <w:rPr>
          <w:rFonts w:ascii="Arial" w:cs="Arial" w:eastAsia="Arial" w:hAnsi="Arial"/>
          <w:sz w:val="14"/>
          <w:szCs w:val="14"/>
          <w:u w:val="single" w:color="auto"/>
          <w:color w:val="auto"/>
        </w:rPr>
        <w:t>PART I</w:t>
      </w:r>
    </w:p>
    <w:p>
      <w:pPr>
        <w:spacing w:after="0" w:line="5" w:lineRule="exact"/>
        <w:rPr>
          <w:sz w:val="20"/>
          <w:szCs w:val="20"/>
          <w:color w:val="auto"/>
        </w:rPr>
      </w:pPr>
    </w:p>
    <w:p>
      <w:pPr>
        <w:ind w:left="5520"/>
        <w:spacing w:after="0"/>
        <w:rPr>
          <w:sz w:val="20"/>
          <w:szCs w:val="20"/>
          <w:color w:val="auto"/>
        </w:rPr>
      </w:pPr>
      <w:r>
        <w:rPr>
          <w:rFonts w:ascii="Arial" w:cs="Arial" w:eastAsia="Arial" w:hAnsi="Arial"/>
          <w:sz w:val="14"/>
          <w:szCs w:val="14"/>
          <w:color w:val="auto"/>
        </w:rPr>
        <w:t>Item 1</w:t>
      </w:r>
    </w:p>
    <w:p>
      <w:pPr>
        <w:spacing w:after="0" w:line="1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PART I. FINANCIAL INFORMATION</w:t>
      </w:r>
    </w:p>
    <w:p>
      <w:pPr>
        <w:spacing w:after="0" w:line="51" w:lineRule="exact"/>
        <w:rPr>
          <w:sz w:val="20"/>
          <w:szCs w:val="20"/>
          <w:color w:val="auto"/>
        </w:rPr>
      </w:pPr>
    </w:p>
    <w:p>
      <w:pPr>
        <w:jc w:val="center"/>
        <w:ind w:right="-99"/>
        <w:spacing w:after="0"/>
        <w:rPr>
          <w:sz w:val="20"/>
          <w:szCs w:val="20"/>
          <w:color w:val="auto"/>
        </w:rPr>
      </w:pPr>
      <w:r>
        <w:rPr>
          <w:rFonts w:ascii="Arial" w:cs="Arial" w:eastAsia="Arial" w:hAnsi="Arial"/>
          <w:sz w:val="22"/>
          <w:szCs w:val="22"/>
          <w:b w:val="1"/>
          <w:bCs w:val="1"/>
          <w:color w:val="auto"/>
        </w:rPr>
        <w:t>ITEM 1. FINANCIAL STATEMENTS</w:t>
      </w:r>
    </w:p>
    <w:p>
      <w:pPr>
        <w:spacing w:after="0" w:line="8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INCOME STATEMENTS</w:t>
      </w:r>
    </w:p>
    <w:p>
      <w:pPr>
        <w:spacing w:after="0" w:line="19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 millions,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46990</wp:posOffset>
            </wp:positionV>
            <wp:extent cx="717804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8040" cy="8890"/>
                    </a:xfrm>
                    <a:prstGeom prst="rect">
                      <a:avLst/>
                    </a:prstGeom>
                    <a:noFill/>
                  </pic:spPr>
                </pic:pic>
              </a:graphicData>
            </a:graphic>
          </wp:anchor>
        </w:drawing>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920" w:type="dxa"/>
            <w:vAlign w:val="bottom"/>
          </w:tcPr>
          <w:p>
            <w:pPr>
              <w:spacing w:after="0"/>
              <w:rPr>
                <w:sz w:val="20"/>
                <w:szCs w:val="20"/>
                <w:color w:val="auto"/>
              </w:rPr>
            </w:pPr>
            <w:r>
              <w:rPr>
                <w:rFonts w:ascii="Arial" w:cs="Arial" w:eastAsia="Arial" w:hAnsi="Arial"/>
                <w:sz w:val="14"/>
                <w:szCs w:val="14"/>
                <w:b w:val="1"/>
                <w:bCs w:val="1"/>
                <w:color w:val="auto"/>
              </w:rPr>
              <w:t>Three Months Ended September 30,</w:t>
            </w:r>
          </w:p>
        </w:tc>
        <w:tc>
          <w:tcPr>
            <w:tcW w:w="4500" w:type="dxa"/>
            <w:vAlign w:val="bottom"/>
          </w:tcPr>
          <w:p>
            <w:pPr>
              <w:jc w:val="right"/>
              <w:ind w:right="512"/>
              <w:spacing w:after="0"/>
              <w:rPr>
                <w:sz w:val="20"/>
                <w:szCs w:val="20"/>
                <w:color w:val="auto"/>
              </w:rPr>
            </w:pPr>
            <w:r>
              <w:rPr>
                <w:rFonts w:ascii="Arial" w:cs="Arial" w:eastAsia="Arial" w:hAnsi="Arial"/>
                <w:sz w:val="14"/>
                <w:szCs w:val="14"/>
                <w:b w:val="1"/>
                <w:bCs w:val="1"/>
                <w:color w:val="auto"/>
              </w:rPr>
              <w:t>2017</w:t>
            </w: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2016</w:t>
            </w:r>
          </w:p>
        </w:tc>
      </w:tr>
    </w:tbl>
    <w:p>
      <w:pPr>
        <w:spacing w:after="0" w:line="22" w:lineRule="exact"/>
        <w:rPr>
          <w:sz w:val="20"/>
          <w:szCs w:val="20"/>
          <w:color w:val="auto"/>
        </w:rPr>
      </w:pPr>
    </w:p>
    <w:p>
      <w:pPr>
        <w:sectPr>
          <w:pgSz w:w="11900" w:h="16838" w:orient="portrait"/>
          <w:cols w:equalWidth="0" w:num="1">
            <w:col w:w="11320"/>
          </w:cols>
          <w:pgMar w:left="240" w:top="121" w:right="339" w:bottom="1440" w:gutter="0" w:footer="0" w:header="0"/>
        </w:sectPr>
      </w:pPr>
    </w:p>
    <w:tbl>
      <w:tblPr>
        <w:tblLayout w:type="fixed"/>
        <w:tblInd w:w="0" w:type="dxa"/>
        <w:tblCellMar>
          <w:top w:w="0" w:type="dxa"/>
          <w:left w:w="0" w:type="dxa"/>
          <w:bottom w:w="0" w:type="dxa"/>
          <w:right w:w="0" w:type="dxa"/>
        </w:tblCellMar>
      </w:tblPr>
      <w:tr>
        <w:trPr>
          <w:trHeight w:val="243"/>
        </w:trPr>
        <w:tc>
          <w:tcPr>
            <w:tcW w:w="8720" w:type="dxa"/>
            <w:vAlign w:val="bottom"/>
          </w:tcPr>
          <w:p>
            <w:pPr>
              <w:spacing w:after="0"/>
              <w:rPr>
                <w:sz w:val="20"/>
                <w:szCs w:val="20"/>
                <w:color w:val="auto"/>
              </w:rPr>
            </w:pPr>
            <w:r>
              <w:rPr>
                <w:rFonts w:ascii="Arial" w:cs="Arial" w:eastAsia="Arial" w:hAnsi="Arial"/>
                <w:sz w:val="18"/>
                <w:szCs w:val="18"/>
                <w:color w:val="auto"/>
              </w:rPr>
              <w:t>Revenue:</w:t>
            </w:r>
          </w:p>
        </w:tc>
        <w:tc>
          <w:tcPr>
            <w:tcW w:w="3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720" w:type="dxa"/>
            <w:vAlign w:val="bottom"/>
          </w:tcPr>
          <w:p>
            <w:pPr>
              <w:ind w:left="280"/>
              <w:spacing w:after="0"/>
              <w:rPr>
                <w:sz w:val="20"/>
                <w:szCs w:val="20"/>
                <w:color w:val="auto"/>
              </w:rPr>
            </w:pPr>
            <w:r>
              <w:rPr>
                <w:rFonts w:ascii="Arial" w:cs="Arial" w:eastAsia="Arial" w:hAnsi="Arial"/>
                <w:sz w:val="18"/>
                <w:szCs w:val="18"/>
                <w:color w:val="auto"/>
              </w:rPr>
              <w:t>Product</w:t>
            </w:r>
          </w:p>
        </w:tc>
        <w:tc>
          <w:tcPr>
            <w:tcW w:w="340" w:type="dxa"/>
            <w:vAlign w:val="bottom"/>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14,298</w:t>
            </w:r>
          </w:p>
        </w:tc>
        <w:tc>
          <w:tcPr>
            <w:tcW w:w="0" w:type="dxa"/>
            <w:vAlign w:val="bottom"/>
          </w:tcPr>
          <w:p>
            <w:pPr>
              <w:spacing w:after="0"/>
              <w:rPr>
                <w:sz w:val="1"/>
                <w:szCs w:val="1"/>
                <w:color w:val="auto"/>
              </w:rPr>
            </w:pPr>
          </w:p>
        </w:tc>
      </w:tr>
      <w:tr>
        <w:trPr>
          <w:trHeight w:val="291"/>
        </w:trPr>
        <w:tc>
          <w:tcPr>
            <w:tcW w:w="8720" w:type="dxa"/>
            <w:vAlign w:val="bottom"/>
          </w:tcPr>
          <w:p>
            <w:pPr>
              <w:ind w:left="280"/>
              <w:spacing w:after="0"/>
              <w:rPr>
                <w:sz w:val="20"/>
                <w:szCs w:val="20"/>
                <w:color w:val="auto"/>
              </w:rPr>
            </w:pPr>
            <w:r>
              <w:rPr>
                <w:rFonts w:ascii="Arial" w:cs="Arial" w:eastAsia="Arial" w:hAnsi="Arial"/>
                <w:sz w:val="18"/>
                <w:szCs w:val="18"/>
                <w:color w:val="auto"/>
              </w:rPr>
              <w:t>Service and other</w:t>
            </w:r>
          </w:p>
        </w:tc>
        <w:tc>
          <w:tcPr>
            <w:tcW w:w="3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10,240</w:t>
            </w:r>
          </w:p>
        </w:tc>
        <w:tc>
          <w:tcPr>
            <w:tcW w:w="0" w:type="dxa"/>
            <w:vAlign w:val="bottom"/>
          </w:tcPr>
          <w:p>
            <w:pPr>
              <w:spacing w:after="0"/>
              <w:rPr>
                <w:sz w:val="1"/>
                <w:szCs w:val="1"/>
                <w:color w:val="auto"/>
              </w:rPr>
            </w:pPr>
          </w:p>
        </w:tc>
      </w:tr>
      <w:tr>
        <w:trPr>
          <w:trHeight w:val="42"/>
        </w:trPr>
        <w:tc>
          <w:tcPr>
            <w:tcW w:w="872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89"/>
        </w:trPr>
        <w:tc>
          <w:tcPr>
            <w:tcW w:w="8720" w:type="dxa"/>
            <w:vAlign w:val="bottom"/>
          </w:tcPr>
          <w:p>
            <w:pPr>
              <w:ind w:left="520"/>
              <w:spacing w:after="0"/>
              <w:rPr>
                <w:sz w:val="20"/>
                <w:szCs w:val="20"/>
                <w:color w:val="auto"/>
              </w:rPr>
            </w:pPr>
            <w:r>
              <w:rPr>
                <w:rFonts w:ascii="Arial" w:cs="Arial" w:eastAsia="Arial" w:hAnsi="Arial"/>
                <w:sz w:val="18"/>
                <w:szCs w:val="18"/>
                <w:color w:val="auto"/>
              </w:rPr>
              <w:t>Total revenue</w:t>
            </w:r>
          </w:p>
        </w:tc>
        <w:tc>
          <w:tcPr>
            <w:tcW w:w="3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24,538</w:t>
            </w:r>
          </w:p>
        </w:tc>
        <w:tc>
          <w:tcPr>
            <w:tcW w:w="0" w:type="dxa"/>
            <w:vAlign w:val="bottom"/>
          </w:tcPr>
          <w:p>
            <w:pPr>
              <w:spacing w:after="0"/>
              <w:rPr>
                <w:sz w:val="1"/>
                <w:szCs w:val="1"/>
                <w:color w:val="auto"/>
              </w:rPr>
            </w:pPr>
          </w:p>
        </w:tc>
      </w:tr>
      <w:tr>
        <w:trPr>
          <w:trHeight w:val="42"/>
        </w:trPr>
        <w:tc>
          <w:tcPr>
            <w:tcW w:w="872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81"/>
        </w:trPr>
        <w:tc>
          <w:tcPr>
            <w:tcW w:w="8720" w:type="dxa"/>
            <w:vAlign w:val="bottom"/>
          </w:tcPr>
          <w:p>
            <w:pPr>
              <w:spacing w:after="0"/>
              <w:rPr>
                <w:sz w:val="20"/>
                <w:szCs w:val="20"/>
                <w:color w:val="auto"/>
              </w:rPr>
            </w:pPr>
            <w:r>
              <w:rPr>
                <w:rFonts w:ascii="Arial" w:cs="Arial" w:eastAsia="Arial" w:hAnsi="Arial"/>
                <w:sz w:val="18"/>
                <w:szCs w:val="18"/>
                <w:color w:val="auto"/>
              </w:rPr>
              <w:t>Cost of revenue:</w:t>
            </w: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720" w:type="dxa"/>
            <w:vAlign w:val="bottom"/>
          </w:tcPr>
          <w:p>
            <w:pPr>
              <w:ind w:left="280"/>
              <w:spacing w:after="0"/>
              <w:rPr>
                <w:sz w:val="20"/>
                <w:szCs w:val="20"/>
                <w:color w:val="auto"/>
              </w:rPr>
            </w:pPr>
            <w:r>
              <w:rPr>
                <w:rFonts w:ascii="Arial" w:cs="Arial" w:eastAsia="Arial" w:hAnsi="Arial"/>
                <w:sz w:val="18"/>
                <w:szCs w:val="18"/>
                <w:color w:val="auto"/>
              </w:rPr>
              <w:t>Product</w:t>
            </w:r>
          </w:p>
        </w:tc>
        <w:tc>
          <w:tcPr>
            <w:tcW w:w="3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2,980</w:t>
            </w:r>
          </w:p>
        </w:tc>
        <w:tc>
          <w:tcPr>
            <w:tcW w:w="0" w:type="dxa"/>
            <w:vAlign w:val="bottom"/>
          </w:tcPr>
          <w:p>
            <w:pPr>
              <w:spacing w:after="0"/>
              <w:rPr>
                <w:sz w:val="1"/>
                <w:szCs w:val="1"/>
                <w:color w:val="auto"/>
              </w:rPr>
            </w:pPr>
          </w:p>
        </w:tc>
      </w:tr>
      <w:tr>
        <w:trPr>
          <w:trHeight w:val="291"/>
        </w:trPr>
        <w:tc>
          <w:tcPr>
            <w:tcW w:w="8720" w:type="dxa"/>
            <w:vAlign w:val="bottom"/>
          </w:tcPr>
          <w:p>
            <w:pPr>
              <w:ind w:left="280"/>
              <w:spacing w:after="0"/>
              <w:rPr>
                <w:sz w:val="20"/>
                <w:szCs w:val="20"/>
                <w:color w:val="auto"/>
              </w:rPr>
            </w:pPr>
            <w:r>
              <w:rPr>
                <w:rFonts w:ascii="Arial" w:cs="Arial" w:eastAsia="Arial" w:hAnsi="Arial"/>
                <w:sz w:val="18"/>
                <w:szCs w:val="18"/>
                <w:color w:val="auto"/>
              </w:rPr>
              <w:t>Service and other</w:t>
            </w:r>
          </w:p>
        </w:tc>
        <w:tc>
          <w:tcPr>
            <w:tcW w:w="3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5,298</w:t>
            </w:r>
          </w:p>
        </w:tc>
        <w:tc>
          <w:tcPr>
            <w:tcW w:w="0" w:type="dxa"/>
            <w:vAlign w:val="bottom"/>
          </w:tcPr>
          <w:p>
            <w:pPr>
              <w:spacing w:after="0"/>
              <w:rPr>
                <w:sz w:val="1"/>
                <w:szCs w:val="1"/>
                <w:color w:val="auto"/>
              </w:rPr>
            </w:pPr>
          </w:p>
        </w:tc>
      </w:tr>
      <w:tr>
        <w:trPr>
          <w:trHeight w:val="42"/>
        </w:trPr>
        <w:tc>
          <w:tcPr>
            <w:tcW w:w="872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89"/>
        </w:trPr>
        <w:tc>
          <w:tcPr>
            <w:tcW w:w="8720" w:type="dxa"/>
            <w:vAlign w:val="bottom"/>
          </w:tcPr>
          <w:p>
            <w:pPr>
              <w:ind w:left="520"/>
              <w:spacing w:after="0"/>
              <w:rPr>
                <w:sz w:val="20"/>
                <w:szCs w:val="20"/>
                <w:color w:val="auto"/>
              </w:rPr>
            </w:pPr>
            <w:r>
              <w:rPr>
                <w:rFonts w:ascii="Arial" w:cs="Arial" w:eastAsia="Arial" w:hAnsi="Arial"/>
                <w:sz w:val="18"/>
                <w:szCs w:val="18"/>
                <w:color w:val="auto"/>
              </w:rPr>
              <w:t>Total cost of revenue</w:t>
            </w:r>
          </w:p>
        </w:tc>
        <w:tc>
          <w:tcPr>
            <w:tcW w:w="3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8,278</w:t>
            </w:r>
          </w:p>
        </w:tc>
        <w:tc>
          <w:tcPr>
            <w:tcW w:w="0" w:type="dxa"/>
            <w:vAlign w:val="bottom"/>
          </w:tcPr>
          <w:p>
            <w:pPr>
              <w:spacing w:after="0"/>
              <w:rPr>
                <w:sz w:val="1"/>
                <w:szCs w:val="1"/>
                <w:color w:val="auto"/>
              </w:rPr>
            </w:pPr>
          </w:p>
        </w:tc>
      </w:tr>
      <w:tr>
        <w:trPr>
          <w:trHeight w:val="42"/>
        </w:trPr>
        <w:tc>
          <w:tcPr>
            <w:tcW w:w="872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9"/>
        </w:trPr>
        <w:tc>
          <w:tcPr>
            <w:tcW w:w="8720" w:type="dxa"/>
            <w:vAlign w:val="bottom"/>
          </w:tcPr>
          <w:p>
            <w:pPr>
              <w:ind w:left="520"/>
              <w:spacing w:after="0"/>
              <w:rPr>
                <w:sz w:val="20"/>
                <w:szCs w:val="20"/>
                <w:color w:val="auto"/>
              </w:rPr>
            </w:pPr>
            <w:r>
              <w:rPr>
                <w:rFonts w:ascii="Arial" w:cs="Arial" w:eastAsia="Arial" w:hAnsi="Arial"/>
                <w:sz w:val="18"/>
                <w:szCs w:val="18"/>
                <w:color w:val="auto"/>
              </w:rPr>
              <w:t>Gross margin</w:t>
            </w:r>
          </w:p>
        </w:tc>
        <w:tc>
          <w:tcPr>
            <w:tcW w:w="3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16,260</w:t>
            </w:r>
          </w:p>
        </w:tc>
        <w:tc>
          <w:tcPr>
            <w:tcW w:w="0" w:type="dxa"/>
            <w:vAlign w:val="bottom"/>
          </w:tcPr>
          <w:p>
            <w:pPr>
              <w:spacing w:after="0"/>
              <w:rPr>
                <w:sz w:val="1"/>
                <w:szCs w:val="1"/>
                <w:color w:val="auto"/>
              </w:rPr>
            </w:pPr>
          </w:p>
        </w:tc>
      </w:tr>
      <w:tr>
        <w:trPr>
          <w:trHeight w:val="203"/>
        </w:trPr>
        <w:tc>
          <w:tcPr>
            <w:tcW w:w="8720" w:type="dxa"/>
            <w:vAlign w:val="bottom"/>
          </w:tcPr>
          <w:p>
            <w:pPr>
              <w:spacing w:after="0" w:line="202" w:lineRule="exact"/>
              <w:rPr>
                <w:sz w:val="20"/>
                <w:szCs w:val="20"/>
                <w:color w:val="auto"/>
              </w:rPr>
            </w:pPr>
            <w:r>
              <w:rPr>
                <w:rFonts w:ascii="Arial" w:cs="Arial" w:eastAsia="Arial" w:hAnsi="Arial"/>
                <w:sz w:val="18"/>
                <w:szCs w:val="18"/>
                <w:color w:val="auto"/>
              </w:rPr>
              <w:t>Research and development</w:t>
            </w:r>
          </w:p>
        </w:tc>
        <w:tc>
          <w:tcPr>
            <w:tcW w:w="34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3,574</w:t>
            </w:r>
          </w:p>
        </w:tc>
        <w:tc>
          <w:tcPr>
            <w:tcW w:w="0" w:type="dxa"/>
            <w:vAlign w:val="bottom"/>
          </w:tcPr>
          <w:p>
            <w:pPr>
              <w:spacing w:after="0"/>
              <w:rPr>
                <w:sz w:val="1"/>
                <w:szCs w:val="1"/>
                <w:color w:val="auto"/>
              </w:rPr>
            </w:pPr>
          </w:p>
        </w:tc>
      </w:tr>
      <w:tr>
        <w:trPr>
          <w:trHeight w:val="203"/>
        </w:trPr>
        <w:tc>
          <w:tcPr>
            <w:tcW w:w="8720" w:type="dxa"/>
            <w:vAlign w:val="bottom"/>
          </w:tcPr>
          <w:p>
            <w:pPr>
              <w:spacing w:after="0" w:line="202" w:lineRule="exact"/>
              <w:rPr>
                <w:sz w:val="20"/>
                <w:szCs w:val="20"/>
                <w:color w:val="auto"/>
              </w:rPr>
            </w:pPr>
            <w:r>
              <w:rPr>
                <w:rFonts w:ascii="Arial" w:cs="Arial" w:eastAsia="Arial" w:hAnsi="Arial"/>
                <w:sz w:val="18"/>
                <w:szCs w:val="18"/>
                <w:color w:val="auto"/>
              </w:rPr>
              <w:t>Sales and marketing</w:t>
            </w:r>
          </w:p>
        </w:tc>
        <w:tc>
          <w:tcPr>
            <w:tcW w:w="34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3,812</w:t>
            </w:r>
          </w:p>
        </w:tc>
        <w:tc>
          <w:tcPr>
            <w:tcW w:w="0" w:type="dxa"/>
            <w:vAlign w:val="bottom"/>
          </w:tcPr>
          <w:p>
            <w:pPr>
              <w:spacing w:after="0"/>
              <w:rPr>
                <w:sz w:val="1"/>
                <w:szCs w:val="1"/>
                <w:color w:val="auto"/>
              </w:rPr>
            </w:pPr>
          </w:p>
        </w:tc>
      </w:tr>
      <w:tr>
        <w:trPr>
          <w:trHeight w:val="253"/>
        </w:trPr>
        <w:tc>
          <w:tcPr>
            <w:tcW w:w="872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3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1,166</w:t>
            </w:r>
          </w:p>
        </w:tc>
        <w:tc>
          <w:tcPr>
            <w:tcW w:w="0" w:type="dxa"/>
            <w:vAlign w:val="bottom"/>
          </w:tcPr>
          <w:p>
            <w:pPr>
              <w:spacing w:after="0"/>
              <w:rPr>
                <w:sz w:val="1"/>
                <w:szCs w:val="1"/>
                <w:color w:val="auto"/>
              </w:rPr>
            </w:pPr>
          </w:p>
        </w:tc>
      </w:tr>
      <w:tr>
        <w:trPr>
          <w:trHeight w:val="42"/>
        </w:trPr>
        <w:tc>
          <w:tcPr>
            <w:tcW w:w="872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79"/>
        </w:trPr>
        <w:tc>
          <w:tcPr>
            <w:tcW w:w="8720" w:type="dxa"/>
            <w:vAlign w:val="bottom"/>
          </w:tcPr>
          <w:p>
            <w:pPr>
              <w:spacing w:after="0"/>
              <w:rPr>
                <w:sz w:val="20"/>
                <w:szCs w:val="20"/>
                <w:color w:val="auto"/>
              </w:rPr>
            </w:pPr>
            <w:r>
              <w:rPr>
                <w:rFonts w:ascii="Arial" w:cs="Arial" w:eastAsia="Arial" w:hAnsi="Arial"/>
                <w:sz w:val="18"/>
                <w:szCs w:val="18"/>
                <w:color w:val="auto"/>
              </w:rPr>
              <w:t>Operating income</w:t>
            </w:r>
          </w:p>
        </w:tc>
        <w:tc>
          <w:tcPr>
            <w:tcW w:w="3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7,708</w:t>
            </w:r>
          </w:p>
        </w:tc>
        <w:tc>
          <w:tcPr>
            <w:tcW w:w="0" w:type="dxa"/>
            <w:vAlign w:val="bottom"/>
          </w:tcPr>
          <w:p>
            <w:pPr>
              <w:spacing w:after="0"/>
              <w:rPr>
                <w:sz w:val="1"/>
                <w:szCs w:val="1"/>
                <w:color w:val="auto"/>
              </w:rPr>
            </w:pPr>
          </w:p>
        </w:tc>
      </w:tr>
      <w:tr>
        <w:trPr>
          <w:trHeight w:val="253"/>
        </w:trPr>
        <w:tc>
          <w:tcPr>
            <w:tcW w:w="8720" w:type="dxa"/>
            <w:vAlign w:val="bottom"/>
          </w:tcPr>
          <w:p>
            <w:pPr>
              <w:spacing w:after="0"/>
              <w:rPr>
                <w:sz w:val="20"/>
                <w:szCs w:val="20"/>
                <w:color w:val="auto"/>
              </w:rPr>
            </w:pPr>
            <w:r>
              <w:rPr>
                <w:rFonts w:ascii="Arial" w:cs="Arial" w:eastAsia="Arial" w:hAnsi="Arial"/>
                <w:sz w:val="18"/>
                <w:szCs w:val="18"/>
                <w:color w:val="auto"/>
              </w:rPr>
              <w:t>Other income, net</w:t>
            </w:r>
          </w:p>
        </w:tc>
        <w:tc>
          <w:tcPr>
            <w:tcW w:w="3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276</w:t>
            </w:r>
          </w:p>
        </w:tc>
        <w:tc>
          <w:tcPr>
            <w:tcW w:w="0" w:type="dxa"/>
            <w:vAlign w:val="bottom"/>
          </w:tcPr>
          <w:p>
            <w:pPr>
              <w:spacing w:after="0"/>
              <w:rPr>
                <w:sz w:val="1"/>
                <w:szCs w:val="1"/>
                <w:color w:val="auto"/>
              </w:rPr>
            </w:pPr>
          </w:p>
        </w:tc>
      </w:tr>
      <w:tr>
        <w:trPr>
          <w:trHeight w:val="42"/>
        </w:trPr>
        <w:tc>
          <w:tcPr>
            <w:tcW w:w="872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9"/>
        </w:trPr>
        <w:tc>
          <w:tcPr>
            <w:tcW w:w="872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3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7,984</w:t>
            </w:r>
          </w:p>
        </w:tc>
        <w:tc>
          <w:tcPr>
            <w:tcW w:w="0" w:type="dxa"/>
            <w:vAlign w:val="bottom"/>
          </w:tcPr>
          <w:p>
            <w:pPr>
              <w:spacing w:after="0"/>
              <w:rPr>
                <w:sz w:val="1"/>
                <w:szCs w:val="1"/>
                <w:color w:val="auto"/>
              </w:rPr>
            </w:pPr>
          </w:p>
        </w:tc>
      </w:tr>
      <w:tr>
        <w:trPr>
          <w:trHeight w:val="253"/>
        </w:trPr>
        <w:tc>
          <w:tcPr>
            <w:tcW w:w="872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3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1,408</w:t>
            </w:r>
          </w:p>
        </w:tc>
        <w:tc>
          <w:tcPr>
            <w:tcW w:w="0" w:type="dxa"/>
            <w:vAlign w:val="bottom"/>
          </w:tcPr>
          <w:p>
            <w:pPr>
              <w:spacing w:after="0"/>
              <w:rPr>
                <w:sz w:val="1"/>
                <w:szCs w:val="1"/>
                <w:color w:val="auto"/>
              </w:rPr>
            </w:pPr>
          </w:p>
        </w:tc>
      </w:tr>
      <w:tr>
        <w:trPr>
          <w:trHeight w:val="42"/>
        </w:trPr>
        <w:tc>
          <w:tcPr>
            <w:tcW w:w="872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89"/>
        </w:trPr>
        <w:tc>
          <w:tcPr>
            <w:tcW w:w="8720" w:type="dxa"/>
            <w:vAlign w:val="bottom"/>
          </w:tcPr>
          <w:p>
            <w:pPr>
              <w:spacing w:after="0"/>
              <w:rPr>
                <w:sz w:val="20"/>
                <w:szCs w:val="20"/>
                <w:color w:val="auto"/>
              </w:rPr>
            </w:pPr>
            <w:r>
              <w:rPr>
                <w:rFonts w:ascii="Arial" w:cs="Arial" w:eastAsia="Arial" w:hAnsi="Arial"/>
                <w:sz w:val="18"/>
                <w:szCs w:val="18"/>
                <w:color w:val="auto"/>
              </w:rPr>
              <w:t>Net income</w:t>
            </w:r>
          </w:p>
        </w:tc>
        <w:tc>
          <w:tcPr>
            <w:tcW w:w="340" w:type="dxa"/>
            <w:vAlign w:val="bottom"/>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6,576</w:t>
            </w:r>
          </w:p>
        </w:tc>
        <w:tc>
          <w:tcPr>
            <w:tcW w:w="0" w:type="dxa"/>
            <w:vAlign w:val="bottom"/>
          </w:tcPr>
          <w:p>
            <w:pPr>
              <w:spacing w:after="0"/>
              <w:rPr>
                <w:sz w:val="1"/>
                <w:szCs w:val="1"/>
                <w:color w:val="auto"/>
              </w:rPr>
            </w:pPr>
          </w:p>
        </w:tc>
      </w:tr>
      <w:tr>
        <w:trPr>
          <w:trHeight w:val="49"/>
        </w:trPr>
        <w:tc>
          <w:tcPr>
            <w:tcW w:w="8720" w:type="dxa"/>
            <w:vAlign w:val="bottom"/>
            <w:vMerge w:val="restart"/>
          </w:tcPr>
          <w:p>
            <w:pPr>
              <w:spacing w:after="0"/>
              <w:rPr>
                <w:sz w:val="20"/>
                <w:szCs w:val="20"/>
                <w:color w:val="auto"/>
              </w:rPr>
            </w:pPr>
            <w:r>
              <w:rPr>
                <w:rFonts w:ascii="Arial" w:cs="Arial" w:eastAsia="Arial" w:hAnsi="Arial"/>
                <w:sz w:val="18"/>
                <w:szCs w:val="18"/>
                <w:color w:val="auto"/>
              </w:rPr>
              <w:t>Earnings per share:</w:t>
            </w:r>
          </w:p>
        </w:tc>
        <w:tc>
          <w:tcPr>
            <w:tcW w:w="34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7"/>
        </w:trPr>
        <w:tc>
          <w:tcPr>
            <w:tcW w:w="8720" w:type="dxa"/>
            <w:vAlign w:val="bottom"/>
            <w:vMerge w:val="continue"/>
          </w:tcPr>
          <w:p>
            <w:pPr>
              <w:spacing w:after="0"/>
              <w:rPr>
                <w:sz w:val="21"/>
                <w:szCs w:val="21"/>
                <w:color w:val="auto"/>
              </w:rPr>
            </w:pPr>
          </w:p>
        </w:tc>
        <w:tc>
          <w:tcPr>
            <w:tcW w:w="340" w:type="dxa"/>
            <w:vAlign w:val="bottom"/>
            <w:vMerge w:val="restart"/>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8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0.85</w:t>
            </w:r>
          </w:p>
        </w:tc>
        <w:tc>
          <w:tcPr>
            <w:tcW w:w="0" w:type="dxa"/>
            <w:vAlign w:val="bottom"/>
          </w:tcPr>
          <w:p>
            <w:pPr>
              <w:spacing w:after="0"/>
              <w:rPr>
                <w:sz w:val="1"/>
                <w:szCs w:val="1"/>
                <w:color w:val="auto"/>
              </w:rPr>
            </w:pPr>
          </w:p>
        </w:tc>
      </w:tr>
      <w:tr>
        <w:trPr>
          <w:trHeight w:val="201"/>
        </w:trPr>
        <w:tc>
          <w:tcPr>
            <w:tcW w:w="8720" w:type="dxa"/>
            <w:vAlign w:val="bottom"/>
          </w:tcPr>
          <w:p>
            <w:pPr>
              <w:ind w:left="220"/>
              <w:spacing w:after="0" w:line="201" w:lineRule="exact"/>
              <w:rPr>
                <w:sz w:val="20"/>
                <w:szCs w:val="20"/>
                <w:color w:val="auto"/>
              </w:rPr>
            </w:pPr>
            <w:r>
              <w:rPr>
                <w:rFonts w:ascii="Arial" w:cs="Arial" w:eastAsia="Arial" w:hAnsi="Arial"/>
                <w:sz w:val="18"/>
                <w:szCs w:val="18"/>
                <w:color w:val="auto"/>
              </w:rPr>
              <w:t>Basic</w:t>
            </w:r>
          </w:p>
        </w:tc>
        <w:tc>
          <w:tcPr>
            <w:tcW w:w="340" w:type="dxa"/>
            <w:vAlign w:val="bottom"/>
            <w:vMerge w:val="continue"/>
          </w:tcPr>
          <w:p>
            <w:pPr>
              <w:spacing w:after="0"/>
              <w:rPr>
                <w:sz w:val="17"/>
                <w:szCs w:val="17"/>
                <w:color w:val="auto"/>
              </w:rPr>
            </w:pPr>
          </w:p>
        </w:tc>
        <w:tc>
          <w:tcPr>
            <w:tcW w:w="8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8720" w:type="dxa"/>
            <w:vAlign w:val="bottom"/>
          </w:tcPr>
          <w:p>
            <w:pPr>
              <w:ind w:left="220"/>
              <w:spacing w:after="0"/>
              <w:rPr>
                <w:sz w:val="20"/>
                <w:szCs w:val="20"/>
                <w:color w:val="auto"/>
              </w:rPr>
            </w:pPr>
            <w:r>
              <w:rPr>
                <w:rFonts w:ascii="Arial" w:cs="Arial" w:eastAsia="Arial" w:hAnsi="Arial"/>
                <w:sz w:val="18"/>
                <w:szCs w:val="18"/>
                <w:color w:val="auto"/>
              </w:rPr>
              <w:t>Diluted</w:t>
            </w:r>
          </w:p>
        </w:tc>
        <w:tc>
          <w:tcPr>
            <w:tcW w:w="340" w:type="dxa"/>
            <w:vAlign w:val="bottom"/>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0.84</w:t>
            </w:r>
          </w:p>
        </w:tc>
        <w:tc>
          <w:tcPr>
            <w:tcW w:w="0" w:type="dxa"/>
            <w:vAlign w:val="bottom"/>
          </w:tcPr>
          <w:p>
            <w:pPr>
              <w:spacing w:after="0"/>
              <w:rPr>
                <w:sz w:val="1"/>
                <w:szCs w:val="1"/>
                <w:color w:val="auto"/>
              </w:rPr>
            </w:pPr>
          </w:p>
        </w:tc>
      </w:tr>
      <w:tr>
        <w:trPr>
          <w:trHeight w:val="289"/>
        </w:trPr>
        <w:tc>
          <w:tcPr>
            <w:tcW w:w="8720" w:type="dxa"/>
            <w:vAlign w:val="bottom"/>
          </w:tcPr>
          <w:p>
            <w:pPr>
              <w:spacing w:after="0"/>
              <w:rPr>
                <w:sz w:val="20"/>
                <w:szCs w:val="20"/>
                <w:color w:val="auto"/>
              </w:rPr>
            </w:pPr>
            <w:r>
              <w:rPr>
                <w:rFonts w:ascii="Arial" w:cs="Arial" w:eastAsia="Arial" w:hAnsi="Arial"/>
                <w:sz w:val="18"/>
                <w:szCs w:val="18"/>
                <w:color w:val="auto"/>
              </w:rPr>
              <w:t>Weighted average shares outstanding:</w:t>
            </w:r>
          </w:p>
        </w:tc>
        <w:tc>
          <w:tcPr>
            <w:tcW w:w="340" w:type="dxa"/>
            <w:vAlign w:val="bottom"/>
          </w:tcPr>
          <w:p>
            <w:pPr>
              <w:spacing w:after="0"/>
              <w:rPr>
                <w:sz w:val="24"/>
                <w:szCs w:val="24"/>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7,708</w:t>
            </w:r>
          </w:p>
        </w:tc>
        <w:tc>
          <w:tcPr>
            <w:tcW w:w="0" w:type="dxa"/>
            <w:vAlign w:val="bottom"/>
          </w:tcPr>
          <w:p>
            <w:pPr>
              <w:spacing w:after="0"/>
              <w:rPr>
                <w:sz w:val="1"/>
                <w:szCs w:val="1"/>
                <w:color w:val="auto"/>
              </w:rPr>
            </w:pPr>
          </w:p>
        </w:tc>
      </w:tr>
      <w:tr>
        <w:trPr>
          <w:trHeight w:val="201"/>
        </w:trPr>
        <w:tc>
          <w:tcPr>
            <w:tcW w:w="8720" w:type="dxa"/>
            <w:vAlign w:val="bottom"/>
          </w:tcPr>
          <w:p>
            <w:pPr>
              <w:ind w:left="220"/>
              <w:spacing w:after="0" w:line="201" w:lineRule="exact"/>
              <w:rPr>
                <w:sz w:val="20"/>
                <w:szCs w:val="20"/>
                <w:color w:val="auto"/>
              </w:rPr>
            </w:pPr>
            <w:r>
              <w:rPr>
                <w:rFonts w:ascii="Arial" w:cs="Arial" w:eastAsia="Arial" w:hAnsi="Arial"/>
                <w:sz w:val="18"/>
                <w:szCs w:val="18"/>
                <w:color w:val="auto"/>
              </w:rPr>
              <w:t>Basic</w:t>
            </w:r>
          </w:p>
        </w:tc>
        <w:tc>
          <w:tcPr>
            <w:tcW w:w="34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8720" w:type="dxa"/>
            <w:vAlign w:val="bottom"/>
          </w:tcPr>
          <w:p>
            <w:pPr>
              <w:ind w:left="220"/>
              <w:spacing w:after="0"/>
              <w:rPr>
                <w:sz w:val="20"/>
                <w:szCs w:val="20"/>
                <w:color w:val="auto"/>
              </w:rPr>
            </w:pPr>
            <w:r>
              <w:rPr>
                <w:rFonts w:ascii="Arial" w:cs="Arial" w:eastAsia="Arial" w:hAnsi="Arial"/>
                <w:sz w:val="18"/>
                <w:szCs w:val="18"/>
                <w:color w:val="auto"/>
              </w:rPr>
              <w:t>Diluted</w:t>
            </w:r>
          </w:p>
        </w:tc>
        <w:tc>
          <w:tcPr>
            <w:tcW w:w="3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7,799</w:t>
            </w:r>
          </w:p>
        </w:tc>
        <w:tc>
          <w:tcPr>
            <w:tcW w:w="0" w:type="dxa"/>
            <w:vAlign w:val="bottom"/>
          </w:tcPr>
          <w:p>
            <w:pPr>
              <w:spacing w:after="0"/>
              <w:rPr>
                <w:sz w:val="1"/>
                <w:szCs w:val="1"/>
                <w:color w:val="auto"/>
              </w:rPr>
            </w:pPr>
          </w:p>
        </w:tc>
      </w:tr>
      <w:tr>
        <w:trPr>
          <w:trHeight w:val="378"/>
        </w:trPr>
        <w:tc>
          <w:tcPr>
            <w:tcW w:w="8720" w:type="dxa"/>
            <w:vAlign w:val="bottom"/>
          </w:tcPr>
          <w:p>
            <w:pPr>
              <w:spacing w:after="0"/>
              <w:rPr>
                <w:sz w:val="20"/>
                <w:szCs w:val="20"/>
                <w:color w:val="auto"/>
              </w:rPr>
            </w:pPr>
            <w:r>
              <w:rPr>
                <w:rFonts w:ascii="Arial" w:cs="Arial" w:eastAsia="Arial" w:hAnsi="Arial"/>
                <w:sz w:val="18"/>
                <w:szCs w:val="18"/>
                <w:color w:val="auto"/>
              </w:rPr>
              <w:t>Cash dividends declared per common share</w:t>
            </w:r>
          </w:p>
        </w:tc>
        <w:tc>
          <w:tcPr>
            <w:tcW w:w="340" w:type="dxa"/>
            <w:vAlign w:val="bottom"/>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0.42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-4226560</wp:posOffset>
            </wp:positionV>
            <wp:extent cx="7246620" cy="1543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-3934460</wp:posOffset>
            </wp:positionV>
            <wp:extent cx="7246620" cy="1543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-3686175</wp:posOffset>
            </wp:positionV>
            <wp:extent cx="7246620" cy="1289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-3463290</wp:posOffset>
            </wp:positionV>
            <wp:extent cx="7246620" cy="1543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-3154045</wp:posOffset>
            </wp:positionV>
            <wp:extent cx="7246620" cy="1543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-2905760</wp:posOffset>
            </wp:positionV>
            <wp:extent cx="7246620" cy="1289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-2682875</wp:posOffset>
            </wp:positionV>
            <wp:extent cx="7246620" cy="1289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-2425065</wp:posOffset>
            </wp:positionV>
            <wp:extent cx="7246620"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-2073910</wp:posOffset>
            </wp:positionV>
            <wp:extent cx="7246620"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-1696720</wp:posOffset>
            </wp:positionV>
            <wp:extent cx="7246620"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-1344930</wp:posOffset>
            </wp:positionV>
            <wp:extent cx="7246620"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-1113155</wp:posOffset>
            </wp:positionV>
            <wp:extent cx="7246620"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-855980</wp:posOffset>
            </wp:positionV>
            <wp:extent cx="7246620"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-513080</wp:posOffset>
            </wp:positionV>
            <wp:extent cx="7246620"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-170180</wp:posOffset>
            </wp:positionV>
            <wp:extent cx="7246620" cy="1543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26670</wp:posOffset>
            </wp:positionV>
            <wp:extent cx="717804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804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ind w:left="700" w:hanging="691"/>
        <w:spacing w:after="0"/>
        <w:tabs>
          <w:tab w:leader="none" w:pos="700" w:val="left"/>
        </w:tabs>
        <w:numPr>
          <w:ilvl w:val="0"/>
          <w:numId w:val="4"/>
        </w:numPr>
        <w:rPr>
          <w:rFonts w:ascii="Arial" w:cs="Arial" w:eastAsia="Arial" w:hAnsi="Arial"/>
          <w:sz w:val="18"/>
          <w:szCs w:val="18"/>
          <w:color w:val="auto"/>
        </w:rPr>
      </w:pPr>
      <w:r>
        <w:rPr>
          <w:rFonts w:ascii="Arial" w:cs="Arial" w:eastAsia="Arial" w:hAnsi="Arial"/>
          <w:sz w:val="18"/>
          <w:szCs w:val="18"/>
          <w:color w:val="auto"/>
        </w:rPr>
        <w:t>14,968</w:t>
      </w:r>
    </w:p>
    <w:p>
      <w:pPr>
        <w:spacing w:after="0" w:line="36" w:lineRule="exact"/>
        <w:rPr>
          <w:rFonts w:ascii="Arial" w:cs="Arial" w:eastAsia="Arial" w:hAnsi="Arial"/>
          <w:sz w:val="18"/>
          <w:szCs w:val="18"/>
          <w:color w:val="auto"/>
        </w:rPr>
      </w:pPr>
    </w:p>
    <w:p>
      <w:pPr>
        <w:ind w:left="800"/>
        <w:spacing w:after="0"/>
        <w:rPr>
          <w:rFonts w:ascii="Arial" w:cs="Arial" w:eastAsia="Arial" w:hAnsi="Arial"/>
          <w:sz w:val="18"/>
          <w:szCs w:val="18"/>
          <w:color w:val="auto"/>
        </w:rPr>
      </w:pPr>
      <w:r>
        <w:rPr>
          <w:rFonts w:ascii="Arial" w:cs="Arial" w:eastAsia="Arial" w:hAnsi="Arial"/>
          <w:sz w:val="18"/>
          <w:szCs w:val="18"/>
          <w:color w:val="auto"/>
        </w:rPr>
        <w:t>6,960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54610</wp:posOffset>
            </wp:positionV>
            <wp:extent cx="78867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88670" cy="8890"/>
                    </a:xfrm>
                    <a:prstGeom prst="rect">
                      <a:avLst/>
                    </a:prstGeom>
                    <a:noFill/>
                  </pic:spPr>
                </pic:pic>
              </a:graphicData>
            </a:graphic>
          </wp:anchor>
        </w:drawing>
      </w:r>
    </w:p>
    <w:p>
      <w:pPr>
        <w:spacing w:after="0" w:line="12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21,928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54610</wp:posOffset>
            </wp:positionV>
            <wp:extent cx="78867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88670" cy="8890"/>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ind w:left="800"/>
        <w:spacing w:after="0"/>
        <w:rPr>
          <w:sz w:val="20"/>
          <w:szCs w:val="20"/>
          <w:color w:val="auto"/>
        </w:rPr>
      </w:pPr>
      <w:r>
        <w:rPr>
          <w:rFonts w:ascii="Arial" w:cs="Arial" w:eastAsia="Arial" w:hAnsi="Arial"/>
          <w:sz w:val="18"/>
          <w:szCs w:val="18"/>
          <w:color w:val="auto"/>
        </w:rPr>
        <w:t>3,581</w:t>
      </w:r>
    </w:p>
    <w:p>
      <w:pPr>
        <w:spacing w:after="0" w:line="36" w:lineRule="exact"/>
        <w:rPr>
          <w:sz w:val="20"/>
          <w:szCs w:val="20"/>
          <w:color w:val="auto"/>
        </w:rPr>
      </w:pPr>
    </w:p>
    <w:p>
      <w:pPr>
        <w:ind w:left="800"/>
        <w:spacing w:after="0"/>
        <w:rPr>
          <w:sz w:val="20"/>
          <w:szCs w:val="20"/>
          <w:color w:val="auto"/>
        </w:rPr>
      </w:pPr>
      <w:r>
        <w:rPr>
          <w:rFonts w:ascii="Arial" w:cs="Arial" w:eastAsia="Arial" w:hAnsi="Arial"/>
          <w:sz w:val="18"/>
          <w:szCs w:val="18"/>
          <w:color w:val="auto"/>
        </w:rPr>
        <w:t>4,263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54610</wp:posOffset>
            </wp:positionV>
            <wp:extent cx="78867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88670" cy="8890"/>
                    </a:xfrm>
                    <a:prstGeom prst="rect">
                      <a:avLst/>
                    </a:prstGeom>
                    <a:noFill/>
                  </pic:spPr>
                </pic:pic>
              </a:graphicData>
            </a:graphic>
          </wp:anchor>
        </w:drawing>
      </w:r>
    </w:p>
    <w:p>
      <w:pPr>
        <w:spacing w:after="0" w:line="124" w:lineRule="exact"/>
        <w:rPr>
          <w:sz w:val="20"/>
          <w:szCs w:val="20"/>
          <w:color w:val="auto"/>
        </w:rPr>
      </w:pPr>
    </w:p>
    <w:p>
      <w:pPr>
        <w:ind w:left="800"/>
        <w:spacing w:after="0"/>
        <w:rPr>
          <w:sz w:val="20"/>
          <w:szCs w:val="20"/>
          <w:color w:val="auto"/>
        </w:rPr>
      </w:pPr>
      <w:r>
        <w:rPr>
          <w:rFonts w:ascii="Arial" w:cs="Arial" w:eastAsia="Arial" w:hAnsi="Arial"/>
          <w:sz w:val="18"/>
          <w:szCs w:val="18"/>
          <w:color w:val="auto"/>
        </w:rPr>
        <w:t>7,844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54610</wp:posOffset>
            </wp:positionV>
            <wp:extent cx="78867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88670" cy="8890"/>
                    </a:xfrm>
                    <a:prstGeom prst="rect">
                      <a:avLst/>
                    </a:prstGeom>
                    <a:noFill/>
                  </pic:spPr>
                </pic:pic>
              </a:graphicData>
            </a:graphic>
          </wp:anchor>
        </w:drawing>
      </w:r>
    </w:p>
    <w:p>
      <w:pPr>
        <w:spacing w:after="0" w:line="12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14,084</w:t>
      </w:r>
    </w:p>
    <w:p>
      <w:pPr>
        <w:spacing w:after="0" w:line="13" w:lineRule="exact"/>
        <w:rPr>
          <w:sz w:val="20"/>
          <w:szCs w:val="20"/>
          <w:color w:val="auto"/>
        </w:rPr>
      </w:pPr>
    </w:p>
    <w:p>
      <w:pPr>
        <w:ind w:left="800"/>
        <w:spacing w:after="0"/>
        <w:rPr>
          <w:sz w:val="20"/>
          <w:szCs w:val="20"/>
          <w:color w:val="auto"/>
        </w:rPr>
      </w:pPr>
      <w:r>
        <w:rPr>
          <w:rFonts w:ascii="Arial" w:cs="Arial" w:eastAsia="Arial" w:hAnsi="Arial"/>
          <w:sz w:val="18"/>
          <w:szCs w:val="18"/>
          <w:color w:val="auto"/>
        </w:rPr>
        <w:t>3,106</w:t>
      </w:r>
    </w:p>
    <w:p>
      <w:pPr>
        <w:ind w:left="800"/>
        <w:spacing w:after="0" w:line="234" w:lineRule="auto"/>
        <w:rPr>
          <w:sz w:val="20"/>
          <w:szCs w:val="20"/>
          <w:color w:val="auto"/>
        </w:rPr>
      </w:pPr>
      <w:r>
        <w:rPr>
          <w:rFonts w:ascii="Arial" w:cs="Arial" w:eastAsia="Arial" w:hAnsi="Arial"/>
          <w:sz w:val="18"/>
          <w:szCs w:val="18"/>
          <w:color w:val="auto"/>
        </w:rPr>
        <w:t>3,218</w:t>
      </w:r>
    </w:p>
    <w:p>
      <w:pPr>
        <w:spacing w:after="0" w:line="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1,045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40640</wp:posOffset>
            </wp:positionV>
            <wp:extent cx="78867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88670" cy="8890"/>
                    </a:xfrm>
                    <a:prstGeom prst="rect">
                      <a:avLst/>
                    </a:prstGeom>
                    <a:noFill/>
                  </pic:spPr>
                </pic:pic>
              </a:graphicData>
            </a:graphic>
          </wp:anchor>
        </w:drawing>
      </w:r>
    </w:p>
    <w:p>
      <w:pPr>
        <w:spacing w:after="0" w:line="10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6,715</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54610</wp:posOffset>
            </wp:positionV>
            <wp:extent cx="78867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88670" cy="8890"/>
                    </a:xfrm>
                    <a:prstGeom prst="rect">
                      <a:avLst/>
                    </a:prstGeom>
                    <a:noFill/>
                  </pic:spPr>
                </pic:pic>
              </a:graphicData>
            </a:graphic>
          </wp:anchor>
        </w:drawing>
      </w:r>
    </w:p>
    <w:p>
      <w:pPr>
        <w:spacing w:after="0" w:line="124" w:lineRule="exact"/>
        <w:rPr>
          <w:sz w:val="20"/>
          <w:szCs w:val="20"/>
          <w:color w:val="auto"/>
        </w:rPr>
      </w:pPr>
    </w:p>
    <w:p>
      <w:pPr>
        <w:ind w:left="800"/>
        <w:spacing w:after="0"/>
        <w:rPr>
          <w:sz w:val="20"/>
          <w:szCs w:val="20"/>
          <w:color w:val="auto"/>
        </w:rPr>
      </w:pPr>
      <w:r>
        <w:rPr>
          <w:rFonts w:ascii="Arial" w:cs="Arial" w:eastAsia="Arial" w:hAnsi="Arial"/>
          <w:sz w:val="18"/>
          <w:szCs w:val="18"/>
          <w:color w:val="auto"/>
        </w:rPr>
        <w:t>6,827</w:t>
      </w:r>
    </w:p>
    <w:p>
      <w:pPr>
        <w:spacing w:after="0" w:line="18" w:lineRule="exact"/>
        <w:rPr>
          <w:sz w:val="20"/>
          <w:szCs w:val="20"/>
          <w:color w:val="auto"/>
        </w:rPr>
      </w:pPr>
    </w:p>
    <w:p>
      <w:pPr>
        <w:ind w:left="800"/>
        <w:spacing w:after="0"/>
        <w:rPr>
          <w:sz w:val="20"/>
          <w:szCs w:val="20"/>
          <w:color w:val="auto"/>
        </w:rPr>
      </w:pPr>
      <w:r>
        <w:rPr>
          <w:rFonts w:ascii="Arial" w:cs="Arial" w:eastAsia="Arial" w:hAnsi="Arial"/>
          <w:sz w:val="18"/>
          <w:szCs w:val="18"/>
          <w:color w:val="auto"/>
        </w:rPr>
        <w:t>1,160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40640</wp:posOffset>
            </wp:positionV>
            <wp:extent cx="78867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88670" cy="8890"/>
                    </a:xfrm>
                    <a:prstGeom prst="rect">
                      <a:avLst/>
                    </a:prstGeom>
                    <a:noFill/>
                  </pic:spPr>
                </pic:pic>
              </a:graphicData>
            </a:graphic>
          </wp:anchor>
        </w:drawing>
      </w:r>
    </w:p>
    <w:p>
      <w:pPr>
        <w:spacing w:after="0" w:line="102" w:lineRule="exact"/>
        <w:rPr>
          <w:sz w:val="20"/>
          <w:szCs w:val="20"/>
          <w:color w:val="auto"/>
        </w:rPr>
      </w:pPr>
    </w:p>
    <w:p>
      <w:pPr>
        <w:ind w:left="800" w:hanging="791"/>
        <w:spacing w:after="0"/>
        <w:tabs>
          <w:tab w:leader="none" w:pos="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5,667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54610</wp:posOffset>
            </wp:positionV>
            <wp:extent cx="78867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88670" cy="17145"/>
                    </a:xfrm>
                    <a:prstGeom prst="rect">
                      <a:avLst/>
                    </a:prstGeom>
                    <a:noFill/>
                  </pic:spPr>
                </pic:pic>
              </a:graphicData>
            </a:graphic>
          </wp:anchor>
        </w:drawing>
      </w:r>
    </w:p>
    <w:p>
      <w:pPr>
        <w:spacing w:after="0" w:line="340" w:lineRule="exact"/>
        <w:rPr>
          <w:sz w:val="20"/>
          <w:szCs w:val="20"/>
          <w:color w:val="auto"/>
        </w:rPr>
      </w:pPr>
    </w:p>
    <w:p>
      <w:pPr>
        <w:ind w:left="900" w:hanging="891"/>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0.73</w:t>
      </w:r>
    </w:p>
    <w:p>
      <w:pPr>
        <w:spacing w:after="0" w:line="17" w:lineRule="exact"/>
        <w:rPr>
          <w:rFonts w:ascii="Arial" w:cs="Arial" w:eastAsia="Arial" w:hAnsi="Arial"/>
          <w:sz w:val="18"/>
          <w:szCs w:val="18"/>
          <w:color w:val="auto"/>
        </w:rPr>
      </w:pPr>
    </w:p>
    <w:p>
      <w:pPr>
        <w:ind w:left="900" w:hanging="891"/>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0.72</w:t>
      </w:r>
    </w:p>
    <w:p>
      <w:pPr>
        <w:spacing w:after="0" w:line="31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7,789</w:t>
      </w:r>
    </w:p>
    <w:p>
      <w:pPr>
        <w:spacing w:after="0" w:line="18" w:lineRule="exact"/>
        <w:rPr>
          <w:sz w:val="20"/>
          <w:szCs w:val="20"/>
          <w:color w:val="auto"/>
        </w:rPr>
      </w:pPr>
    </w:p>
    <w:p>
      <w:pPr>
        <w:ind w:left="800"/>
        <w:spacing w:after="0"/>
        <w:rPr>
          <w:sz w:val="20"/>
          <w:szCs w:val="20"/>
          <w:color w:val="auto"/>
        </w:rPr>
      </w:pPr>
      <w:r>
        <w:rPr>
          <w:rFonts w:ascii="Arial" w:cs="Arial" w:eastAsia="Arial" w:hAnsi="Arial"/>
          <w:sz w:val="18"/>
          <w:szCs w:val="18"/>
          <w:color w:val="auto"/>
        </w:rPr>
        <w:t>7,876</w:t>
      </w:r>
    </w:p>
    <w:p>
      <w:pPr>
        <w:spacing w:after="0" w:line="149" w:lineRule="exact"/>
        <w:rPr>
          <w:sz w:val="20"/>
          <w:szCs w:val="20"/>
          <w:color w:val="auto"/>
        </w:rPr>
      </w:pPr>
    </w:p>
    <w:p>
      <w:pPr>
        <w:ind w:left="900" w:hanging="891"/>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0.39</w:t>
      </w:r>
    </w:p>
    <w:p>
      <w:pPr>
        <w:spacing w:after="0" w:line="243" w:lineRule="exact"/>
        <w:rPr>
          <w:sz w:val="20"/>
          <w:szCs w:val="20"/>
          <w:color w:val="auto"/>
        </w:rPr>
      </w:pPr>
    </w:p>
    <w:p>
      <w:pPr>
        <w:sectPr>
          <w:pgSz w:w="11900" w:h="16838" w:orient="portrait"/>
          <w:cols w:equalWidth="0" w:num="2">
            <w:col w:w="9860" w:space="200"/>
            <w:col w:w="1260"/>
          </w:cols>
          <w:pgMar w:left="240" w:top="121" w:right="339" w:bottom="1440" w:gutter="0" w:footer="0" w:header="0"/>
          <w:type w:val="continuous"/>
        </w:sectPr>
      </w:pP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Refer to accompanying notes.</w:t>
      </w:r>
    </w:p>
    <w:p>
      <w:pPr>
        <w:spacing w:after="0" w:line="200" w:lineRule="exact"/>
        <w:rPr>
          <w:sz w:val="20"/>
          <w:szCs w:val="20"/>
          <w:color w:val="auto"/>
        </w:rPr>
      </w:pPr>
    </w:p>
    <w:p>
      <w:pPr>
        <w:spacing w:after="0" w:line="345" w:lineRule="exact"/>
        <w:rPr>
          <w:sz w:val="20"/>
          <w:szCs w:val="20"/>
          <w:color w:val="auto"/>
        </w:rPr>
      </w:pPr>
    </w:p>
    <w:p>
      <w:pPr>
        <w:jc w:val="center"/>
        <w:ind w:right="-119"/>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2891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20"/>
          </w:cols>
          <w:pgMar w:left="240" w:top="121" w:right="339" w:bottom="1440" w:gutter="0" w:footer="0" w:header="0"/>
          <w:type w:val="continuous"/>
        </w:sectPr>
      </w:pPr>
    </w:p>
    <w:bookmarkStart w:id="3" w:name="page4"/>
    <w:bookmarkEnd w:id="3"/>
    <w:p>
      <w:pPr>
        <w:ind w:left="5500"/>
        <w:spacing w:after="0"/>
        <w:rPr>
          <w:sz w:val="20"/>
          <w:szCs w:val="20"/>
          <w:color w:val="auto"/>
        </w:rPr>
      </w:pPr>
      <w:r>
        <w:rPr>
          <w:rFonts w:ascii="Arial" w:cs="Arial" w:eastAsia="Arial" w:hAnsi="Arial"/>
          <w:sz w:val="14"/>
          <w:szCs w:val="14"/>
          <w:u w:val="single" w:color="auto"/>
          <w:color w:val="auto"/>
        </w:rPr>
        <w:t>PART I</w:t>
      </w:r>
    </w:p>
    <w:p>
      <w:pPr>
        <w:spacing w:after="0" w:line="5" w:lineRule="exact"/>
        <w:rPr>
          <w:sz w:val="20"/>
          <w:szCs w:val="20"/>
          <w:color w:val="auto"/>
        </w:rPr>
      </w:pPr>
    </w:p>
    <w:p>
      <w:pPr>
        <w:ind w:left="5520"/>
        <w:spacing w:after="0"/>
        <w:rPr>
          <w:sz w:val="20"/>
          <w:szCs w:val="20"/>
          <w:color w:val="auto"/>
        </w:rPr>
      </w:pPr>
      <w:r>
        <w:rPr>
          <w:rFonts w:ascii="Arial" w:cs="Arial" w:eastAsia="Arial" w:hAnsi="Arial"/>
          <w:sz w:val="14"/>
          <w:szCs w:val="14"/>
          <w:color w:val="auto"/>
        </w:rPr>
        <w:t>Item 1</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COMPREHENSIVE INCOME STATEMENTS</w:t>
      </w:r>
    </w:p>
    <w:p>
      <w:pPr>
        <w:spacing w:after="0" w:line="19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 millions)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46990</wp:posOffset>
            </wp:positionV>
            <wp:extent cx="717804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8040" cy="8890"/>
                    </a:xfrm>
                    <a:prstGeom prst="rect">
                      <a:avLst/>
                    </a:prstGeom>
                    <a:noFill/>
                  </pic:spPr>
                </pic:pic>
              </a:graphicData>
            </a:graphic>
          </wp:anchor>
        </w:drawing>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280" w:type="dxa"/>
            <w:vAlign w:val="bottom"/>
            <w:gridSpan w:val="2"/>
          </w:tcPr>
          <w:p>
            <w:pPr>
              <w:spacing w:after="0"/>
              <w:rPr>
                <w:sz w:val="20"/>
                <w:szCs w:val="20"/>
                <w:color w:val="auto"/>
              </w:rPr>
            </w:pPr>
            <w:r>
              <w:rPr>
                <w:rFonts w:ascii="Arial" w:cs="Arial" w:eastAsia="Arial" w:hAnsi="Arial"/>
                <w:sz w:val="14"/>
                <w:szCs w:val="14"/>
                <w:b w:val="1"/>
                <w:bCs w:val="1"/>
                <w:color w:val="auto"/>
              </w:rPr>
              <w:t>Three Months Ended September 30,</w:t>
            </w:r>
          </w:p>
        </w:tc>
        <w:tc>
          <w:tcPr>
            <w:tcW w:w="25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2017</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 w:type="dxa"/>
            <w:vAlign w:val="bottom"/>
            <w:vMerge w:val="restart"/>
          </w:tcPr>
          <w:p>
            <w:pPr>
              <w:spacing w:after="0"/>
              <w:rPr>
                <w:sz w:val="3"/>
                <w:szCs w:val="3"/>
                <w:color w:val="auto"/>
              </w:rPr>
            </w:pPr>
          </w:p>
        </w:tc>
        <w:tc>
          <w:tcPr>
            <w:tcW w:w="6260" w:type="dxa"/>
            <w:vAlign w:val="bottom"/>
          </w:tcPr>
          <w:p>
            <w:pPr>
              <w:spacing w:after="0"/>
              <w:rPr>
                <w:sz w:val="3"/>
                <w:szCs w:val="3"/>
                <w:color w:val="auto"/>
              </w:rPr>
            </w:pPr>
          </w:p>
        </w:tc>
        <w:tc>
          <w:tcPr>
            <w:tcW w:w="2540" w:type="dxa"/>
            <w:vAlign w:val="bottom"/>
          </w:tcPr>
          <w:p>
            <w:pPr>
              <w:spacing w:after="0"/>
              <w:rPr>
                <w:sz w:val="3"/>
                <w:szCs w:val="3"/>
                <w:color w:val="auto"/>
              </w:rPr>
            </w:pPr>
          </w:p>
        </w:tc>
        <w:tc>
          <w:tcPr>
            <w:tcW w:w="4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26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Net income</w:t>
            </w:r>
          </w:p>
        </w:tc>
        <w:tc>
          <w:tcPr>
            <w:tcW w:w="2940" w:type="dxa"/>
            <w:vAlign w:val="bottom"/>
            <w:gridSpan w:val="2"/>
            <w:shd w:val="clear" w:color="auto" w:fill="E5E5E5"/>
          </w:tcPr>
          <w:p>
            <w:pPr>
              <w:jc w:val="right"/>
              <w:ind w:right="300"/>
              <w:spacing w:after="0" w:line="202" w:lineRule="exact"/>
              <w:rPr>
                <w:sz w:val="20"/>
                <w:szCs w:val="20"/>
                <w:color w:val="auto"/>
              </w:rPr>
            </w:pPr>
            <w:r>
              <w:rPr>
                <w:rFonts w:ascii="Arial" w:cs="Arial" w:eastAsia="Arial" w:hAnsi="Arial"/>
                <w:sz w:val="18"/>
                <w:szCs w:val="18"/>
                <w:b w:val="1"/>
                <w:bCs w:val="1"/>
                <w:color w:val="auto"/>
              </w:rPr>
              <w:t>$</w:t>
            </w:r>
          </w:p>
        </w:tc>
        <w:tc>
          <w:tcPr>
            <w:tcW w:w="880" w:type="dxa"/>
            <w:vAlign w:val="bottom"/>
            <w:gridSpan w:val="2"/>
            <w:shd w:val="clear" w:color="auto" w:fill="E5E5E5"/>
          </w:tcPr>
          <w:p>
            <w:pPr>
              <w:jc w:val="right"/>
              <w:ind w:right="140"/>
              <w:spacing w:after="0" w:line="202" w:lineRule="exact"/>
              <w:rPr>
                <w:sz w:val="20"/>
                <w:szCs w:val="20"/>
                <w:color w:val="auto"/>
              </w:rPr>
            </w:pPr>
            <w:r>
              <w:rPr>
                <w:rFonts w:ascii="Arial" w:cs="Arial" w:eastAsia="Arial" w:hAnsi="Arial"/>
                <w:sz w:val="18"/>
                <w:szCs w:val="18"/>
                <w:b w:val="1"/>
                <w:bCs w:val="1"/>
                <w:color w:val="auto"/>
              </w:rPr>
              <w:t>6,576</w:t>
            </w:r>
          </w:p>
        </w:tc>
        <w:tc>
          <w:tcPr>
            <w:tcW w:w="460" w:type="dxa"/>
            <w:vAlign w:val="bottom"/>
            <w:gridSpan w:val="2"/>
            <w:shd w:val="clear" w:color="auto" w:fill="E5E5E5"/>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86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5,667</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6260" w:type="dxa"/>
            <w:vAlign w:val="bottom"/>
          </w:tcPr>
          <w:p>
            <w:pPr>
              <w:spacing w:after="0"/>
              <w:rPr>
                <w:sz w:val="5"/>
                <w:szCs w:val="5"/>
                <w:color w:val="auto"/>
              </w:rPr>
            </w:pPr>
          </w:p>
        </w:tc>
        <w:tc>
          <w:tcPr>
            <w:tcW w:w="2540" w:type="dxa"/>
            <w:vAlign w:val="bottom"/>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6260" w:type="dxa"/>
            <w:vAlign w:val="bottom"/>
          </w:tcPr>
          <w:p>
            <w:pPr>
              <w:spacing w:after="0"/>
              <w:rPr>
                <w:sz w:val="5"/>
                <w:szCs w:val="5"/>
                <w:color w:val="auto"/>
              </w:rPr>
            </w:pPr>
          </w:p>
        </w:tc>
        <w:tc>
          <w:tcPr>
            <w:tcW w:w="2540" w:type="dxa"/>
            <w:vAlign w:val="bottom"/>
          </w:tcPr>
          <w:p>
            <w:pPr>
              <w:spacing w:after="0"/>
              <w:rPr>
                <w:sz w:val="5"/>
                <w:szCs w:val="5"/>
                <w:color w:val="auto"/>
              </w:rPr>
            </w:pPr>
          </w:p>
        </w:tc>
        <w:tc>
          <w:tcPr>
            <w:tcW w:w="400" w:type="dxa"/>
            <w:vAlign w:val="bottom"/>
          </w:tcPr>
          <w:p>
            <w:pPr>
              <w:spacing w:after="0"/>
              <w:rPr>
                <w:sz w:val="5"/>
                <w:szCs w:val="5"/>
                <w:color w:val="auto"/>
              </w:rPr>
            </w:pPr>
          </w:p>
        </w:tc>
        <w:tc>
          <w:tcPr>
            <w:tcW w:w="74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26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Other comprehensive income (loss), net of tax:</w:t>
            </w:r>
          </w:p>
        </w:tc>
        <w:tc>
          <w:tcPr>
            <w:tcW w:w="2540" w:type="dxa"/>
            <w:vAlign w:val="bottom"/>
            <w:shd w:val="clear" w:color="auto" w:fill="E5E5E5"/>
          </w:tcPr>
          <w:p>
            <w:pPr>
              <w:spacing w:after="0"/>
              <w:rPr>
                <w:sz w:val="17"/>
                <w:szCs w:val="17"/>
                <w:color w:val="auto"/>
              </w:rPr>
            </w:pPr>
          </w:p>
        </w:tc>
        <w:tc>
          <w:tcPr>
            <w:tcW w:w="400" w:type="dxa"/>
            <w:vAlign w:val="bottom"/>
            <w:shd w:val="clear" w:color="auto" w:fill="E5E5E5"/>
          </w:tcPr>
          <w:p>
            <w:pPr>
              <w:spacing w:after="0"/>
              <w:rPr>
                <w:sz w:val="17"/>
                <w:szCs w:val="17"/>
                <w:color w:val="auto"/>
              </w:rPr>
            </w:pPr>
          </w:p>
        </w:tc>
        <w:tc>
          <w:tcPr>
            <w:tcW w:w="740" w:type="dxa"/>
            <w:vAlign w:val="bottom"/>
            <w:shd w:val="clear" w:color="auto" w:fill="E5E5E5"/>
          </w:tcPr>
          <w:p>
            <w:pPr>
              <w:spacing w:after="0"/>
              <w:rPr>
                <w:sz w:val="17"/>
                <w:szCs w:val="17"/>
                <w:color w:val="auto"/>
              </w:rPr>
            </w:pPr>
          </w:p>
        </w:tc>
        <w:tc>
          <w:tcPr>
            <w:tcW w:w="140" w:type="dxa"/>
            <w:vAlign w:val="bottom"/>
            <w:shd w:val="clear" w:color="auto" w:fill="E5E5E5"/>
          </w:tcPr>
          <w:p>
            <w:pPr>
              <w:spacing w:after="0"/>
              <w:rPr>
                <w:sz w:val="17"/>
                <w:szCs w:val="17"/>
                <w:color w:val="auto"/>
              </w:rPr>
            </w:pPr>
          </w:p>
        </w:tc>
        <w:tc>
          <w:tcPr>
            <w:tcW w:w="80" w:type="dxa"/>
            <w:vAlign w:val="bottom"/>
            <w:shd w:val="clear" w:color="auto" w:fill="E5E5E5"/>
          </w:tcPr>
          <w:p>
            <w:pPr>
              <w:spacing w:after="0"/>
              <w:rPr>
                <w:sz w:val="17"/>
                <w:szCs w:val="17"/>
                <w:color w:val="auto"/>
              </w:rPr>
            </w:pPr>
          </w:p>
        </w:tc>
        <w:tc>
          <w:tcPr>
            <w:tcW w:w="380" w:type="dxa"/>
            <w:vAlign w:val="bottom"/>
            <w:shd w:val="clear" w:color="auto" w:fill="E5E5E5"/>
          </w:tcPr>
          <w:p>
            <w:pPr>
              <w:spacing w:after="0"/>
              <w:rPr>
                <w:sz w:val="17"/>
                <w:szCs w:val="17"/>
                <w:color w:val="auto"/>
              </w:rPr>
            </w:pPr>
          </w:p>
        </w:tc>
        <w:tc>
          <w:tcPr>
            <w:tcW w:w="76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60" w:type="dxa"/>
            <w:vAlign w:val="bottom"/>
          </w:tcPr>
          <w:p>
            <w:pPr>
              <w:ind w:left="200"/>
              <w:spacing w:after="0" w:line="202" w:lineRule="exact"/>
              <w:rPr>
                <w:sz w:val="20"/>
                <w:szCs w:val="20"/>
                <w:color w:val="auto"/>
              </w:rPr>
            </w:pPr>
            <w:r>
              <w:rPr>
                <w:rFonts w:ascii="Arial" w:cs="Arial" w:eastAsia="Arial" w:hAnsi="Arial"/>
                <w:sz w:val="18"/>
                <w:szCs w:val="18"/>
                <w:color w:val="auto"/>
              </w:rPr>
              <w:t>Net change related to derivatives</w:t>
            </w:r>
          </w:p>
        </w:tc>
        <w:tc>
          <w:tcPr>
            <w:tcW w:w="25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gridSpan w:val="2"/>
          </w:tcPr>
          <w:p>
            <w:pPr>
              <w:jc w:val="right"/>
              <w:ind w:right="80"/>
              <w:spacing w:after="0" w:line="202" w:lineRule="exact"/>
              <w:rPr>
                <w:sz w:val="20"/>
                <w:szCs w:val="20"/>
                <w:color w:val="auto"/>
              </w:rPr>
            </w:pPr>
            <w:r>
              <w:rPr>
                <w:rFonts w:ascii="Arial" w:cs="Arial" w:eastAsia="Arial" w:hAnsi="Arial"/>
                <w:sz w:val="18"/>
                <w:szCs w:val="18"/>
                <w:b w:val="1"/>
                <w:bCs w:val="1"/>
                <w:color w:val="auto"/>
              </w:rPr>
              <w:t>(106)</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60" w:type="dxa"/>
            <w:vAlign w:val="bottom"/>
            <w:shd w:val="clear" w:color="auto" w:fill="E5E5E5"/>
          </w:tcPr>
          <w:p>
            <w:pPr>
              <w:ind w:left="200"/>
              <w:spacing w:after="0" w:line="202" w:lineRule="exact"/>
              <w:rPr>
                <w:sz w:val="20"/>
                <w:szCs w:val="20"/>
                <w:color w:val="auto"/>
              </w:rPr>
            </w:pPr>
            <w:r>
              <w:rPr>
                <w:rFonts w:ascii="Arial" w:cs="Arial" w:eastAsia="Arial" w:hAnsi="Arial"/>
                <w:sz w:val="18"/>
                <w:szCs w:val="18"/>
                <w:color w:val="auto"/>
              </w:rPr>
              <w:t>Net change related to investments</w:t>
            </w:r>
          </w:p>
        </w:tc>
        <w:tc>
          <w:tcPr>
            <w:tcW w:w="2540" w:type="dxa"/>
            <w:vAlign w:val="bottom"/>
            <w:shd w:val="clear" w:color="auto" w:fill="E5E5E5"/>
          </w:tcPr>
          <w:p>
            <w:pPr>
              <w:spacing w:after="0"/>
              <w:rPr>
                <w:sz w:val="17"/>
                <w:szCs w:val="17"/>
                <w:color w:val="auto"/>
              </w:rPr>
            </w:pPr>
          </w:p>
        </w:tc>
        <w:tc>
          <w:tcPr>
            <w:tcW w:w="400" w:type="dxa"/>
            <w:vAlign w:val="bottom"/>
            <w:shd w:val="clear" w:color="auto" w:fill="E5E5E5"/>
          </w:tcPr>
          <w:p>
            <w:pPr>
              <w:spacing w:after="0"/>
              <w:rPr>
                <w:sz w:val="17"/>
                <w:szCs w:val="17"/>
                <w:color w:val="auto"/>
              </w:rPr>
            </w:pPr>
          </w:p>
        </w:tc>
        <w:tc>
          <w:tcPr>
            <w:tcW w:w="880" w:type="dxa"/>
            <w:vAlign w:val="bottom"/>
            <w:gridSpan w:val="2"/>
            <w:shd w:val="clear" w:color="auto" w:fill="E5E5E5"/>
          </w:tcPr>
          <w:p>
            <w:pPr>
              <w:jc w:val="right"/>
              <w:ind w:right="80"/>
              <w:spacing w:after="0" w:line="202" w:lineRule="exact"/>
              <w:rPr>
                <w:sz w:val="20"/>
                <w:szCs w:val="20"/>
                <w:color w:val="auto"/>
              </w:rPr>
            </w:pPr>
            <w:r>
              <w:rPr>
                <w:rFonts w:ascii="Arial" w:cs="Arial" w:eastAsia="Arial" w:hAnsi="Arial"/>
                <w:sz w:val="18"/>
                <w:szCs w:val="18"/>
                <w:b w:val="1"/>
                <w:bCs w:val="1"/>
                <w:color w:val="auto"/>
              </w:rPr>
              <w:t>(288)</w:t>
            </w:r>
          </w:p>
        </w:tc>
        <w:tc>
          <w:tcPr>
            <w:tcW w:w="80" w:type="dxa"/>
            <w:vAlign w:val="bottom"/>
            <w:shd w:val="clear" w:color="auto" w:fill="E5E5E5"/>
          </w:tcPr>
          <w:p>
            <w:pPr>
              <w:spacing w:after="0"/>
              <w:rPr>
                <w:sz w:val="17"/>
                <w:szCs w:val="17"/>
                <w:color w:val="auto"/>
              </w:rPr>
            </w:pPr>
          </w:p>
        </w:tc>
        <w:tc>
          <w:tcPr>
            <w:tcW w:w="380" w:type="dxa"/>
            <w:vAlign w:val="bottom"/>
            <w:shd w:val="clear" w:color="auto" w:fill="E5E5E5"/>
          </w:tcPr>
          <w:p>
            <w:pPr>
              <w:spacing w:after="0"/>
              <w:rPr>
                <w:sz w:val="17"/>
                <w:szCs w:val="17"/>
                <w:color w:val="auto"/>
              </w:rPr>
            </w:pPr>
          </w:p>
        </w:tc>
        <w:tc>
          <w:tcPr>
            <w:tcW w:w="86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6260" w:type="dxa"/>
            <w:vAlign w:val="bottom"/>
          </w:tcPr>
          <w:p>
            <w:pPr>
              <w:ind w:left="200"/>
              <w:spacing w:after="0"/>
              <w:rPr>
                <w:sz w:val="20"/>
                <w:szCs w:val="20"/>
                <w:color w:val="auto"/>
              </w:rPr>
            </w:pPr>
            <w:r>
              <w:rPr>
                <w:rFonts w:ascii="Arial" w:cs="Arial" w:eastAsia="Arial" w:hAnsi="Arial"/>
                <w:sz w:val="18"/>
                <w:szCs w:val="18"/>
                <w:color w:val="auto"/>
              </w:rPr>
              <w:t>Translation adjustments and other</w:t>
            </w:r>
          </w:p>
        </w:tc>
        <w:tc>
          <w:tcPr>
            <w:tcW w:w="25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293</w:t>
            </w: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6260" w:type="dxa"/>
            <w:vAlign w:val="bottom"/>
            <w:tcBorders>
              <w:bottom w:val="single" w:sz="8" w:color="auto"/>
            </w:tcBorders>
          </w:tcPr>
          <w:p>
            <w:pPr>
              <w:spacing w:after="0"/>
              <w:rPr>
                <w:sz w:val="3"/>
                <w:szCs w:val="3"/>
                <w:color w:val="auto"/>
              </w:rPr>
            </w:pPr>
          </w:p>
        </w:tc>
        <w:tc>
          <w:tcPr>
            <w:tcW w:w="254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260" w:type="dxa"/>
            <w:vAlign w:val="bottom"/>
          </w:tcPr>
          <w:p>
            <w:pPr>
              <w:spacing w:after="0"/>
              <w:rPr>
                <w:sz w:val="5"/>
                <w:szCs w:val="5"/>
                <w:color w:val="auto"/>
              </w:rPr>
            </w:pPr>
          </w:p>
        </w:tc>
        <w:tc>
          <w:tcPr>
            <w:tcW w:w="2540" w:type="dxa"/>
            <w:vAlign w:val="bottom"/>
          </w:tcPr>
          <w:p>
            <w:pPr>
              <w:spacing w:after="0"/>
              <w:rPr>
                <w:sz w:val="5"/>
                <w:szCs w:val="5"/>
                <w:color w:val="auto"/>
              </w:rPr>
            </w:pPr>
          </w:p>
        </w:tc>
        <w:tc>
          <w:tcPr>
            <w:tcW w:w="400" w:type="dxa"/>
            <w:vAlign w:val="bottom"/>
          </w:tcPr>
          <w:p>
            <w:pPr>
              <w:spacing w:after="0"/>
              <w:rPr>
                <w:sz w:val="5"/>
                <w:szCs w:val="5"/>
                <w:color w:val="auto"/>
              </w:rPr>
            </w:pPr>
          </w:p>
        </w:tc>
        <w:tc>
          <w:tcPr>
            <w:tcW w:w="74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60" w:type="dxa"/>
            <w:vAlign w:val="bottom"/>
            <w:shd w:val="clear" w:color="auto" w:fill="E5E5E5"/>
          </w:tcPr>
          <w:p>
            <w:pPr>
              <w:ind w:left="420"/>
              <w:spacing w:after="0" w:line="202" w:lineRule="exact"/>
              <w:rPr>
                <w:sz w:val="20"/>
                <w:szCs w:val="20"/>
                <w:color w:val="auto"/>
              </w:rPr>
            </w:pPr>
            <w:r>
              <w:rPr>
                <w:rFonts w:ascii="Arial" w:cs="Arial" w:eastAsia="Arial" w:hAnsi="Arial"/>
                <w:sz w:val="18"/>
                <w:szCs w:val="18"/>
                <w:color w:val="auto"/>
              </w:rPr>
              <w:t>Other comprehensive income (loss)</w:t>
            </w:r>
          </w:p>
        </w:tc>
        <w:tc>
          <w:tcPr>
            <w:tcW w:w="2540" w:type="dxa"/>
            <w:vAlign w:val="bottom"/>
            <w:shd w:val="clear" w:color="auto" w:fill="E5E5E5"/>
          </w:tcPr>
          <w:p>
            <w:pPr>
              <w:spacing w:after="0"/>
              <w:rPr>
                <w:sz w:val="17"/>
                <w:szCs w:val="17"/>
                <w:color w:val="auto"/>
              </w:rPr>
            </w:pPr>
          </w:p>
        </w:tc>
        <w:tc>
          <w:tcPr>
            <w:tcW w:w="400" w:type="dxa"/>
            <w:vAlign w:val="bottom"/>
            <w:shd w:val="clear" w:color="auto" w:fill="E5E5E5"/>
          </w:tcPr>
          <w:p>
            <w:pPr>
              <w:spacing w:after="0"/>
              <w:rPr>
                <w:sz w:val="17"/>
                <w:szCs w:val="17"/>
                <w:color w:val="auto"/>
              </w:rPr>
            </w:pPr>
          </w:p>
        </w:tc>
        <w:tc>
          <w:tcPr>
            <w:tcW w:w="880" w:type="dxa"/>
            <w:vAlign w:val="bottom"/>
            <w:gridSpan w:val="2"/>
            <w:shd w:val="clear" w:color="auto" w:fill="E5E5E5"/>
          </w:tcPr>
          <w:p>
            <w:pPr>
              <w:jc w:val="right"/>
              <w:ind w:right="80"/>
              <w:spacing w:after="0" w:line="202" w:lineRule="exact"/>
              <w:rPr>
                <w:sz w:val="20"/>
                <w:szCs w:val="20"/>
                <w:color w:val="auto"/>
              </w:rPr>
            </w:pPr>
            <w:r>
              <w:rPr>
                <w:rFonts w:ascii="Arial" w:cs="Arial" w:eastAsia="Arial" w:hAnsi="Arial"/>
                <w:sz w:val="18"/>
                <w:szCs w:val="18"/>
                <w:b w:val="1"/>
                <w:bCs w:val="1"/>
                <w:color w:val="auto"/>
              </w:rPr>
              <w:t>(101)</w:t>
            </w:r>
          </w:p>
        </w:tc>
        <w:tc>
          <w:tcPr>
            <w:tcW w:w="80" w:type="dxa"/>
            <w:vAlign w:val="bottom"/>
            <w:shd w:val="clear" w:color="auto" w:fill="E5E5E5"/>
          </w:tcPr>
          <w:p>
            <w:pPr>
              <w:spacing w:after="0"/>
              <w:rPr>
                <w:sz w:val="17"/>
                <w:szCs w:val="17"/>
                <w:color w:val="auto"/>
              </w:rPr>
            </w:pPr>
          </w:p>
        </w:tc>
        <w:tc>
          <w:tcPr>
            <w:tcW w:w="380" w:type="dxa"/>
            <w:vAlign w:val="bottom"/>
            <w:shd w:val="clear" w:color="auto" w:fill="E5E5E5"/>
          </w:tcPr>
          <w:p>
            <w:pPr>
              <w:spacing w:after="0"/>
              <w:rPr>
                <w:sz w:val="17"/>
                <w:szCs w:val="17"/>
                <w:color w:val="auto"/>
              </w:rPr>
            </w:pPr>
          </w:p>
        </w:tc>
        <w:tc>
          <w:tcPr>
            <w:tcW w:w="86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6260" w:type="dxa"/>
            <w:vAlign w:val="bottom"/>
            <w:tcBorders>
              <w:bottom w:val="single" w:sz="8" w:color="auto"/>
            </w:tcBorders>
          </w:tcPr>
          <w:p>
            <w:pPr>
              <w:spacing w:after="0"/>
              <w:rPr>
                <w:sz w:val="5"/>
                <w:szCs w:val="5"/>
                <w:color w:val="auto"/>
              </w:rPr>
            </w:pPr>
          </w:p>
        </w:tc>
        <w:tc>
          <w:tcPr>
            <w:tcW w:w="2540" w:type="dxa"/>
            <w:vAlign w:val="bottom"/>
            <w:tcBorders>
              <w:bottom w:val="single" w:sz="8" w:color="auto"/>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6260" w:type="dxa"/>
            <w:vAlign w:val="bottom"/>
          </w:tcPr>
          <w:p>
            <w:pPr>
              <w:spacing w:after="0"/>
              <w:rPr>
                <w:sz w:val="5"/>
                <w:szCs w:val="5"/>
                <w:color w:val="auto"/>
              </w:rPr>
            </w:pPr>
          </w:p>
        </w:tc>
        <w:tc>
          <w:tcPr>
            <w:tcW w:w="2540" w:type="dxa"/>
            <w:vAlign w:val="bottom"/>
          </w:tcPr>
          <w:p>
            <w:pPr>
              <w:spacing w:after="0"/>
              <w:rPr>
                <w:sz w:val="5"/>
                <w:szCs w:val="5"/>
                <w:color w:val="auto"/>
              </w:rPr>
            </w:pPr>
          </w:p>
        </w:tc>
        <w:tc>
          <w:tcPr>
            <w:tcW w:w="400" w:type="dxa"/>
            <w:vAlign w:val="bottom"/>
          </w:tcPr>
          <w:p>
            <w:pPr>
              <w:spacing w:after="0"/>
              <w:rPr>
                <w:sz w:val="5"/>
                <w:szCs w:val="5"/>
                <w:color w:val="auto"/>
              </w:rPr>
            </w:pPr>
          </w:p>
        </w:tc>
        <w:tc>
          <w:tcPr>
            <w:tcW w:w="74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26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Comprehensive income</w:t>
            </w:r>
          </w:p>
        </w:tc>
        <w:tc>
          <w:tcPr>
            <w:tcW w:w="2940" w:type="dxa"/>
            <w:vAlign w:val="bottom"/>
            <w:gridSpan w:val="2"/>
            <w:shd w:val="clear" w:color="auto" w:fill="E5E5E5"/>
          </w:tcPr>
          <w:p>
            <w:pPr>
              <w:jc w:val="right"/>
              <w:ind w:right="300"/>
              <w:spacing w:after="0" w:line="202" w:lineRule="exact"/>
              <w:rPr>
                <w:sz w:val="20"/>
                <w:szCs w:val="20"/>
                <w:color w:val="auto"/>
              </w:rPr>
            </w:pPr>
            <w:r>
              <w:rPr>
                <w:rFonts w:ascii="Arial" w:cs="Arial" w:eastAsia="Arial" w:hAnsi="Arial"/>
                <w:sz w:val="18"/>
                <w:szCs w:val="18"/>
                <w:b w:val="1"/>
                <w:bCs w:val="1"/>
                <w:color w:val="auto"/>
              </w:rPr>
              <w:t>$</w:t>
            </w:r>
          </w:p>
        </w:tc>
        <w:tc>
          <w:tcPr>
            <w:tcW w:w="880" w:type="dxa"/>
            <w:vAlign w:val="bottom"/>
            <w:gridSpan w:val="2"/>
            <w:shd w:val="clear" w:color="auto" w:fill="E5E5E5"/>
          </w:tcPr>
          <w:p>
            <w:pPr>
              <w:jc w:val="right"/>
              <w:ind w:right="140"/>
              <w:spacing w:after="0" w:line="202" w:lineRule="exact"/>
              <w:rPr>
                <w:sz w:val="20"/>
                <w:szCs w:val="20"/>
                <w:color w:val="auto"/>
              </w:rPr>
            </w:pPr>
            <w:r>
              <w:rPr>
                <w:rFonts w:ascii="Arial" w:cs="Arial" w:eastAsia="Arial" w:hAnsi="Arial"/>
                <w:sz w:val="18"/>
                <w:szCs w:val="18"/>
                <w:b w:val="1"/>
                <w:bCs w:val="1"/>
                <w:color w:val="auto"/>
              </w:rPr>
              <w:t>6,475</w:t>
            </w:r>
          </w:p>
        </w:tc>
        <w:tc>
          <w:tcPr>
            <w:tcW w:w="460" w:type="dxa"/>
            <w:vAlign w:val="bottom"/>
            <w:gridSpan w:val="2"/>
            <w:shd w:val="clear" w:color="auto" w:fill="E5E5E5"/>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86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5,831</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260" w:type="dxa"/>
            <w:vAlign w:val="bottom"/>
          </w:tcPr>
          <w:p>
            <w:pPr>
              <w:spacing w:after="0"/>
              <w:rPr>
                <w:sz w:val="6"/>
                <w:szCs w:val="6"/>
                <w:color w:val="auto"/>
              </w:rPr>
            </w:pPr>
          </w:p>
        </w:tc>
        <w:tc>
          <w:tcPr>
            <w:tcW w:w="2540" w:type="dxa"/>
            <w:vAlign w:val="bottom"/>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Refer to accompanying notes. Refer to Note 18 – Accumulated Other Comprehensive Income for further information.</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2891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4" w:name="page5"/>
    <w:bookmarkEnd w:id="4"/>
    <w:p>
      <w:pPr>
        <w:ind w:left="5500"/>
        <w:spacing w:after="0"/>
        <w:rPr>
          <w:sz w:val="20"/>
          <w:szCs w:val="20"/>
          <w:color w:val="auto"/>
        </w:rPr>
      </w:pPr>
      <w:r>
        <w:rPr>
          <w:rFonts w:ascii="Arial" w:cs="Arial" w:eastAsia="Arial" w:hAnsi="Arial"/>
          <w:sz w:val="14"/>
          <w:szCs w:val="14"/>
          <w:u w:val="single" w:color="auto"/>
          <w:color w:val="auto"/>
        </w:rPr>
        <w:t>PART I</w:t>
      </w:r>
    </w:p>
    <w:p>
      <w:pPr>
        <w:spacing w:after="0" w:line="5" w:lineRule="exact"/>
        <w:rPr>
          <w:sz w:val="20"/>
          <w:szCs w:val="20"/>
          <w:color w:val="auto"/>
        </w:rPr>
      </w:pPr>
    </w:p>
    <w:p>
      <w:pPr>
        <w:ind w:left="5520"/>
        <w:spacing w:after="0"/>
        <w:rPr>
          <w:sz w:val="20"/>
          <w:szCs w:val="20"/>
          <w:color w:val="auto"/>
        </w:rPr>
      </w:pPr>
      <w:r>
        <w:rPr>
          <w:rFonts w:ascii="Arial" w:cs="Arial" w:eastAsia="Arial" w:hAnsi="Arial"/>
          <w:sz w:val="14"/>
          <w:szCs w:val="14"/>
          <w:color w:val="auto"/>
        </w:rPr>
        <w:t>Item 1</w:t>
      </w:r>
    </w:p>
    <w:p>
      <w:pPr>
        <w:spacing w:after="0" w:line="1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BALANCE SHEETS</w:t>
      </w:r>
    </w:p>
    <w:p>
      <w:pPr>
        <w:spacing w:after="0" w:line="19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 millions)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46990</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6" w:lineRule="exact"/>
        <w:rPr>
          <w:sz w:val="20"/>
          <w:szCs w:val="20"/>
          <w:color w:val="auto"/>
        </w:rPr>
      </w:pPr>
    </w:p>
    <w:p>
      <w:pPr>
        <w:jc w:val="right"/>
        <w:ind w:right="20"/>
        <w:spacing w:after="0"/>
        <w:tabs>
          <w:tab w:leader="none" w:pos="520" w:val="left"/>
        </w:tabs>
        <w:rPr>
          <w:sz w:val="20"/>
          <w:szCs w:val="20"/>
          <w:color w:val="auto"/>
        </w:rPr>
      </w:pPr>
      <w:r>
        <w:rPr>
          <w:rFonts w:ascii="Arial" w:cs="Arial" w:eastAsia="Arial" w:hAnsi="Arial"/>
          <w:sz w:val="14"/>
          <w:szCs w:val="14"/>
          <w:b w:val="1"/>
          <w:bCs w:val="1"/>
          <w:color w:val="auto"/>
        </w:rPr>
        <w:t>September 30,</w:t>
      </w:r>
      <w:r>
        <w:rPr>
          <w:sz w:val="20"/>
          <w:szCs w:val="20"/>
          <w:color w:val="auto"/>
        </w:rPr>
        <w:tab/>
      </w:r>
      <w:r>
        <w:rPr>
          <w:rFonts w:ascii="Arial" w:cs="Arial" w:eastAsia="Arial" w:hAnsi="Arial"/>
          <w:sz w:val="12"/>
          <w:szCs w:val="12"/>
          <w:b w:val="1"/>
          <w:bCs w:val="1"/>
          <w:color w:val="auto"/>
        </w:rPr>
        <w:t>June 30,</w:t>
      </w:r>
    </w:p>
    <w:p>
      <w:pPr>
        <w:spacing w:after="0" w:line="6" w:lineRule="exact"/>
        <w:rPr>
          <w:sz w:val="20"/>
          <w:szCs w:val="20"/>
          <w:color w:val="auto"/>
        </w:rPr>
      </w:pPr>
    </w:p>
    <w:p>
      <w:pPr>
        <w:jc w:val="both"/>
        <w:ind w:left="9660"/>
        <w:spacing w:after="0"/>
        <w:tabs>
          <w:tab w:leader="none" w:pos="10980" w:val="left"/>
        </w:tabs>
        <w:rPr>
          <w:sz w:val="20"/>
          <w:szCs w:val="20"/>
          <w:color w:val="auto"/>
        </w:rPr>
      </w:pPr>
      <w:r>
        <w:rPr>
          <w:rFonts w:ascii="Arial" w:cs="Arial" w:eastAsia="Arial" w:hAnsi="Arial"/>
          <w:sz w:val="14"/>
          <w:szCs w:val="14"/>
          <w:b w:val="1"/>
          <w:bCs w:val="1"/>
          <w:color w:val="auto"/>
        </w:rPr>
        <w:t>2017</w:t>
      </w:r>
      <w:r>
        <w:rPr>
          <w:sz w:val="20"/>
          <w:szCs w:val="20"/>
          <w:color w:val="auto"/>
        </w:rPr>
        <w:tab/>
      </w:r>
      <w:r>
        <w:rPr>
          <w:rFonts w:ascii="Arial" w:cs="Arial" w:eastAsia="Arial" w:hAnsi="Arial"/>
          <w:sz w:val="14"/>
          <w:szCs w:val="14"/>
          <w:b w:val="1"/>
          <w:bCs w:val="1"/>
          <w:color w:val="auto"/>
        </w:rPr>
        <w:t>2017</w:t>
      </w:r>
    </w:p>
    <w:p>
      <w:pPr>
        <w:sectPr>
          <w:pgSz w:w="11900" w:h="16838" w:orient="portrait"/>
          <w:cols w:equalWidth="0" w:num="1">
            <w:col w:w="11320"/>
          </w:cols>
          <w:pgMar w:left="240" w:top="122" w:right="339" w:bottom="1440" w:gutter="0" w:footer="0" w:header="0"/>
        </w:sectPr>
      </w:pP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820" w:type="dxa"/>
            <w:vAlign w:val="bottom"/>
          </w:tcPr>
          <w:p>
            <w:pPr>
              <w:spacing w:after="0"/>
              <w:rPr>
                <w:sz w:val="20"/>
                <w:szCs w:val="20"/>
                <w:color w:val="auto"/>
              </w:rPr>
            </w:pPr>
            <w:r>
              <w:rPr>
                <w:rFonts w:ascii="Arial" w:cs="Arial" w:eastAsia="Arial" w:hAnsi="Arial"/>
                <w:sz w:val="18"/>
                <w:szCs w:val="18"/>
                <w:b w:val="1"/>
                <w:bCs w:val="1"/>
                <w:color w:val="auto"/>
              </w:rPr>
              <w:t>Assets</w:t>
            </w: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820" w:type="dxa"/>
            <w:vAlign w:val="bottom"/>
          </w:tcPr>
          <w:p>
            <w:pPr>
              <w:spacing w:after="0" w:line="202" w:lineRule="exact"/>
              <w:rPr>
                <w:sz w:val="20"/>
                <w:szCs w:val="20"/>
                <w:color w:val="auto"/>
              </w:rPr>
            </w:pPr>
            <w:r>
              <w:rPr>
                <w:rFonts w:ascii="Arial" w:cs="Arial" w:eastAsia="Arial" w:hAnsi="Arial"/>
                <w:sz w:val="18"/>
                <w:szCs w:val="18"/>
                <w:color w:val="auto"/>
              </w:rPr>
              <w:t>Current assets:</w:t>
            </w:r>
          </w:p>
        </w:tc>
        <w:tc>
          <w:tcPr>
            <w:tcW w:w="300" w:type="dxa"/>
            <w:vAlign w:val="bottom"/>
            <w:vMerge w:val="restart"/>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8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6,884</w:t>
            </w:r>
          </w:p>
        </w:tc>
        <w:tc>
          <w:tcPr>
            <w:tcW w:w="0" w:type="dxa"/>
            <w:vAlign w:val="bottom"/>
          </w:tcPr>
          <w:p>
            <w:pPr>
              <w:spacing w:after="0"/>
              <w:rPr>
                <w:sz w:val="1"/>
                <w:szCs w:val="1"/>
                <w:color w:val="auto"/>
              </w:rPr>
            </w:pPr>
          </w:p>
        </w:tc>
      </w:tr>
      <w:tr>
        <w:trPr>
          <w:trHeight w:val="201"/>
        </w:trPr>
        <w:tc>
          <w:tcPr>
            <w:tcW w:w="8820" w:type="dxa"/>
            <w:vAlign w:val="bottom"/>
          </w:tcPr>
          <w:p>
            <w:pPr>
              <w:ind w:left="220"/>
              <w:spacing w:after="0" w:line="201" w:lineRule="exact"/>
              <w:rPr>
                <w:sz w:val="20"/>
                <w:szCs w:val="20"/>
                <w:color w:val="auto"/>
              </w:rPr>
            </w:pPr>
            <w:r>
              <w:rPr>
                <w:rFonts w:ascii="Arial" w:cs="Arial" w:eastAsia="Arial" w:hAnsi="Arial"/>
                <w:sz w:val="18"/>
                <w:szCs w:val="18"/>
                <w:color w:val="auto"/>
              </w:rPr>
              <w:t>Cash and cash equivalents</w:t>
            </w:r>
          </w:p>
        </w:tc>
        <w:tc>
          <w:tcPr>
            <w:tcW w:w="300" w:type="dxa"/>
            <w:vAlign w:val="bottom"/>
            <w:vMerge w:val="continue"/>
          </w:tcPr>
          <w:p>
            <w:pPr>
              <w:spacing w:after="0"/>
              <w:rPr>
                <w:sz w:val="17"/>
                <w:szCs w:val="17"/>
                <w:color w:val="auto"/>
              </w:rPr>
            </w:pPr>
          </w:p>
        </w:tc>
        <w:tc>
          <w:tcPr>
            <w:tcW w:w="8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8820" w:type="dxa"/>
            <w:vAlign w:val="bottom"/>
          </w:tcPr>
          <w:p>
            <w:pPr>
              <w:ind w:left="220"/>
              <w:spacing w:after="0"/>
              <w:rPr>
                <w:sz w:val="20"/>
                <w:szCs w:val="20"/>
                <w:color w:val="auto"/>
              </w:rPr>
            </w:pPr>
            <w:r>
              <w:rPr>
                <w:rFonts w:ascii="Arial" w:cs="Arial" w:eastAsia="Arial" w:hAnsi="Arial"/>
                <w:sz w:val="18"/>
                <w:szCs w:val="18"/>
                <w:color w:val="auto"/>
              </w:rPr>
              <w:t xml:space="preserve">Short-term investments (including securities loaned of </w:t>
            </w:r>
            <w:r>
              <w:rPr>
                <w:rFonts w:ascii="Arial" w:cs="Arial" w:eastAsia="Arial" w:hAnsi="Arial"/>
                <w:sz w:val="18"/>
                <w:szCs w:val="18"/>
                <w:b w:val="1"/>
                <w:bCs w:val="1"/>
                <w:color w:val="auto"/>
              </w:rPr>
              <w:t>$4,774</w:t>
            </w:r>
            <w:r>
              <w:rPr>
                <w:rFonts w:ascii="Arial" w:cs="Arial" w:eastAsia="Arial" w:hAnsi="Arial"/>
                <w:sz w:val="18"/>
                <w:szCs w:val="18"/>
                <w:color w:val="auto"/>
              </w:rPr>
              <w:t xml:space="preserve"> and $3,694)</w:t>
            </w:r>
          </w:p>
        </w:tc>
        <w:tc>
          <w:tcPr>
            <w:tcW w:w="3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131,587</w:t>
            </w:r>
          </w:p>
        </w:tc>
        <w:tc>
          <w:tcPr>
            <w:tcW w:w="0" w:type="dxa"/>
            <w:vAlign w:val="bottom"/>
          </w:tcPr>
          <w:p>
            <w:pPr>
              <w:spacing w:after="0"/>
              <w:rPr>
                <w:sz w:val="1"/>
                <w:szCs w:val="1"/>
                <w:color w:val="auto"/>
              </w:rPr>
            </w:pPr>
          </w:p>
        </w:tc>
      </w:tr>
      <w:tr>
        <w:trPr>
          <w:trHeight w:val="42"/>
        </w:trPr>
        <w:tc>
          <w:tcPr>
            <w:tcW w:w="882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9"/>
        </w:trPr>
        <w:tc>
          <w:tcPr>
            <w:tcW w:w="8820" w:type="dxa"/>
            <w:vAlign w:val="bottom"/>
          </w:tcPr>
          <w:p>
            <w:pPr>
              <w:ind w:left="440"/>
              <w:spacing w:after="0"/>
              <w:rPr>
                <w:sz w:val="20"/>
                <w:szCs w:val="20"/>
                <w:color w:val="auto"/>
              </w:rPr>
            </w:pPr>
            <w:r>
              <w:rPr>
                <w:rFonts w:ascii="Arial" w:cs="Arial" w:eastAsia="Arial" w:hAnsi="Arial"/>
                <w:sz w:val="18"/>
                <w:szCs w:val="18"/>
                <w:color w:val="auto"/>
              </w:rPr>
              <w:t>Total cash, cash equivalents, and short-term investments</w:t>
            </w:r>
          </w:p>
        </w:tc>
        <w:tc>
          <w:tcPr>
            <w:tcW w:w="3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138,471</w:t>
            </w:r>
          </w:p>
        </w:tc>
        <w:tc>
          <w:tcPr>
            <w:tcW w:w="0" w:type="dxa"/>
            <w:vAlign w:val="bottom"/>
          </w:tcPr>
          <w:p>
            <w:pPr>
              <w:spacing w:after="0"/>
              <w:rPr>
                <w:sz w:val="1"/>
                <w:szCs w:val="1"/>
                <w:color w:val="auto"/>
              </w:rPr>
            </w:pPr>
          </w:p>
        </w:tc>
      </w:tr>
      <w:tr>
        <w:trPr>
          <w:trHeight w:val="203"/>
        </w:trPr>
        <w:tc>
          <w:tcPr>
            <w:tcW w:w="8820" w:type="dxa"/>
            <w:vAlign w:val="bottom"/>
          </w:tcPr>
          <w:p>
            <w:pPr>
              <w:ind w:left="220"/>
              <w:spacing w:after="0" w:line="202" w:lineRule="exact"/>
              <w:rPr>
                <w:sz w:val="20"/>
                <w:szCs w:val="20"/>
                <w:color w:val="auto"/>
              </w:rPr>
            </w:pPr>
            <w:r>
              <w:rPr>
                <w:rFonts w:ascii="Arial" w:cs="Arial" w:eastAsia="Arial" w:hAnsi="Arial"/>
                <w:sz w:val="18"/>
                <w:szCs w:val="18"/>
                <w:color w:val="auto"/>
              </w:rPr>
              <w:t xml:space="preserve">Accounts receivable, net of allowance for doubtful accounts of </w:t>
            </w:r>
            <w:r>
              <w:rPr>
                <w:rFonts w:ascii="Arial" w:cs="Arial" w:eastAsia="Arial" w:hAnsi="Arial"/>
                <w:sz w:val="18"/>
                <w:szCs w:val="18"/>
                <w:b w:val="1"/>
                <w:bCs w:val="1"/>
                <w:color w:val="auto"/>
              </w:rPr>
              <w:t>$285</w:t>
            </w:r>
            <w:r>
              <w:rPr>
                <w:rFonts w:ascii="Arial" w:cs="Arial" w:eastAsia="Arial" w:hAnsi="Arial"/>
                <w:sz w:val="18"/>
                <w:szCs w:val="18"/>
                <w:color w:val="auto"/>
              </w:rPr>
              <w:t xml:space="preserve"> and $345</w:t>
            </w:r>
          </w:p>
        </w:tc>
        <w:tc>
          <w:tcPr>
            <w:tcW w:w="30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14,561</w:t>
            </w:r>
          </w:p>
        </w:tc>
        <w:tc>
          <w:tcPr>
            <w:tcW w:w="0" w:type="dxa"/>
            <w:vAlign w:val="bottom"/>
          </w:tcPr>
          <w:p>
            <w:pPr>
              <w:spacing w:after="0"/>
              <w:rPr>
                <w:sz w:val="1"/>
                <w:szCs w:val="1"/>
                <w:color w:val="auto"/>
              </w:rPr>
            </w:pPr>
          </w:p>
        </w:tc>
      </w:tr>
      <w:tr>
        <w:trPr>
          <w:trHeight w:val="203"/>
        </w:trPr>
        <w:tc>
          <w:tcPr>
            <w:tcW w:w="8820" w:type="dxa"/>
            <w:vAlign w:val="bottom"/>
          </w:tcPr>
          <w:p>
            <w:pPr>
              <w:ind w:left="220"/>
              <w:spacing w:after="0" w:line="202" w:lineRule="exact"/>
              <w:rPr>
                <w:sz w:val="20"/>
                <w:szCs w:val="20"/>
                <w:color w:val="auto"/>
              </w:rPr>
            </w:pPr>
            <w:r>
              <w:rPr>
                <w:rFonts w:ascii="Arial" w:cs="Arial" w:eastAsia="Arial" w:hAnsi="Arial"/>
                <w:sz w:val="18"/>
                <w:szCs w:val="18"/>
                <w:color w:val="auto"/>
              </w:rPr>
              <w:t>Inventories</w:t>
            </w:r>
          </w:p>
        </w:tc>
        <w:tc>
          <w:tcPr>
            <w:tcW w:w="30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3,211</w:t>
            </w:r>
          </w:p>
        </w:tc>
        <w:tc>
          <w:tcPr>
            <w:tcW w:w="0" w:type="dxa"/>
            <w:vAlign w:val="bottom"/>
          </w:tcPr>
          <w:p>
            <w:pPr>
              <w:spacing w:after="0"/>
              <w:rPr>
                <w:sz w:val="1"/>
                <w:szCs w:val="1"/>
                <w:color w:val="auto"/>
              </w:rPr>
            </w:pPr>
          </w:p>
        </w:tc>
      </w:tr>
      <w:tr>
        <w:trPr>
          <w:trHeight w:val="253"/>
        </w:trPr>
        <w:tc>
          <w:tcPr>
            <w:tcW w:w="8820" w:type="dxa"/>
            <w:vAlign w:val="bottom"/>
          </w:tcPr>
          <w:p>
            <w:pPr>
              <w:ind w:left="220"/>
              <w:spacing w:after="0"/>
              <w:rPr>
                <w:sz w:val="20"/>
                <w:szCs w:val="20"/>
                <w:color w:val="auto"/>
              </w:rPr>
            </w:pPr>
            <w:r>
              <w:rPr>
                <w:rFonts w:ascii="Arial" w:cs="Arial" w:eastAsia="Arial" w:hAnsi="Arial"/>
                <w:sz w:val="18"/>
                <w:szCs w:val="18"/>
                <w:color w:val="auto"/>
              </w:rPr>
              <w:t>Other</w:t>
            </w:r>
          </w:p>
        </w:tc>
        <w:tc>
          <w:tcPr>
            <w:tcW w:w="3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4,788</w:t>
            </w:r>
          </w:p>
        </w:tc>
        <w:tc>
          <w:tcPr>
            <w:tcW w:w="0" w:type="dxa"/>
            <w:vAlign w:val="bottom"/>
          </w:tcPr>
          <w:p>
            <w:pPr>
              <w:spacing w:after="0"/>
              <w:rPr>
                <w:sz w:val="1"/>
                <w:szCs w:val="1"/>
                <w:color w:val="auto"/>
              </w:rPr>
            </w:pPr>
          </w:p>
        </w:tc>
      </w:tr>
      <w:tr>
        <w:trPr>
          <w:trHeight w:val="42"/>
        </w:trPr>
        <w:tc>
          <w:tcPr>
            <w:tcW w:w="882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9"/>
        </w:trPr>
        <w:tc>
          <w:tcPr>
            <w:tcW w:w="8820" w:type="dxa"/>
            <w:vAlign w:val="bottom"/>
          </w:tcPr>
          <w:p>
            <w:pPr>
              <w:ind w:left="440"/>
              <w:spacing w:after="0"/>
              <w:rPr>
                <w:sz w:val="20"/>
                <w:szCs w:val="20"/>
                <w:color w:val="auto"/>
              </w:rPr>
            </w:pPr>
            <w:r>
              <w:rPr>
                <w:rFonts w:ascii="Arial" w:cs="Arial" w:eastAsia="Arial" w:hAnsi="Arial"/>
                <w:sz w:val="18"/>
                <w:szCs w:val="18"/>
                <w:color w:val="auto"/>
              </w:rPr>
              <w:t>Total current assets</w:t>
            </w:r>
          </w:p>
        </w:tc>
        <w:tc>
          <w:tcPr>
            <w:tcW w:w="3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161,031</w:t>
            </w:r>
          </w:p>
        </w:tc>
        <w:tc>
          <w:tcPr>
            <w:tcW w:w="0" w:type="dxa"/>
            <w:vAlign w:val="bottom"/>
          </w:tcPr>
          <w:p>
            <w:pPr>
              <w:spacing w:after="0"/>
              <w:rPr>
                <w:sz w:val="1"/>
                <w:szCs w:val="1"/>
                <w:color w:val="auto"/>
              </w:rPr>
            </w:pPr>
          </w:p>
        </w:tc>
      </w:tr>
      <w:tr>
        <w:trPr>
          <w:trHeight w:val="243"/>
        </w:trPr>
        <w:tc>
          <w:tcPr>
            <w:tcW w:w="8820" w:type="dxa"/>
            <w:vAlign w:val="bottom"/>
          </w:tcPr>
          <w:p>
            <w:pPr>
              <w:spacing w:after="0"/>
              <w:rPr>
                <w:sz w:val="20"/>
                <w:szCs w:val="20"/>
                <w:color w:val="auto"/>
              </w:rPr>
            </w:pPr>
            <w:r>
              <w:rPr>
                <w:rFonts w:ascii="Arial" w:cs="Arial" w:eastAsia="Arial" w:hAnsi="Arial"/>
                <w:sz w:val="18"/>
                <w:szCs w:val="18"/>
                <w:color w:val="auto"/>
              </w:rPr>
              <w:t xml:space="preserve">Property and equipment, net of accumulated depreciation of </w:t>
            </w:r>
            <w:r>
              <w:rPr>
                <w:rFonts w:ascii="Arial" w:cs="Arial" w:eastAsia="Arial" w:hAnsi="Arial"/>
                <w:sz w:val="18"/>
                <w:szCs w:val="18"/>
                <w:b w:val="1"/>
                <w:bCs w:val="1"/>
                <w:color w:val="auto"/>
              </w:rPr>
              <w:t>$25,523</w:t>
            </w:r>
            <w:r>
              <w:rPr>
                <w:rFonts w:ascii="Arial" w:cs="Arial" w:eastAsia="Arial" w:hAnsi="Arial"/>
                <w:sz w:val="18"/>
                <w:szCs w:val="18"/>
                <w:color w:val="auto"/>
              </w:rPr>
              <w:t xml:space="preserve"> and $24,179</w:t>
            </w:r>
          </w:p>
        </w:tc>
        <w:tc>
          <w:tcPr>
            <w:tcW w:w="3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24,809</w:t>
            </w:r>
          </w:p>
        </w:tc>
        <w:tc>
          <w:tcPr>
            <w:tcW w:w="0" w:type="dxa"/>
            <w:vAlign w:val="bottom"/>
          </w:tcPr>
          <w:p>
            <w:pPr>
              <w:spacing w:after="0"/>
              <w:rPr>
                <w:sz w:val="1"/>
                <w:szCs w:val="1"/>
                <w:color w:val="auto"/>
              </w:rPr>
            </w:pPr>
          </w:p>
        </w:tc>
      </w:tr>
      <w:tr>
        <w:trPr>
          <w:trHeight w:val="203"/>
        </w:trPr>
        <w:tc>
          <w:tcPr>
            <w:tcW w:w="8820" w:type="dxa"/>
            <w:vAlign w:val="bottom"/>
          </w:tcPr>
          <w:p>
            <w:pPr>
              <w:spacing w:after="0" w:line="202" w:lineRule="exact"/>
              <w:rPr>
                <w:sz w:val="20"/>
                <w:szCs w:val="20"/>
                <w:color w:val="auto"/>
              </w:rPr>
            </w:pPr>
            <w:r>
              <w:rPr>
                <w:rFonts w:ascii="Arial" w:cs="Arial" w:eastAsia="Arial" w:hAnsi="Arial"/>
                <w:sz w:val="18"/>
                <w:szCs w:val="18"/>
                <w:color w:val="auto"/>
              </w:rPr>
              <w:t>Operating lease right-of-use assets</w:t>
            </w:r>
          </w:p>
        </w:tc>
        <w:tc>
          <w:tcPr>
            <w:tcW w:w="30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6,844</w:t>
            </w:r>
          </w:p>
        </w:tc>
        <w:tc>
          <w:tcPr>
            <w:tcW w:w="0" w:type="dxa"/>
            <w:vAlign w:val="bottom"/>
          </w:tcPr>
          <w:p>
            <w:pPr>
              <w:spacing w:after="0"/>
              <w:rPr>
                <w:sz w:val="1"/>
                <w:szCs w:val="1"/>
                <w:color w:val="auto"/>
              </w:rPr>
            </w:pPr>
          </w:p>
        </w:tc>
      </w:tr>
      <w:tr>
        <w:trPr>
          <w:trHeight w:val="203"/>
        </w:trPr>
        <w:tc>
          <w:tcPr>
            <w:tcW w:w="8820" w:type="dxa"/>
            <w:vAlign w:val="bottom"/>
          </w:tcPr>
          <w:p>
            <w:pPr>
              <w:spacing w:after="0" w:line="202" w:lineRule="exact"/>
              <w:rPr>
                <w:sz w:val="20"/>
                <w:szCs w:val="20"/>
                <w:color w:val="auto"/>
              </w:rPr>
            </w:pPr>
            <w:r>
              <w:rPr>
                <w:rFonts w:ascii="Arial" w:cs="Arial" w:eastAsia="Arial" w:hAnsi="Arial"/>
                <w:sz w:val="18"/>
                <w:szCs w:val="18"/>
                <w:color w:val="auto"/>
              </w:rPr>
              <w:t>Equity and other investments</w:t>
            </w:r>
          </w:p>
        </w:tc>
        <w:tc>
          <w:tcPr>
            <w:tcW w:w="30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5,343</w:t>
            </w:r>
          </w:p>
        </w:tc>
        <w:tc>
          <w:tcPr>
            <w:tcW w:w="0" w:type="dxa"/>
            <w:vAlign w:val="bottom"/>
          </w:tcPr>
          <w:p>
            <w:pPr>
              <w:spacing w:after="0"/>
              <w:rPr>
                <w:sz w:val="1"/>
                <w:szCs w:val="1"/>
                <w:color w:val="auto"/>
              </w:rPr>
            </w:pPr>
          </w:p>
        </w:tc>
      </w:tr>
      <w:tr>
        <w:trPr>
          <w:trHeight w:val="203"/>
        </w:trPr>
        <w:tc>
          <w:tcPr>
            <w:tcW w:w="8820" w:type="dxa"/>
            <w:vAlign w:val="bottom"/>
          </w:tcPr>
          <w:p>
            <w:pPr>
              <w:spacing w:after="0" w:line="202" w:lineRule="exact"/>
              <w:rPr>
                <w:sz w:val="20"/>
                <w:szCs w:val="20"/>
                <w:color w:val="auto"/>
              </w:rPr>
            </w:pPr>
            <w:r>
              <w:rPr>
                <w:rFonts w:ascii="Arial" w:cs="Arial" w:eastAsia="Arial" w:hAnsi="Arial"/>
                <w:sz w:val="18"/>
                <w:szCs w:val="18"/>
                <w:color w:val="auto"/>
              </w:rPr>
              <w:t>Goodwill</w:t>
            </w:r>
          </w:p>
        </w:tc>
        <w:tc>
          <w:tcPr>
            <w:tcW w:w="30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35,389</w:t>
            </w:r>
          </w:p>
        </w:tc>
        <w:tc>
          <w:tcPr>
            <w:tcW w:w="0" w:type="dxa"/>
            <w:vAlign w:val="bottom"/>
          </w:tcPr>
          <w:p>
            <w:pPr>
              <w:spacing w:after="0"/>
              <w:rPr>
                <w:sz w:val="1"/>
                <w:szCs w:val="1"/>
                <w:color w:val="auto"/>
              </w:rPr>
            </w:pPr>
          </w:p>
        </w:tc>
      </w:tr>
      <w:tr>
        <w:trPr>
          <w:trHeight w:val="203"/>
        </w:trPr>
        <w:tc>
          <w:tcPr>
            <w:tcW w:w="8820" w:type="dxa"/>
            <w:vAlign w:val="bottom"/>
          </w:tcPr>
          <w:p>
            <w:pPr>
              <w:spacing w:after="0" w:line="202" w:lineRule="exact"/>
              <w:rPr>
                <w:sz w:val="20"/>
                <w:szCs w:val="20"/>
                <w:color w:val="auto"/>
              </w:rPr>
            </w:pPr>
            <w:r>
              <w:rPr>
                <w:rFonts w:ascii="Arial" w:cs="Arial" w:eastAsia="Arial" w:hAnsi="Arial"/>
                <w:sz w:val="18"/>
                <w:szCs w:val="18"/>
                <w:color w:val="auto"/>
              </w:rPr>
              <w:t>Intangible assets, net</w:t>
            </w:r>
          </w:p>
        </w:tc>
        <w:tc>
          <w:tcPr>
            <w:tcW w:w="30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9,598</w:t>
            </w:r>
          </w:p>
        </w:tc>
        <w:tc>
          <w:tcPr>
            <w:tcW w:w="0" w:type="dxa"/>
            <w:vAlign w:val="bottom"/>
          </w:tcPr>
          <w:p>
            <w:pPr>
              <w:spacing w:after="0"/>
              <w:rPr>
                <w:sz w:val="1"/>
                <w:szCs w:val="1"/>
                <w:color w:val="auto"/>
              </w:rPr>
            </w:pPr>
          </w:p>
        </w:tc>
      </w:tr>
      <w:tr>
        <w:trPr>
          <w:trHeight w:val="253"/>
        </w:trPr>
        <w:tc>
          <w:tcPr>
            <w:tcW w:w="8820" w:type="dxa"/>
            <w:vAlign w:val="bottom"/>
          </w:tcPr>
          <w:p>
            <w:pPr>
              <w:spacing w:after="0"/>
              <w:rPr>
                <w:sz w:val="20"/>
                <w:szCs w:val="20"/>
                <w:color w:val="auto"/>
              </w:rPr>
            </w:pPr>
            <w:r>
              <w:rPr>
                <w:rFonts w:ascii="Arial" w:cs="Arial" w:eastAsia="Arial" w:hAnsi="Arial"/>
                <w:sz w:val="18"/>
                <w:szCs w:val="18"/>
                <w:color w:val="auto"/>
              </w:rPr>
              <w:t>Other long-term assets</w:t>
            </w:r>
          </w:p>
        </w:tc>
        <w:tc>
          <w:tcPr>
            <w:tcW w:w="3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6,083</w:t>
            </w:r>
          </w:p>
        </w:tc>
        <w:tc>
          <w:tcPr>
            <w:tcW w:w="0" w:type="dxa"/>
            <w:vAlign w:val="bottom"/>
          </w:tcPr>
          <w:p>
            <w:pPr>
              <w:spacing w:after="0"/>
              <w:rPr>
                <w:sz w:val="1"/>
                <w:szCs w:val="1"/>
                <w:color w:val="auto"/>
              </w:rPr>
            </w:pPr>
          </w:p>
        </w:tc>
      </w:tr>
      <w:tr>
        <w:trPr>
          <w:trHeight w:val="42"/>
        </w:trPr>
        <w:tc>
          <w:tcPr>
            <w:tcW w:w="882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89"/>
        </w:trPr>
        <w:tc>
          <w:tcPr>
            <w:tcW w:w="8820" w:type="dxa"/>
            <w:vAlign w:val="bottom"/>
          </w:tcPr>
          <w:p>
            <w:pPr>
              <w:ind w:left="880"/>
              <w:spacing w:after="0"/>
              <w:rPr>
                <w:sz w:val="20"/>
                <w:szCs w:val="20"/>
                <w:color w:val="auto"/>
              </w:rPr>
            </w:pPr>
            <w:r>
              <w:rPr>
                <w:rFonts w:ascii="Arial" w:cs="Arial" w:eastAsia="Arial" w:hAnsi="Arial"/>
                <w:sz w:val="18"/>
                <w:szCs w:val="18"/>
                <w:color w:val="auto"/>
              </w:rPr>
              <w:t>Total assets</w:t>
            </w:r>
          </w:p>
        </w:tc>
        <w:tc>
          <w:tcPr>
            <w:tcW w:w="300" w:type="dxa"/>
            <w:vAlign w:val="bottom"/>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249,097</w:t>
            </w:r>
          </w:p>
        </w:tc>
        <w:tc>
          <w:tcPr>
            <w:tcW w:w="0" w:type="dxa"/>
            <w:vAlign w:val="bottom"/>
          </w:tcPr>
          <w:p>
            <w:pPr>
              <w:spacing w:after="0"/>
              <w:rPr>
                <w:sz w:val="1"/>
                <w:szCs w:val="1"/>
                <w:color w:val="auto"/>
              </w:rPr>
            </w:pPr>
          </w:p>
        </w:tc>
      </w:tr>
      <w:tr>
        <w:trPr>
          <w:trHeight w:val="49"/>
        </w:trPr>
        <w:tc>
          <w:tcPr>
            <w:tcW w:w="882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30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7"/>
        </w:trPr>
        <w:tc>
          <w:tcPr>
            <w:tcW w:w="8820" w:type="dxa"/>
            <w:vAlign w:val="bottom"/>
            <w:vMerge w:val="continue"/>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8820" w:type="dxa"/>
            <w:vAlign w:val="bottom"/>
          </w:tcPr>
          <w:p>
            <w:pPr>
              <w:spacing w:after="0" w:line="202" w:lineRule="exact"/>
              <w:rPr>
                <w:sz w:val="20"/>
                <w:szCs w:val="20"/>
                <w:color w:val="auto"/>
              </w:rPr>
            </w:pPr>
            <w:r>
              <w:rPr>
                <w:rFonts w:ascii="Arial" w:cs="Arial" w:eastAsia="Arial" w:hAnsi="Arial"/>
                <w:sz w:val="18"/>
                <w:szCs w:val="18"/>
                <w:color w:val="auto"/>
              </w:rPr>
              <w:t>Current liabilities:</w:t>
            </w:r>
          </w:p>
        </w:tc>
        <w:tc>
          <w:tcPr>
            <w:tcW w:w="300" w:type="dxa"/>
            <w:vAlign w:val="bottom"/>
            <w:vMerge w:val="restart"/>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8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6,866</w:t>
            </w:r>
          </w:p>
        </w:tc>
        <w:tc>
          <w:tcPr>
            <w:tcW w:w="0" w:type="dxa"/>
            <w:vAlign w:val="bottom"/>
          </w:tcPr>
          <w:p>
            <w:pPr>
              <w:spacing w:after="0"/>
              <w:rPr>
                <w:sz w:val="1"/>
                <w:szCs w:val="1"/>
                <w:color w:val="auto"/>
              </w:rPr>
            </w:pPr>
          </w:p>
        </w:tc>
      </w:tr>
      <w:tr>
        <w:trPr>
          <w:trHeight w:val="201"/>
        </w:trPr>
        <w:tc>
          <w:tcPr>
            <w:tcW w:w="8820" w:type="dxa"/>
            <w:vAlign w:val="bottom"/>
          </w:tcPr>
          <w:p>
            <w:pPr>
              <w:ind w:left="220"/>
              <w:spacing w:after="0" w:line="201" w:lineRule="exact"/>
              <w:rPr>
                <w:sz w:val="20"/>
                <w:szCs w:val="20"/>
                <w:color w:val="auto"/>
              </w:rPr>
            </w:pPr>
            <w:r>
              <w:rPr>
                <w:rFonts w:ascii="Arial" w:cs="Arial" w:eastAsia="Arial" w:hAnsi="Arial"/>
                <w:sz w:val="18"/>
                <w:szCs w:val="18"/>
                <w:color w:val="auto"/>
              </w:rPr>
              <w:t>Accounts payable</w:t>
            </w:r>
          </w:p>
        </w:tc>
        <w:tc>
          <w:tcPr>
            <w:tcW w:w="300" w:type="dxa"/>
            <w:vAlign w:val="bottom"/>
            <w:vMerge w:val="continue"/>
          </w:tcPr>
          <w:p>
            <w:pPr>
              <w:spacing w:after="0"/>
              <w:rPr>
                <w:sz w:val="17"/>
                <w:szCs w:val="17"/>
                <w:color w:val="auto"/>
              </w:rPr>
            </w:pPr>
          </w:p>
        </w:tc>
        <w:tc>
          <w:tcPr>
            <w:tcW w:w="8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8820" w:type="dxa"/>
            <w:vAlign w:val="bottom"/>
          </w:tcPr>
          <w:p>
            <w:pPr>
              <w:ind w:left="220"/>
              <w:spacing w:after="0" w:line="205" w:lineRule="exact"/>
              <w:rPr>
                <w:sz w:val="20"/>
                <w:szCs w:val="20"/>
                <w:color w:val="auto"/>
              </w:rPr>
            </w:pPr>
            <w:r>
              <w:rPr>
                <w:rFonts w:ascii="Arial" w:cs="Arial" w:eastAsia="Arial" w:hAnsi="Arial"/>
                <w:sz w:val="18"/>
                <w:szCs w:val="18"/>
                <w:color w:val="auto"/>
              </w:rPr>
              <w:t>Short-term debt</w:t>
            </w:r>
          </w:p>
        </w:tc>
        <w:tc>
          <w:tcPr>
            <w:tcW w:w="300" w:type="dxa"/>
            <w:vAlign w:val="bottom"/>
          </w:tcPr>
          <w:p>
            <w:pPr>
              <w:spacing w:after="0"/>
              <w:rPr>
                <w:sz w:val="17"/>
                <w:szCs w:val="17"/>
                <w:color w:val="auto"/>
              </w:rPr>
            </w:pPr>
          </w:p>
        </w:tc>
        <w:tc>
          <w:tcPr>
            <w:tcW w:w="840" w:type="dxa"/>
            <w:vAlign w:val="bottom"/>
          </w:tcPr>
          <w:p>
            <w:pPr>
              <w:jc w:val="right"/>
              <w:spacing w:after="0" w:line="205" w:lineRule="exact"/>
              <w:rPr>
                <w:sz w:val="20"/>
                <w:szCs w:val="20"/>
                <w:color w:val="auto"/>
              </w:rPr>
            </w:pPr>
            <w:r>
              <w:rPr>
                <w:rFonts w:ascii="Arial" w:cs="Arial" w:eastAsia="Arial" w:hAnsi="Arial"/>
                <w:sz w:val="18"/>
                <w:szCs w:val="18"/>
                <w:b w:val="1"/>
                <w:bCs w:val="1"/>
                <w:color w:val="auto"/>
              </w:rPr>
              <w:t>8,170</w:t>
            </w:r>
          </w:p>
        </w:tc>
        <w:tc>
          <w:tcPr>
            <w:tcW w:w="0" w:type="dxa"/>
            <w:vAlign w:val="bottom"/>
          </w:tcPr>
          <w:p>
            <w:pPr>
              <w:spacing w:after="0"/>
              <w:rPr>
                <w:sz w:val="1"/>
                <w:szCs w:val="1"/>
                <w:color w:val="auto"/>
              </w:rPr>
            </w:pPr>
          </w:p>
        </w:tc>
      </w:tr>
      <w:tr>
        <w:trPr>
          <w:trHeight w:val="241"/>
        </w:trPr>
        <w:tc>
          <w:tcPr>
            <w:tcW w:w="8820" w:type="dxa"/>
            <w:vAlign w:val="bottom"/>
          </w:tcPr>
          <w:p>
            <w:pPr>
              <w:ind w:left="220"/>
              <w:spacing w:after="0"/>
              <w:rPr>
                <w:sz w:val="20"/>
                <w:szCs w:val="20"/>
                <w:color w:val="auto"/>
              </w:rPr>
            </w:pPr>
            <w:r>
              <w:rPr>
                <w:rFonts w:ascii="Arial" w:cs="Arial" w:eastAsia="Arial" w:hAnsi="Arial"/>
                <w:sz w:val="18"/>
                <w:szCs w:val="18"/>
                <w:color w:val="auto"/>
              </w:rPr>
              <w:t>Current portion of long-term debt</w:t>
            </w:r>
          </w:p>
        </w:tc>
        <w:tc>
          <w:tcPr>
            <w:tcW w:w="3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1,050</w:t>
            </w:r>
          </w:p>
        </w:tc>
        <w:tc>
          <w:tcPr>
            <w:tcW w:w="0" w:type="dxa"/>
            <w:vAlign w:val="bottom"/>
          </w:tcPr>
          <w:p>
            <w:pPr>
              <w:spacing w:after="0"/>
              <w:rPr>
                <w:sz w:val="1"/>
                <w:szCs w:val="1"/>
                <w:color w:val="auto"/>
              </w:rPr>
            </w:pPr>
          </w:p>
        </w:tc>
      </w:tr>
      <w:tr>
        <w:trPr>
          <w:trHeight w:val="203"/>
        </w:trPr>
        <w:tc>
          <w:tcPr>
            <w:tcW w:w="8820" w:type="dxa"/>
            <w:vAlign w:val="bottom"/>
          </w:tcPr>
          <w:p>
            <w:pPr>
              <w:ind w:left="220"/>
              <w:spacing w:after="0" w:line="202" w:lineRule="exact"/>
              <w:rPr>
                <w:sz w:val="20"/>
                <w:szCs w:val="20"/>
                <w:color w:val="auto"/>
              </w:rPr>
            </w:pPr>
            <w:r>
              <w:rPr>
                <w:rFonts w:ascii="Arial" w:cs="Arial" w:eastAsia="Arial" w:hAnsi="Arial"/>
                <w:sz w:val="18"/>
                <w:szCs w:val="18"/>
                <w:color w:val="auto"/>
              </w:rPr>
              <w:t>Accrued compensation</w:t>
            </w:r>
          </w:p>
        </w:tc>
        <w:tc>
          <w:tcPr>
            <w:tcW w:w="30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4,108</w:t>
            </w:r>
          </w:p>
        </w:tc>
        <w:tc>
          <w:tcPr>
            <w:tcW w:w="0" w:type="dxa"/>
            <w:vAlign w:val="bottom"/>
          </w:tcPr>
          <w:p>
            <w:pPr>
              <w:spacing w:after="0"/>
              <w:rPr>
                <w:sz w:val="1"/>
                <w:szCs w:val="1"/>
                <w:color w:val="auto"/>
              </w:rPr>
            </w:pPr>
          </w:p>
        </w:tc>
      </w:tr>
      <w:tr>
        <w:trPr>
          <w:trHeight w:val="203"/>
        </w:trPr>
        <w:tc>
          <w:tcPr>
            <w:tcW w:w="8820" w:type="dxa"/>
            <w:vAlign w:val="bottom"/>
          </w:tcPr>
          <w:p>
            <w:pPr>
              <w:ind w:left="220"/>
              <w:spacing w:after="0" w:line="202" w:lineRule="exact"/>
              <w:rPr>
                <w:sz w:val="20"/>
                <w:szCs w:val="20"/>
                <w:color w:val="auto"/>
              </w:rPr>
            </w:pPr>
            <w:r>
              <w:rPr>
                <w:rFonts w:ascii="Arial" w:cs="Arial" w:eastAsia="Arial" w:hAnsi="Arial"/>
                <w:sz w:val="18"/>
                <w:szCs w:val="18"/>
                <w:color w:val="auto"/>
              </w:rPr>
              <w:t>Income taxes</w:t>
            </w:r>
          </w:p>
        </w:tc>
        <w:tc>
          <w:tcPr>
            <w:tcW w:w="30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920</w:t>
            </w:r>
          </w:p>
        </w:tc>
        <w:tc>
          <w:tcPr>
            <w:tcW w:w="0" w:type="dxa"/>
            <w:vAlign w:val="bottom"/>
          </w:tcPr>
          <w:p>
            <w:pPr>
              <w:spacing w:after="0"/>
              <w:rPr>
                <w:sz w:val="1"/>
                <w:szCs w:val="1"/>
                <w:color w:val="auto"/>
              </w:rPr>
            </w:pPr>
          </w:p>
        </w:tc>
      </w:tr>
      <w:tr>
        <w:trPr>
          <w:trHeight w:val="203"/>
        </w:trPr>
        <w:tc>
          <w:tcPr>
            <w:tcW w:w="8820" w:type="dxa"/>
            <w:vAlign w:val="bottom"/>
          </w:tcPr>
          <w:p>
            <w:pPr>
              <w:ind w:left="220"/>
              <w:spacing w:after="0" w:line="202" w:lineRule="exact"/>
              <w:rPr>
                <w:sz w:val="20"/>
                <w:szCs w:val="20"/>
                <w:color w:val="auto"/>
              </w:rPr>
            </w:pPr>
            <w:r>
              <w:rPr>
                <w:rFonts w:ascii="Arial" w:cs="Arial" w:eastAsia="Arial" w:hAnsi="Arial"/>
                <w:sz w:val="18"/>
                <w:szCs w:val="18"/>
                <w:color w:val="auto"/>
              </w:rPr>
              <w:t>Short-term unearned revenue</w:t>
            </w:r>
          </w:p>
        </w:tc>
        <w:tc>
          <w:tcPr>
            <w:tcW w:w="30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22,778</w:t>
            </w:r>
          </w:p>
        </w:tc>
        <w:tc>
          <w:tcPr>
            <w:tcW w:w="0" w:type="dxa"/>
            <w:vAlign w:val="bottom"/>
          </w:tcPr>
          <w:p>
            <w:pPr>
              <w:spacing w:after="0"/>
              <w:rPr>
                <w:sz w:val="1"/>
                <w:szCs w:val="1"/>
                <w:color w:val="auto"/>
              </w:rPr>
            </w:pPr>
          </w:p>
        </w:tc>
      </w:tr>
      <w:tr>
        <w:trPr>
          <w:trHeight w:val="203"/>
        </w:trPr>
        <w:tc>
          <w:tcPr>
            <w:tcW w:w="8820" w:type="dxa"/>
            <w:vAlign w:val="bottom"/>
          </w:tcPr>
          <w:p>
            <w:pPr>
              <w:ind w:left="220"/>
              <w:spacing w:after="0" w:line="202" w:lineRule="exact"/>
              <w:rPr>
                <w:sz w:val="20"/>
                <w:szCs w:val="20"/>
                <w:color w:val="auto"/>
              </w:rPr>
            </w:pPr>
            <w:r>
              <w:rPr>
                <w:rFonts w:ascii="Arial" w:cs="Arial" w:eastAsia="Arial" w:hAnsi="Arial"/>
                <w:sz w:val="18"/>
                <w:szCs w:val="18"/>
                <w:color w:val="auto"/>
              </w:rPr>
              <w:t>Securities lending payable</w:t>
            </w:r>
          </w:p>
        </w:tc>
        <w:tc>
          <w:tcPr>
            <w:tcW w:w="30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203</w:t>
            </w:r>
          </w:p>
        </w:tc>
        <w:tc>
          <w:tcPr>
            <w:tcW w:w="0" w:type="dxa"/>
            <w:vAlign w:val="bottom"/>
          </w:tcPr>
          <w:p>
            <w:pPr>
              <w:spacing w:after="0"/>
              <w:rPr>
                <w:sz w:val="1"/>
                <w:szCs w:val="1"/>
                <w:color w:val="auto"/>
              </w:rPr>
            </w:pPr>
          </w:p>
        </w:tc>
      </w:tr>
      <w:tr>
        <w:trPr>
          <w:trHeight w:val="253"/>
        </w:trPr>
        <w:tc>
          <w:tcPr>
            <w:tcW w:w="8820" w:type="dxa"/>
            <w:vAlign w:val="bottom"/>
          </w:tcPr>
          <w:p>
            <w:pPr>
              <w:ind w:left="220"/>
              <w:spacing w:after="0"/>
              <w:rPr>
                <w:sz w:val="20"/>
                <w:szCs w:val="20"/>
                <w:color w:val="auto"/>
              </w:rPr>
            </w:pPr>
            <w:r>
              <w:rPr>
                <w:rFonts w:ascii="Arial" w:cs="Arial" w:eastAsia="Arial" w:hAnsi="Arial"/>
                <w:sz w:val="18"/>
                <w:szCs w:val="18"/>
                <w:color w:val="auto"/>
              </w:rPr>
              <w:t>Other</w:t>
            </w:r>
          </w:p>
        </w:tc>
        <w:tc>
          <w:tcPr>
            <w:tcW w:w="3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7,520</w:t>
            </w:r>
          </w:p>
        </w:tc>
        <w:tc>
          <w:tcPr>
            <w:tcW w:w="0" w:type="dxa"/>
            <w:vAlign w:val="bottom"/>
          </w:tcPr>
          <w:p>
            <w:pPr>
              <w:spacing w:after="0"/>
              <w:rPr>
                <w:sz w:val="1"/>
                <w:szCs w:val="1"/>
                <w:color w:val="auto"/>
              </w:rPr>
            </w:pPr>
          </w:p>
        </w:tc>
      </w:tr>
      <w:tr>
        <w:trPr>
          <w:trHeight w:val="42"/>
        </w:trPr>
        <w:tc>
          <w:tcPr>
            <w:tcW w:w="882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9"/>
        </w:trPr>
        <w:tc>
          <w:tcPr>
            <w:tcW w:w="8820" w:type="dxa"/>
            <w:vAlign w:val="bottom"/>
          </w:tcPr>
          <w:p>
            <w:pPr>
              <w:ind w:left="440"/>
              <w:spacing w:after="0"/>
              <w:rPr>
                <w:sz w:val="20"/>
                <w:szCs w:val="20"/>
                <w:color w:val="auto"/>
              </w:rPr>
            </w:pPr>
            <w:r>
              <w:rPr>
                <w:rFonts w:ascii="Arial" w:cs="Arial" w:eastAsia="Arial" w:hAnsi="Arial"/>
                <w:sz w:val="18"/>
                <w:szCs w:val="18"/>
                <w:color w:val="auto"/>
              </w:rPr>
              <w:t>Total current liabilities</w:t>
            </w:r>
          </w:p>
        </w:tc>
        <w:tc>
          <w:tcPr>
            <w:tcW w:w="3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51,615</w:t>
            </w:r>
          </w:p>
        </w:tc>
        <w:tc>
          <w:tcPr>
            <w:tcW w:w="0" w:type="dxa"/>
            <w:vAlign w:val="bottom"/>
          </w:tcPr>
          <w:p>
            <w:pPr>
              <w:spacing w:after="0"/>
              <w:rPr>
                <w:sz w:val="1"/>
                <w:szCs w:val="1"/>
                <w:color w:val="auto"/>
              </w:rPr>
            </w:pPr>
          </w:p>
        </w:tc>
      </w:tr>
      <w:tr>
        <w:trPr>
          <w:trHeight w:val="203"/>
        </w:trPr>
        <w:tc>
          <w:tcPr>
            <w:tcW w:w="8820" w:type="dxa"/>
            <w:vAlign w:val="bottom"/>
          </w:tcPr>
          <w:p>
            <w:pPr>
              <w:spacing w:after="0" w:line="202" w:lineRule="exact"/>
              <w:rPr>
                <w:sz w:val="20"/>
                <w:szCs w:val="20"/>
                <w:color w:val="auto"/>
              </w:rPr>
            </w:pPr>
            <w:r>
              <w:rPr>
                <w:rFonts w:ascii="Arial" w:cs="Arial" w:eastAsia="Arial" w:hAnsi="Arial"/>
                <w:sz w:val="18"/>
                <w:szCs w:val="18"/>
                <w:color w:val="auto"/>
              </w:rPr>
              <w:t>Long-term debt</w:t>
            </w:r>
          </w:p>
        </w:tc>
        <w:tc>
          <w:tcPr>
            <w:tcW w:w="30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76,255</w:t>
            </w:r>
          </w:p>
        </w:tc>
        <w:tc>
          <w:tcPr>
            <w:tcW w:w="0" w:type="dxa"/>
            <w:vAlign w:val="bottom"/>
          </w:tcPr>
          <w:p>
            <w:pPr>
              <w:spacing w:after="0"/>
              <w:rPr>
                <w:sz w:val="1"/>
                <w:szCs w:val="1"/>
                <w:color w:val="auto"/>
              </w:rPr>
            </w:pPr>
          </w:p>
        </w:tc>
      </w:tr>
      <w:tr>
        <w:trPr>
          <w:trHeight w:val="203"/>
        </w:trPr>
        <w:tc>
          <w:tcPr>
            <w:tcW w:w="8820" w:type="dxa"/>
            <w:vAlign w:val="bottom"/>
          </w:tcPr>
          <w:p>
            <w:pPr>
              <w:spacing w:after="0" w:line="202" w:lineRule="exact"/>
              <w:rPr>
                <w:sz w:val="20"/>
                <w:szCs w:val="20"/>
                <w:color w:val="auto"/>
              </w:rPr>
            </w:pPr>
            <w:r>
              <w:rPr>
                <w:rFonts w:ascii="Arial" w:cs="Arial" w:eastAsia="Arial" w:hAnsi="Arial"/>
                <w:sz w:val="18"/>
                <w:szCs w:val="18"/>
                <w:color w:val="auto"/>
              </w:rPr>
              <w:t>Long-term unearned revenue</w:t>
            </w:r>
          </w:p>
        </w:tc>
        <w:tc>
          <w:tcPr>
            <w:tcW w:w="30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2,126</w:t>
            </w:r>
          </w:p>
        </w:tc>
        <w:tc>
          <w:tcPr>
            <w:tcW w:w="0" w:type="dxa"/>
            <w:vAlign w:val="bottom"/>
          </w:tcPr>
          <w:p>
            <w:pPr>
              <w:spacing w:after="0"/>
              <w:rPr>
                <w:sz w:val="1"/>
                <w:szCs w:val="1"/>
                <w:color w:val="auto"/>
              </w:rPr>
            </w:pPr>
          </w:p>
        </w:tc>
      </w:tr>
      <w:tr>
        <w:trPr>
          <w:trHeight w:val="205"/>
        </w:trPr>
        <w:tc>
          <w:tcPr>
            <w:tcW w:w="8820" w:type="dxa"/>
            <w:vAlign w:val="bottom"/>
          </w:tcPr>
          <w:p>
            <w:pPr>
              <w:spacing w:after="0" w:line="205" w:lineRule="exact"/>
              <w:rPr>
                <w:sz w:val="20"/>
                <w:szCs w:val="20"/>
                <w:color w:val="auto"/>
              </w:rPr>
            </w:pPr>
            <w:r>
              <w:rPr>
                <w:rFonts w:ascii="Arial" w:cs="Arial" w:eastAsia="Arial" w:hAnsi="Arial"/>
                <w:sz w:val="18"/>
                <w:szCs w:val="18"/>
                <w:color w:val="auto"/>
              </w:rPr>
              <w:t>Deferred income taxes</w:t>
            </w:r>
          </w:p>
        </w:tc>
        <w:tc>
          <w:tcPr>
            <w:tcW w:w="300" w:type="dxa"/>
            <w:vAlign w:val="bottom"/>
          </w:tcPr>
          <w:p>
            <w:pPr>
              <w:spacing w:after="0"/>
              <w:rPr>
                <w:sz w:val="17"/>
                <w:szCs w:val="17"/>
                <w:color w:val="auto"/>
              </w:rPr>
            </w:pPr>
          </w:p>
        </w:tc>
        <w:tc>
          <w:tcPr>
            <w:tcW w:w="840" w:type="dxa"/>
            <w:vAlign w:val="bottom"/>
          </w:tcPr>
          <w:p>
            <w:pPr>
              <w:jc w:val="right"/>
              <w:spacing w:after="0" w:line="205" w:lineRule="exact"/>
              <w:rPr>
                <w:sz w:val="20"/>
                <w:szCs w:val="20"/>
                <w:color w:val="auto"/>
              </w:rPr>
            </w:pPr>
            <w:r>
              <w:rPr>
                <w:rFonts w:ascii="Arial" w:cs="Arial" w:eastAsia="Arial" w:hAnsi="Arial"/>
                <w:sz w:val="18"/>
                <w:szCs w:val="18"/>
                <w:b w:val="1"/>
                <w:bCs w:val="1"/>
                <w:color w:val="auto"/>
              </w:rPr>
              <w:t>5,513</w:t>
            </w:r>
          </w:p>
        </w:tc>
        <w:tc>
          <w:tcPr>
            <w:tcW w:w="0" w:type="dxa"/>
            <w:vAlign w:val="bottom"/>
          </w:tcPr>
          <w:p>
            <w:pPr>
              <w:spacing w:after="0"/>
              <w:rPr>
                <w:sz w:val="1"/>
                <w:szCs w:val="1"/>
                <w:color w:val="auto"/>
              </w:rPr>
            </w:pPr>
          </w:p>
        </w:tc>
      </w:tr>
      <w:tr>
        <w:trPr>
          <w:trHeight w:val="241"/>
        </w:trPr>
        <w:tc>
          <w:tcPr>
            <w:tcW w:w="8820" w:type="dxa"/>
            <w:vAlign w:val="bottom"/>
          </w:tcPr>
          <w:p>
            <w:pPr>
              <w:spacing w:after="0"/>
              <w:rPr>
                <w:sz w:val="20"/>
                <w:szCs w:val="20"/>
                <w:color w:val="auto"/>
              </w:rPr>
            </w:pPr>
            <w:r>
              <w:rPr>
                <w:rFonts w:ascii="Arial" w:cs="Arial" w:eastAsia="Arial" w:hAnsi="Arial"/>
                <w:sz w:val="18"/>
                <w:szCs w:val="18"/>
                <w:color w:val="auto"/>
              </w:rPr>
              <w:t>Operating lease liabilities</w:t>
            </w:r>
          </w:p>
        </w:tc>
        <w:tc>
          <w:tcPr>
            <w:tcW w:w="3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5,768</w:t>
            </w:r>
          </w:p>
        </w:tc>
        <w:tc>
          <w:tcPr>
            <w:tcW w:w="0" w:type="dxa"/>
            <w:vAlign w:val="bottom"/>
          </w:tcPr>
          <w:p>
            <w:pPr>
              <w:spacing w:after="0"/>
              <w:rPr>
                <w:sz w:val="1"/>
                <w:szCs w:val="1"/>
                <w:color w:val="auto"/>
              </w:rPr>
            </w:pPr>
          </w:p>
        </w:tc>
      </w:tr>
      <w:tr>
        <w:trPr>
          <w:trHeight w:val="253"/>
        </w:trPr>
        <w:tc>
          <w:tcPr>
            <w:tcW w:w="8820" w:type="dxa"/>
            <w:vAlign w:val="bottom"/>
          </w:tcPr>
          <w:p>
            <w:pPr>
              <w:spacing w:after="0"/>
              <w:rPr>
                <w:sz w:val="20"/>
                <w:szCs w:val="20"/>
                <w:color w:val="auto"/>
              </w:rPr>
            </w:pPr>
            <w:r>
              <w:rPr>
                <w:rFonts w:ascii="Arial" w:cs="Arial" w:eastAsia="Arial" w:hAnsi="Arial"/>
                <w:sz w:val="18"/>
                <w:szCs w:val="18"/>
                <w:color w:val="auto"/>
              </w:rPr>
              <w:t>Other long-term liabilities</w:t>
            </w:r>
          </w:p>
        </w:tc>
        <w:tc>
          <w:tcPr>
            <w:tcW w:w="3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18,173</w:t>
            </w:r>
          </w:p>
        </w:tc>
        <w:tc>
          <w:tcPr>
            <w:tcW w:w="0" w:type="dxa"/>
            <w:vAlign w:val="bottom"/>
          </w:tcPr>
          <w:p>
            <w:pPr>
              <w:spacing w:after="0"/>
              <w:rPr>
                <w:sz w:val="1"/>
                <w:szCs w:val="1"/>
                <w:color w:val="auto"/>
              </w:rPr>
            </w:pPr>
          </w:p>
        </w:tc>
      </w:tr>
      <w:tr>
        <w:trPr>
          <w:trHeight w:val="42"/>
        </w:trPr>
        <w:tc>
          <w:tcPr>
            <w:tcW w:w="882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89"/>
        </w:trPr>
        <w:tc>
          <w:tcPr>
            <w:tcW w:w="8820" w:type="dxa"/>
            <w:vAlign w:val="bottom"/>
          </w:tcPr>
          <w:p>
            <w:pPr>
              <w:ind w:left="660"/>
              <w:spacing w:after="0"/>
              <w:rPr>
                <w:sz w:val="20"/>
                <w:szCs w:val="20"/>
                <w:color w:val="auto"/>
              </w:rPr>
            </w:pPr>
            <w:r>
              <w:rPr>
                <w:rFonts w:ascii="Arial" w:cs="Arial" w:eastAsia="Arial" w:hAnsi="Arial"/>
                <w:sz w:val="18"/>
                <w:szCs w:val="18"/>
                <w:color w:val="auto"/>
              </w:rPr>
              <w:t>Total liabilities</w:t>
            </w:r>
          </w:p>
        </w:tc>
        <w:tc>
          <w:tcPr>
            <w:tcW w:w="3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159,450</w:t>
            </w:r>
          </w:p>
        </w:tc>
        <w:tc>
          <w:tcPr>
            <w:tcW w:w="0" w:type="dxa"/>
            <w:vAlign w:val="bottom"/>
          </w:tcPr>
          <w:p>
            <w:pPr>
              <w:spacing w:after="0"/>
              <w:rPr>
                <w:sz w:val="1"/>
                <w:szCs w:val="1"/>
                <w:color w:val="auto"/>
              </w:rPr>
            </w:pPr>
          </w:p>
        </w:tc>
      </w:tr>
      <w:tr>
        <w:trPr>
          <w:trHeight w:val="42"/>
        </w:trPr>
        <w:tc>
          <w:tcPr>
            <w:tcW w:w="882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1"/>
        </w:trPr>
        <w:tc>
          <w:tcPr>
            <w:tcW w:w="8820" w:type="dxa"/>
            <w:vAlign w:val="bottom"/>
          </w:tcPr>
          <w:p>
            <w:pPr>
              <w:spacing w:after="0"/>
              <w:rPr>
                <w:sz w:val="20"/>
                <w:szCs w:val="20"/>
                <w:color w:val="auto"/>
              </w:rPr>
            </w:pPr>
            <w:r>
              <w:rPr>
                <w:rFonts w:ascii="Arial" w:cs="Arial" w:eastAsia="Arial" w:hAnsi="Arial"/>
                <w:sz w:val="18"/>
                <w:szCs w:val="18"/>
                <w:color w:val="auto"/>
              </w:rPr>
              <w:t>Commitments and contingencies</w:t>
            </w: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1"/>
        </w:trPr>
        <w:tc>
          <w:tcPr>
            <w:tcW w:w="8820" w:type="dxa"/>
            <w:vAlign w:val="bottom"/>
          </w:tcPr>
          <w:p>
            <w:pPr>
              <w:spacing w:after="0" w:line="201" w:lineRule="exact"/>
              <w:rPr>
                <w:sz w:val="20"/>
                <w:szCs w:val="20"/>
                <w:color w:val="auto"/>
              </w:rPr>
            </w:pPr>
            <w:r>
              <w:rPr>
                <w:rFonts w:ascii="Arial" w:cs="Arial" w:eastAsia="Arial" w:hAnsi="Arial"/>
                <w:sz w:val="18"/>
                <w:szCs w:val="18"/>
                <w:color w:val="auto"/>
              </w:rPr>
              <w:t>Stockholders’ equity:</w:t>
            </w: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820" w:type="dxa"/>
            <w:vAlign w:val="bottom"/>
          </w:tcPr>
          <w:p>
            <w:pPr>
              <w:ind w:left="220"/>
              <w:spacing w:after="0" w:line="202" w:lineRule="exact"/>
              <w:rPr>
                <w:sz w:val="20"/>
                <w:szCs w:val="20"/>
                <w:color w:val="auto"/>
              </w:rPr>
            </w:pPr>
            <w:r>
              <w:rPr>
                <w:rFonts w:ascii="Arial" w:cs="Arial" w:eastAsia="Arial" w:hAnsi="Arial"/>
                <w:sz w:val="18"/>
                <w:szCs w:val="18"/>
                <w:color w:val="auto"/>
              </w:rPr>
              <w:t xml:space="preserve">Common stock and paid-in capital – shares authorized 24,000; outstanding </w:t>
            </w:r>
            <w:r>
              <w:rPr>
                <w:rFonts w:ascii="Arial" w:cs="Arial" w:eastAsia="Arial" w:hAnsi="Arial"/>
                <w:sz w:val="18"/>
                <w:szCs w:val="18"/>
                <w:b w:val="1"/>
                <w:bCs w:val="1"/>
                <w:color w:val="auto"/>
              </w:rPr>
              <w:t>7,720</w:t>
            </w:r>
            <w:r>
              <w:rPr>
                <w:rFonts w:ascii="Arial" w:cs="Arial" w:eastAsia="Arial" w:hAnsi="Arial"/>
                <w:sz w:val="18"/>
                <w:szCs w:val="18"/>
                <w:color w:val="auto"/>
              </w:rPr>
              <w:t xml:space="preserve"> and 7,708</w:t>
            </w:r>
          </w:p>
        </w:tc>
        <w:tc>
          <w:tcPr>
            <w:tcW w:w="30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69,419</w:t>
            </w:r>
          </w:p>
        </w:tc>
        <w:tc>
          <w:tcPr>
            <w:tcW w:w="0" w:type="dxa"/>
            <w:vAlign w:val="bottom"/>
          </w:tcPr>
          <w:p>
            <w:pPr>
              <w:spacing w:after="0"/>
              <w:rPr>
                <w:sz w:val="1"/>
                <w:szCs w:val="1"/>
                <w:color w:val="auto"/>
              </w:rPr>
            </w:pPr>
          </w:p>
        </w:tc>
      </w:tr>
      <w:tr>
        <w:trPr>
          <w:trHeight w:val="203"/>
        </w:trPr>
        <w:tc>
          <w:tcPr>
            <w:tcW w:w="8820" w:type="dxa"/>
            <w:vAlign w:val="bottom"/>
          </w:tcPr>
          <w:p>
            <w:pPr>
              <w:ind w:left="220"/>
              <w:spacing w:after="0" w:line="202" w:lineRule="exact"/>
              <w:rPr>
                <w:sz w:val="20"/>
                <w:szCs w:val="20"/>
                <w:color w:val="auto"/>
              </w:rPr>
            </w:pPr>
            <w:r>
              <w:rPr>
                <w:rFonts w:ascii="Arial" w:cs="Arial" w:eastAsia="Arial" w:hAnsi="Arial"/>
                <w:sz w:val="18"/>
                <w:szCs w:val="18"/>
                <w:color w:val="auto"/>
              </w:rPr>
              <w:t>Retained earnings</w:t>
            </w:r>
          </w:p>
        </w:tc>
        <w:tc>
          <w:tcPr>
            <w:tcW w:w="30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19,702</w:t>
            </w:r>
          </w:p>
        </w:tc>
        <w:tc>
          <w:tcPr>
            <w:tcW w:w="0" w:type="dxa"/>
            <w:vAlign w:val="bottom"/>
          </w:tcPr>
          <w:p>
            <w:pPr>
              <w:spacing w:after="0"/>
              <w:rPr>
                <w:sz w:val="1"/>
                <w:szCs w:val="1"/>
                <w:color w:val="auto"/>
              </w:rPr>
            </w:pPr>
          </w:p>
        </w:tc>
      </w:tr>
      <w:tr>
        <w:trPr>
          <w:trHeight w:val="253"/>
        </w:trPr>
        <w:tc>
          <w:tcPr>
            <w:tcW w:w="8820" w:type="dxa"/>
            <w:vAlign w:val="bottom"/>
          </w:tcPr>
          <w:p>
            <w:pPr>
              <w:ind w:left="220"/>
              <w:spacing w:after="0"/>
              <w:rPr>
                <w:sz w:val="20"/>
                <w:szCs w:val="20"/>
                <w:color w:val="auto"/>
              </w:rPr>
            </w:pPr>
            <w:r>
              <w:rPr>
                <w:rFonts w:ascii="Arial" w:cs="Arial" w:eastAsia="Arial" w:hAnsi="Arial"/>
                <w:sz w:val="18"/>
                <w:szCs w:val="18"/>
                <w:color w:val="auto"/>
              </w:rPr>
              <w:t>Accumulated other comprehensive income</w:t>
            </w:r>
          </w:p>
        </w:tc>
        <w:tc>
          <w:tcPr>
            <w:tcW w:w="3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526</w:t>
            </w:r>
          </w:p>
        </w:tc>
        <w:tc>
          <w:tcPr>
            <w:tcW w:w="0" w:type="dxa"/>
            <w:vAlign w:val="bottom"/>
          </w:tcPr>
          <w:p>
            <w:pPr>
              <w:spacing w:after="0"/>
              <w:rPr>
                <w:sz w:val="1"/>
                <w:szCs w:val="1"/>
                <w:color w:val="auto"/>
              </w:rPr>
            </w:pPr>
          </w:p>
        </w:tc>
      </w:tr>
      <w:tr>
        <w:trPr>
          <w:trHeight w:val="42"/>
        </w:trPr>
        <w:tc>
          <w:tcPr>
            <w:tcW w:w="882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89"/>
        </w:trPr>
        <w:tc>
          <w:tcPr>
            <w:tcW w:w="8820" w:type="dxa"/>
            <w:vAlign w:val="bottom"/>
          </w:tcPr>
          <w:p>
            <w:pPr>
              <w:ind w:left="660"/>
              <w:spacing w:after="0"/>
              <w:rPr>
                <w:sz w:val="20"/>
                <w:szCs w:val="20"/>
                <w:color w:val="auto"/>
              </w:rPr>
            </w:pPr>
            <w:r>
              <w:rPr>
                <w:rFonts w:ascii="Arial" w:cs="Arial" w:eastAsia="Arial" w:hAnsi="Arial"/>
                <w:sz w:val="18"/>
                <w:szCs w:val="18"/>
                <w:color w:val="auto"/>
              </w:rPr>
              <w:t>Total stockholders’ equity</w:t>
            </w:r>
          </w:p>
        </w:tc>
        <w:tc>
          <w:tcPr>
            <w:tcW w:w="3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89,647</w:t>
            </w:r>
          </w:p>
        </w:tc>
        <w:tc>
          <w:tcPr>
            <w:tcW w:w="0" w:type="dxa"/>
            <w:vAlign w:val="bottom"/>
          </w:tcPr>
          <w:p>
            <w:pPr>
              <w:spacing w:after="0"/>
              <w:rPr>
                <w:sz w:val="1"/>
                <w:szCs w:val="1"/>
                <w:color w:val="auto"/>
              </w:rPr>
            </w:pPr>
          </w:p>
        </w:tc>
      </w:tr>
      <w:tr>
        <w:trPr>
          <w:trHeight w:val="42"/>
        </w:trPr>
        <w:tc>
          <w:tcPr>
            <w:tcW w:w="882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89"/>
        </w:trPr>
        <w:tc>
          <w:tcPr>
            <w:tcW w:w="8820" w:type="dxa"/>
            <w:vAlign w:val="bottom"/>
          </w:tcPr>
          <w:p>
            <w:pPr>
              <w:ind w:left="880"/>
              <w:spacing w:after="0"/>
              <w:rPr>
                <w:sz w:val="20"/>
                <w:szCs w:val="20"/>
                <w:color w:val="auto"/>
              </w:rPr>
            </w:pPr>
            <w:r>
              <w:rPr>
                <w:rFonts w:ascii="Arial" w:cs="Arial" w:eastAsia="Arial" w:hAnsi="Arial"/>
                <w:sz w:val="18"/>
                <w:szCs w:val="18"/>
                <w:color w:val="auto"/>
              </w:rPr>
              <w:t>Total liabilities and stockholders’ equity</w:t>
            </w:r>
          </w:p>
        </w:tc>
        <w:tc>
          <w:tcPr>
            <w:tcW w:w="300" w:type="dxa"/>
            <w:vAlign w:val="bottom"/>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249,097</w:t>
            </w:r>
          </w:p>
        </w:tc>
        <w:tc>
          <w:tcPr>
            <w:tcW w:w="0" w:type="dxa"/>
            <w:vAlign w:val="bottom"/>
          </w:tcPr>
          <w:p>
            <w:pPr>
              <w:spacing w:after="0"/>
              <w:rPr>
                <w:sz w:val="1"/>
                <w:szCs w:val="1"/>
                <w:color w:val="auto"/>
              </w:rPr>
            </w:pPr>
          </w:p>
        </w:tc>
      </w:tr>
      <w:tr>
        <w:trPr>
          <w:trHeight w:val="49"/>
        </w:trPr>
        <w:tc>
          <w:tcPr>
            <w:tcW w:w="8820" w:type="dxa"/>
            <w:vAlign w:val="bottom"/>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-6139815</wp:posOffset>
            </wp:positionV>
            <wp:extent cx="7246620" cy="1289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-5882640</wp:posOffset>
            </wp:positionV>
            <wp:extent cx="7246620" cy="1289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-5530850</wp:posOffset>
            </wp:positionV>
            <wp:extent cx="7246620" cy="1289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-5273675</wp:posOffset>
            </wp:positionV>
            <wp:extent cx="7246620" cy="1289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-4921885</wp:posOffset>
            </wp:positionV>
            <wp:extent cx="7246620" cy="1289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-4664710</wp:posOffset>
            </wp:positionV>
            <wp:extent cx="7246620" cy="1543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-4381500</wp:posOffset>
            </wp:positionV>
            <wp:extent cx="7246620" cy="1289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-4124325</wp:posOffset>
            </wp:positionV>
            <wp:extent cx="7246620" cy="1289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-3901440</wp:posOffset>
            </wp:positionV>
            <wp:extent cx="7246620" cy="1289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-3669665</wp:posOffset>
            </wp:positionV>
            <wp:extent cx="7246620" cy="1289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-3412490</wp:posOffset>
            </wp:positionV>
            <wp:extent cx="7246620" cy="12890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-3155315</wp:posOffset>
            </wp:positionV>
            <wp:extent cx="7246620" cy="1543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-2872105</wp:posOffset>
            </wp:positionV>
            <wp:extent cx="7246620" cy="1289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-2614930</wp:posOffset>
            </wp:positionV>
            <wp:extent cx="7246620" cy="12890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-2263140</wp:posOffset>
            </wp:positionV>
            <wp:extent cx="7246620" cy="12890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-2005965</wp:posOffset>
            </wp:positionV>
            <wp:extent cx="7246620" cy="1289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-1748790</wp:posOffset>
            </wp:positionV>
            <wp:extent cx="7246620" cy="15430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-1371600</wp:posOffset>
            </wp:positionV>
            <wp:extent cx="7246620" cy="12890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-1148715</wp:posOffset>
            </wp:positionV>
            <wp:extent cx="7246620" cy="12890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-891540</wp:posOffset>
            </wp:positionV>
            <wp:extent cx="7246620" cy="12890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-633730</wp:posOffset>
            </wp:positionV>
            <wp:extent cx="7246620" cy="12890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-410845</wp:posOffset>
            </wp:positionV>
            <wp:extent cx="7246620" cy="12890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-187960</wp:posOffset>
            </wp:positionV>
            <wp:extent cx="7246620" cy="12890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1289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8" w:lineRule="exact"/>
        <w:rPr>
          <w:sz w:val="20"/>
          <w:szCs w:val="20"/>
          <w:color w:val="auto"/>
        </w:rPr>
      </w:pPr>
    </w:p>
    <w:p>
      <w:pPr>
        <w:ind w:left="683" w:hanging="683"/>
        <w:spacing w:after="0"/>
        <w:tabs>
          <w:tab w:leader="none" w:pos="683" w:val="left"/>
        </w:tabs>
        <w:numPr>
          <w:ilvl w:val="0"/>
          <w:numId w:val="8"/>
        </w:numPr>
        <w:rPr>
          <w:rFonts w:ascii="Arial" w:cs="Arial" w:eastAsia="Arial" w:hAnsi="Arial"/>
          <w:sz w:val="18"/>
          <w:szCs w:val="18"/>
          <w:color w:val="auto"/>
        </w:rPr>
      </w:pPr>
      <w:r>
        <w:rPr>
          <w:rFonts w:ascii="Arial" w:cs="Arial" w:eastAsia="Arial" w:hAnsi="Arial"/>
          <w:sz w:val="18"/>
          <w:szCs w:val="18"/>
          <w:color w:val="auto"/>
        </w:rPr>
        <w:t>7,663</w:t>
      </w:r>
    </w:p>
    <w:p>
      <w:pPr>
        <w:spacing w:after="0" w:line="17" w:lineRule="exact"/>
        <w:rPr>
          <w:rFonts w:ascii="Arial" w:cs="Arial" w:eastAsia="Arial" w:hAnsi="Arial"/>
          <w:sz w:val="18"/>
          <w:szCs w:val="18"/>
          <w:color w:val="auto"/>
        </w:rPr>
      </w:pPr>
    </w:p>
    <w:p>
      <w:pPr>
        <w:ind w:left="483"/>
        <w:spacing w:after="0"/>
        <w:rPr>
          <w:rFonts w:ascii="Arial" w:cs="Arial" w:eastAsia="Arial" w:hAnsi="Arial"/>
          <w:sz w:val="18"/>
          <w:szCs w:val="18"/>
          <w:color w:val="auto"/>
        </w:rPr>
      </w:pPr>
      <w:r>
        <w:rPr>
          <w:rFonts w:ascii="Arial" w:cs="Arial" w:eastAsia="Arial" w:hAnsi="Arial"/>
          <w:sz w:val="18"/>
          <w:szCs w:val="18"/>
          <w:color w:val="auto"/>
        </w:rPr>
        <w:t>125,318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40640</wp:posOffset>
            </wp:positionV>
            <wp:extent cx="72009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0090" cy="8890"/>
                    </a:xfrm>
                    <a:prstGeom prst="rect">
                      <a:avLst/>
                    </a:prstGeom>
                    <a:noFill/>
                  </pic:spPr>
                </pic:pic>
              </a:graphicData>
            </a:graphic>
          </wp:anchor>
        </w:drawing>
      </w:r>
    </w:p>
    <w:p>
      <w:pPr>
        <w:spacing w:after="0" w:line="10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132,981</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22,431</w:t>
      </w:r>
    </w:p>
    <w:p>
      <w:pPr>
        <w:jc w:val="right"/>
        <w:spacing w:after="0" w:line="234" w:lineRule="auto"/>
        <w:rPr>
          <w:sz w:val="20"/>
          <w:szCs w:val="20"/>
          <w:color w:val="auto"/>
        </w:rPr>
      </w:pPr>
      <w:r>
        <w:rPr>
          <w:rFonts w:ascii="Arial" w:cs="Arial" w:eastAsia="Arial" w:hAnsi="Arial"/>
          <w:sz w:val="18"/>
          <w:szCs w:val="18"/>
          <w:color w:val="auto"/>
        </w:rPr>
        <w:t>2,181</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40640</wp:posOffset>
            </wp:positionV>
            <wp:extent cx="72009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0090" cy="8890"/>
                    </a:xfrm>
                    <a:prstGeom prst="rect">
                      <a:avLst/>
                    </a:prstGeom>
                    <a:noFill/>
                  </pic:spPr>
                </pic:pic>
              </a:graphicData>
            </a:graphic>
          </wp:anchor>
        </w:drawing>
      </w:r>
    </w:p>
    <w:p>
      <w:pPr>
        <w:spacing w:after="0" w:line="10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162,696</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23,734</w:t>
      </w:r>
    </w:p>
    <w:p>
      <w:pPr>
        <w:jc w:val="right"/>
        <w:spacing w:after="0"/>
        <w:rPr>
          <w:sz w:val="20"/>
          <w:szCs w:val="20"/>
          <w:color w:val="auto"/>
        </w:rPr>
      </w:pPr>
      <w:r>
        <w:rPr>
          <w:rFonts w:ascii="Arial" w:cs="Arial" w:eastAsia="Arial" w:hAnsi="Arial"/>
          <w:sz w:val="18"/>
          <w:szCs w:val="18"/>
          <w:color w:val="auto"/>
        </w:rPr>
        <w:t>6,555</w:t>
      </w:r>
    </w:p>
    <w:p>
      <w:pPr>
        <w:spacing w:after="0" w:line="1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6,023</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35,122</w:t>
      </w:r>
    </w:p>
    <w:p>
      <w:pPr>
        <w:jc w:val="right"/>
        <w:spacing w:after="0" w:line="234" w:lineRule="auto"/>
        <w:rPr>
          <w:sz w:val="20"/>
          <w:szCs w:val="20"/>
          <w:color w:val="auto"/>
        </w:rPr>
      </w:pPr>
      <w:r>
        <w:rPr>
          <w:rFonts w:ascii="Arial" w:cs="Arial" w:eastAsia="Arial" w:hAnsi="Arial"/>
          <w:sz w:val="18"/>
          <w:szCs w:val="18"/>
          <w:color w:val="auto"/>
        </w:rPr>
        <w:t>10,106</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6,076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40640</wp:posOffset>
            </wp:positionV>
            <wp:extent cx="72009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0090" cy="8890"/>
                    </a:xfrm>
                    <a:prstGeom prst="rect">
                      <a:avLst/>
                    </a:prstGeom>
                    <a:noFill/>
                  </pic:spPr>
                </pic:pic>
              </a:graphicData>
            </a:graphic>
          </wp:anchor>
        </w:drawing>
      </w:r>
    </w:p>
    <w:p>
      <w:pPr>
        <w:spacing w:after="0" w:line="102" w:lineRule="exact"/>
        <w:rPr>
          <w:sz w:val="20"/>
          <w:szCs w:val="20"/>
          <w:color w:val="auto"/>
        </w:rPr>
      </w:pPr>
    </w:p>
    <w:p>
      <w:pPr>
        <w:ind w:left="483" w:hanging="483"/>
        <w:spacing w:after="0"/>
        <w:tabs>
          <w:tab w:leader="none" w:pos="483" w:val="left"/>
        </w:tabs>
        <w:numPr>
          <w:ilvl w:val="0"/>
          <w:numId w:val="9"/>
        </w:numPr>
        <w:rPr>
          <w:rFonts w:ascii="Arial" w:cs="Arial" w:eastAsia="Arial" w:hAnsi="Arial"/>
          <w:sz w:val="18"/>
          <w:szCs w:val="18"/>
          <w:color w:val="auto"/>
        </w:rPr>
      </w:pPr>
      <w:r>
        <w:rPr>
          <w:rFonts w:ascii="Arial" w:cs="Arial" w:eastAsia="Arial" w:hAnsi="Arial"/>
          <w:sz w:val="18"/>
          <w:szCs w:val="18"/>
          <w:color w:val="auto"/>
        </w:rPr>
        <w:t>250,312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54610</wp:posOffset>
            </wp:positionV>
            <wp:extent cx="72009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0090" cy="17145"/>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ind w:left="683" w:hanging="683"/>
        <w:spacing w:after="0"/>
        <w:tabs>
          <w:tab w:leader="none" w:pos="683" w:val="left"/>
        </w:tabs>
        <w:numPr>
          <w:ilvl w:val="0"/>
          <w:numId w:val="10"/>
        </w:numPr>
        <w:rPr>
          <w:rFonts w:ascii="Arial" w:cs="Arial" w:eastAsia="Arial" w:hAnsi="Arial"/>
          <w:sz w:val="18"/>
          <w:szCs w:val="18"/>
          <w:color w:val="auto"/>
        </w:rPr>
      </w:pPr>
      <w:r>
        <w:rPr>
          <w:rFonts w:ascii="Arial" w:cs="Arial" w:eastAsia="Arial" w:hAnsi="Arial"/>
          <w:sz w:val="18"/>
          <w:szCs w:val="18"/>
          <w:color w:val="auto"/>
        </w:rPr>
        <w:t>7,390</w:t>
      </w:r>
    </w:p>
    <w:p>
      <w:pPr>
        <w:spacing w:after="0" w:line="17" w:lineRule="exact"/>
        <w:rPr>
          <w:rFonts w:ascii="Arial" w:cs="Arial" w:eastAsia="Arial" w:hAnsi="Arial"/>
          <w:sz w:val="18"/>
          <w:szCs w:val="18"/>
          <w:color w:val="auto"/>
        </w:rPr>
      </w:pPr>
    </w:p>
    <w:p>
      <w:pPr>
        <w:ind w:left="683"/>
        <w:spacing w:after="0"/>
        <w:rPr>
          <w:rFonts w:ascii="Arial" w:cs="Arial" w:eastAsia="Arial" w:hAnsi="Arial"/>
          <w:sz w:val="18"/>
          <w:szCs w:val="18"/>
          <w:color w:val="auto"/>
        </w:rPr>
      </w:pPr>
      <w:r>
        <w:rPr>
          <w:rFonts w:ascii="Arial" w:cs="Arial" w:eastAsia="Arial" w:hAnsi="Arial"/>
          <w:sz w:val="18"/>
          <w:szCs w:val="18"/>
          <w:color w:val="auto"/>
        </w:rPr>
        <w:t>9,072</w:t>
      </w:r>
    </w:p>
    <w:p>
      <w:pPr>
        <w:spacing w:after="0" w:line="14" w:lineRule="exact"/>
        <w:rPr>
          <w:rFonts w:ascii="Arial" w:cs="Arial" w:eastAsia="Arial" w:hAnsi="Arial"/>
          <w:sz w:val="18"/>
          <w:szCs w:val="18"/>
          <w:color w:val="auto"/>
        </w:rPr>
      </w:pPr>
    </w:p>
    <w:p>
      <w:pPr>
        <w:ind w:left="683"/>
        <w:spacing w:after="0"/>
        <w:rPr>
          <w:rFonts w:ascii="Arial" w:cs="Arial" w:eastAsia="Arial" w:hAnsi="Arial"/>
          <w:sz w:val="18"/>
          <w:szCs w:val="18"/>
          <w:color w:val="auto"/>
        </w:rPr>
      </w:pPr>
      <w:r>
        <w:rPr>
          <w:rFonts w:ascii="Arial" w:cs="Arial" w:eastAsia="Arial" w:hAnsi="Arial"/>
          <w:sz w:val="18"/>
          <w:szCs w:val="18"/>
          <w:color w:val="auto"/>
        </w:rPr>
        <w:t>1,049</w:t>
      </w:r>
    </w:p>
    <w:p>
      <w:pPr>
        <w:spacing w:after="0" w:line="17" w:lineRule="exact"/>
        <w:rPr>
          <w:rFonts w:ascii="Arial" w:cs="Arial" w:eastAsia="Arial" w:hAnsi="Arial"/>
          <w:sz w:val="18"/>
          <w:szCs w:val="18"/>
          <w:color w:val="auto"/>
        </w:rPr>
      </w:pPr>
    </w:p>
    <w:p>
      <w:pPr>
        <w:ind w:left="683"/>
        <w:spacing w:after="0" w:line="234" w:lineRule="auto"/>
        <w:rPr>
          <w:rFonts w:ascii="Arial" w:cs="Arial" w:eastAsia="Arial" w:hAnsi="Arial"/>
          <w:sz w:val="18"/>
          <w:szCs w:val="18"/>
          <w:color w:val="auto"/>
        </w:rPr>
      </w:pPr>
      <w:r>
        <w:rPr>
          <w:rFonts w:ascii="Arial" w:cs="Arial" w:eastAsia="Arial" w:hAnsi="Arial"/>
          <w:sz w:val="18"/>
          <w:szCs w:val="18"/>
          <w:color w:val="auto"/>
        </w:rPr>
        <w:t>5,819</w:t>
      </w:r>
    </w:p>
    <w:p>
      <w:pPr>
        <w:ind w:left="843"/>
        <w:spacing w:after="0"/>
        <w:rPr>
          <w:rFonts w:ascii="Arial" w:cs="Arial" w:eastAsia="Arial" w:hAnsi="Arial"/>
          <w:sz w:val="18"/>
          <w:szCs w:val="18"/>
          <w:color w:val="auto"/>
        </w:rPr>
      </w:pPr>
      <w:r>
        <w:rPr>
          <w:rFonts w:ascii="Arial" w:cs="Arial" w:eastAsia="Arial" w:hAnsi="Arial"/>
          <w:sz w:val="17"/>
          <w:szCs w:val="17"/>
          <w:color w:val="auto"/>
        </w:rPr>
        <w:t>718</w:t>
      </w:r>
    </w:p>
    <w:p>
      <w:pPr>
        <w:spacing w:after="0" w:line="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24,013</w:t>
      </w:r>
    </w:p>
    <w:p>
      <w:pPr>
        <w:jc w:val="right"/>
        <w:spacing w:after="0" w:line="234" w:lineRule="auto"/>
        <w:rPr>
          <w:sz w:val="20"/>
          <w:szCs w:val="20"/>
          <w:color w:val="auto"/>
        </w:rPr>
      </w:pPr>
      <w:r>
        <w:rPr>
          <w:rFonts w:ascii="Arial" w:cs="Arial" w:eastAsia="Arial" w:hAnsi="Arial"/>
          <w:sz w:val="18"/>
          <w:szCs w:val="18"/>
          <w:color w:val="auto"/>
        </w:rPr>
        <w:t>97</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7,587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40640</wp:posOffset>
            </wp:positionV>
            <wp:extent cx="72009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0090" cy="8890"/>
                    </a:xfrm>
                    <a:prstGeom prst="rect">
                      <a:avLst/>
                    </a:prstGeom>
                    <a:noFill/>
                  </pic:spPr>
                </pic:pic>
              </a:graphicData>
            </a:graphic>
          </wp:anchor>
        </w:drawing>
      </w:r>
    </w:p>
    <w:p>
      <w:pPr>
        <w:spacing w:after="0" w:line="10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55,745</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76,073</w:t>
      </w:r>
    </w:p>
    <w:p>
      <w:pPr>
        <w:jc w:val="right"/>
        <w:spacing w:after="0" w:line="234" w:lineRule="auto"/>
        <w:rPr>
          <w:sz w:val="20"/>
          <w:szCs w:val="20"/>
          <w:color w:val="auto"/>
        </w:rPr>
      </w:pPr>
      <w:r>
        <w:rPr>
          <w:rFonts w:ascii="Arial" w:cs="Arial" w:eastAsia="Arial" w:hAnsi="Arial"/>
          <w:sz w:val="18"/>
          <w:szCs w:val="18"/>
          <w:color w:val="auto"/>
        </w:rPr>
        <w:t>2,643</w:t>
      </w:r>
    </w:p>
    <w:p>
      <w:pPr>
        <w:jc w:val="right"/>
        <w:spacing w:after="0" w:line="235" w:lineRule="auto"/>
        <w:rPr>
          <w:sz w:val="20"/>
          <w:szCs w:val="20"/>
          <w:color w:val="auto"/>
        </w:rPr>
      </w:pPr>
      <w:r>
        <w:rPr>
          <w:rFonts w:ascii="Arial" w:cs="Arial" w:eastAsia="Arial" w:hAnsi="Arial"/>
          <w:sz w:val="18"/>
          <w:szCs w:val="18"/>
          <w:color w:val="auto"/>
        </w:rPr>
        <w:t>5,734</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5,372</w:t>
      </w:r>
    </w:p>
    <w:p>
      <w:pPr>
        <w:spacing w:after="0" w:line="1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17,034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54610</wp:posOffset>
            </wp:positionV>
            <wp:extent cx="72009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0090" cy="8890"/>
                    </a:xfrm>
                    <a:prstGeom prst="rect">
                      <a:avLst/>
                    </a:prstGeom>
                    <a:noFill/>
                  </pic:spPr>
                </pic:pic>
              </a:graphicData>
            </a:graphic>
          </wp:anchor>
        </w:drawing>
      </w:r>
    </w:p>
    <w:p>
      <w:pPr>
        <w:spacing w:after="0" w:line="124" w:lineRule="exact"/>
        <w:rPr>
          <w:sz w:val="20"/>
          <w:szCs w:val="20"/>
          <w:color w:val="auto"/>
        </w:rPr>
      </w:pPr>
    </w:p>
    <w:p>
      <w:pPr>
        <w:ind w:left="483"/>
        <w:spacing w:after="0"/>
        <w:rPr>
          <w:sz w:val="20"/>
          <w:szCs w:val="20"/>
          <w:color w:val="auto"/>
        </w:rPr>
      </w:pPr>
      <w:r>
        <w:rPr>
          <w:rFonts w:ascii="Arial" w:cs="Arial" w:eastAsia="Arial" w:hAnsi="Arial"/>
          <w:sz w:val="18"/>
          <w:szCs w:val="18"/>
          <w:color w:val="auto"/>
        </w:rPr>
        <w:t>162,601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54610</wp:posOffset>
            </wp:positionV>
            <wp:extent cx="72009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0090" cy="8890"/>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69,315</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17,769</w:t>
      </w:r>
    </w:p>
    <w:p>
      <w:pPr>
        <w:jc w:val="right"/>
        <w:spacing w:after="0"/>
        <w:rPr>
          <w:sz w:val="20"/>
          <w:szCs w:val="20"/>
          <w:color w:val="auto"/>
        </w:rPr>
      </w:pPr>
      <w:r>
        <w:rPr>
          <w:rFonts w:ascii="Arial" w:cs="Arial" w:eastAsia="Arial" w:hAnsi="Arial"/>
          <w:sz w:val="18"/>
          <w:szCs w:val="18"/>
          <w:color w:val="auto"/>
        </w:rPr>
        <w:t>627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40640</wp:posOffset>
            </wp:positionV>
            <wp:extent cx="72009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0090" cy="8890"/>
                    </a:xfrm>
                    <a:prstGeom prst="rect">
                      <a:avLst/>
                    </a:prstGeom>
                    <a:noFill/>
                  </pic:spPr>
                </pic:pic>
              </a:graphicData>
            </a:graphic>
          </wp:anchor>
        </w:drawing>
      </w:r>
    </w:p>
    <w:p>
      <w:pPr>
        <w:spacing w:after="0" w:line="102" w:lineRule="exact"/>
        <w:rPr>
          <w:sz w:val="20"/>
          <w:szCs w:val="20"/>
          <w:color w:val="auto"/>
        </w:rPr>
      </w:pPr>
    </w:p>
    <w:p>
      <w:pPr>
        <w:ind w:left="603"/>
        <w:spacing w:after="0"/>
        <w:rPr>
          <w:sz w:val="20"/>
          <w:szCs w:val="20"/>
          <w:color w:val="auto"/>
        </w:rPr>
      </w:pPr>
      <w:r>
        <w:rPr>
          <w:rFonts w:ascii="Arial" w:cs="Arial" w:eastAsia="Arial" w:hAnsi="Arial"/>
          <w:sz w:val="17"/>
          <w:szCs w:val="17"/>
          <w:color w:val="auto"/>
        </w:rPr>
        <w:t>87,711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61595</wp:posOffset>
            </wp:positionV>
            <wp:extent cx="72009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0090" cy="8890"/>
                    </a:xfrm>
                    <a:prstGeom prst="rect">
                      <a:avLst/>
                    </a:prstGeom>
                    <a:noFill/>
                  </pic:spPr>
                </pic:pic>
              </a:graphicData>
            </a:graphic>
          </wp:anchor>
        </w:drawing>
      </w:r>
    </w:p>
    <w:p>
      <w:pPr>
        <w:spacing w:after="0" w:line="136" w:lineRule="exact"/>
        <w:rPr>
          <w:sz w:val="20"/>
          <w:szCs w:val="20"/>
          <w:color w:val="auto"/>
        </w:rPr>
      </w:pPr>
    </w:p>
    <w:p>
      <w:pPr>
        <w:ind w:left="483" w:hanging="483"/>
        <w:spacing w:after="0"/>
        <w:tabs>
          <w:tab w:leader="none" w:pos="483" w:val="left"/>
        </w:tabs>
        <w:numPr>
          <w:ilvl w:val="0"/>
          <w:numId w:val="11"/>
        </w:numPr>
        <w:rPr>
          <w:rFonts w:ascii="Arial" w:cs="Arial" w:eastAsia="Arial" w:hAnsi="Arial"/>
          <w:sz w:val="18"/>
          <w:szCs w:val="18"/>
          <w:color w:val="auto"/>
        </w:rPr>
      </w:pPr>
      <w:r>
        <w:rPr>
          <w:rFonts w:ascii="Arial" w:cs="Arial" w:eastAsia="Arial" w:hAnsi="Arial"/>
          <w:sz w:val="18"/>
          <w:szCs w:val="18"/>
          <w:color w:val="auto"/>
        </w:rPr>
        <w:t>250,312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54610</wp:posOffset>
            </wp:positionV>
            <wp:extent cx="72009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0090" cy="17145"/>
                    </a:xfrm>
                    <a:prstGeom prst="rect">
                      <a:avLst/>
                    </a:prstGeom>
                    <a:noFill/>
                  </pic:spPr>
                </pic:pic>
              </a:graphicData>
            </a:graphic>
          </wp:anchor>
        </w:drawing>
      </w:r>
    </w:p>
    <w:p>
      <w:pPr>
        <w:spacing w:after="0" w:line="292" w:lineRule="exact"/>
        <w:rPr>
          <w:sz w:val="20"/>
          <w:szCs w:val="20"/>
          <w:color w:val="auto"/>
        </w:rPr>
      </w:pPr>
    </w:p>
    <w:p>
      <w:pPr>
        <w:sectPr>
          <w:pgSz w:w="11900" w:h="16838" w:orient="portrait"/>
          <w:cols w:equalWidth="0" w:num="2">
            <w:col w:w="9960" w:space="217"/>
            <w:col w:w="1143"/>
          </w:cols>
          <w:pgMar w:left="240" w:top="122" w:right="339" w:bottom="1440" w:gutter="0" w:footer="0" w:header="0"/>
          <w:type w:val="continuous"/>
        </w:sectPr>
      </w:pPr>
    </w:p>
    <w:p>
      <w:pPr>
        <w:spacing w:after="0"/>
        <w:rPr>
          <w:sz w:val="20"/>
          <w:szCs w:val="20"/>
          <w:color w:val="auto"/>
        </w:rPr>
      </w:pPr>
      <w:r>
        <w:rPr>
          <w:rFonts w:ascii="Arial" w:cs="Arial" w:eastAsia="Arial" w:hAnsi="Arial"/>
          <w:sz w:val="18"/>
          <w:szCs w:val="18"/>
          <w:color w:val="auto"/>
        </w:rPr>
        <w:t>Refer to accompanying notes.</w:t>
      </w:r>
    </w:p>
    <w:p>
      <w:pPr>
        <w:spacing w:after="0" w:line="343" w:lineRule="exact"/>
        <w:rPr>
          <w:sz w:val="20"/>
          <w:szCs w:val="20"/>
          <w:color w:val="auto"/>
        </w:rPr>
      </w:pPr>
    </w:p>
    <w:p>
      <w:pPr>
        <w:jc w:val="center"/>
        <w:ind w:right="-119"/>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2891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20"/>
          </w:cols>
          <w:pgMar w:left="240" w:top="122" w:right="339" w:bottom="1440" w:gutter="0" w:footer="0" w:header="0"/>
          <w:type w:val="continuous"/>
        </w:sectPr>
      </w:pPr>
    </w:p>
    <w:bookmarkStart w:id="5" w:name="page6"/>
    <w:bookmarkEnd w:id="5"/>
    <w:p>
      <w:pPr>
        <w:ind w:left="5500"/>
        <w:spacing w:after="0"/>
        <w:rPr>
          <w:sz w:val="20"/>
          <w:szCs w:val="20"/>
          <w:color w:val="auto"/>
        </w:rPr>
      </w:pPr>
      <w:r>
        <w:rPr>
          <w:rFonts w:ascii="Arial" w:cs="Arial" w:eastAsia="Arial" w:hAnsi="Arial"/>
          <w:sz w:val="14"/>
          <w:szCs w:val="14"/>
          <w:u w:val="single" w:color="auto"/>
          <w:color w:val="auto"/>
        </w:rPr>
        <w:t>PART I</w:t>
      </w:r>
    </w:p>
    <w:p>
      <w:pPr>
        <w:spacing w:after="0" w:line="5" w:lineRule="exact"/>
        <w:rPr>
          <w:sz w:val="20"/>
          <w:szCs w:val="20"/>
          <w:color w:val="auto"/>
        </w:rPr>
      </w:pPr>
    </w:p>
    <w:p>
      <w:pPr>
        <w:ind w:left="5520"/>
        <w:spacing w:after="0"/>
        <w:rPr>
          <w:sz w:val="20"/>
          <w:szCs w:val="20"/>
          <w:color w:val="auto"/>
        </w:rPr>
      </w:pPr>
      <w:r>
        <w:rPr>
          <w:rFonts w:ascii="Arial" w:cs="Arial" w:eastAsia="Arial" w:hAnsi="Arial"/>
          <w:sz w:val="14"/>
          <w:szCs w:val="14"/>
          <w:color w:val="auto"/>
        </w:rPr>
        <w:t>Item 1</w:t>
      </w:r>
    </w:p>
    <w:p>
      <w:pPr>
        <w:spacing w:after="0" w:line="1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CASH FLOWS STATEMENTS</w:t>
      </w:r>
    </w:p>
    <w:p>
      <w:pPr>
        <w:spacing w:after="0" w:line="28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 millions)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46990</wp:posOffset>
            </wp:positionV>
            <wp:extent cx="717804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8040" cy="8890"/>
                    </a:xfrm>
                    <a:prstGeom prst="rect">
                      <a:avLst/>
                    </a:prstGeom>
                    <a:noFill/>
                  </pic:spPr>
                </pic:pic>
              </a:graphicData>
            </a:graphic>
          </wp:anchor>
        </w:drawing>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00" w:type="dxa"/>
            <w:vAlign w:val="bottom"/>
            <w:gridSpan w:val="2"/>
          </w:tcPr>
          <w:p>
            <w:pPr>
              <w:spacing w:after="0"/>
              <w:rPr>
                <w:sz w:val="20"/>
                <w:szCs w:val="20"/>
                <w:color w:val="auto"/>
              </w:rPr>
            </w:pPr>
            <w:r>
              <w:rPr>
                <w:rFonts w:ascii="Arial" w:cs="Arial" w:eastAsia="Arial" w:hAnsi="Arial"/>
                <w:sz w:val="14"/>
                <w:szCs w:val="14"/>
                <w:b w:val="1"/>
                <w:bCs w:val="1"/>
                <w:color w:val="auto"/>
              </w:rPr>
              <w:t>Three Months Ended September 30,</w:t>
            </w:r>
          </w:p>
        </w:tc>
        <w:tc>
          <w:tcPr>
            <w:tcW w:w="7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2017</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 w:type="dxa"/>
            <w:vAlign w:val="bottom"/>
            <w:vMerge w:val="restart"/>
          </w:tcPr>
          <w:p>
            <w:pPr>
              <w:spacing w:after="0"/>
              <w:rPr>
                <w:sz w:val="3"/>
                <w:szCs w:val="3"/>
                <w:color w:val="auto"/>
              </w:rPr>
            </w:pPr>
          </w:p>
        </w:tc>
        <w:tc>
          <w:tcPr>
            <w:tcW w:w="8080" w:type="dxa"/>
            <w:vAlign w:val="bottom"/>
          </w:tcPr>
          <w:p>
            <w:pPr>
              <w:spacing w:after="0"/>
              <w:rPr>
                <w:sz w:val="3"/>
                <w:szCs w:val="3"/>
                <w:color w:val="auto"/>
              </w:rPr>
            </w:pPr>
          </w:p>
        </w:tc>
        <w:tc>
          <w:tcPr>
            <w:tcW w:w="7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8080" w:type="dxa"/>
            <w:vAlign w:val="bottom"/>
            <w:shd w:val="clear" w:color="auto" w:fill="E5E5E5"/>
          </w:tcPr>
          <w:p>
            <w:pPr>
              <w:spacing w:after="0" w:line="202" w:lineRule="exact"/>
              <w:rPr>
                <w:sz w:val="20"/>
                <w:szCs w:val="20"/>
                <w:color w:val="auto"/>
              </w:rPr>
            </w:pPr>
            <w:r>
              <w:rPr>
                <w:rFonts w:ascii="Arial" w:cs="Arial" w:eastAsia="Arial" w:hAnsi="Arial"/>
                <w:sz w:val="18"/>
                <w:szCs w:val="18"/>
                <w:b w:val="1"/>
                <w:bCs w:val="1"/>
                <w:color w:val="auto"/>
              </w:rPr>
              <w:t>Operations</w:t>
            </w:r>
          </w:p>
        </w:tc>
        <w:tc>
          <w:tcPr>
            <w:tcW w:w="720" w:type="dxa"/>
            <w:vAlign w:val="bottom"/>
            <w:shd w:val="clear" w:color="auto" w:fill="E5E5E5"/>
          </w:tcPr>
          <w:p>
            <w:pPr>
              <w:spacing w:after="0"/>
              <w:rPr>
                <w:sz w:val="17"/>
                <w:szCs w:val="17"/>
                <w:color w:val="auto"/>
              </w:rPr>
            </w:pPr>
          </w:p>
        </w:tc>
        <w:tc>
          <w:tcPr>
            <w:tcW w:w="320" w:type="dxa"/>
            <w:vAlign w:val="bottom"/>
            <w:shd w:val="clear" w:color="auto" w:fill="E5E5E5"/>
          </w:tcPr>
          <w:p>
            <w:pPr>
              <w:spacing w:after="0"/>
              <w:rPr>
                <w:sz w:val="17"/>
                <w:szCs w:val="17"/>
                <w:color w:val="auto"/>
              </w:rPr>
            </w:pPr>
          </w:p>
        </w:tc>
        <w:tc>
          <w:tcPr>
            <w:tcW w:w="820" w:type="dxa"/>
            <w:vAlign w:val="bottom"/>
            <w:shd w:val="clear" w:color="auto" w:fill="E5E5E5"/>
          </w:tcPr>
          <w:p>
            <w:pPr>
              <w:spacing w:after="0"/>
              <w:rPr>
                <w:sz w:val="17"/>
                <w:szCs w:val="17"/>
                <w:color w:val="auto"/>
              </w:rPr>
            </w:pPr>
          </w:p>
        </w:tc>
        <w:tc>
          <w:tcPr>
            <w:tcW w:w="140" w:type="dxa"/>
            <w:vAlign w:val="bottom"/>
            <w:shd w:val="clear" w:color="auto" w:fill="E5E5E5"/>
          </w:tcPr>
          <w:p>
            <w:pPr>
              <w:spacing w:after="0"/>
              <w:rPr>
                <w:sz w:val="17"/>
                <w:szCs w:val="17"/>
                <w:color w:val="auto"/>
              </w:rPr>
            </w:pPr>
          </w:p>
        </w:tc>
        <w:tc>
          <w:tcPr>
            <w:tcW w:w="80" w:type="dxa"/>
            <w:vAlign w:val="bottom"/>
            <w:shd w:val="clear" w:color="auto" w:fill="E5E5E5"/>
          </w:tcPr>
          <w:p>
            <w:pPr>
              <w:spacing w:after="0"/>
              <w:rPr>
                <w:sz w:val="17"/>
                <w:szCs w:val="17"/>
                <w:color w:val="auto"/>
              </w:rPr>
            </w:pPr>
          </w:p>
        </w:tc>
        <w:tc>
          <w:tcPr>
            <w:tcW w:w="300" w:type="dxa"/>
            <w:vAlign w:val="bottom"/>
            <w:shd w:val="clear" w:color="auto" w:fill="E5E5E5"/>
          </w:tcPr>
          <w:p>
            <w:pPr>
              <w:spacing w:after="0"/>
              <w:rPr>
                <w:sz w:val="17"/>
                <w:szCs w:val="17"/>
                <w:color w:val="auto"/>
              </w:rPr>
            </w:pPr>
          </w:p>
        </w:tc>
        <w:tc>
          <w:tcPr>
            <w:tcW w:w="84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80" w:type="dxa"/>
            <w:vAlign w:val="bottom"/>
          </w:tcPr>
          <w:p>
            <w:pPr>
              <w:spacing w:after="0" w:line="202" w:lineRule="exact"/>
              <w:rPr>
                <w:sz w:val="20"/>
                <w:szCs w:val="20"/>
                <w:color w:val="auto"/>
              </w:rPr>
            </w:pPr>
            <w:r>
              <w:rPr>
                <w:rFonts w:ascii="Arial" w:cs="Arial" w:eastAsia="Arial" w:hAnsi="Arial"/>
                <w:sz w:val="18"/>
                <w:szCs w:val="18"/>
                <w:color w:val="auto"/>
              </w:rPr>
              <w:t>Net income</w:t>
            </w:r>
          </w:p>
        </w:tc>
        <w:tc>
          <w:tcPr>
            <w:tcW w:w="1040" w:type="dxa"/>
            <w:vAlign w:val="bottom"/>
            <w:gridSpan w:val="2"/>
          </w:tcPr>
          <w:p>
            <w:pPr>
              <w:jc w:val="right"/>
              <w:ind w:right="220"/>
              <w:spacing w:after="0" w:line="202" w:lineRule="exact"/>
              <w:rPr>
                <w:sz w:val="20"/>
                <w:szCs w:val="20"/>
                <w:color w:val="auto"/>
              </w:rPr>
            </w:pPr>
            <w:r>
              <w:rPr>
                <w:rFonts w:ascii="Arial" w:cs="Arial" w:eastAsia="Arial" w:hAnsi="Arial"/>
                <w:sz w:val="18"/>
                <w:szCs w:val="18"/>
                <w:b w:val="1"/>
                <w:bCs w:val="1"/>
                <w:color w:val="auto"/>
              </w:rPr>
              <w:t>$</w:t>
            </w:r>
          </w:p>
        </w:tc>
        <w:tc>
          <w:tcPr>
            <w:tcW w:w="960" w:type="dxa"/>
            <w:vAlign w:val="bottom"/>
            <w:gridSpan w:val="2"/>
          </w:tcPr>
          <w:p>
            <w:pPr>
              <w:jc w:val="right"/>
              <w:ind w:right="140"/>
              <w:spacing w:after="0" w:line="202" w:lineRule="exact"/>
              <w:rPr>
                <w:sz w:val="20"/>
                <w:szCs w:val="20"/>
                <w:color w:val="auto"/>
              </w:rPr>
            </w:pPr>
            <w:r>
              <w:rPr>
                <w:rFonts w:ascii="Arial" w:cs="Arial" w:eastAsia="Arial" w:hAnsi="Arial"/>
                <w:sz w:val="18"/>
                <w:szCs w:val="18"/>
                <w:b w:val="1"/>
                <w:bCs w:val="1"/>
                <w:color w:val="auto"/>
              </w:rPr>
              <w:t>6,576</w:t>
            </w:r>
          </w:p>
        </w:tc>
        <w:tc>
          <w:tcPr>
            <w:tcW w:w="38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5,667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8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Adjustments to reconcile net income to net cash from operations:</w:t>
            </w:r>
          </w:p>
        </w:tc>
        <w:tc>
          <w:tcPr>
            <w:tcW w:w="720" w:type="dxa"/>
            <w:vAlign w:val="bottom"/>
            <w:shd w:val="clear" w:color="auto" w:fill="E5E5E5"/>
          </w:tcPr>
          <w:p>
            <w:pPr>
              <w:spacing w:after="0"/>
              <w:rPr>
                <w:sz w:val="17"/>
                <w:szCs w:val="17"/>
                <w:color w:val="auto"/>
              </w:rPr>
            </w:pPr>
          </w:p>
        </w:tc>
        <w:tc>
          <w:tcPr>
            <w:tcW w:w="320" w:type="dxa"/>
            <w:vAlign w:val="bottom"/>
            <w:shd w:val="clear" w:color="auto" w:fill="E5E5E5"/>
          </w:tcPr>
          <w:p>
            <w:pPr>
              <w:spacing w:after="0"/>
              <w:rPr>
                <w:sz w:val="17"/>
                <w:szCs w:val="17"/>
                <w:color w:val="auto"/>
              </w:rPr>
            </w:pPr>
          </w:p>
        </w:tc>
        <w:tc>
          <w:tcPr>
            <w:tcW w:w="820" w:type="dxa"/>
            <w:vAlign w:val="bottom"/>
            <w:shd w:val="clear" w:color="auto" w:fill="E5E5E5"/>
          </w:tcPr>
          <w:p>
            <w:pPr>
              <w:spacing w:after="0"/>
              <w:rPr>
                <w:sz w:val="17"/>
                <w:szCs w:val="17"/>
                <w:color w:val="auto"/>
              </w:rPr>
            </w:pPr>
          </w:p>
        </w:tc>
        <w:tc>
          <w:tcPr>
            <w:tcW w:w="140" w:type="dxa"/>
            <w:vAlign w:val="bottom"/>
            <w:shd w:val="clear" w:color="auto" w:fill="E5E5E5"/>
          </w:tcPr>
          <w:p>
            <w:pPr>
              <w:spacing w:after="0"/>
              <w:rPr>
                <w:sz w:val="17"/>
                <w:szCs w:val="17"/>
                <w:color w:val="auto"/>
              </w:rPr>
            </w:pPr>
          </w:p>
        </w:tc>
        <w:tc>
          <w:tcPr>
            <w:tcW w:w="80" w:type="dxa"/>
            <w:vAlign w:val="bottom"/>
            <w:shd w:val="clear" w:color="auto" w:fill="E5E5E5"/>
          </w:tcPr>
          <w:p>
            <w:pPr>
              <w:spacing w:after="0"/>
              <w:rPr>
                <w:sz w:val="17"/>
                <w:szCs w:val="17"/>
                <w:color w:val="auto"/>
              </w:rPr>
            </w:pPr>
          </w:p>
        </w:tc>
        <w:tc>
          <w:tcPr>
            <w:tcW w:w="300" w:type="dxa"/>
            <w:vAlign w:val="bottom"/>
            <w:shd w:val="clear" w:color="auto" w:fill="E5E5E5"/>
          </w:tcPr>
          <w:p>
            <w:pPr>
              <w:spacing w:after="0"/>
              <w:rPr>
                <w:sz w:val="17"/>
                <w:szCs w:val="17"/>
                <w:color w:val="auto"/>
              </w:rPr>
            </w:pPr>
          </w:p>
        </w:tc>
        <w:tc>
          <w:tcPr>
            <w:tcW w:w="84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80" w:type="dxa"/>
            <w:vAlign w:val="bottom"/>
          </w:tcPr>
          <w:p>
            <w:pPr>
              <w:ind w:left="200"/>
              <w:spacing w:after="0" w:line="202" w:lineRule="exact"/>
              <w:rPr>
                <w:sz w:val="20"/>
                <w:szCs w:val="20"/>
                <w:color w:val="auto"/>
              </w:rPr>
            </w:pPr>
            <w:r>
              <w:rPr>
                <w:rFonts w:ascii="Arial" w:cs="Arial" w:eastAsia="Arial" w:hAnsi="Arial"/>
                <w:sz w:val="18"/>
                <w:szCs w:val="18"/>
                <w:color w:val="auto"/>
              </w:rPr>
              <w:t>Depreciation, amortization, and other</w:t>
            </w:r>
          </w:p>
        </w:tc>
        <w:tc>
          <w:tcPr>
            <w:tcW w:w="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60" w:type="dxa"/>
            <w:vAlign w:val="bottom"/>
            <w:gridSpan w:val="2"/>
          </w:tcPr>
          <w:p>
            <w:pPr>
              <w:jc w:val="right"/>
              <w:ind w:right="140"/>
              <w:spacing w:after="0" w:line="202" w:lineRule="exact"/>
              <w:rPr>
                <w:sz w:val="20"/>
                <w:szCs w:val="20"/>
                <w:color w:val="auto"/>
              </w:rPr>
            </w:pPr>
            <w:r>
              <w:rPr>
                <w:rFonts w:ascii="Arial" w:cs="Arial" w:eastAsia="Arial" w:hAnsi="Arial"/>
                <w:sz w:val="18"/>
                <w:szCs w:val="18"/>
                <w:b w:val="1"/>
                <w:bCs w:val="1"/>
                <w:color w:val="auto"/>
              </w:rPr>
              <w:t>2,499</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1,816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80" w:type="dxa"/>
            <w:vAlign w:val="bottom"/>
            <w:shd w:val="clear" w:color="auto" w:fill="E5E5E5"/>
          </w:tcPr>
          <w:p>
            <w:pPr>
              <w:ind w:left="200"/>
              <w:spacing w:after="0" w:line="202" w:lineRule="exact"/>
              <w:rPr>
                <w:sz w:val="20"/>
                <w:szCs w:val="20"/>
                <w:color w:val="auto"/>
              </w:rPr>
            </w:pPr>
            <w:r>
              <w:rPr>
                <w:rFonts w:ascii="Arial" w:cs="Arial" w:eastAsia="Arial" w:hAnsi="Arial"/>
                <w:sz w:val="18"/>
                <w:szCs w:val="18"/>
                <w:color w:val="auto"/>
              </w:rPr>
              <w:t>Stock-based compensation expense</w:t>
            </w:r>
          </w:p>
        </w:tc>
        <w:tc>
          <w:tcPr>
            <w:tcW w:w="720" w:type="dxa"/>
            <w:vAlign w:val="bottom"/>
            <w:shd w:val="clear" w:color="auto" w:fill="E5E5E5"/>
          </w:tcPr>
          <w:p>
            <w:pPr>
              <w:spacing w:after="0"/>
              <w:rPr>
                <w:sz w:val="17"/>
                <w:szCs w:val="17"/>
                <w:color w:val="auto"/>
              </w:rPr>
            </w:pPr>
          </w:p>
        </w:tc>
        <w:tc>
          <w:tcPr>
            <w:tcW w:w="320" w:type="dxa"/>
            <w:vAlign w:val="bottom"/>
            <w:shd w:val="clear" w:color="auto" w:fill="E5E5E5"/>
          </w:tcPr>
          <w:p>
            <w:pPr>
              <w:spacing w:after="0"/>
              <w:rPr>
                <w:sz w:val="17"/>
                <w:szCs w:val="17"/>
                <w:color w:val="auto"/>
              </w:rPr>
            </w:pPr>
          </w:p>
        </w:tc>
        <w:tc>
          <w:tcPr>
            <w:tcW w:w="960" w:type="dxa"/>
            <w:vAlign w:val="bottom"/>
            <w:gridSpan w:val="2"/>
            <w:shd w:val="clear" w:color="auto" w:fill="E5E5E5"/>
          </w:tcPr>
          <w:p>
            <w:pPr>
              <w:jc w:val="right"/>
              <w:ind w:right="140"/>
              <w:spacing w:after="0" w:line="202" w:lineRule="exact"/>
              <w:rPr>
                <w:sz w:val="20"/>
                <w:szCs w:val="20"/>
                <w:color w:val="auto"/>
              </w:rPr>
            </w:pPr>
            <w:r>
              <w:rPr>
                <w:rFonts w:ascii="Arial" w:cs="Arial" w:eastAsia="Arial" w:hAnsi="Arial"/>
                <w:sz w:val="18"/>
                <w:szCs w:val="18"/>
                <w:b w:val="1"/>
                <w:bCs w:val="1"/>
                <w:color w:val="auto"/>
              </w:rPr>
              <w:t>973</w:t>
            </w:r>
          </w:p>
        </w:tc>
        <w:tc>
          <w:tcPr>
            <w:tcW w:w="80" w:type="dxa"/>
            <w:vAlign w:val="bottom"/>
            <w:shd w:val="clear" w:color="auto" w:fill="E5E5E5"/>
          </w:tcPr>
          <w:p>
            <w:pPr>
              <w:spacing w:after="0"/>
              <w:rPr>
                <w:sz w:val="17"/>
                <w:szCs w:val="17"/>
                <w:color w:val="auto"/>
              </w:rPr>
            </w:pPr>
          </w:p>
        </w:tc>
        <w:tc>
          <w:tcPr>
            <w:tcW w:w="300" w:type="dxa"/>
            <w:vAlign w:val="bottom"/>
            <w:shd w:val="clear" w:color="auto" w:fill="E5E5E5"/>
          </w:tcPr>
          <w:p>
            <w:pPr>
              <w:spacing w:after="0"/>
              <w:rPr>
                <w:sz w:val="17"/>
                <w:szCs w:val="17"/>
                <w:color w:val="auto"/>
              </w:rPr>
            </w:pPr>
          </w:p>
        </w:tc>
        <w:tc>
          <w:tcPr>
            <w:tcW w:w="94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703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80" w:type="dxa"/>
            <w:vAlign w:val="bottom"/>
          </w:tcPr>
          <w:p>
            <w:pPr>
              <w:ind w:left="200"/>
              <w:spacing w:after="0" w:line="202" w:lineRule="exact"/>
              <w:rPr>
                <w:sz w:val="20"/>
                <w:szCs w:val="20"/>
                <w:color w:val="auto"/>
              </w:rPr>
            </w:pPr>
            <w:r>
              <w:rPr>
                <w:rFonts w:ascii="Arial" w:cs="Arial" w:eastAsia="Arial" w:hAnsi="Arial"/>
                <w:sz w:val="18"/>
                <w:szCs w:val="18"/>
                <w:color w:val="auto"/>
              </w:rPr>
              <w:t>Net recognized gains on investments and derivatives</w:t>
            </w:r>
          </w:p>
        </w:tc>
        <w:tc>
          <w:tcPr>
            <w:tcW w:w="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60" w:type="dxa"/>
            <w:vAlign w:val="bottom"/>
            <w:gridSpan w:val="2"/>
          </w:tcPr>
          <w:p>
            <w:pPr>
              <w:jc w:val="right"/>
              <w:ind w:right="80"/>
              <w:spacing w:after="0" w:line="202" w:lineRule="exact"/>
              <w:rPr>
                <w:sz w:val="20"/>
                <w:szCs w:val="20"/>
                <w:color w:val="auto"/>
              </w:rPr>
            </w:pPr>
            <w:r>
              <w:rPr>
                <w:rFonts w:ascii="Arial" w:cs="Arial" w:eastAsia="Arial" w:hAnsi="Arial"/>
                <w:sz w:val="18"/>
                <w:szCs w:val="18"/>
                <w:b w:val="1"/>
                <w:bCs w:val="1"/>
                <w:color w:val="auto"/>
              </w:rPr>
              <w:t>(523)</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(311)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80" w:type="dxa"/>
            <w:vAlign w:val="bottom"/>
            <w:shd w:val="clear" w:color="auto" w:fill="E5E5E5"/>
          </w:tcPr>
          <w:p>
            <w:pPr>
              <w:ind w:left="200"/>
              <w:spacing w:after="0" w:line="202" w:lineRule="exact"/>
              <w:rPr>
                <w:sz w:val="20"/>
                <w:szCs w:val="20"/>
                <w:color w:val="auto"/>
              </w:rPr>
            </w:pPr>
            <w:r>
              <w:rPr>
                <w:rFonts w:ascii="Arial" w:cs="Arial" w:eastAsia="Arial" w:hAnsi="Arial"/>
                <w:sz w:val="18"/>
                <w:szCs w:val="18"/>
                <w:color w:val="auto"/>
              </w:rPr>
              <w:t>Deferred income taxes</w:t>
            </w:r>
          </w:p>
        </w:tc>
        <w:tc>
          <w:tcPr>
            <w:tcW w:w="720" w:type="dxa"/>
            <w:vAlign w:val="bottom"/>
            <w:shd w:val="clear" w:color="auto" w:fill="E5E5E5"/>
          </w:tcPr>
          <w:p>
            <w:pPr>
              <w:spacing w:after="0"/>
              <w:rPr>
                <w:sz w:val="17"/>
                <w:szCs w:val="17"/>
                <w:color w:val="auto"/>
              </w:rPr>
            </w:pPr>
          </w:p>
        </w:tc>
        <w:tc>
          <w:tcPr>
            <w:tcW w:w="320" w:type="dxa"/>
            <w:vAlign w:val="bottom"/>
            <w:shd w:val="clear" w:color="auto" w:fill="E5E5E5"/>
          </w:tcPr>
          <w:p>
            <w:pPr>
              <w:spacing w:after="0"/>
              <w:rPr>
                <w:sz w:val="17"/>
                <w:szCs w:val="17"/>
                <w:color w:val="auto"/>
              </w:rPr>
            </w:pPr>
          </w:p>
        </w:tc>
        <w:tc>
          <w:tcPr>
            <w:tcW w:w="960" w:type="dxa"/>
            <w:vAlign w:val="bottom"/>
            <w:gridSpan w:val="2"/>
            <w:shd w:val="clear" w:color="auto" w:fill="E5E5E5"/>
          </w:tcPr>
          <w:p>
            <w:pPr>
              <w:jc w:val="right"/>
              <w:ind w:right="80"/>
              <w:spacing w:after="0" w:line="202" w:lineRule="exact"/>
              <w:rPr>
                <w:sz w:val="20"/>
                <w:szCs w:val="20"/>
                <w:color w:val="auto"/>
              </w:rPr>
            </w:pPr>
            <w:r>
              <w:rPr>
                <w:rFonts w:ascii="Arial" w:cs="Arial" w:eastAsia="Arial" w:hAnsi="Arial"/>
                <w:sz w:val="18"/>
                <w:szCs w:val="18"/>
                <w:b w:val="1"/>
                <w:bCs w:val="1"/>
                <w:color w:val="auto"/>
              </w:rPr>
              <w:t>(53)</w:t>
            </w:r>
          </w:p>
        </w:tc>
        <w:tc>
          <w:tcPr>
            <w:tcW w:w="80" w:type="dxa"/>
            <w:vAlign w:val="bottom"/>
            <w:shd w:val="clear" w:color="auto" w:fill="E5E5E5"/>
          </w:tcPr>
          <w:p>
            <w:pPr>
              <w:spacing w:after="0"/>
              <w:rPr>
                <w:sz w:val="17"/>
                <w:szCs w:val="17"/>
                <w:color w:val="auto"/>
              </w:rPr>
            </w:pPr>
          </w:p>
        </w:tc>
        <w:tc>
          <w:tcPr>
            <w:tcW w:w="300" w:type="dxa"/>
            <w:vAlign w:val="bottom"/>
            <w:shd w:val="clear" w:color="auto" w:fill="E5E5E5"/>
          </w:tcPr>
          <w:p>
            <w:pPr>
              <w:spacing w:after="0"/>
              <w:rPr>
                <w:sz w:val="17"/>
                <w:szCs w:val="17"/>
                <w:color w:val="auto"/>
              </w:rPr>
            </w:pPr>
          </w:p>
        </w:tc>
        <w:tc>
          <w:tcPr>
            <w:tcW w:w="94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540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80" w:type="dxa"/>
            <w:vAlign w:val="bottom"/>
          </w:tcPr>
          <w:p>
            <w:pPr>
              <w:ind w:left="200"/>
              <w:spacing w:after="0" w:line="202" w:lineRule="exact"/>
              <w:rPr>
                <w:sz w:val="20"/>
                <w:szCs w:val="20"/>
                <w:color w:val="auto"/>
              </w:rPr>
            </w:pPr>
            <w:r>
              <w:rPr>
                <w:rFonts w:ascii="Arial" w:cs="Arial" w:eastAsia="Arial" w:hAnsi="Arial"/>
                <w:sz w:val="18"/>
                <w:szCs w:val="18"/>
                <w:color w:val="auto"/>
              </w:rPr>
              <w:t>Changes in operating assets and liabilities:</w:t>
            </w:r>
          </w:p>
        </w:tc>
        <w:tc>
          <w:tcPr>
            <w:tcW w:w="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80" w:type="dxa"/>
            <w:vAlign w:val="bottom"/>
            <w:shd w:val="clear" w:color="auto" w:fill="E5E5E5"/>
          </w:tcPr>
          <w:p>
            <w:pPr>
              <w:ind w:left="420"/>
              <w:spacing w:after="0" w:line="202" w:lineRule="exact"/>
              <w:rPr>
                <w:sz w:val="20"/>
                <w:szCs w:val="20"/>
                <w:color w:val="auto"/>
              </w:rPr>
            </w:pPr>
            <w:r>
              <w:rPr>
                <w:rFonts w:ascii="Arial" w:cs="Arial" w:eastAsia="Arial" w:hAnsi="Arial"/>
                <w:sz w:val="18"/>
                <w:szCs w:val="18"/>
                <w:color w:val="auto"/>
              </w:rPr>
              <w:t>Accounts receivable</w:t>
            </w:r>
          </w:p>
        </w:tc>
        <w:tc>
          <w:tcPr>
            <w:tcW w:w="720" w:type="dxa"/>
            <w:vAlign w:val="bottom"/>
            <w:shd w:val="clear" w:color="auto" w:fill="E5E5E5"/>
          </w:tcPr>
          <w:p>
            <w:pPr>
              <w:spacing w:after="0"/>
              <w:rPr>
                <w:sz w:val="17"/>
                <w:szCs w:val="17"/>
                <w:color w:val="auto"/>
              </w:rPr>
            </w:pPr>
          </w:p>
        </w:tc>
        <w:tc>
          <w:tcPr>
            <w:tcW w:w="320" w:type="dxa"/>
            <w:vAlign w:val="bottom"/>
            <w:shd w:val="clear" w:color="auto" w:fill="E5E5E5"/>
          </w:tcPr>
          <w:p>
            <w:pPr>
              <w:spacing w:after="0"/>
              <w:rPr>
                <w:sz w:val="17"/>
                <w:szCs w:val="17"/>
                <w:color w:val="auto"/>
              </w:rPr>
            </w:pPr>
          </w:p>
        </w:tc>
        <w:tc>
          <w:tcPr>
            <w:tcW w:w="960" w:type="dxa"/>
            <w:vAlign w:val="bottom"/>
            <w:gridSpan w:val="2"/>
            <w:shd w:val="clear" w:color="auto" w:fill="E5E5E5"/>
          </w:tcPr>
          <w:p>
            <w:pPr>
              <w:jc w:val="right"/>
              <w:ind w:right="140"/>
              <w:spacing w:after="0" w:line="202" w:lineRule="exact"/>
              <w:rPr>
                <w:sz w:val="20"/>
                <w:szCs w:val="20"/>
                <w:color w:val="auto"/>
              </w:rPr>
            </w:pPr>
            <w:r>
              <w:rPr>
                <w:rFonts w:ascii="Arial" w:cs="Arial" w:eastAsia="Arial" w:hAnsi="Arial"/>
                <w:sz w:val="18"/>
                <w:szCs w:val="18"/>
                <w:b w:val="1"/>
                <w:bCs w:val="1"/>
                <w:color w:val="auto"/>
              </w:rPr>
              <w:t>7,949</w:t>
            </w:r>
          </w:p>
        </w:tc>
        <w:tc>
          <w:tcPr>
            <w:tcW w:w="80" w:type="dxa"/>
            <w:vAlign w:val="bottom"/>
            <w:shd w:val="clear" w:color="auto" w:fill="E5E5E5"/>
          </w:tcPr>
          <w:p>
            <w:pPr>
              <w:spacing w:after="0"/>
              <w:rPr>
                <w:sz w:val="17"/>
                <w:szCs w:val="17"/>
                <w:color w:val="auto"/>
              </w:rPr>
            </w:pPr>
          </w:p>
        </w:tc>
        <w:tc>
          <w:tcPr>
            <w:tcW w:w="300" w:type="dxa"/>
            <w:vAlign w:val="bottom"/>
            <w:shd w:val="clear" w:color="auto" w:fill="E5E5E5"/>
          </w:tcPr>
          <w:p>
            <w:pPr>
              <w:spacing w:after="0"/>
              <w:rPr>
                <w:sz w:val="17"/>
                <w:szCs w:val="17"/>
                <w:color w:val="auto"/>
              </w:rPr>
            </w:pPr>
          </w:p>
        </w:tc>
        <w:tc>
          <w:tcPr>
            <w:tcW w:w="94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7,187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80" w:type="dxa"/>
            <w:vAlign w:val="bottom"/>
          </w:tcPr>
          <w:p>
            <w:pPr>
              <w:ind w:left="420"/>
              <w:spacing w:after="0" w:line="202" w:lineRule="exact"/>
              <w:rPr>
                <w:sz w:val="20"/>
                <w:szCs w:val="20"/>
                <w:color w:val="auto"/>
              </w:rPr>
            </w:pPr>
            <w:r>
              <w:rPr>
                <w:rFonts w:ascii="Arial" w:cs="Arial" w:eastAsia="Arial" w:hAnsi="Arial"/>
                <w:sz w:val="18"/>
                <w:szCs w:val="18"/>
                <w:color w:val="auto"/>
              </w:rPr>
              <w:t>Inventories</w:t>
            </w:r>
          </w:p>
        </w:tc>
        <w:tc>
          <w:tcPr>
            <w:tcW w:w="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60" w:type="dxa"/>
            <w:vAlign w:val="bottom"/>
            <w:gridSpan w:val="2"/>
          </w:tcPr>
          <w:p>
            <w:pPr>
              <w:jc w:val="right"/>
              <w:ind w:right="80"/>
              <w:spacing w:after="0" w:line="202" w:lineRule="exact"/>
              <w:rPr>
                <w:sz w:val="20"/>
                <w:szCs w:val="20"/>
                <w:color w:val="auto"/>
              </w:rPr>
            </w:pPr>
            <w:r>
              <w:rPr>
                <w:rFonts w:ascii="Arial" w:cs="Arial" w:eastAsia="Arial" w:hAnsi="Arial"/>
                <w:sz w:val="18"/>
                <w:szCs w:val="18"/>
                <w:b w:val="1"/>
                <w:bCs w:val="1"/>
                <w:color w:val="auto"/>
              </w:rPr>
              <w:t>(1,023)</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(867)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80" w:type="dxa"/>
            <w:vAlign w:val="bottom"/>
            <w:shd w:val="clear" w:color="auto" w:fill="E5E5E5"/>
          </w:tcPr>
          <w:p>
            <w:pPr>
              <w:ind w:left="420"/>
              <w:spacing w:after="0" w:line="202" w:lineRule="exact"/>
              <w:rPr>
                <w:sz w:val="20"/>
                <w:szCs w:val="20"/>
                <w:color w:val="auto"/>
              </w:rPr>
            </w:pPr>
            <w:r>
              <w:rPr>
                <w:rFonts w:ascii="Arial" w:cs="Arial" w:eastAsia="Arial" w:hAnsi="Arial"/>
                <w:sz w:val="18"/>
                <w:szCs w:val="18"/>
                <w:color w:val="auto"/>
              </w:rPr>
              <w:t>Other current assets</w:t>
            </w:r>
          </w:p>
        </w:tc>
        <w:tc>
          <w:tcPr>
            <w:tcW w:w="720" w:type="dxa"/>
            <w:vAlign w:val="bottom"/>
            <w:shd w:val="clear" w:color="auto" w:fill="E5E5E5"/>
          </w:tcPr>
          <w:p>
            <w:pPr>
              <w:spacing w:after="0"/>
              <w:rPr>
                <w:sz w:val="17"/>
                <w:szCs w:val="17"/>
                <w:color w:val="auto"/>
              </w:rPr>
            </w:pPr>
          </w:p>
        </w:tc>
        <w:tc>
          <w:tcPr>
            <w:tcW w:w="320" w:type="dxa"/>
            <w:vAlign w:val="bottom"/>
            <w:shd w:val="clear" w:color="auto" w:fill="E5E5E5"/>
          </w:tcPr>
          <w:p>
            <w:pPr>
              <w:spacing w:after="0"/>
              <w:rPr>
                <w:sz w:val="17"/>
                <w:szCs w:val="17"/>
                <w:color w:val="auto"/>
              </w:rPr>
            </w:pPr>
          </w:p>
        </w:tc>
        <w:tc>
          <w:tcPr>
            <w:tcW w:w="960" w:type="dxa"/>
            <w:vAlign w:val="bottom"/>
            <w:gridSpan w:val="2"/>
            <w:shd w:val="clear" w:color="auto" w:fill="E5E5E5"/>
          </w:tcPr>
          <w:p>
            <w:pPr>
              <w:jc w:val="right"/>
              <w:ind w:right="80"/>
              <w:spacing w:after="0" w:line="202" w:lineRule="exact"/>
              <w:rPr>
                <w:sz w:val="20"/>
                <w:szCs w:val="20"/>
                <w:color w:val="auto"/>
              </w:rPr>
            </w:pPr>
            <w:r>
              <w:rPr>
                <w:rFonts w:ascii="Arial" w:cs="Arial" w:eastAsia="Arial" w:hAnsi="Arial"/>
                <w:sz w:val="18"/>
                <w:szCs w:val="18"/>
                <w:b w:val="1"/>
                <w:bCs w:val="1"/>
                <w:color w:val="auto"/>
              </w:rPr>
              <w:t>(318)</w:t>
            </w:r>
          </w:p>
        </w:tc>
        <w:tc>
          <w:tcPr>
            <w:tcW w:w="80" w:type="dxa"/>
            <w:vAlign w:val="bottom"/>
            <w:shd w:val="clear" w:color="auto" w:fill="E5E5E5"/>
          </w:tcPr>
          <w:p>
            <w:pPr>
              <w:spacing w:after="0"/>
              <w:rPr>
                <w:sz w:val="17"/>
                <w:szCs w:val="17"/>
                <w:color w:val="auto"/>
              </w:rPr>
            </w:pPr>
          </w:p>
        </w:tc>
        <w:tc>
          <w:tcPr>
            <w:tcW w:w="300" w:type="dxa"/>
            <w:vAlign w:val="bottom"/>
            <w:shd w:val="clear" w:color="auto" w:fill="E5E5E5"/>
          </w:tcPr>
          <w:p>
            <w:pPr>
              <w:spacing w:after="0"/>
              <w:rPr>
                <w:sz w:val="17"/>
                <w:szCs w:val="17"/>
                <w:color w:val="auto"/>
              </w:rPr>
            </w:pPr>
          </w:p>
        </w:tc>
        <w:tc>
          <w:tcPr>
            <w:tcW w:w="940" w:type="dxa"/>
            <w:vAlign w:val="bottom"/>
            <w:gridSpan w:val="2"/>
            <w:shd w:val="clear" w:color="auto" w:fill="E5E5E5"/>
          </w:tcPr>
          <w:p>
            <w:pPr>
              <w:jc w:val="right"/>
              <w:ind w:right="40"/>
              <w:spacing w:after="0" w:line="202" w:lineRule="exact"/>
              <w:rPr>
                <w:sz w:val="20"/>
                <w:szCs w:val="20"/>
                <w:color w:val="auto"/>
              </w:rPr>
            </w:pPr>
            <w:r>
              <w:rPr>
                <w:rFonts w:ascii="Arial" w:cs="Arial" w:eastAsia="Arial" w:hAnsi="Arial"/>
                <w:sz w:val="18"/>
                <w:szCs w:val="18"/>
                <w:color w:val="auto"/>
              </w:rPr>
              <w:t>(965)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80" w:type="dxa"/>
            <w:vAlign w:val="bottom"/>
          </w:tcPr>
          <w:p>
            <w:pPr>
              <w:ind w:left="420"/>
              <w:spacing w:after="0" w:line="202" w:lineRule="exact"/>
              <w:rPr>
                <w:sz w:val="20"/>
                <w:szCs w:val="20"/>
                <w:color w:val="auto"/>
              </w:rPr>
            </w:pPr>
            <w:r>
              <w:rPr>
                <w:rFonts w:ascii="Arial" w:cs="Arial" w:eastAsia="Arial" w:hAnsi="Arial"/>
                <w:sz w:val="18"/>
                <w:szCs w:val="18"/>
                <w:color w:val="auto"/>
              </w:rPr>
              <w:t>Other long-term assets</w:t>
            </w:r>
          </w:p>
        </w:tc>
        <w:tc>
          <w:tcPr>
            <w:tcW w:w="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60" w:type="dxa"/>
            <w:vAlign w:val="bottom"/>
            <w:gridSpan w:val="2"/>
          </w:tcPr>
          <w:p>
            <w:pPr>
              <w:jc w:val="right"/>
              <w:ind w:right="80"/>
              <w:spacing w:after="0" w:line="202" w:lineRule="exact"/>
              <w:rPr>
                <w:sz w:val="20"/>
                <w:szCs w:val="20"/>
                <w:color w:val="auto"/>
              </w:rPr>
            </w:pPr>
            <w:r>
              <w:rPr>
                <w:rFonts w:ascii="Arial" w:cs="Arial" w:eastAsia="Arial" w:hAnsi="Arial"/>
                <w:sz w:val="18"/>
                <w:szCs w:val="18"/>
                <w:b w:val="1"/>
                <w:bCs w:val="1"/>
                <w:color w:val="auto"/>
              </w:rPr>
              <w:t>(278)</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(93)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80" w:type="dxa"/>
            <w:vAlign w:val="bottom"/>
            <w:shd w:val="clear" w:color="auto" w:fill="E5E5E5"/>
          </w:tcPr>
          <w:p>
            <w:pPr>
              <w:ind w:left="420"/>
              <w:spacing w:after="0" w:line="202" w:lineRule="exact"/>
              <w:rPr>
                <w:sz w:val="20"/>
                <w:szCs w:val="20"/>
                <w:color w:val="auto"/>
              </w:rPr>
            </w:pPr>
            <w:r>
              <w:rPr>
                <w:rFonts w:ascii="Arial" w:cs="Arial" w:eastAsia="Arial" w:hAnsi="Arial"/>
                <w:sz w:val="18"/>
                <w:szCs w:val="18"/>
                <w:color w:val="auto"/>
              </w:rPr>
              <w:t>Accounts payable</w:t>
            </w:r>
          </w:p>
        </w:tc>
        <w:tc>
          <w:tcPr>
            <w:tcW w:w="720" w:type="dxa"/>
            <w:vAlign w:val="bottom"/>
            <w:shd w:val="clear" w:color="auto" w:fill="E5E5E5"/>
          </w:tcPr>
          <w:p>
            <w:pPr>
              <w:spacing w:after="0"/>
              <w:rPr>
                <w:sz w:val="17"/>
                <w:szCs w:val="17"/>
                <w:color w:val="auto"/>
              </w:rPr>
            </w:pPr>
          </w:p>
        </w:tc>
        <w:tc>
          <w:tcPr>
            <w:tcW w:w="320" w:type="dxa"/>
            <w:vAlign w:val="bottom"/>
            <w:shd w:val="clear" w:color="auto" w:fill="E5E5E5"/>
          </w:tcPr>
          <w:p>
            <w:pPr>
              <w:spacing w:after="0"/>
              <w:rPr>
                <w:sz w:val="17"/>
                <w:szCs w:val="17"/>
                <w:color w:val="auto"/>
              </w:rPr>
            </w:pPr>
          </w:p>
        </w:tc>
        <w:tc>
          <w:tcPr>
            <w:tcW w:w="960" w:type="dxa"/>
            <w:vAlign w:val="bottom"/>
            <w:gridSpan w:val="2"/>
            <w:shd w:val="clear" w:color="auto" w:fill="E5E5E5"/>
          </w:tcPr>
          <w:p>
            <w:pPr>
              <w:jc w:val="right"/>
              <w:ind w:right="80"/>
              <w:spacing w:after="0" w:line="202" w:lineRule="exact"/>
              <w:rPr>
                <w:sz w:val="20"/>
                <w:szCs w:val="20"/>
                <w:color w:val="auto"/>
              </w:rPr>
            </w:pPr>
            <w:r>
              <w:rPr>
                <w:rFonts w:ascii="Arial" w:cs="Arial" w:eastAsia="Arial" w:hAnsi="Arial"/>
                <w:sz w:val="18"/>
                <w:szCs w:val="18"/>
                <w:b w:val="1"/>
                <w:bCs w:val="1"/>
                <w:color w:val="auto"/>
              </w:rPr>
              <w:t>(407)</w:t>
            </w:r>
          </w:p>
        </w:tc>
        <w:tc>
          <w:tcPr>
            <w:tcW w:w="80" w:type="dxa"/>
            <w:vAlign w:val="bottom"/>
            <w:shd w:val="clear" w:color="auto" w:fill="E5E5E5"/>
          </w:tcPr>
          <w:p>
            <w:pPr>
              <w:spacing w:after="0"/>
              <w:rPr>
                <w:sz w:val="17"/>
                <w:szCs w:val="17"/>
                <w:color w:val="auto"/>
              </w:rPr>
            </w:pPr>
          </w:p>
        </w:tc>
        <w:tc>
          <w:tcPr>
            <w:tcW w:w="300" w:type="dxa"/>
            <w:vAlign w:val="bottom"/>
            <w:shd w:val="clear" w:color="auto" w:fill="E5E5E5"/>
          </w:tcPr>
          <w:p>
            <w:pPr>
              <w:spacing w:after="0"/>
              <w:rPr>
                <w:sz w:val="17"/>
                <w:szCs w:val="17"/>
                <w:color w:val="auto"/>
              </w:rPr>
            </w:pPr>
          </w:p>
        </w:tc>
        <w:tc>
          <w:tcPr>
            <w:tcW w:w="940" w:type="dxa"/>
            <w:vAlign w:val="bottom"/>
            <w:gridSpan w:val="2"/>
            <w:shd w:val="clear" w:color="auto" w:fill="E5E5E5"/>
          </w:tcPr>
          <w:p>
            <w:pPr>
              <w:jc w:val="right"/>
              <w:ind w:right="40"/>
              <w:spacing w:after="0" w:line="202" w:lineRule="exact"/>
              <w:rPr>
                <w:sz w:val="20"/>
                <w:szCs w:val="20"/>
                <w:color w:val="auto"/>
              </w:rPr>
            </w:pPr>
            <w:r>
              <w:rPr>
                <w:rFonts w:ascii="Arial" w:cs="Arial" w:eastAsia="Arial" w:hAnsi="Arial"/>
                <w:sz w:val="18"/>
                <w:szCs w:val="18"/>
                <w:color w:val="auto"/>
              </w:rPr>
              <w:t>(443)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080" w:type="dxa"/>
            <w:vAlign w:val="bottom"/>
          </w:tcPr>
          <w:p>
            <w:pPr>
              <w:ind w:left="420"/>
              <w:spacing w:after="0"/>
              <w:rPr>
                <w:sz w:val="20"/>
                <w:szCs w:val="20"/>
                <w:color w:val="auto"/>
              </w:rPr>
            </w:pPr>
            <w:r>
              <w:rPr>
                <w:rFonts w:ascii="Arial" w:cs="Arial" w:eastAsia="Arial" w:hAnsi="Arial"/>
                <w:sz w:val="18"/>
                <w:szCs w:val="18"/>
                <w:color w:val="auto"/>
              </w:rPr>
              <w:t>Unearned revenue</w:t>
            </w:r>
          </w:p>
        </w:tc>
        <w:tc>
          <w:tcPr>
            <w:tcW w:w="7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(1,806)</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(1,807)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80" w:type="dxa"/>
            <w:vAlign w:val="bottom"/>
            <w:shd w:val="clear" w:color="auto" w:fill="E5E5E5"/>
          </w:tcPr>
          <w:p>
            <w:pPr>
              <w:ind w:left="420"/>
              <w:spacing w:after="0" w:line="202" w:lineRule="exact"/>
              <w:rPr>
                <w:sz w:val="20"/>
                <w:szCs w:val="20"/>
                <w:color w:val="auto"/>
              </w:rPr>
            </w:pPr>
            <w:r>
              <w:rPr>
                <w:rFonts w:ascii="Arial" w:cs="Arial" w:eastAsia="Arial" w:hAnsi="Arial"/>
                <w:sz w:val="18"/>
                <w:szCs w:val="18"/>
                <w:color w:val="auto"/>
              </w:rPr>
              <w:t>Other current liabilities</w:t>
            </w:r>
          </w:p>
        </w:tc>
        <w:tc>
          <w:tcPr>
            <w:tcW w:w="720" w:type="dxa"/>
            <w:vAlign w:val="bottom"/>
            <w:shd w:val="clear" w:color="auto" w:fill="E5E5E5"/>
          </w:tcPr>
          <w:p>
            <w:pPr>
              <w:spacing w:after="0"/>
              <w:rPr>
                <w:sz w:val="17"/>
                <w:szCs w:val="17"/>
                <w:color w:val="auto"/>
              </w:rPr>
            </w:pPr>
          </w:p>
        </w:tc>
        <w:tc>
          <w:tcPr>
            <w:tcW w:w="320" w:type="dxa"/>
            <w:vAlign w:val="bottom"/>
            <w:shd w:val="clear" w:color="auto" w:fill="E5E5E5"/>
          </w:tcPr>
          <w:p>
            <w:pPr>
              <w:spacing w:after="0"/>
              <w:rPr>
                <w:sz w:val="17"/>
                <w:szCs w:val="17"/>
                <w:color w:val="auto"/>
              </w:rPr>
            </w:pPr>
          </w:p>
        </w:tc>
        <w:tc>
          <w:tcPr>
            <w:tcW w:w="960" w:type="dxa"/>
            <w:vAlign w:val="bottom"/>
            <w:gridSpan w:val="2"/>
            <w:shd w:val="clear" w:color="auto" w:fill="E5E5E5"/>
          </w:tcPr>
          <w:p>
            <w:pPr>
              <w:jc w:val="right"/>
              <w:ind w:right="80"/>
              <w:spacing w:after="0" w:line="202" w:lineRule="exact"/>
              <w:rPr>
                <w:sz w:val="20"/>
                <w:szCs w:val="20"/>
                <w:color w:val="auto"/>
              </w:rPr>
            </w:pPr>
            <w:r>
              <w:rPr>
                <w:rFonts w:ascii="Arial" w:cs="Arial" w:eastAsia="Arial" w:hAnsi="Arial"/>
                <w:sz w:val="18"/>
                <w:szCs w:val="18"/>
                <w:b w:val="1"/>
                <w:bCs w:val="1"/>
                <w:color w:val="auto"/>
              </w:rPr>
              <w:t>(1,962)</w:t>
            </w:r>
          </w:p>
        </w:tc>
        <w:tc>
          <w:tcPr>
            <w:tcW w:w="80" w:type="dxa"/>
            <w:vAlign w:val="bottom"/>
            <w:shd w:val="clear" w:color="auto" w:fill="E5E5E5"/>
          </w:tcPr>
          <w:p>
            <w:pPr>
              <w:spacing w:after="0"/>
              <w:rPr>
                <w:sz w:val="17"/>
                <w:szCs w:val="17"/>
                <w:color w:val="auto"/>
              </w:rPr>
            </w:pPr>
          </w:p>
        </w:tc>
        <w:tc>
          <w:tcPr>
            <w:tcW w:w="300" w:type="dxa"/>
            <w:vAlign w:val="bottom"/>
            <w:shd w:val="clear" w:color="auto" w:fill="E5E5E5"/>
          </w:tcPr>
          <w:p>
            <w:pPr>
              <w:spacing w:after="0"/>
              <w:rPr>
                <w:sz w:val="17"/>
                <w:szCs w:val="17"/>
                <w:color w:val="auto"/>
              </w:rPr>
            </w:pPr>
          </w:p>
        </w:tc>
        <w:tc>
          <w:tcPr>
            <w:tcW w:w="940" w:type="dxa"/>
            <w:vAlign w:val="bottom"/>
            <w:gridSpan w:val="2"/>
            <w:shd w:val="clear" w:color="auto" w:fill="E5E5E5"/>
          </w:tcPr>
          <w:p>
            <w:pPr>
              <w:jc w:val="right"/>
              <w:ind w:right="40"/>
              <w:spacing w:after="0" w:line="202" w:lineRule="exact"/>
              <w:rPr>
                <w:sz w:val="20"/>
                <w:szCs w:val="20"/>
                <w:color w:val="auto"/>
              </w:rPr>
            </w:pPr>
            <w:r>
              <w:rPr>
                <w:rFonts w:ascii="Arial" w:cs="Arial" w:eastAsia="Arial" w:hAnsi="Arial"/>
                <w:sz w:val="18"/>
                <w:szCs w:val="18"/>
                <w:color w:val="auto"/>
              </w:rPr>
              <w:t>(321)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8080" w:type="dxa"/>
            <w:vAlign w:val="bottom"/>
          </w:tcPr>
          <w:p>
            <w:pPr>
              <w:ind w:left="420"/>
              <w:spacing w:after="0"/>
              <w:rPr>
                <w:sz w:val="20"/>
                <w:szCs w:val="20"/>
                <w:color w:val="auto"/>
              </w:rPr>
            </w:pPr>
            <w:r>
              <w:rPr>
                <w:rFonts w:ascii="Arial" w:cs="Arial" w:eastAsia="Arial" w:hAnsi="Arial"/>
                <w:sz w:val="18"/>
                <w:szCs w:val="18"/>
                <w:color w:val="auto"/>
              </w:rPr>
              <w:t>Other long-term liabilities</w:t>
            </w:r>
          </w:p>
        </w:tc>
        <w:tc>
          <w:tcPr>
            <w:tcW w:w="7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813</w:t>
            </w: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443</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8080" w:type="dxa"/>
            <w:vAlign w:val="bottom"/>
            <w:tcBorders>
              <w:top w:val="single" w:sz="8" w:color="auto"/>
            </w:tcBorders>
          </w:tcPr>
          <w:p>
            <w:pPr>
              <w:spacing w:after="0"/>
              <w:rPr>
                <w:sz w:val="5"/>
                <w:szCs w:val="5"/>
                <w:color w:val="auto"/>
              </w:rPr>
            </w:pPr>
          </w:p>
        </w:tc>
        <w:tc>
          <w:tcPr>
            <w:tcW w:w="720" w:type="dxa"/>
            <w:vAlign w:val="bottom"/>
            <w:tcBorders>
              <w:top w:val="single" w:sz="8" w:color="auto"/>
            </w:tcBorders>
          </w:tcPr>
          <w:p>
            <w:pPr>
              <w:spacing w:after="0"/>
              <w:rPr>
                <w:sz w:val="5"/>
                <w:szCs w:val="5"/>
                <w:color w:val="auto"/>
              </w:rPr>
            </w:pPr>
          </w:p>
        </w:tc>
        <w:tc>
          <w:tcPr>
            <w:tcW w:w="320" w:type="dxa"/>
            <w:vAlign w:val="bottom"/>
            <w:tcBorders>
              <w:top w:val="single" w:sz="8" w:color="auto"/>
            </w:tcBorders>
          </w:tcPr>
          <w:p>
            <w:pPr>
              <w:spacing w:after="0"/>
              <w:rPr>
                <w:sz w:val="5"/>
                <w:szCs w:val="5"/>
                <w:color w:val="auto"/>
              </w:rPr>
            </w:pPr>
          </w:p>
        </w:tc>
        <w:tc>
          <w:tcPr>
            <w:tcW w:w="820" w:type="dxa"/>
            <w:vAlign w:val="bottom"/>
            <w:tcBorders>
              <w:top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300" w:type="dxa"/>
            <w:vAlign w:val="bottom"/>
            <w:tcBorders>
              <w:top w:val="single" w:sz="8" w:color="auto"/>
            </w:tcBorders>
          </w:tcPr>
          <w:p>
            <w:pPr>
              <w:spacing w:after="0"/>
              <w:rPr>
                <w:sz w:val="5"/>
                <w:szCs w:val="5"/>
                <w:color w:val="auto"/>
              </w:rPr>
            </w:pPr>
          </w:p>
        </w:tc>
        <w:tc>
          <w:tcPr>
            <w:tcW w:w="84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80" w:type="dxa"/>
            <w:vAlign w:val="bottom"/>
            <w:shd w:val="clear" w:color="auto" w:fill="E5E5E5"/>
          </w:tcPr>
          <w:p>
            <w:pPr>
              <w:ind w:left="640"/>
              <w:spacing w:after="0" w:line="202" w:lineRule="exact"/>
              <w:rPr>
                <w:sz w:val="20"/>
                <w:szCs w:val="20"/>
                <w:color w:val="auto"/>
              </w:rPr>
            </w:pPr>
            <w:r>
              <w:rPr>
                <w:rFonts w:ascii="Arial" w:cs="Arial" w:eastAsia="Arial" w:hAnsi="Arial"/>
                <w:sz w:val="18"/>
                <w:szCs w:val="18"/>
                <w:color w:val="auto"/>
              </w:rPr>
              <w:t>Net cash from operations</w:t>
            </w:r>
          </w:p>
        </w:tc>
        <w:tc>
          <w:tcPr>
            <w:tcW w:w="720" w:type="dxa"/>
            <w:vAlign w:val="bottom"/>
            <w:shd w:val="clear" w:color="auto" w:fill="E5E5E5"/>
          </w:tcPr>
          <w:p>
            <w:pPr>
              <w:spacing w:after="0"/>
              <w:rPr>
                <w:sz w:val="17"/>
                <w:szCs w:val="17"/>
                <w:color w:val="auto"/>
              </w:rPr>
            </w:pPr>
          </w:p>
        </w:tc>
        <w:tc>
          <w:tcPr>
            <w:tcW w:w="320" w:type="dxa"/>
            <w:vAlign w:val="bottom"/>
            <w:shd w:val="clear" w:color="auto" w:fill="E5E5E5"/>
          </w:tcPr>
          <w:p>
            <w:pPr>
              <w:spacing w:after="0"/>
              <w:rPr>
                <w:sz w:val="17"/>
                <w:szCs w:val="17"/>
                <w:color w:val="auto"/>
              </w:rPr>
            </w:pPr>
          </w:p>
        </w:tc>
        <w:tc>
          <w:tcPr>
            <w:tcW w:w="960" w:type="dxa"/>
            <w:vAlign w:val="bottom"/>
            <w:gridSpan w:val="2"/>
            <w:shd w:val="clear" w:color="auto" w:fill="E5E5E5"/>
          </w:tcPr>
          <w:p>
            <w:pPr>
              <w:jc w:val="right"/>
              <w:ind w:right="140"/>
              <w:spacing w:after="0" w:line="202" w:lineRule="exact"/>
              <w:rPr>
                <w:sz w:val="20"/>
                <w:szCs w:val="20"/>
                <w:color w:val="auto"/>
              </w:rPr>
            </w:pPr>
            <w:r>
              <w:rPr>
                <w:rFonts w:ascii="Arial" w:cs="Arial" w:eastAsia="Arial" w:hAnsi="Arial"/>
                <w:sz w:val="18"/>
                <w:szCs w:val="18"/>
                <w:b w:val="1"/>
                <w:bCs w:val="1"/>
                <w:color w:val="auto"/>
              </w:rPr>
              <w:t>12,440</w:t>
            </w:r>
          </w:p>
        </w:tc>
        <w:tc>
          <w:tcPr>
            <w:tcW w:w="80" w:type="dxa"/>
            <w:vAlign w:val="bottom"/>
            <w:shd w:val="clear" w:color="auto" w:fill="E5E5E5"/>
          </w:tcPr>
          <w:p>
            <w:pPr>
              <w:spacing w:after="0"/>
              <w:rPr>
                <w:sz w:val="17"/>
                <w:szCs w:val="17"/>
                <w:color w:val="auto"/>
              </w:rPr>
            </w:pPr>
          </w:p>
        </w:tc>
        <w:tc>
          <w:tcPr>
            <w:tcW w:w="300" w:type="dxa"/>
            <w:vAlign w:val="bottom"/>
            <w:shd w:val="clear" w:color="auto" w:fill="E5E5E5"/>
          </w:tcPr>
          <w:p>
            <w:pPr>
              <w:spacing w:after="0"/>
              <w:rPr>
                <w:sz w:val="17"/>
                <w:szCs w:val="17"/>
                <w:color w:val="auto"/>
              </w:rPr>
            </w:pPr>
          </w:p>
        </w:tc>
        <w:tc>
          <w:tcPr>
            <w:tcW w:w="94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11,549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808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8080" w:type="dxa"/>
            <w:vAlign w:val="bottom"/>
          </w:tcPr>
          <w:p>
            <w:pPr>
              <w:spacing w:after="0"/>
              <w:rPr>
                <w:sz w:val="5"/>
                <w:szCs w:val="5"/>
                <w:color w:val="auto"/>
              </w:rPr>
            </w:pPr>
          </w:p>
        </w:tc>
        <w:tc>
          <w:tcPr>
            <w:tcW w:w="7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30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8080" w:type="dxa"/>
            <w:vAlign w:val="bottom"/>
            <w:shd w:val="clear" w:color="auto" w:fill="E5E5E5"/>
          </w:tcPr>
          <w:p>
            <w:pPr>
              <w:spacing w:after="0" w:line="202" w:lineRule="exact"/>
              <w:rPr>
                <w:sz w:val="20"/>
                <w:szCs w:val="20"/>
                <w:color w:val="auto"/>
              </w:rPr>
            </w:pPr>
            <w:r>
              <w:rPr>
                <w:rFonts w:ascii="Arial" w:cs="Arial" w:eastAsia="Arial" w:hAnsi="Arial"/>
                <w:sz w:val="18"/>
                <w:szCs w:val="18"/>
                <w:b w:val="1"/>
                <w:bCs w:val="1"/>
                <w:color w:val="auto"/>
              </w:rPr>
              <w:t>Financing</w:t>
            </w:r>
          </w:p>
        </w:tc>
        <w:tc>
          <w:tcPr>
            <w:tcW w:w="720" w:type="dxa"/>
            <w:vAlign w:val="bottom"/>
            <w:shd w:val="clear" w:color="auto" w:fill="E5E5E5"/>
          </w:tcPr>
          <w:p>
            <w:pPr>
              <w:spacing w:after="0"/>
              <w:rPr>
                <w:sz w:val="17"/>
                <w:szCs w:val="17"/>
                <w:color w:val="auto"/>
              </w:rPr>
            </w:pPr>
          </w:p>
        </w:tc>
        <w:tc>
          <w:tcPr>
            <w:tcW w:w="320" w:type="dxa"/>
            <w:vAlign w:val="bottom"/>
            <w:shd w:val="clear" w:color="auto" w:fill="E5E5E5"/>
          </w:tcPr>
          <w:p>
            <w:pPr>
              <w:spacing w:after="0"/>
              <w:rPr>
                <w:sz w:val="17"/>
                <w:szCs w:val="17"/>
                <w:color w:val="auto"/>
              </w:rPr>
            </w:pPr>
          </w:p>
        </w:tc>
        <w:tc>
          <w:tcPr>
            <w:tcW w:w="820" w:type="dxa"/>
            <w:vAlign w:val="bottom"/>
            <w:shd w:val="clear" w:color="auto" w:fill="E5E5E5"/>
          </w:tcPr>
          <w:p>
            <w:pPr>
              <w:spacing w:after="0"/>
              <w:rPr>
                <w:sz w:val="17"/>
                <w:szCs w:val="17"/>
                <w:color w:val="auto"/>
              </w:rPr>
            </w:pPr>
          </w:p>
        </w:tc>
        <w:tc>
          <w:tcPr>
            <w:tcW w:w="140" w:type="dxa"/>
            <w:vAlign w:val="bottom"/>
            <w:shd w:val="clear" w:color="auto" w:fill="E5E5E5"/>
          </w:tcPr>
          <w:p>
            <w:pPr>
              <w:spacing w:after="0"/>
              <w:rPr>
                <w:sz w:val="17"/>
                <w:szCs w:val="17"/>
                <w:color w:val="auto"/>
              </w:rPr>
            </w:pPr>
          </w:p>
        </w:tc>
        <w:tc>
          <w:tcPr>
            <w:tcW w:w="80" w:type="dxa"/>
            <w:vAlign w:val="bottom"/>
            <w:shd w:val="clear" w:color="auto" w:fill="E5E5E5"/>
          </w:tcPr>
          <w:p>
            <w:pPr>
              <w:spacing w:after="0"/>
              <w:rPr>
                <w:sz w:val="17"/>
                <w:szCs w:val="17"/>
                <w:color w:val="auto"/>
              </w:rPr>
            </w:pPr>
          </w:p>
        </w:tc>
        <w:tc>
          <w:tcPr>
            <w:tcW w:w="300" w:type="dxa"/>
            <w:vAlign w:val="bottom"/>
            <w:shd w:val="clear" w:color="auto" w:fill="E5E5E5"/>
          </w:tcPr>
          <w:p>
            <w:pPr>
              <w:spacing w:after="0"/>
              <w:rPr>
                <w:sz w:val="17"/>
                <w:szCs w:val="17"/>
                <w:color w:val="auto"/>
              </w:rPr>
            </w:pPr>
          </w:p>
        </w:tc>
        <w:tc>
          <w:tcPr>
            <w:tcW w:w="84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80" w:type="dxa"/>
            <w:vAlign w:val="bottom"/>
          </w:tcPr>
          <w:p>
            <w:pPr>
              <w:spacing w:after="0" w:line="202" w:lineRule="exact"/>
              <w:rPr>
                <w:sz w:val="20"/>
                <w:szCs w:val="20"/>
                <w:color w:val="auto"/>
              </w:rPr>
            </w:pPr>
            <w:r>
              <w:rPr>
                <w:rFonts w:ascii="Arial" w:cs="Arial" w:eastAsia="Arial" w:hAnsi="Arial"/>
                <w:sz w:val="18"/>
                <w:szCs w:val="18"/>
                <w:color w:val="auto"/>
              </w:rPr>
              <w:t>Repayments of short-term debt, maturities of 90 days or less, net</w:t>
            </w:r>
          </w:p>
        </w:tc>
        <w:tc>
          <w:tcPr>
            <w:tcW w:w="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60" w:type="dxa"/>
            <w:vAlign w:val="bottom"/>
            <w:gridSpan w:val="2"/>
          </w:tcPr>
          <w:p>
            <w:pPr>
              <w:jc w:val="right"/>
              <w:ind w:right="80"/>
              <w:spacing w:after="0" w:line="202" w:lineRule="exact"/>
              <w:rPr>
                <w:sz w:val="20"/>
                <w:szCs w:val="20"/>
                <w:color w:val="auto"/>
              </w:rPr>
            </w:pPr>
            <w:r>
              <w:rPr>
                <w:rFonts w:ascii="Arial" w:cs="Arial" w:eastAsia="Arial" w:hAnsi="Arial"/>
                <w:sz w:val="18"/>
                <w:szCs w:val="18"/>
                <w:b w:val="1"/>
                <w:bCs w:val="1"/>
                <w:color w:val="auto"/>
              </w:rPr>
              <w:t>(3,710)</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(3,390)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8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Proceeds from issuance of debt</w:t>
            </w:r>
          </w:p>
        </w:tc>
        <w:tc>
          <w:tcPr>
            <w:tcW w:w="720" w:type="dxa"/>
            <w:vAlign w:val="bottom"/>
            <w:shd w:val="clear" w:color="auto" w:fill="E5E5E5"/>
          </w:tcPr>
          <w:p>
            <w:pPr>
              <w:spacing w:after="0"/>
              <w:rPr>
                <w:sz w:val="17"/>
                <w:szCs w:val="17"/>
                <w:color w:val="auto"/>
              </w:rPr>
            </w:pPr>
          </w:p>
        </w:tc>
        <w:tc>
          <w:tcPr>
            <w:tcW w:w="320" w:type="dxa"/>
            <w:vAlign w:val="bottom"/>
            <w:shd w:val="clear" w:color="auto" w:fill="E5E5E5"/>
          </w:tcPr>
          <w:p>
            <w:pPr>
              <w:spacing w:after="0"/>
              <w:rPr>
                <w:sz w:val="17"/>
                <w:szCs w:val="17"/>
                <w:color w:val="auto"/>
              </w:rPr>
            </w:pPr>
          </w:p>
        </w:tc>
        <w:tc>
          <w:tcPr>
            <w:tcW w:w="960" w:type="dxa"/>
            <w:vAlign w:val="bottom"/>
            <w:gridSpan w:val="2"/>
            <w:shd w:val="clear" w:color="auto" w:fill="E5E5E5"/>
          </w:tcPr>
          <w:p>
            <w:pPr>
              <w:jc w:val="right"/>
              <w:ind w:right="140"/>
              <w:spacing w:after="0" w:line="202" w:lineRule="exact"/>
              <w:rPr>
                <w:sz w:val="20"/>
                <w:szCs w:val="20"/>
                <w:color w:val="auto"/>
              </w:rPr>
            </w:pPr>
            <w:r>
              <w:rPr>
                <w:rFonts w:ascii="Arial" w:cs="Arial" w:eastAsia="Arial" w:hAnsi="Arial"/>
                <w:sz w:val="18"/>
                <w:szCs w:val="18"/>
                <w:b w:val="1"/>
                <w:bCs w:val="1"/>
                <w:color w:val="auto"/>
              </w:rPr>
              <w:t>3,954</w:t>
            </w:r>
          </w:p>
        </w:tc>
        <w:tc>
          <w:tcPr>
            <w:tcW w:w="80" w:type="dxa"/>
            <w:vAlign w:val="bottom"/>
            <w:shd w:val="clear" w:color="auto" w:fill="E5E5E5"/>
          </w:tcPr>
          <w:p>
            <w:pPr>
              <w:spacing w:after="0"/>
              <w:rPr>
                <w:sz w:val="17"/>
                <w:szCs w:val="17"/>
                <w:color w:val="auto"/>
              </w:rPr>
            </w:pPr>
          </w:p>
        </w:tc>
        <w:tc>
          <w:tcPr>
            <w:tcW w:w="300" w:type="dxa"/>
            <w:vAlign w:val="bottom"/>
            <w:shd w:val="clear" w:color="auto" w:fill="E5E5E5"/>
          </w:tcPr>
          <w:p>
            <w:pPr>
              <w:spacing w:after="0"/>
              <w:rPr>
                <w:sz w:val="17"/>
                <w:szCs w:val="17"/>
                <w:color w:val="auto"/>
              </w:rPr>
            </w:pPr>
          </w:p>
        </w:tc>
        <w:tc>
          <w:tcPr>
            <w:tcW w:w="94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24,977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80" w:type="dxa"/>
            <w:vAlign w:val="bottom"/>
          </w:tcPr>
          <w:p>
            <w:pPr>
              <w:spacing w:after="0" w:line="202" w:lineRule="exact"/>
              <w:rPr>
                <w:sz w:val="20"/>
                <w:szCs w:val="20"/>
                <w:color w:val="auto"/>
              </w:rPr>
            </w:pPr>
            <w:r>
              <w:rPr>
                <w:rFonts w:ascii="Arial" w:cs="Arial" w:eastAsia="Arial" w:hAnsi="Arial"/>
                <w:sz w:val="18"/>
                <w:szCs w:val="18"/>
                <w:color w:val="auto"/>
              </w:rPr>
              <w:t>Repayments of debt</w:t>
            </w:r>
          </w:p>
        </w:tc>
        <w:tc>
          <w:tcPr>
            <w:tcW w:w="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60" w:type="dxa"/>
            <w:vAlign w:val="bottom"/>
            <w:gridSpan w:val="2"/>
          </w:tcPr>
          <w:p>
            <w:pPr>
              <w:jc w:val="right"/>
              <w:ind w:right="80"/>
              <w:spacing w:after="0" w:line="202" w:lineRule="exact"/>
              <w:rPr>
                <w:sz w:val="20"/>
                <w:szCs w:val="20"/>
                <w:color w:val="auto"/>
              </w:rPr>
            </w:pPr>
            <w:r>
              <w:rPr>
                <w:rFonts w:ascii="Arial" w:cs="Arial" w:eastAsia="Arial" w:hAnsi="Arial"/>
                <w:sz w:val="18"/>
                <w:szCs w:val="18"/>
                <w:b w:val="1"/>
                <w:bCs w:val="1"/>
                <w:color w:val="auto"/>
              </w:rPr>
              <w:t>(1,169)</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(225)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8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Common stock issued</w:t>
            </w:r>
          </w:p>
        </w:tc>
        <w:tc>
          <w:tcPr>
            <w:tcW w:w="720" w:type="dxa"/>
            <w:vAlign w:val="bottom"/>
            <w:shd w:val="clear" w:color="auto" w:fill="E5E5E5"/>
          </w:tcPr>
          <w:p>
            <w:pPr>
              <w:spacing w:after="0"/>
              <w:rPr>
                <w:sz w:val="17"/>
                <w:szCs w:val="17"/>
                <w:color w:val="auto"/>
              </w:rPr>
            </w:pPr>
          </w:p>
        </w:tc>
        <w:tc>
          <w:tcPr>
            <w:tcW w:w="320" w:type="dxa"/>
            <w:vAlign w:val="bottom"/>
            <w:shd w:val="clear" w:color="auto" w:fill="E5E5E5"/>
          </w:tcPr>
          <w:p>
            <w:pPr>
              <w:spacing w:after="0"/>
              <w:rPr>
                <w:sz w:val="17"/>
                <w:szCs w:val="17"/>
                <w:color w:val="auto"/>
              </w:rPr>
            </w:pPr>
          </w:p>
        </w:tc>
        <w:tc>
          <w:tcPr>
            <w:tcW w:w="960" w:type="dxa"/>
            <w:vAlign w:val="bottom"/>
            <w:gridSpan w:val="2"/>
            <w:shd w:val="clear" w:color="auto" w:fill="E5E5E5"/>
          </w:tcPr>
          <w:p>
            <w:pPr>
              <w:jc w:val="right"/>
              <w:ind w:right="140"/>
              <w:spacing w:after="0" w:line="202" w:lineRule="exact"/>
              <w:rPr>
                <w:sz w:val="20"/>
                <w:szCs w:val="20"/>
                <w:color w:val="auto"/>
              </w:rPr>
            </w:pPr>
            <w:r>
              <w:rPr>
                <w:rFonts w:ascii="Arial" w:cs="Arial" w:eastAsia="Arial" w:hAnsi="Arial"/>
                <w:sz w:val="18"/>
                <w:szCs w:val="18"/>
                <w:b w:val="1"/>
                <w:bCs w:val="1"/>
                <w:color w:val="auto"/>
              </w:rPr>
              <w:t>307</w:t>
            </w:r>
          </w:p>
        </w:tc>
        <w:tc>
          <w:tcPr>
            <w:tcW w:w="80" w:type="dxa"/>
            <w:vAlign w:val="bottom"/>
            <w:shd w:val="clear" w:color="auto" w:fill="E5E5E5"/>
          </w:tcPr>
          <w:p>
            <w:pPr>
              <w:spacing w:after="0"/>
              <w:rPr>
                <w:sz w:val="17"/>
                <w:szCs w:val="17"/>
                <w:color w:val="auto"/>
              </w:rPr>
            </w:pPr>
          </w:p>
        </w:tc>
        <w:tc>
          <w:tcPr>
            <w:tcW w:w="300" w:type="dxa"/>
            <w:vAlign w:val="bottom"/>
            <w:shd w:val="clear" w:color="auto" w:fill="E5E5E5"/>
          </w:tcPr>
          <w:p>
            <w:pPr>
              <w:spacing w:after="0"/>
              <w:rPr>
                <w:sz w:val="17"/>
                <w:szCs w:val="17"/>
                <w:color w:val="auto"/>
              </w:rPr>
            </w:pPr>
          </w:p>
        </w:tc>
        <w:tc>
          <w:tcPr>
            <w:tcW w:w="94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241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80" w:type="dxa"/>
            <w:vAlign w:val="bottom"/>
          </w:tcPr>
          <w:p>
            <w:pPr>
              <w:spacing w:after="0" w:line="202" w:lineRule="exact"/>
              <w:rPr>
                <w:sz w:val="20"/>
                <w:szCs w:val="20"/>
                <w:color w:val="auto"/>
              </w:rPr>
            </w:pPr>
            <w:r>
              <w:rPr>
                <w:rFonts w:ascii="Arial" w:cs="Arial" w:eastAsia="Arial" w:hAnsi="Arial"/>
                <w:sz w:val="18"/>
                <w:szCs w:val="18"/>
                <w:color w:val="auto"/>
              </w:rPr>
              <w:t>Common stock repurchased</w:t>
            </w:r>
          </w:p>
        </w:tc>
        <w:tc>
          <w:tcPr>
            <w:tcW w:w="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60" w:type="dxa"/>
            <w:vAlign w:val="bottom"/>
            <w:gridSpan w:val="2"/>
          </w:tcPr>
          <w:p>
            <w:pPr>
              <w:jc w:val="right"/>
              <w:ind w:right="80"/>
              <w:spacing w:after="0" w:line="202" w:lineRule="exact"/>
              <w:rPr>
                <w:sz w:val="20"/>
                <w:szCs w:val="20"/>
                <w:color w:val="auto"/>
              </w:rPr>
            </w:pPr>
            <w:r>
              <w:rPr>
                <w:rFonts w:ascii="Arial" w:cs="Arial" w:eastAsia="Arial" w:hAnsi="Arial"/>
                <w:sz w:val="18"/>
                <w:szCs w:val="18"/>
                <w:b w:val="1"/>
                <w:bCs w:val="1"/>
                <w:color w:val="auto"/>
              </w:rPr>
              <w:t>(2,570)</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(4,362)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8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Common stock cash dividends paid</w:t>
            </w:r>
          </w:p>
        </w:tc>
        <w:tc>
          <w:tcPr>
            <w:tcW w:w="720" w:type="dxa"/>
            <w:vAlign w:val="bottom"/>
            <w:shd w:val="clear" w:color="auto" w:fill="E5E5E5"/>
          </w:tcPr>
          <w:p>
            <w:pPr>
              <w:spacing w:after="0"/>
              <w:rPr>
                <w:sz w:val="17"/>
                <w:szCs w:val="17"/>
                <w:color w:val="auto"/>
              </w:rPr>
            </w:pPr>
          </w:p>
        </w:tc>
        <w:tc>
          <w:tcPr>
            <w:tcW w:w="320" w:type="dxa"/>
            <w:vAlign w:val="bottom"/>
            <w:shd w:val="clear" w:color="auto" w:fill="E5E5E5"/>
          </w:tcPr>
          <w:p>
            <w:pPr>
              <w:spacing w:after="0"/>
              <w:rPr>
                <w:sz w:val="17"/>
                <w:szCs w:val="17"/>
                <w:color w:val="auto"/>
              </w:rPr>
            </w:pPr>
          </w:p>
        </w:tc>
        <w:tc>
          <w:tcPr>
            <w:tcW w:w="960" w:type="dxa"/>
            <w:vAlign w:val="bottom"/>
            <w:gridSpan w:val="2"/>
            <w:shd w:val="clear" w:color="auto" w:fill="E5E5E5"/>
          </w:tcPr>
          <w:p>
            <w:pPr>
              <w:jc w:val="right"/>
              <w:ind w:right="80"/>
              <w:spacing w:after="0" w:line="202" w:lineRule="exact"/>
              <w:rPr>
                <w:sz w:val="20"/>
                <w:szCs w:val="20"/>
                <w:color w:val="auto"/>
              </w:rPr>
            </w:pPr>
            <w:r>
              <w:rPr>
                <w:rFonts w:ascii="Arial" w:cs="Arial" w:eastAsia="Arial" w:hAnsi="Arial"/>
                <w:sz w:val="18"/>
                <w:szCs w:val="18"/>
                <w:b w:val="1"/>
                <w:bCs w:val="1"/>
                <w:color w:val="auto"/>
              </w:rPr>
              <w:t>(3,003)</w:t>
            </w:r>
          </w:p>
        </w:tc>
        <w:tc>
          <w:tcPr>
            <w:tcW w:w="80" w:type="dxa"/>
            <w:vAlign w:val="bottom"/>
            <w:shd w:val="clear" w:color="auto" w:fill="E5E5E5"/>
          </w:tcPr>
          <w:p>
            <w:pPr>
              <w:spacing w:after="0"/>
              <w:rPr>
                <w:sz w:val="17"/>
                <w:szCs w:val="17"/>
                <w:color w:val="auto"/>
              </w:rPr>
            </w:pPr>
          </w:p>
        </w:tc>
        <w:tc>
          <w:tcPr>
            <w:tcW w:w="300" w:type="dxa"/>
            <w:vAlign w:val="bottom"/>
            <w:shd w:val="clear" w:color="auto" w:fill="E5E5E5"/>
          </w:tcPr>
          <w:p>
            <w:pPr>
              <w:spacing w:after="0"/>
              <w:rPr>
                <w:sz w:val="17"/>
                <w:szCs w:val="17"/>
                <w:color w:val="auto"/>
              </w:rPr>
            </w:pPr>
          </w:p>
        </w:tc>
        <w:tc>
          <w:tcPr>
            <w:tcW w:w="940" w:type="dxa"/>
            <w:vAlign w:val="bottom"/>
            <w:gridSpan w:val="2"/>
            <w:shd w:val="clear" w:color="auto" w:fill="E5E5E5"/>
          </w:tcPr>
          <w:p>
            <w:pPr>
              <w:jc w:val="right"/>
              <w:ind w:right="40"/>
              <w:spacing w:after="0" w:line="202" w:lineRule="exact"/>
              <w:rPr>
                <w:sz w:val="20"/>
                <w:szCs w:val="20"/>
                <w:color w:val="auto"/>
              </w:rPr>
            </w:pPr>
            <w:r>
              <w:rPr>
                <w:rFonts w:ascii="Arial" w:cs="Arial" w:eastAsia="Arial" w:hAnsi="Arial"/>
                <w:sz w:val="18"/>
                <w:szCs w:val="18"/>
                <w:color w:val="auto"/>
              </w:rPr>
              <w:t>(2,800)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8080" w:type="dxa"/>
            <w:vAlign w:val="bottom"/>
          </w:tcPr>
          <w:p>
            <w:pPr>
              <w:spacing w:after="0"/>
              <w:rPr>
                <w:sz w:val="20"/>
                <w:szCs w:val="20"/>
                <w:color w:val="auto"/>
              </w:rPr>
            </w:pPr>
            <w:r>
              <w:rPr>
                <w:rFonts w:ascii="Arial" w:cs="Arial" w:eastAsia="Arial" w:hAnsi="Arial"/>
                <w:sz w:val="18"/>
                <w:szCs w:val="18"/>
                <w:color w:val="auto"/>
              </w:rPr>
              <w:t>Other, net</w:t>
            </w:r>
          </w:p>
        </w:tc>
        <w:tc>
          <w:tcPr>
            <w:tcW w:w="7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(150)</w:t>
            </w: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(112)</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8080" w:type="dxa"/>
            <w:vAlign w:val="bottom"/>
            <w:tcBorders>
              <w:top w:val="single" w:sz="8" w:color="auto"/>
            </w:tcBorders>
          </w:tcPr>
          <w:p>
            <w:pPr>
              <w:spacing w:after="0"/>
              <w:rPr>
                <w:sz w:val="5"/>
                <w:szCs w:val="5"/>
                <w:color w:val="auto"/>
              </w:rPr>
            </w:pPr>
          </w:p>
        </w:tc>
        <w:tc>
          <w:tcPr>
            <w:tcW w:w="720" w:type="dxa"/>
            <w:vAlign w:val="bottom"/>
            <w:tcBorders>
              <w:top w:val="single" w:sz="8" w:color="auto"/>
            </w:tcBorders>
          </w:tcPr>
          <w:p>
            <w:pPr>
              <w:spacing w:after="0"/>
              <w:rPr>
                <w:sz w:val="5"/>
                <w:szCs w:val="5"/>
                <w:color w:val="auto"/>
              </w:rPr>
            </w:pPr>
          </w:p>
        </w:tc>
        <w:tc>
          <w:tcPr>
            <w:tcW w:w="320" w:type="dxa"/>
            <w:vAlign w:val="bottom"/>
            <w:tcBorders>
              <w:top w:val="single" w:sz="8" w:color="auto"/>
            </w:tcBorders>
          </w:tcPr>
          <w:p>
            <w:pPr>
              <w:spacing w:after="0"/>
              <w:rPr>
                <w:sz w:val="5"/>
                <w:szCs w:val="5"/>
                <w:color w:val="auto"/>
              </w:rPr>
            </w:pPr>
          </w:p>
        </w:tc>
        <w:tc>
          <w:tcPr>
            <w:tcW w:w="820" w:type="dxa"/>
            <w:vAlign w:val="bottom"/>
            <w:tcBorders>
              <w:top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300" w:type="dxa"/>
            <w:vAlign w:val="bottom"/>
            <w:tcBorders>
              <w:top w:val="single" w:sz="8" w:color="auto"/>
            </w:tcBorders>
          </w:tcPr>
          <w:p>
            <w:pPr>
              <w:spacing w:after="0"/>
              <w:rPr>
                <w:sz w:val="5"/>
                <w:szCs w:val="5"/>
                <w:color w:val="auto"/>
              </w:rPr>
            </w:pPr>
          </w:p>
        </w:tc>
        <w:tc>
          <w:tcPr>
            <w:tcW w:w="84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80" w:type="dxa"/>
            <w:vAlign w:val="bottom"/>
            <w:shd w:val="clear" w:color="auto" w:fill="E5E5E5"/>
          </w:tcPr>
          <w:p>
            <w:pPr>
              <w:ind w:left="640"/>
              <w:spacing w:after="0" w:line="202" w:lineRule="exact"/>
              <w:rPr>
                <w:sz w:val="20"/>
                <w:szCs w:val="20"/>
                <w:color w:val="auto"/>
              </w:rPr>
            </w:pPr>
            <w:r>
              <w:rPr>
                <w:rFonts w:ascii="Arial" w:cs="Arial" w:eastAsia="Arial" w:hAnsi="Arial"/>
                <w:sz w:val="18"/>
                <w:szCs w:val="18"/>
                <w:color w:val="auto"/>
              </w:rPr>
              <w:t>Net cash from (used in) financing</w:t>
            </w:r>
          </w:p>
        </w:tc>
        <w:tc>
          <w:tcPr>
            <w:tcW w:w="720" w:type="dxa"/>
            <w:vAlign w:val="bottom"/>
            <w:shd w:val="clear" w:color="auto" w:fill="E5E5E5"/>
          </w:tcPr>
          <w:p>
            <w:pPr>
              <w:spacing w:after="0"/>
              <w:rPr>
                <w:sz w:val="17"/>
                <w:szCs w:val="17"/>
                <w:color w:val="auto"/>
              </w:rPr>
            </w:pPr>
          </w:p>
        </w:tc>
        <w:tc>
          <w:tcPr>
            <w:tcW w:w="320" w:type="dxa"/>
            <w:vAlign w:val="bottom"/>
            <w:shd w:val="clear" w:color="auto" w:fill="E5E5E5"/>
          </w:tcPr>
          <w:p>
            <w:pPr>
              <w:spacing w:after="0"/>
              <w:rPr>
                <w:sz w:val="17"/>
                <w:szCs w:val="17"/>
                <w:color w:val="auto"/>
              </w:rPr>
            </w:pPr>
          </w:p>
        </w:tc>
        <w:tc>
          <w:tcPr>
            <w:tcW w:w="960" w:type="dxa"/>
            <w:vAlign w:val="bottom"/>
            <w:gridSpan w:val="2"/>
            <w:shd w:val="clear" w:color="auto" w:fill="E5E5E5"/>
          </w:tcPr>
          <w:p>
            <w:pPr>
              <w:jc w:val="right"/>
              <w:ind w:right="80"/>
              <w:spacing w:after="0" w:line="202" w:lineRule="exact"/>
              <w:rPr>
                <w:sz w:val="20"/>
                <w:szCs w:val="20"/>
                <w:color w:val="auto"/>
              </w:rPr>
            </w:pPr>
            <w:r>
              <w:rPr>
                <w:rFonts w:ascii="Arial" w:cs="Arial" w:eastAsia="Arial" w:hAnsi="Arial"/>
                <w:sz w:val="18"/>
                <w:szCs w:val="18"/>
                <w:b w:val="1"/>
                <w:bCs w:val="1"/>
                <w:color w:val="auto"/>
              </w:rPr>
              <w:t>(6,341)</w:t>
            </w:r>
          </w:p>
        </w:tc>
        <w:tc>
          <w:tcPr>
            <w:tcW w:w="80" w:type="dxa"/>
            <w:vAlign w:val="bottom"/>
            <w:shd w:val="clear" w:color="auto" w:fill="E5E5E5"/>
          </w:tcPr>
          <w:p>
            <w:pPr>
              <w:spacing w:after="0"/>
              <w:rPr>
                <w:sz w:val="17"/>
                <w:szCs w:val="17"/>
                <w:color w:val="auto"/>
              </w:rPr>
            </w:pPr>
          </w:p>
        </w:tc>
        <w:tc>
          <w:tcPr>
            <w:tcW w:w="300" w:type="dxa"/>
            <w:vAlign w:val="bottom"/>
            <w:shd w:val="clear" w:color="auto" w:fill="E5E5E5"/>
          </w:tcPr>
          <w:p>
            <w:pPr>
              <w:spacing w:after="0"/>
              <w:rPr>
                <w:sz w:val="17"/>
                <w:szCs w:val="17"/>
                <w:color w:val="auto"/>
              </w:rPr>
            </w:pPr>
          </w:p>
        </w:tc>
        <w:tc>
          <w:tcPr>
            <w:tcW w:w="94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14,329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808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8080" w:type="dxa"/>
            <w:vAlign w:val="bottom"/>
          </w:tcPr>
          <w:p>
            <w:pPr>
              <w:spacing w:after="0"/>
              <w:rPr>
                <w:sz w:val="5"/>
                <w:szCs w:val="5"/>
                <w:color w:val="auto"/>
              </w:rPr>
            </w:pPr>
          </w:p>
        </w:tc>
        <w:tc>
          <w:tcPr>
            <w:tcW w:w="7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30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8080" w:type="dxa"/>
            <w:vAlign w:val="bottom"/>
            <w:shd w:val="clear" w:color="auto" w:fill="E5E5E5"/>
          </w:tcPr>
          <w:p>
            <w:pPr>
              <w:spacing w:after="0" w:line="202" w:lineRule="exact"/>
              <w:rPr>
                <w:sz w:val="20"/>
                <w:szCs w:val="20"/>
                <w:color w:val="auto"/>
              </w:rPr>
            </w:pPr>
            <w:r>
              <w:rPr>
                <w:rFonts w:ascii="Arial" w:cs="Arial" w:eastAsia="Arial" w:hAnsi="Arial"/>
                <w:sz w:val="18"/>
                <w:szCs w:val="18"/>
                <w:b w:val="1"/>
                <w:bCs w:val="1"/>
                <w:color w:val="auto"/>
              </w:rPr>
              <w:t>Investing</w:t>
            </w:r>
          </w:p>
        </w:tc>
        <w:tc>
          <w:tcPr>
            <w:tcW w:w="720" w:type="dxa"/>
            <w:vAlign w:val="bottom"/>
            <w:shd w:val="clear" w:color="auto" w:fill="E5E5E5"/>
          </w:tcPr>
          <w:p>
            <w:pPr>
              <w:spacing w:after="0"/>
              <w:rPr>
                <w:sz w:val="17"/>
                <w:szCs w:val="17"/>
                <w:color w:val="auto"/>
              </w:rPr>
            </w:pPr>
          </w:p>
        </w:tc>
        <w:tc>
          <w:tcPr>
            <w:tcW w:w="320" w:type="dxa"/>
            <w:vAlign w:val="bottom"/>
            <w:shd w:val="clear" w:color="auto" w:fill="E5E5E5"/>
          </w:tcPr>
          <w:p>
            <w:pPr>
              <w:spacing w:after="0"/>
              <w:rPr>
                <w:sz w:val="17"/>
                <w:szCs w:val="17"/>
                <w:color w:val="auto"/>
              </w:rPr>
            </w:pPr>
          </w:p>
        </w:tc>
        <w:tc>
          <w:tcPr>
            <w:tcW w:w="820" w:type="dxa"/>
            <w:vAlign w:val="bottom"/>
            <w:shd w:val="clear" w:color="auto" w:fill="E5E5E5"/>
          </w:tcPr>
          <w:p>
            <w:pPr>
              <w:spacing w:after="0"/>
              <w:rPr>
                <w:sz w:val="17"/>
                <w:szCs w:val="17"/>
                <w:color w:val="auto"/>
              </w:rPr>
            </w:pPr>
          </w:p>
        </w:tc>
        <w:tc>
          <w:tcPr>
            <w:tcW w:w="140" w:type="dxa"/>
            <w:vAlign w:val="bottom"/>
            <w:shd w:val="clear" w:color="auto" w:fill="E5E5E5"/>
          </w:tcPr>
          <w:p>
            <w:pPr>
              <w:spacing w:after="0"/>
              <w:rPr>
                <w:sz w:val="17"/>
                <w:szCs w:val="17"/>
                <w:color w:val="auto"/>
              </w:rPr>
            </w:pPr>
          </w:p>
        </w:tc>
        <w:tc>
          <w:tcPr>
            <w:tcW w:w="80" w:type="dxa"/>
            <w:vAlign w:val="bottom"/>
            <w:shd w:val="clear" w:color="auto" w:fill="E5E5E5"/>
          </w:tcPr>
          <w:p>
            <w:pPr>
              <w:spacing w:after="0"/>
              <w:rPr>
                <w:sz w:val="17"/>
                <w:szCs w:val="17"/>
                <w:color w:val="auto"/>
              </w:rPr>
            </w:pPr>
          </w:p>
        </w:tc>
        <w:tc>
          <w:tcPr>
            <w:tcW w:w="300" w:type="dxa"/>
            <w:vAlign w:val="bottom"/>
            <w:shd w:val="clear" w:color="auto" w:fill="E5E5E5"/>
          </w:tcPr>
          <w:p>
            <w:pPr>
              <w:spacing w:after="0"/>
              <w:rPr>
                <w:sz w:val="17"/>
                <w:szCs w:val="17"/>
                <w:color w:val="auto"/>
              </w:rPr>
            </w:pPr>
          </w:p>
        </w:tc>
        <w:tc>
          <w:tcPr>
            <w:tcW w:w="84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80" w:type="dxa"/>
            <w:vAlign w:val="bottom"/>
          </w:tcPr>
          <w:p>
            <w:pPr>
              <w:spacing w:after="0" w:line="202" w:lineRule="exact"/>
              <w:rPr>
                <w:sz w:val="20"/>
                <w:szCs w:val="20"/>
                <w:color w:val="auto"/>
              </w:rPr>
            </w:pPr>
            <w:r>
              <w:rPr>
                <w:rFonts w:ascii="Arial" w:cs="Arial" w:eastAsia="Arial" w:hAnsi="Arial"/>
                <w:sz w:val="18"/>
                <w:szCs w:val="18"/>
                <w:color w:val="auto"/>
              </w:rPr>
              <w:t>Additions to property and equipment</w:t>
            </w:r>
          </w:p>
        </w:tc>
        <w:tc>
          <w:tcPr>
            <w:tcW w:w="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60" w:type="dxa"/>
            <w:vAlign w:val="bottom"/>
            <w:gridSpan w:val="2"/>
          </w:tcPr>
          <w:p>
            <w:pPr>
              <w:jc w:val="right"/>
              <w:ind w:right="80"/>
              <w:spacing w:after="0" w:line="202" w:lineRule="exact"/>
              <w:rPr>
                <w:sz w:val="20"/>
                <w:szCs w:val="20"/>
                <w:color w:val="auto"/>
              </w:rPr>
            </w:pPr>
            <w:r>
              <w:rPr>
                <w:rFonts w:ascii="Arial" w:cs="Arial" w:eastAsia="Arial" w:hAnsi="Arial"/>
                <w:sz w:val="18"/>
                <w:szCs w:val="18"/>
                <w:b w:val="1"/>
                <w:bCs w:val="1"/>
                <w:color w:val="auto"/>
              </w:rPr>
              <w:t>(2,132)</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(2,163)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8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Acquisition of companies, net of cash acquired, and purchases of intangible and other assets</w:t>
            </w:r>
          </w:p>
        </w:tc>
        <w:tc>
          <w:tcPr>
            <w:tcW w:w="720" w:type="dxa"/>
            <w:vAlign w:val="bottom"/>
            <w:shd w:val="clear" w:color="auto" w:fill="E5E5E5"/>
          </w:tcPr>
          <w:p>
            <w:pPr>
              <w:spacing w:after="0"/>
              <w:rPr>
                <w:sz w:val="17"/>
                <w:szCs w:val="17"/>
                <w:color w:val="auto"/>
              </w:rPr>
            </w:pPr>
          </w:p>
        </w:tc>
        <w:tc>
          <w:tcPr>
            <w:tcW w:w="320" w:type="dxa"/>
            <w:vAlign w:val="bottom"/>
            <w:shd w:val="clear" w:color="auto" w:fill="E5E5E5"/>
          </w:tcPr>
          <w:p>
            <w:pPr>
              <w:spacing w:after="0"/>
              <w:rPr>
                <w:sz w:val="17"/>
                <w:szCs w:val="17"/>
                <w:color w:val="auto"/>
              </w:rPr>
            </w:pPr>
          </w:p>
        </w:tc>
        <w:tc>
          <w:tcPr>
            <w:tcW w:w="960" w:type="dxa"/>
            <w:vAlign w:val="bottom"/>
            <w:gridSpan w:val="2"/>
            <w:shd w:val="clear" w:color="auto" w:fill="E5E5E5"/>
          </w:tcPr>
          <w:p>
            <w:pPr>
              <w:jc w:val="right"/>
              <w:ind w:right="80"/>
              <w:spacing w:after="0" w:line="202" w:lineRule="exact"/>
              <w:rPr>
                <w:sz w:val="20"/>
                <w:szCs w:val="20"/>
                <w:color w:val="auto"/>
              </w:rPr>
            </w:pPr>
            <w:r>
              <w:rPr>
                <w:rFonts w:ascii="Arial" w:cs="Arial" w:eastAsia="Arial" w:hAnsi="Arial"/>
                <w:sz w:val="18"/>
                <w:szCs w:val="18"/>
                <w:b w:val="1"/>
                <w:bCs w:val="1"/>
                <w:color w:val="auto"/>
              </w:rPr>
              <w:t>(179)</w:t>
            </w:r>
          </w:p>
        </w:tc>
        <w:tc>
          <w:tcPr>
            <w:tcW w:w="80" w:type="dxa"/>
            <w:vAlign w:val="bottom"/>
            <w:shd w:val="clear" w:color="auto" w:fill="E5E5E5"/>
          </w:tcPr>
          <w:p>
            <w:pPr>
              <w:spacing w:after="0"/>
              <w:rPr>
                <w:sz w:val="17"/>
                <w:szCs w:val="17"/>
                <w:color w:val="auto"/>
              </w:rPr>
            </w:pPr>
          </w:p>
        </w:tc>
        <w:tc>
          <w:tcPr>
            <w:tcW w:w="300" w:type="dxa"/>
            <w:vAlign w:val="bottom"/>
            <w:shd w:val="clear" w:color="auto" w:fill="E5E5E5"/>
          </w:tcPr>
          <w:p>
            <w:pPr>
              <w:spacing w:after="0"/>
              <w:rPr>
                <w:sz w:val="17"/>
                <w:szCs w:val="17"/>
                <w:color w:val="auto"/>
              </w:rPr>
            </w:pPr>
          </w:p>
        </w:tc>
        <w:tc>
          <w:tcPr>
            <w:tcW w:w="940" w:type="dxa"/>
            <w:vAlign w:val="bottom"/>
            <w:gridSpan w:val="2"/>
            <w:shd w:val="clear" w:color="auto" w:fill="E5E5E5"/>
          </w:tcPr>
          <w:p>
            <w:pPr>
              <w:jc w:val="right"/>
              <w:ind w:right="40"/>
              <w:spacing w:after="0" w:line="202" w:lineRule="exact"/>
              <w:rPr>
                <w:sz w:val="20"/>
                <w:szCs w:val="20"/>
                <w:color w:val="auto"/>
              </w:rPr>
            </w:pPr>
            <w:r>
              <w:rPr>
                <w:rFonts w:ascii="Arial" w:cs="Arial" w:eastAsia="Arial" w:hAnsi="Arial"/>
                <w:sz w:val="18"/>
                <w:szCs w:val="18"/>
                <w:color w:val="auto"/>
              </w:rPr>
              <w:t>(24)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80" w:type="dxa"/>
            <w:vAlign w:val="bottom"/>
          </w:tcPr>
          <w:p>
            <w:pPr>
              <w:spacing w:after="0" w:line="202" w:lineRule="exact"/>
              <w:rPr>
                <w:sz w:val="20"/>
                <w:szCs w:val="20"/>
                <w:color w:val="auto"/>
              </w:rPr>
            </w:pPr>
            <w:r>
              <w:rPr>
                <w:rFonts w:ascii="Arial" w:cs="Arial" w:eastAsia="Arial" w:hAnsi="Arial"/>
                <w:sz w:val="18"/>
                <w:szCs w:val="18"/>
                <w:color w:val="auto"/>
              </w:rPr>
              <w:t>Purchases of investments</w:t>
            </w:r>
          </w:p>
        </w:tc>
        <w:tc>
          <w:tcPr>
            <w:tcW w:w="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60" w:type="dxa"/>
            <w:vAlign w:val="bottom"/>
            <w:gridSpan w:val="2"/>
          </w:tcPr>
          <w:p>
            <w:pPr>
              <w:jc w:val="right"/>
              <w:ind w:right="80"/>
              <w:spacing w:after="0" w:line="202" w:lineRule="exact"/>
              <w:rPr>
                <w:sz w:val="20"/>
                <w:szCs w:val="20"/>
                <w:color w:val="auto"/>
              </w:rPr>
            </w:pPr>
            <w:r>
              <w:rPr>
                <w:rFonts w:ascii="Arial" w:cs="Arial" w:eastAsia="Arial" w:hAnsi="Arial"/>
                <w:sz w:val="18"/>
                <w:szCs w:val="18"/>
                <w:b w:val="1"/>
                <w:bCs w:val="1"/>
                <w:color w:val="auto"/>
              </w:rPr>
              <w:t>(32,961)</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(57,181)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8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Maturities of investments</w:t>
            </w:r>
          </w:p>
        </w:tc>
        <w:tc>
          <w:tcPr>
            <w:tcW w:w="720" w:type="dxa"/>
            <w:vAlign w:val="bottom"/>
            <w:shd w:val="clear" w:color="auto" w:fill="E5E5E5"/>
          </w:tcPr>
          <w:p>
            <w:pPr>
              <w:spacing w:after="0"/>
              <w:rPr>
                <w:sz w:val="17"/>
                <w:szCs w:val="17"/>
                <w:color w:val="auto"/>
              </w:rPr>
            </w:pPr>
          </w:p>
        </w:tc>
        <w:tc>
          <w:tcPr>
            <w:tcW w:w="320" w:type="dxa"/>
            <w:vAlign w:val="bottom"/>
            <w:shd w:val="clear" w:color="auto" w:fill="E5E5E5"/>
          </w:tcPr>
          <w:p>
            <w:pPr>
              <w:spacing w:after="0"/>
              <w:rPr>
                <w:sz w:val="17"/>
                <w:szCs w:val="17"/>
                <w:color w:val="auto"/>
              </w:rPr>
            </w:pPr>
          </w:p>
        </w:tc>
        <w:tc>
          <w:tcPr>
            <w:tcW w:w="960" w:type="dxa"/>
            <w:vAlign w:val="bottom"/>
            <w:gridSpan w:val="2"/>
            <w:shd w:val="clear" w:color="auto" w:fill="E5E5E5"/>
          </w:tcPr>
          <w:p>
            <w:pPr>
              <w:jc w:val="right"/>
              <w:ind w:right="140"/>
              <w:spacing w:after="0" w:line="202" w:lineRule="exact"/>
              <w:rPr>
                <w:sz w:val="20"/>
                <w:szCs w:val="20"/>
                <w:color w:val="auto"/>
              </w:rPr>
            </w:pPr>
            <w:r>
              <w:rPr>
                <w:rFonts w:ascii="Arial" w:cs="Arial" w:eastAsia="Arial" w:hAnsi="Arial"/>
                <w:sz w:val="18"/>
                <w:szCs w:val="18"/>
                <w:b w:val="1"/>
                <w:bCs w:val="1"/>
                <w:color w:val="auto"/>
              </w:rPr>
              <w:t>5,226</w:t>
            </w:r>
          </w:p>
        </w:tc>
        <w:tc>
          <w:tcPr>
            <w:tcW w:w="80" w:type="dxa"/>
            <w:vAlign w:val="bottom"/>
            <w:shd w:val="clear" w:color="auto" w:fill="E5E5E5"/>
          </w:tcPr>
          <w:p>
            <w:pPr>
              <w:spacing w:after="0"/>
              <w:rPr>
                <w:sz w:val="17"/>
                <w:szCs w:val="17"/>
                <w:color w:val="auto"/>
              </w:rPr>
            </w:pPr>
          </w:p>
        </w:tc>
        <w:tc>
          <w:tcPr>
            <w:tcW w:w="300" w:type="dxa"/>
            <w:vAlign w:val="bottom"/>
            <w:shd w:val="clear" w:color="auto" w:fill="E5E5E5"/>
          </w:tcPr>
          <w:p>
            <w:pPr>
              <w:spacing w:after="0"/>
              <w:rPr>
                <w:sz w:val="17"/>
                <w:szCs w:val="17"/>
                <w:color w:val="auto"/>
              </w:rPr>
            </w:pPr>
          </w:p>
        </w:tc>
        <w:tc>
          <w:tcPr>
            <w:tcW w:w="94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8,659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80" w:type="dxa"/>
            <w:vAlign w:val="bottom"/>
          </w:tcPr>
          <w:p>
            <w:pPr>
              <w:spacing w:after="0" w:line="202" w:lineRule="exact"/>
              <w:rPr>
                <w:sz w:val="20"/>
                <w:szCs w:val="20"/>
                <w:color w:val="auto"/>
              </w:rPr>
            </w:pPr>
            <w:r>
              <w:rPr>
                <w:rFonts w:ascii="Arial" w:cs="Arial" w:eastAsia="Arial" w:hAnsi="Arial"/>
                <w:sz w:val="18"/>
                <w:szCs w:val="18"/>
                <w:color w:val="auto"/>
              </w:rPr>
              <w:t>Sales of investments</w:t>
            </w:r>
          </w:p>
        </w:tc>
        <w:tc>
          <w:tcPr>
            <w:tcW w:w="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60" w:type="dxa"/>
            <w:vAlign w:val="bottom"/>
            <w:gridSpan w:val="2"/>
          </w:tcPr>
          <w:p>
            <w:pPr>
              <w:jc w:val="right"/>
              <w:ind w:right="140"/>
              <w:spacing w:after="0" w:line="202" w:lineRule="exact"/>
              <w:rPr>
                <w:sz w:val="20"/>
                <w:szCs w:val="20"/>
                <w:color w:val="auto"/>
              </w:rPr>
            </w:pPr>
            <w:r>
              <w:rPr>
                <w:rFonts w:ascii="Arial" w:cs="Arial" w:eastAsia="Arial" w:hAnsi="Arial"/>
                <w:sz w:val="18"/>
                <w:szCs w:val="18"/>
                <w:b w:val="1"/>
                <w:bCs w:val="1"/>
                <w:color w:val="auto"/>
              </w:rPr>
              <w:t>23,036</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32,323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080" w:type="dxa"/>
            <w:vAlign w:val="bottom"/>
            <w:shd w:val="clear" w:color="auto" w:fill="E5E5E5"/>
          </w:tcPr>
          <w:p>
            <w:pPr>
              <w:spacing w:after="0"/>
              <w:rPr>
                <w:sz w:val="20"/>
                <w:szCs w:val="20"/>
                <w:color w:val="auto"/>
              </w:rPr>
            </w:pPr>
            <w:r>
              <w:rPr>
                <w:rFonts w:ascii="Arial" w:cs="Arial" w:eastAsia="Arial" w:hAnsi="Arial"/>
                <w:sz w:val="18"/>
                <w:szCs w:val="18"/>
                <w:color w:val="auto"/>
              </w:rPr>
              <w:t>Securities lending payable</w:t>
            </w:r>
          </w:p>
        </w:tc>
        <w:tc>
          <w:tcPr>
            <w:tcW w:w="720" w:type="dxa"/>
            <w:vAlign w:val="bottom"/>
            <w:shd w:val="clear" w:color="auto" w:fill="E5E5E5"/>
          </w:tcPr>
          <w:p>
            <w:pPr>
              <w:spacing w:after="0"/>
              <w:rPr>
                <w:sz w:val="21"/>
                <w:szCs w:val="21"/>
                <w:color w:val="auto"/>
              </w:rPr>
            </w:pPr>
          </w:p>
        </w:tc>
        <w:tc>
          <w:tcPr>
            <w:tcW w:w="320" w:type="dxa"/>
            <w:vAlign w:val="bottom"/>
            <w:shd w:val="clear" w:color="auto" w:fill="E5E5E5"/>
          </w:tcPr>
          <w:p>
            <w:pPr>
              <w:spacing w:after="0"/>
              <w:rPr>
                <w:sz w:val="21"/>
                <w:szCs w:val="21"/>
                <w:color w:val="auto"/>
              </w:rPr>
            </w:pPr>
          </w:p>
        </w:tc>
        <w:tc>
          <w:tcPr>
            <w:tcW w:w="960" w:type="dxa"/>
            <w:vAlign w:val="bottom"/>
            <w:gridSpan w:val="2"/>
            <w:shd w:val="clear" w:color="auto" w:fill="E5E5E5"/>
          </w:tcPr>
          <w:p>
            <w:pPr>
              <w:jc w:val="right"/>
              <w:ind w:right="140"/>
              <w:spacing w:after="0"/>
              <w:rPr>
                <w:sz w:val="20"/>
                <w:szCs w:val="20"/>
                <w:color w:val="auto"/>
              </w:rPr>
            </w:pPr>
            <w:r>
              <w:rPr>
                <w:rFonts w:ascii="Arial" w:cs="Arial" w:eastAsia="Arial" w:hAnsi="Arial"/>
                <w:sz w:val="18"/>
                <w:szCs w:val="18"/>
                <w:b w:val="1"/>
                <w:bCs w:val="1"/>
                <w:color w:val="auto"/>
              </w:rPr>
              <w:t>106</w:t>
            </w:r>
          </w:p>
        </w:tc>
        <w:tc>
          <w:tcPr>
            <w:tcW w:w="80" w:type="dxa"/>
            <w:vAlign w:val="bottom"/>
            <w:shd w:val="clear" w:color="auto" w:fill="E5E5E5"/>
          </w:tcPr>
          <w:p>
            <w:pPr>
              <w:spacing w:after="0"/>
              <w:rPr>
                <w:sz w:val="21"/>
                <w:szCs w:val="21"/>
                <w:color w:val="auto"/>
              </w:rPr>
            </w:pPr>
          </w:p>
        </w:tc>
        <w:tc>
          <w:tcPr>
            <w:tcW w:w="300" w:type="dxa"/>
            <w:vAlign w:val="bottom"/>
            <w:shd w:val="clear" w:color="auto" w:fill="E5E5E5"/>
          </w:tcPr>
          <w:p>
            <w:pPr>
              <w:spacing w:after="0"/>
              <w:rPr>
                <w:sz w:val="21"/>
                <w:szCs w:val="21"/>
                <w:color w:val="auto"/>
              </w:rPr>
            </w:pPr>
          </w:p>
        </w:tc>
        <w:tc>
          <w:tcPr>
            <w:tcW w:w="940" w:type="dxa"/>
            <w:vAlign w:val="bottom"/>
            <w:gridSpan w:val="2"/>
            <w:shd w:val="clear" w:color="auto" w:fill="E5E5E5"/>
          </w:tcPr>
          <w:p>
            <w:pPr>
              <w:jc w:val="right"/>
              <w:ind w:right="40"/>
              <w:spacing w:after="0"/>
              <w:rPr>
                <w:sz w:val="20"/>
                <w:szCs w:val="20"/>
                <w:color w:val="auto"/>
              </w:rPr>
            </w:pPr>
            <w:r>
              <w:rPr>
                <w:rFonts w:ascii="Arial" w:cs="Arial" w:eastAsia="Arial" w:hAnsi="Arial"/>
                <w:sz w:val="18"/>
                <w:szCs w:val="18"/>
                <w:color w:val="auto"/>
              </w:rPr>
              <w:t>(84)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808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8080" w:type="dxa"/>
            <w:vAlign w:val="bottom"/>
          </w:tcPr>
          <w:p>
            <w:pPr>
              <w:spacing w:after="0"/>
              <w:rPr>
                <w:sz w:val="5"/>
                <w:szCs w:val="5"/>
                <w:color w:val="auto"/>
              </w:rPr>
            </w:pPr>
          </w:p>
        </w:tc>
        <w:tc>
          <w:tcPr>
            <w:tcW w:w="7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30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80" w:type="dxa"/>
            <w:vAlign w:val="bottom"/>
            <w:shd w:val="clear" w:color="auto" w:fill="E5E5E5"/>
          </w:tcPr>
          <w:p>
            <w:pPr>
              <w:ind w:left="640"/>
              <w:spacing w:after="0" w:line="202" w:lineRule="exact"/>
              <w:rPr>
                <w:sz w:val="20"/>
                <w:szCs w:val="20"/>
                <w:color w:val="auto"/>
              </w:rPr>
            </w:pPr>
            <w:r>
              <w:rPr>
                <w:rFonts w:ascii="Arial" w:cs="Arial" w:eastAsia="Arial" w:hAnsi="Arial"/>
                <w:sz w:val="18"/>
                <w:szCs w:val="18"/>
                <w:color w:val="auto"/>
              </w:rPr>
              <w:t>Net cash used in investing</w:t>
            </w:r>
          </w:p>
        </w:tc>
        <w:tc>
          <w:tcPr>
            <w:tcW w:w="720" w:type="dxa"/>
            <w:vAlign w:val="bottom"/>
            <w:shd w:val="clear" w:color="auto" w:fill="E5E5E5"/>
          </w:tcPr>
          <w:p>
            <w:pPr>
              <w:spacing w:after="0"/>
              <w:rPr>
                <w:sz w:val="17"/>
                <w:szCs w:val="17"/>
                <w:color w:val="auto"/>
              </w:rPr>
            </w:pPr>
          </w:p>
        </w:tc>
        <w:tc>
          <w:tcPr>
            <w:tcW w:w="320" w:type="dxa"/>
            <w:vAlign w:val="bottom"/>
            <w:shd w:val="clear" w:color="auto" w:fill="E5E5E5"/>
          </w:tcPr>
          <w:p>
            <w:pPr>
              <w:spacing w:after="0"/>
              <w:rPr>
                <w:sz w:val="17"/>
                <w:szCs w:val="17"/>
                <w:color w:val="auto"/>
              </w:rPr>
            </w:pPr>
          </w:p>
        </w:tc>
        <w:tc>
          <w:tcPr>
            <w:tcW w:w="960" w:type="dxa"/>
            <w:vAlign w:val="bottom"/>
            <w:gridSpan w:val="2"/>
            <w:shd w:val="clear" w:color="auto" w:fill="E5E5E5"/>
          </w:tcPr>
          <w:p>
            <w:pPr>
              <w:jc w:val="right"/>
              <w:ind w:right="80"/>
              <w:spacing w:after="0" w:line="202" w:lineRule="exact"/>
              <w:rPr>
                <w:sz w:val="20"/>
                <w:szCs w:val="20"/>
                <w:color w:val="auto"/>
              </w:rPr>
            </w:pPr>
            <w:r>
              <w:rPr>
                <w:rFonts w:ascii="Arial" w:cs="Arial" w:eastAsia="Arial" w:hAnsi="Arial"/>
                <w:sz w:val="18"/>
                <w:szCs w:val="18"/>
                <w:b w:val="1"/>
                <w:bCs w:val="1"/>
                <w:color w:val="auto"/>
              </w:rPr>
              <w:t>(6,904)</w:t>
            </w:r>
          </w:p>
        </w:tc>
        <w:tc>
          <w:tcPr>
            <w:tcW w:w="80" w:type="dxa"/>
            <w:vAlign w:val="bottom"/>
            <w:shd w:val="clear" w:color="auto" w:fill="E5E5E5"/>
          </w:tcPr>
          <w:p>
            <w:pPr>
              <w:spacing w:after="0"/>
              <w:rPr>
                <w:sz w:val="17"/>
                <w:szCs w:val="17"/>
                <w:color w:val="auto"/>
              </w:rPr>
            </w:pPr>
          </w:p>
        </w:tc>
        <w:tc>
          <w:tcPr>
            <w:tcW w:w="300" w:type="dxa"/>
            <w:vAlign w:val="bottom"/>
            <w:shd w:val="clear" w:color="auto" w:fill="E5E5E5"/>
          </w:tcPr>
          <w:p>
            <w:pPr>
              <w:spacing w:after="0"/>
              <w:rPr>
                <w:sz w:val="17"/>
                <w:szCs w:val="17"/>
                <w:color w:val="auto"/>
              </w:rPr>
            </w:pPr>
          </w:p>
        </w:tc>
        <w:tc>
          <w:tcPr>
            <w:tcW w:w="940" w:type="dxa"/>
            <w:vAlign w:val="bottom"/>
            <w:gridSpan w:val="2"/>
            <w:shd w:val="clear" w:color="auto" w:fill="E5E5E5"/>
          </w:tcPr>
          <w:p>
            <w:pPr>
              <w:jc w:val="right"/>
              <w:ind w:right="40"/>
              <w:spacing w:after="0" w:line="202" w:lineRule="exact"/>
              <w:rPr>
                <w:sz w:val="20"/>
                <w:szCs w:val="20"/>
                <w:color w:val="auto"/>
              </w:rPr>
            </w:pPr>
            <w:r>
              <w:rPr>
                <w:rFonts w:ascii="Arial" w:cs="Arial" w:eastAsia="Arial" w:hAnsi="Arial"/>
                <w:sz w:val="18"/>
                <w:szCs w:val="18"/>
                <w:color w:val="auto"/>
              </w:rPr>
              <w:t>(18,470)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808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8080" w:type="dxa"/>
            <w:vAlign w:val="bottom"/>
          </w:tcPr>
          <w:p>
            <w:pPr>
              <w:spacing w:after="0"/>
              <w:rPr>
                <w:sz w:val="5"/>
                <w:szCs w:val="5"/>
                <w:color w:val="auto"/>
              </w:rPr>
            </w:pPr>
          </w:p>
        </w:tc>
        <w:tc>
          <w:tcPr>
            <w:tcW w:w="7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30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8080" w:type="dxa"/>
            <w:vAlign w:val="bottom"/>
            <w:shd w:val="clear" w:color="auto" w:fill="E5E5E5"/>
          </w:tcPr>
          <w:p>
            <w:pPr>
              <w:spacing w:after="0"/>
              <w:rPr>
                <w:sz w:val="20"/>
                <w:szCs w:val="20"/>
                <w:color w:val="auto"/>
              </w:rPr>
            </w:pPr>
            <w:r>
              <w:rPr>
                <w:rFonts w:ascii="Arial" w:cs="Arial" w:eastAsia="Arial" w:hAnsi="Arial"/>
                <w:sz w:val="18"/>
                <w:szCs w:val="18"/>
                <w:color w:val="auto"/>
              </w:rPr>
              <w:t>Effect of foreign exchange rates on cash and cash equivalents</w:t>
            </w:r>
          </w:p>
        </w:tc>
        <w:tc>
          <w:tcPr>
            <w:tcW w:w="720" w:type="dxa"/>
            <w:vAlign w:val="bottom"/>
            <w:shd w:val="clear" w:color="auto" w:fill="E5E5E5"/>
          </w:tcPr>
          <w:p>
            <w:pPr>
              <w:spacing w:after="0"/>
              <w:rPr>
                <w:sz w:val="21"/>
                <w:szCs w:val="21"/>
                <w:color w:val="auto"/>
              </w:rPr>
            </w:pPr>
          </w:p>
        </w:tc>
        <w:tc>
          <w:tcPr>
            <w:tcW w:w="320" w:type="dxa"/>
            <w:vAlign w:val="bottom"/>
            <w:shd w:val="clear" w:color="auto" w:fill="E5E5E5"/>
          </w:tcPr>
          <w:p>
            <w:pPr>
              <w:spacing w:after="0"/>
              <w:rPr>
                <w:sz w:val="21"/>
                <w:szCs w:val="21"/>
                <w:color w:val="auto"/>
              </w:rPr>
            </w:pPr>
          </w:p>
        </w:tc>
        <w:tc>
          <w:tcPr>
            <w:tcW w:w="960" w:type="dxa"/>
            <w:vAlign w:val="bottom"/>
            <w:gridSpan w:val="2"/>
            <w:shd w:val="clear" w:color="auto" w:fill="E5E5E5"/>
          </w:tcPr>
          <w:p>
            <w:pPr>
              <w:jc w:val="right"/>
              <w:ind w:right="140"/>
              <w:spacing w:after="0"/>
              <w:rPr>
                <w:sz w:val="20"/>
                <w:szCs w:val="20"/>
                <w:color w:val="auto"/>
              </w:rPr>
            </w:pPr>
            <w:r>
              <w:rPr>
                <w:rFonts w:ascii="Arial" w:cs="Arial" w:eastAsia="Arial" w:hAnsi="Arial"/>
                <w:sz w:val="18"/>
                <w:szCs w:val="18"/>
                <w:b w:val="1"/>
                <w:bCs w:val="1"/>
                <w:color w:val="auto"/>
              </w:rPr>
              <w:t>26</w:t>
            </w:r>
          </w:p>
        </w:tc>
        <w:tc>
          <w:tcPr>
            <w:tcW w:w="80" w:type="dxa"/>
            <w:vAlign w:val="bottom"/>
            <w:shd w:val="clear" w:color="auto" w:fill="E5E5E5"/>
          </w:tcPr>
          <w:p>
            <w:pPr>
              <w:spacing w:after="0"/>
              <w:rPr>
                <w:sz w:val="21"/>
                <w:szCs w:val="21"/>
                <w:color w:val="auto"/>
              </w:rPr>
            </w:pPr>
          </w:p>
        </w:tc>
        <w:tc>
          <w:tcPr>
            <w:tcW w:w="300" w:type="dxa"/>
            <w:vAlign w:val="bottom"/>
            <w:shd w:val="clear" w:color="auto" w:fill="E5E5E5"/>
          </w:tcPr>
          <w:p>
            <w:pPr>
              <w:spacing w:after="0"/>
              <w:rPr>
                <w:sz w:val="21"/>
                <w:szCs w:val="21"/>
                <w:color w:val="auto"/>
              </w:rPr>
            </w:pPr>
          </w:p>
        </w:tc>
        <w:tc>
          <w:tcPr>
            <w:tcW w:w="940" w:type="dxa"/>
            <w:vAlign w:val="bottom"/>
            <w:gridSpan w:val="2"/>
            <w:shd w:val="clear" w:color="auto" w:fill="E5E5E5"/>
          </w:tcPr>
          <w:p>
            <w:pPr>
              <w:jc w:val="right"/>
              <w:ind w:right="100"/>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808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8080" w:type="dxa"/>
            <w:vAlign w:val="bottom"/>
          </w:tcPr>
          <w:p>
            <w:pPr>
              <w:spacing w:after="0"/>
              <w:rPr>
                <w:sz w:val="5"/>
                <w:szCs w:val="5"/>
                <w:color w:val="auto"/>
              </w:rPr>
            </w:pPr>
          </w:p>
        </w:tc>
        <w:tc>
          <w:tcPr>
            <w:tcW w:w="7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30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808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Net change in cash and cash equivalents</w:t>
            </w:r>
          </w:p>
        </w:tc>
        <w:tc>
          <w:tcPr>
            <w:tcW w:w="720" w:type="dxa"/>
            <w:vAlign w:val="bottom"/>
            <w:shd w:val="clear" w:color="auto" w:fill="E5E5E5"/>
          </w:tcPr>
          <w:p>
            <w:pPr>
              <w:spacing w:after="0"/>
              <w:rPr>
                <w:sz w:val="17"/>
                <w:szCs w:val="17"/>
                <w:color w:val="auto"/>
              </w:rPr>
            </w:pPr>
          </w:p>
        </w:tc>
        <w:tc>
          <w:tcPr>
            <w:tcW w:w="320" w:type="dxa"/>
            <w:vAlign w:val="bottom"/>
            <w:shd w:val="clear" w:color="auto" w:fill="E5E5E5"/>
          </w:tcPr>
          <w:p>
            <w:pPr>
              <w:spacing w:after="0"/>
              <w:rPr>
                <w:sz w:val="17"/>
                <w:szCs w:val="17"/>
                <w:color w:val="auto"/>
              </w:rPr>
            </w:pPr>
          </w:p>
        </w:tc>
        <w:tc>
          <w:tcPr>
            <w:tcW w:w="960" w:type="dxa"/>
            <w:vAlign w:val="bottom"/>
            <w:gridSpan w:val="2"/>
            <w:shd w:val="clear" w:color="auto" w:fill="E5E5E5"/>
          </w:tcPr>
          <w:p>
            <w:pPr>
              <w:jc w:val="right"/>
              <w:ind w:right="80"/>
              <w:spacing w:after="0" w:line="202" w:lineRule="exact"/>
              <w:rPr>
                <w:sz w:val="20"/>
                <w:szCs w:val="20"/>
                <w:color w:val="auto"/>
              </w:rPr>
            </w:pPr>
            <w:r>
              <w:rPr>
                <w:rFonts w:ascii="Arial" w:cs="Arial" w:eastAsia="Arial" w:hAnsi="Arial"/>
                <w:sz w:val="18"/>
                <w:szCs w:val="18"/>
                <w:b w:val="1"/>
                <w:bCs w:val="1"/>
                <w:color w:val="auto"/>
              </w:rPr>
              <w:t>(779)</w:t>
            </w:r>
          </w:p>
        </w:tc>
        <w:tc>
          <w:tcPr>
            <w:tcW w:w="80" w:type="dxa"/>
            <w:vAlign w:val="bottom"/>
            <w:shd w:val="clear" w:color="auto" w:fill="E5E5E5"/>
          </w:tcPr>
          <w:p>
            <w:pPr>
              <w:spacing w:after="0"/>
              <w:rPr>
                <w:sz w:val="17"/>
                <w:szCs w:val="17"/>
                <w:color w:val="auto"/>
              </w:rPr>
            </w:pPr>
          </w:p>
        </w:tc>
        <w:tc>
          <w:tcPr>
            <w:tcW w:w="300" w:type="dxa"/>
            <w:vAlign w:val="bottom"/>
            <w:shd w:val="clear" w:color="auto" w:fill="E5E5E5"/>
          </w:tcPr>
          <w:p>
            <w:pPr>
              <w:spacing w:after="0"/>
              <w:rPr>
                <w:sz w:val="17"/>
                <w:szCs w:val="17"/>
                <w:color w:val="auto"/>
              </w:rPr>
            </w:pPr>
          </w:p>
        </w:tc>
        <w:tc>
          <w:tcPr>
            <w:tcW w:w="94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7,418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8080" w:type="dxa"/>
            <w:vAlign w:val="bottom"/>
          </w:tcPr>
          <w:p>
            <w:pPr>
              <w:spacing w:after="0"/>
              <w:rPr>
                <w:sz w:val="20"/>
                <w:szCs w:val="20"/>
                <w:color w:val="auto"/>
              </w:rPr>
            </w:pPr>
            <w:r>
              <w:rPr>
                <w:rFonts w:ascii="Arial" w:cs="Arial" w:eastAsia="Arial" w:hAnsi="Arial"/>
                <w:sz w:val="18"/>
                <w:szCs w:val="18"/>
                <w:color w:val="auto"/>
              </w:rPr>
              <w:t>Cash and cash equivalents, beginning of period</w:t>
            </w:r>
          </w:p>
        </w:tc>
        <w:tc>
          <w:tcPr>
            <w:tcW w:w="7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7,663</w:t>
            </w: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6,510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8080" w:type="dxa"/>
            <w:vAlign w:val="bottom"/>
            <w:tcBorders>
              <w:top w:val="single" w:sz="8" w:color="auto"/>
            </w:tcBorders>
          </w:tcPr>
          <w:p>
            <w:pPr>
              <w:spacing w:after="0"/>
              <w:rPr>
                <w:sz w:val="5"/>
                <w:szCs w:val="5"/>
                <w:color w:val="auto"/>
              </w:rPr>
            </w:pPr>
          </w:p>
        </w:tc>
        <w:tc>
          <w:tcPr>
            <w:tcW w:w="720" w:type="dxa"/>
            <w:vAlign w:val="bottom"/>
            <w:tcBorders>
              <w:top w:val="single" w:sz="8" w:color="auto"/>
            </w:tcBorders>
          </w:tcPr>
          <w:p>
            <w:pPr>
              <w:spacing w:after="0"/>
              <w:rPr>
                <w:sz w:val="5"/>
                <w:szCs w:val="5"/>
                <w:color w:val="auto"/>
              </w:rPr>
            </w:pPr>
          </w:p>
        </w:tc>
        <w:tc>
          <w:tcPr>
            <w:tcW w:w="320" w:type="dxa"/>
            <w:vAlign w:val="bottom"/>
            <w:tcBorders>
              <w:top w:val="single" w:sz="8" w:color="auto"/>
            </w:tcBorders>
          </w:tcPr>
          <w:p>
            <w:pPr>
              <w:spacing w:after="0"/>
              <w:rPr>
                <w:sz w:val="5"/>
                <w:szCs w:val="5"/>
                <w:color w:val="auto"/>
              </w:rPr>
            </w:pPr>
          </w:p>
        </w:tc>
        <w:tc>
          <w:tcPr>
            <w:tcW w:w="820" w:type="dxa"/>
            <w:vAlign w:val="bottom"/>
            <w:tcBorders>
              <w:top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300" w:type="dxa"/>
            <w:vAlign w:val="bottom"/>
            <w:tcBorders>
              <w:top w:val="single" w:sz="8" w:color="auto"/>
            </w:tcBorders>
          </w:tcPr>
          <w:p>
            <w:pPr>
              <w:spacing w:after="0"/>
              <w:rPr>
                <w:sz w:val="5"/>
                <w:szCs w:val="5"/>
                <w:color w:val="auto"/>
              </w:rPr>
            </w:pPr>
          </w:p>
        </w:tc>
        <w:tc>
          <w:tcPr>
            <w:tcW w:w="84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808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Cash and cash equivalents, end of period</w:t>
            </w:r>
          </w:p>
        </w:tc>
        <w:tc>
          <w:tcPr>
            <w:tcW w:w="1040" w:type="dxa"/>
            <w:vAlign w:val="bottom"/>
            <w:gridSpan w:val="2"/>
            <w:shd w:val="clear" w:color="auto" w:fill="E5E5E5"/>
          </w:tcPr>
          <w:p>
            <w:pPr>
              <w:jc w:val="right"/>
              <w:ind w:right="220"/>
              <w:spacing w:after="0" w:line="202" w:lineRule="exact"/>
              <w:rPr>
                <w:sz w:val="20"/>
                <w:szCs w:val="20"/>
                <w:color w:val="auto"/>
              </w:rPr>
            </w:pPr>
            <w:r>
              <w:rPr>
                <w:rFonts w:ascii="Arial" w:cs="Arial" w:eastAsia="Arial" w:hAnsi="Arial"/>
                <w:sz w:val="18"/>
                <w:szCs w:val="18"/>
                <w:b w:val="1"/>
                <w:bCs w:val="1"/>
                <w:color w:val="auto"/>
              </w:rPr>
              <w:t>$</w:t>
            </w:r>
          </w:p>
        </w:tc>
        <w:tc>
          <w:tcPr>
            <w:tcW w:w="960" w:type="dxa"/>
            <w:vAlign w:val="bottom"/>
            <w:gridSpan w:val="2"/>
            <w:shd w:val="clear" w:color="auto" w:fill="E5E5E5"/>
          </w:tcPr>
          <w:p>
            <w:pPr>
              <w:jc w:val="right"/>
              <w:ind w:right="140"/>
              <w:spacing w:after="0" w:line="202" w:lineRule="exact"/>
              <w:rPr>
                <w:sz w:val="20"/>
                <w:szCs w:val="20"/>
                <w:color w:val="auto"/>
              </w:rPr>
            </w:pPr>
            <w:r>
              <w:rPr>
                <w:rFonts w:ascii="Arial" w:cs="Arial" w:eastAsia="Arial" w:hAnsi="Arial"/>
                <w:sz w:val="18"/>
                <w:szCs w:val="18"/>
                <w:b w:val="1"/>
                <w:bCs w:val="1"/>
                <w:color w:val="auto"/>
              </w:rPr>
              <w:t>6,884</w:t>
            </w:r>
          </w:p>
        </w:tc>
        <w:tc>
          <w:tcPr>
            <w:tcW w:w="380" w:type="dxa"/>
            <w:vAlign w:val="bottom"/>
            <w:gridSpan w:val="2"/>
            <w:shd w:val="clear" w:color="auto" w:fill="E5E5E5"/>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94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13,928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5"/>
        </w:trPr>
        <w:tc>
          <w:tcPr>
            <w:tcW w:w="8100" w:type="dxa"/>
            <w:vAlign w:val="bottom"/>
            <w:gridSpan w:val="2"/>
            <w:vMerge w:val="restart"/>
          </w:tcPr>
          <w:p>
            <w:pPr>
              <w:spacing w:after="0"/>
              <w:rPr>
                <w:sz w:val="20"/>
                <w:szCs w:val="20"/>
                <w:color w:val="auto"/>
              </w:rPr>
            </w:pPr>
            <w:r>
              <w:rPr>
                <w:rFonts w:ascii="Arial" w:cs="Arial" w:eastAsia="Arial" w:hAnsi="Arial"/>
                <w:sz w:val="18"/>
                <w:szCs w:val="18"/>
                <w:color w:val="auto"/>
              </w:rPr>
              <w:t>Refer to accompanying notes.</w:t>
            </w:r>
          </w:p>
        </w:tc>
        <w:tc>
          <w:tcPr>
            <w:tcW w:w="720" w:type="dxa"/>
            <w:vAlign w:val="bottom"/>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2"/>
        </w:trPr>
        <w:tc>
          <w:tcPr>
            <w:tcW w:w="8100" w:type="dxa"/>
            <w:vAlign w:val="bottom"/>
            <w:gridSpan w:val="2"/>
            <w:vMerge w:val="continue"/>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5"/>
        </w:trPr>
        <w:tc>
          <w:tcPr>
            <w:tcW w:w="8100" w:type="dxa"/>
            <w:vAlign w:val="bottom"/>
            <w:gridSpan w:val="2"/>
          </w:tcPr>
          <w:p>
            <w:pPr>
              <w:jc w:val="right"/>
              <w:ind w:right="2250"/>
              <w:spacing w:after="0"/>
              <w:rPr>
                <w:sz w:val="20"/>
                <w:szCs w:val="20"/>
                <w:color w:val="auto"/>
              </w:rPr>
            </w:pPr>
            <w:r>
              <w:rPr>
                <w:rFonts w:ascii="Arial" w:cs="Arial" w:eastAsia="Arial" w:hAnsi="Arial"/>
                <w:sz w:val="14"/>
                <w:szCs w:val="14"/>
                <w:color w:val="auto"/>
              </w:rPr>
              <w:t>6</w:t>
            </w: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8080" w:type="dxa"/>
            <w:vAlign w:val="bottom"/>
            <w:tcBorders>
              <w:bottom w:val="single" w:sz="8" w:color="9A9A9A"/>
            </w:tcBorders>
          </w:tcPr>
          <w:p>
            <w:pPr>
              <w:spacing w:after="0"/>
              <w:rPr>
                <w:sz w:val="8"/>
                <w:szCs w:val="8"/>
                <w:color w:val="auto"/>
              </w:rPr>
            </w:pPr>
          </w:p>
        </w:tc>
        <w:tc>
          <w:tcPr>
            <w:tcW w:w="72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82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8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6" w:name="page7"/>
    <w:bookmarkEnd w:id="6"/>
    <w:p>
      <w:pPr>
        <w:ind w:left="5500"/>
        <w:spacing w:after="0"/>
        <w:rPr>
          <w:sz w:val="20"/>
          <w:szCs w:val="20"/>
          <w:color w:val="auto"/>
        </w:rPr>
      </w:pPr>
      <w:r>
        <w:rPr>
          <w:rFonts w:ascii="Arial" w:cs="Arial" w:eastAsia="Arial" w:hAnsi="Arial"/>
          <w:sz w:val="14"/>
          <w:szCs w:val="14"/>
          <w:u w:val="single" w:color="auto"/>
          <w:color w:val="auto"/>
        </w:rPr>
        <w:t>PART I</w:t>
      </w:r>
    </w:p>
    <w:p>
      <w:pPr>
        <w:spacing w:after="0" w:line="5" w:lineRule="exact"/>
        <w:rPr>
          <w:sz w:val="20"/>
          <w:szCs w:val="20"/>
          <w:color w:val="auto"/>
        </w:rPr>
      </w:pPr>
    </w:p>
    <w:p>
      <w:pPr>
        <w:ind w:left="5520"/>
        <w:spacing w:after="0"/>
        <w:rPr>
          <w:sz w:val="20"/>
          <w:szCs w:val="20"/>
          <w:color w:val="auto"/>
        </w:rPr>
      </w:pPr>
      <w:r>
        <w:rPr>
          <w:rFonts w:ascii="Arial" w:cs="Arial" w:eastAsia="Arial" w:hAnsi="Arial"/>
          <w:sz w:val="14"/>
          <w:szCs w:val="14"/>
          <w:color w:val="auto"/>
        </w:rPr>
        <w:t>Item 1</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STOCKHOLDERS’ EQUITY STATEMENTS</w:t>
      </w:r>
    </w:p>
    <w:p>
      <w:pPr>
        <w:spacing w:after="0" w:line="19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 millions)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46990</wp:posOffset>
            </wp:positionV>
            <wp:extent cx="717804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8040" cy="8890"/>
                    </a:xfrm>
                    <a:prstGeom prst="rect">
                      <a:avLst/>
                    </a:prstGeom>
                    <a:noFill/>
                  </pic:spPr>
                </pic:pic>
              </a:graphicData>
            </a:graphic>
          </wp:anchor>
        </w:drawing>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260" w:type="dxa"/>
            <w:vAlign w:val="bottom"/>
            <w:gridSpan w:val="2"/>
          </w:tcPr>
          <w:p>
            <w:pPr>
              <w:spacing w:after="0"/>
              <w:rPr>
                <w:sz w:val="20"/>
                <w:szCs w:val="20"/>
                <w:color w:val="auto"/>
              </w:rPr>
            </w:pPr>
            <w:r>
              <w:rPr>
                <w:rFonts w:ascii="Arial" w:cs="Arial" w:eastAsia="Arial" w:hAnsi="Arial"/>
                <w:sz w:val="14"/>
                <w:szCs w:val="14"/>
                <w:b w:val="1"/>
                <w:bCs w:val="1"/>
                <w:color w:val="auto"/>
              </w:rPr>
              <w:t>Three Months Ended September 30,</w:t>
            </w:r>
          </w:p>
        </w:tc>
        <w:tc>
          <w:tcPr>
            <w:tcW w:w="25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2017</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 w:type="dxa"/>
            <w:vAlign w:val="bottom"/>
            <w:vMerge w:val="restart"/>
          </w:tcPr>
          <w:p>
            <w:pPr>
              <w:spacing w:after="0"/>
              <w:rPr>
                <w:sz w:val="3"/>
                <w:szCs w:val="3"/>
                <w:color w:val="auto"/>
              </w:rPr>
            </w:pPr>
          </w:p>
        </w:tc>
        <w:tc>
          <w:tcPr>
            <w:tcW w:w="6240" w:type="dxa"/>
            <w:vAlign w:val="bottom"/>
          </w:tcPr>
          <w:p>
            <w:pPr>
              <w:spacing w:after="0"/>
              <w:rPr>
                <w:sz w:val="3"/>
                <w:szCs w:val="3"/>
                <w:color w:val="auto"/>
              </w:rPr>
            </w:pPr>
          </w:p>
        </w:tc>
        <w:tc>
          <w:tcPr>
            <w:tcW w:w="256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240" w:type="dxa"/>
            <w:vAlign w:val="bottom"/>
            <w:shd w:val="clear" w:color="auto" w:fill="E5E5E5"/>
          </w:tcPr>
          <w:p>
            <w:pPr>
              <w:spacing w:after="0" w:line="202" w:lineRule="exact"/>
              <w:rPr>
                <w:sz w:val="20"/>
                <w:szCs w:val="20"/>
                <w:color w:val="auto"/>
              </w:rPr>
            </w:pPr>
            <w:r>
              <w:rPr>
                <w:rFonts w:ascii="Arial" w:cs="Arial" w:eastAsia="Arial" w:hAnsi="Arial"/>
                <w:sz w:val="18"/>
                <w:szCs w:val="18"/>
                <w:b w:val="1"/>
                <w:bCs w:val="1"/>
                <w:color w:val="auto"/>
              </w:rPr>
              <w:t>Common stock and paid-in capital</w:t>
            </w:r>
          </w:p>
        </w:tc>
        <w:tc>
          <w:tcPr>
            <w:tcW w:w="2560" w:type="dxa"/>
            <w:vAlign w:val="bottom"/>
            <w:shd w:val="clear" w:color="auto" w:fill="E5E5E5"/>
          </w:tcPr>
          <w:p>
            <w:pPr>
              <w:spacing w:after="0"/>
              <w:rPr>
                <w:sz w:val="17"/>
                <w:szCs w:val="17"/>
                <w:color w:val="auto"/>
              </w:rPr>
            </w:pPr>
          </w:p>
        </w:tc>
        <w:tc>
          <w:tcPr>
            <w:tcW w:w="340" w:type="dxa"/>
            <w:vAlign w:val="bottom"/>
            <w:shd w:val="clear" w:color="auto" w:fill="E5E5E5"/>
          </w:tcPr>
          <w:p>
            <w:pPr>
              <w:spacing w:after="0"/>
              <w:rPr>
                <w:sz w:val="17"/>
                <w:szCs w:val="17"/>
                <w:color w:val="auto"/>
              </w:rPr>
            </w:pPr>
          </w:p>
        </w:tc>
        <w:tc>
          <w:tcPr>
            <w:tcW w:w="800" w:type="dxa"/>
            <w:vAlign w:val="bottom"/>
            <w:shd w:val="clear" w:color="auto" w:fill="E5E5E5"/>
          </w:tcPr>
          <w:p>
            <w:pPr>
              <w:spacing w:after="0"/>
              <w:rPr>
                <w:sz w:val="17"/>
                <w:szCs w:val="17"/>
                <w:color w:val="auto"/>
              </w:rPr>
            </w:pPr>
          </w:p>
        </w:tc>
        <w:tc>
          <w:tcPr>
            <w:tcW w:w="140" w:type="dxa"/>
            <w:vAlign w:val="bottom"/>
            <w:shd w:val="clear" w:color="auto" w:fill="E5E5E5"/>
          </w:tcPr>
          <w:p>
            <w:pPr>
              <w:spacing w:after="0"/>
              <w:rPr>
                <w:sz w:val="17"/>
                <w:szCs w:val="17"/>
                <w:color w:val="auto"/>
              </w:rPr>
            </w:pPr>
          </w:p>
        </w:tc>
        <w:tc>
          <w:tcPr>
            <w:tcW w:w="80" w:type="dxa"/>
            <w:vAlign w:val="bottom"/>
            <w:shd w:val="clear" w:color="auto" w:fill="E5E5E5"/>
          </w:tcPr>
          <w:p>
            <w:pPr>
              <w:spacing w:after="0"/>
              <w:rPr>
                <w:sz w:val="17"/>
                <w:szCs w:val="17"/>
                <w:color w:val="auto"/>
              </w:rPr>
            </w:pPr>
          </w:p>
        </w:tc>
        <w:tc>
          <w:tcPr>
            <w:tcW w:w="340" w:type="dxa"/>
            <w:vAlign w:val="bottom"/>
            <w:shd w:val="clear" w:color="auto" w:fill="E5E5E5"/>
          </w:tcPr>
          <w:p>
            <w:pPr>
              <w:spacing w:after="0"/>
              <w:rPr>
                <w:sz w:val="17"/>
                <w:szCs w:val="17"/>
                <w:color w:val="auto"/>
              </w:rPr>
            </w:pPr>
          </w:p>
        </w:tc>
        <w:tc>
          <w:tcPr>
            <w:tcW w:w="80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40" w:type="dxa"/>
            <w:vAlign w:val="bottom"/>
          </w:tcPr>
          <w:p>
            <w:pPr>
              <w:spacing w:after="0" w:line="202" w:lineRule="exact"/>
              <w:rPr>
                <w:sz w:val="20"/>
                <w:szCs w:val="20"/>
                <w:color w:val="auto"/>
              </w:rPr>
            </w:pPr>
            <w:r>
              <w:rPr>
                <w:rFonts w:ascii="Arial" w:cs="Arial" w:eastAsia="Arial" w:hAnsi="Arial"/>
                <w:sz w:val="18"/>
                <w:szCs w:val="18"/>
                <w:color w:val="auto"/>
              </w:rPr>
              <w:t>Balance, beginning of period</w:t>
            </w:r>
          </w:p>
        </w:tc>
        <w:tc>
          <w:tcPr>
            <w:tcW w:w="2900" w:type="dxa"/>
            <w:vAlign w:val="bottom"/>
            <w:gridSpan w:val="2"/>
          </w:tcPr>
          <w:p>
            <w:pPr>
              <w:jc w:val="right"/>
              <w:ind w:right="240"/>
              <w:spacing w:after="0" w:line="202" w:lineRule="exact"/>
              <w:rPr>
                <w:sz w:val="20"/>
                <w:szCs w:val="20"/>
                <w:color w:val="auto"/>
              </w:rPr>
            </w:pPr>
            <w:r>
              <w:rPr>
                <w:rFonts w:ascii="Arial" w:cs="Arial" w:eastAsia="Arial" w:hAnsi="Arial"/>
                <w:sz w:val="18"/>
                <w:szCs w:val="18"/>
                <w:b w:val="1"/>
                <w:bCs w:val="1"/>
                <w:color w:val="auto"/>
              </w:rPr>
              <w:t>$</w:t>
            </w:r>
          </w:p>
        </w:tc>
        <w:tc>
          <w:tcPr>
            <w:tcW w:w="940" w:type="dxa"/>
            <w:vAlign w:val="bottom"/>
            <w:gridSpan w:val="2"/>
          </w:tcPr>
          <w:p>
            <w:pPr>
              <w:jc w:val="right"/>
              <w:ind w:right="140"/>
              <w:spacing w:after="0" w:line="202" w:lineRule="exact"/>
              <w:rPr>
                <w:sz w:val="20"/>
                <w:szCs w:val="20"/>
                <w:color w:val="auto"/>
              </w:rPr>
            </w:pPr>
            <w:r>
              <w:rPr>
                <w:rFonts w:ascii="Arial" w:cs="Arial" w:eastAsia="Arial" w:hAnsi="Arial"/>
                <w:sz w:val="18"/>
                <w:szCs w:val="18"/>
                <w:b w:val="1"/>
                <w:bCs w:val="1"/>
                <w:color w:val="auto"/>
              </w:rPr>
              <w:t>69,315</w:t>
            </w:r>
          </w:p>
        </w:tc>
        <w:tc>
          <w:tcPr>
            <w:tcW w:w="42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68,178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4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Common stock issued</w:t>
            </w:r>
          </w:p>
        </w:tc>
        <w:tc>
          <w:tcPr>
            <w:tcW w:w="2560" w:type="dxa"/>
            <w:vAlign w:val="bottom"/>
            <w:shd w:val="clear" w:color="auto" w:fill="E5E5E5"/>
          </w:tcPr>
          <w:p>
            <w:pPr>
              <w:spacing w:after="0"/>
              <w:rPr>
                <w:sz w:val="17"/>
                <w:szCs w:val="17"/>
                <w:color w:val="auto"/>
              </w:rPr>
            </w:pPr>
          </w:p>
        </w:tc>
        <w:tc>
          <w:tcPr>
            <w:tcW w:w="340" w:type="dxa"/>
            <w:vAlign w:val="bottom"/>
            <w:shd w:val="clear" w:color="auto" w:fill="E5E5E5"/>
          </w:tcPr>
          <w:p>
            <w:pPr>
              <w:spacing w:after="0"/>
              <w:rPr>
                <w:sz w:val="17"/>
                <w:szCs w:val="17"/>
                <w:color w:val="auto"/>
              </w:rPr>
            </w:pPr>
          </w:p>
        </w:tc>
        <w:tc>
          <w:tcPr>
            <w:tcW w:w="940" w:type="dxa"/>
            <w:vAlign w:val="bottom"/>
            <w:gridSpan w:val="2"/>
            <w:shd w:val="clear" w:color="auto" w:fill="E5E5E5"/>
          </w:tcPr>
          <w:p>
            <w:pPr>
              <w:jc w:val="right"/>
              <w:ind w:right="140"/>
              <w:spacing w:after="0" w:line="202" w:lineRule="exact"/>
              <w:rPr>
                <w:sz w:val="20"/>
                <w:szCs w:val="20"/>
                <w:color w:val="auto"/>
              </w:rPr>
            </w:pPr>
            <w:r>
              <w:rPr>
                <w:rFonts w:ascii="Arial" w:cs="Arial" w:eastAsia="Arial" w:hAnsi="Arial"/>
                <w:sz w:val="18"/>
                <w:szCs w:val="18"/>
                <w:b w:val="1"/>
                <w:bCs w:val="1"/>
                <w:color w:val="auto"/>
              </w:rPr>
              <w:t>307</w:t>
            </w:r>
          </w:p>
        </w:tc>
        <w:tc>
          <w:tcPr>
            <w:tcW w:w="80" w:type="dxa"/>
            <w:vAlign w:val="bottom"/>
            <w:shd w:val="clear" w:color="auto" w:fill="E5E5E5"/>
          </w:tcPr>
          <w:p>
            <w:pPr>
              <w:spacing w:after="0"/>
              <w:rPr>
                <w:sz w:val="17"/>
                <w:szCs w:val="17"/>
                <w:color w:val="auto"/>
              </w:rPr>
            </w:pPr>
          </w:p>
        </w:tc>
        <w:tc>
          <w:tcPr>
            <w:tcW w:w="340" w:type="dxa"/>
            <w:vAlign w:val="bottom"/>
            <w:shd w:val="clear" w:color="auto" w:fill="E5E5E5"/>
          </w:tcPr>
          <w:p>
            <w:pPr>
              <w:spacing w:after="0"/>
              <w:rPr>
                <w:sz w:val="17"/>
                <w:szCs w:val="17"/>
                <w:color w:val="auto"/>
              </w:rPr>
            </w:pPr>
          </w:p>
        </w:tc>
        <w:tc>
          <w:tcPr>
            <w:tcW w:w="90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40" w:type="dxa"/>
            <w:vAlign w:val="bottom"/>
          </w:tcPr>
          <w:p>
            <w:pPr>
              <w:spacing w:after="0" w:line="202" w:lineRule="exact"/>
              <w:rPr>
                <w:sz w:val="20"/>
                <w:szCs w:val="20"/>
                <w:color w:val="auto"/>
              </w:rPr>
            </w:pPr>
            <w:r>
              <w:rPr>
                <w:rFonts w:ascii="Arial" w:cs="Arial" w:eastAsia="Arial" w:hAnsi="Arial"/>
                <w:sz w:val="18"/>
                <w:szCs w:val="18"/>
                <w:color w:val="auto"/>
              </w:rPr>
              <w:t>Common stock repurchased</w:t>
            </w:r>
          </w:p>
        </w:tc>
        <w:tc>
          <w:tcPr>
            <w:tcW w:w="2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40" w:type="dxa"/>
            <w:vAlign w:val="bottom"/>
            <w:gridSpan w:val="2"/>
          </w:tcPr>
          <w:p>
            <w:pPr>
              <w:jc w:val="right"/>
              <w:ind w:right="80"/>
              <w:spacing w:after="0" w:line="202" w:lineRule="exact"/>
              <w:rPr>
                <w:sz w:val="20"/>
                <w:szCs w:val="20"/>
                <w:color w:val="auto"/>
              </w:rPr>
            </w:pPr>
            <w:r>
              <w:rPr>
                <w:rFonts w:ascii="Arial" w:cs="Arial" w:eastAsia="Arial" w:hAnsi="Arial"/>
                <w:sz w:val="18"/>
                <w:szCs w:val="18"/>
                <w:b w:val="1"/>
                <w:bCs w:val="1"/>
                <w:color w:val="auto"/>
              </w:rPr>
              <w:t>(1,175)</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(1,374)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4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Stock-based compensation expense</w:t>
            </w:r>
          </w:p>
        </w:tc>
        <w:tc>
          <w:tcPr>
            <w:tcW w:w="2560" w:type="dxa"/>
            <w:vAlign w:val="bottom"/>
            <w:shd w:val="clear" w:color="auto" w:fill="E5E5E5"/>
          </w:tcPr>
          <w:p>
            <w:pPr>
              <w:spacing w:after="0"/>
              <w:rPr>
                <w:sz w:val="17"/>
                <w:szCs w:val="17"/>
                <w:color w:val="auto"/>
              </w:rPr>
            </w:pPr>
          </w:p>
        </w:tc>
        <w:tc>
          <w:tcPr>
            <w:tcW w:w="340" w:type="dxa"/>
            <w:vAlign w:val="bottom"/>
            <w:shd w:val="clear" w:color="auto" w:fill="E5E5E5"/>
          </w:tcPr>
          <w:p>
            <w:pPr>
              <w:spacing w:after="0"/>
              <w:rPr>
                <w:sz w:val="17"/>
                <w:szCs w:val="17"/>
                <w:color w:val="auto"/>
              </w:rPr>
            </w:pPr>
          </w:p>
        </w:tc>
        <w:tc>
          <w:tcPr>
            <w:tcW w:w="940" w:type="dxa"/>
            <w:vAlign w:val="bottom"/>
            <w:gridSpan w:val="2"/>
            <w:shd w:val="clear" w:color="auto" w:fill="E5E5E5"/>
          </w:tcPr>
          <w:p>
            <w:pPr>
              <w:jc w:val="right"/>
              <w:ind w:right="140"/>
              <w:spacing w:after="0" w:line="202" w:lineRule="exact"/>
              <w:rPr>
                <w:sz w:val="20"/>
                <w:szCs w:val="20"/>
                <w:color w:val="auto"/>
              </w:rPr>
            </w:pPr>
            <w:r>
              <w:rPr>
                <w:rFonts w:ascii="Arial" w:cs="Arial" w:eastAsia="Arial" w:hAnsi="Arial"/>
                <w:sz w:val="18"/>
                <w:szCs w:val="18"/>
                <w:b w:val="1"/>
                <w:bCs w:val="1"/>
                <w:color w:val="auto"/>
              </w:rPr>
              <w:t>973</w:t>
            </w:r>
          </w:p>
        </w:tc>
        <w:tc>
          <w:tcPr>
            <w:tcW w:w="80" w:type="dxa"/>
            <w:vAlign w:val="bottom"/>
            <w:shd w:val="clear" w:color="auto" w:fill="E5E5E5"/>
          </w:tcPr>
          <w:p>
            <w:pPr>
              <w:spacing w:after="0"/>
              <w:rPr>
                <w:sz w:val="17"/>
                <w:szCs w:val="17"/>
                <w:color w:val="auto"/>
              </w:rPr>
            </w:pPr>
          </w:p>
        </w:tc>
        <w:tc>
          <w:tcPr>
            <w:tcW w:w="340" w:type="dxa"/>
            <w:vAlign w:val="bottom"/>
            <w:shd w:val="clear" w:color="auto" w:fill="E5E5E5"/>
          </w:tcPr>
          <w:p>
            <w:pPr>
              <w:spacing w:after="0"/>
              <w:rPr>
                <w:sz w:val="17"/>
                <w:szCs w:val="17"/>
                <w:color w:val="auto"/>
              </w:rPr>
            </w:pPr>
          </w:p>
        </w:tc>
        <w:tc>
          <w:tcPr>
            <w:tcW w:w="90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703</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Other, net</w:t>
            </w:r>
          </w:p>
        </w:tc>
        <w:tc>
          <w:tcPr>
            <w:tcW w:w="25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w:t>
            </w: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6240" w:type="dxa"/>
            <w:vAlign w:val="bottom"/>
            <w:tcBorders>
              <w:top w:val="single" w:sz="8" w:color="auto"/>
            </w:tcBorders>
          </w:tcPr>
          <w:p>
            <w:pPr>
              <w:spacing w:after="0"/>
              <w:rPr>
                <w:sz w:val="5"/>
                <w:szCs w:val="5"/>
                <w:color w:val="auto"/>
              </w:rPr>
            </w:pPr>
          </w:p>
        </w:tc>
        <w:tc>
          <w:tcPr>
            <w:tcW w:w="2560" w:type="dxa"/>
            <w:vAlign w:val="bottom"/>
            <w:tcBorders>
              <w:top w:val="single" w:sz="8" w:color="auto"/>
            </w:tcBorders>
          </w:tcPr>
          <w:p>
            <w:pPr>
              <w:spacing w:after="0"/>
              <w:rPr>
                <w:sz w:val="5"/>
                <w:szCs w:val="5"/>
                <w:color w:val="auto"/>
              </w:rPr>
            </w:pPr>
          </w:p>
        </w:tc>
        <w:tc>
          <w:tcPr>
            <w:tcW w:w="340" w:type="dxa"/>
            <w:vAlign w:val="bottom"/>
            <w:tcBorders>
              <w:top w:val="single" w:sz="8" w:color="auto"/>
            </w:tcBorders>
          </w:tcPr>
          <w:p>
            <w:pPr>
              <w:spacing w:after="0"/>
              <w:rPr>
                <w:sz w:val="5"/>
                <w:szCs w:val="5"/>
                <w:color w:val="auto"/>
              </w:rPr>
            </w:pPr>
          </w:p>
        </w:tc>
        <w:tc>
          <w:tcPr>
            <w:tcW w:w="800" w:type="dxa"/>
            <w:vAlign w:val="bottom"/>
            <w:tcBorders>
              <w:top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Borders>
              <w:top w:val="single" w:sz="8" w:color="auto"/>
            </w:tcBorders>
          </w:tcPr>
          <w:p>
            <w:pPr>
              <w:spacing w:after="0"/>
              <w:rPr>
                <w:sz w:val="5"/>
                <w:szCs w:val="5"/>
                <w:color w:val="auto"/>
              </w:rPr>
            </w:pPr>
          </w:p>
        </w:tc>
        <w:tc>
          <w:tcPr>
            <w:tcW w:w="80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40" w:type="dxa"/>
            <w:vAlign w:val="bottom"/>
            <w:shd w:val="clear" w:color="auto" w:fill="E5E5E5"/>
          </w:tcPr>
          <w:p>
            <w:pPr>
              <w:ind w:left="200"/>
              <w:spacing w:after="0" w:line="202" w:lineRule="exact"/>
              <w:rPr>
                <w:sz w:val="20"/>
                <w:szCs w:val="20"/>
                <w:color w:val="auto"/>
              </w:rPr>
            </w:pPr>
            <w:r>
              <w:rPr>
                <w:rFonts w:ascii="Arial" w:cs="Arial" w:eastAsia="Arial" w:hAnsi="Arial"/>
                <w:sz w:val="18"/>
                <w:szCs w:val="18"/>
                <w:color w:val="auto"/>
              </w:rPr>
              <w:t>Balance, end of period</w:t>
            </w:r>
          </w:p>
        </w:tc>
        <w:tc>
          <w:tcPr>
            <w:tcW w:w="2560" w:type="dxa"/>
            <w:vAlign w:val="bottom"/>
            <w:shd w:val="clear" w:color="auto" w:fill="E5E5E5"/>
          </w:tcPr>
          <w:p>
            <w:pPr>
              <w:spacing w:after="0"/>
              <w:rPr>
                <w:sz w:val="17"/>
                <w:szCs w:val="17"/>
                <w:color w:val="auto"/>
              </w:rPr>
            </w:pPr>
          </w:p>
        </w:tc>
        <w:tc>
          <w:tcPr>
            <w:tcW w:w="340" w:type="dxa"/>
            <w:vAlign w:val="bottom"/>
            <w:shd w:val="clear" w:color="auto" w:fill="E5E5E5"/>
          </w:tcPr>
          <w:p>
            <w:pPr>
              <w:spacing w:after="0"/>
              <w:rPr>
                <w:sz w:val="17"/>
                <w:szCs w:val="17"/>
                <w:color w:val="auto"/>
              </w:rPr>
            </w:pPr>
          </w:p>
        </w:tc>
        <w:tc>
          <w:tcPr>
            <w:tcW w:w="940" w:type="dxa"/>
            <w:vAlign w:val="bottom"/>
            <w:gridSpan w:val="2"/>
            <w:shd w:val="clear" w:color="auto" w:fill="E5E5E5"/>
          </w:tcPr>
          <w:p>
            <w:pPr>
              <w:jc w:val="right"/>
              <w:ind w:right="140"/>
              <w:spacing w:after="0" w:line="202" w:lineRule="exact"/>
              <w:rPr>
                <w:sz w:val="20"/>
                <w:szCs w:val="20"/>
                <w:color w:val="auto"/>
              </w:rPr>
            </w:pPr>
            <w:r>
              <w:rPr>
                <w:rFonts w:ascii="Arial" w:cs="Arial" w:eastAsia="Arial" w:hAnsi="Arial"/>
                <w:sz w:val="18"/>
                <w:szCs w:val="18"/>
                <w:b w:val="1"/>
                <w:bCs w:val="1"/>
                <w:color w:val="auto"/>
              </w:rPr>
              <w:t>69,419</w:t>
            </w:r>
          </w:p>
        </w:tc>
        <w:tc>
          <w:tcPr>
            <w:tcW w:w="80" w:type="dxa"/>
            <w:vAlign w:val="bottom"/>
            <w:shd w:val="clear" w:color="auto" w:fill="E5E5E5"/>
          </w:tcPr>
          <w:p>
            <w:pPr>
              <w:spacing w:after="0"/>
              <w:rPr>
                <w:sz w:val="17"/>
                <w:szCs w:val="17"/>
                <w:color w:val="auto"/>
              </w:rPr>
            </w:pPr>
          </w:p>
        </w:tc>
        <w:tc>
          <w:tcPr>
            <w:tcW w:w="340" w:type="dxa"/>
            <w:vAlign w:val="bottom"/>
            <w:shd w:val="clear" w:color="auto" w:fill="E5E5E5"/>
          </w:tcPr>
          <w:p>
            <w:pPr>
              <w:spacing w:after="0"/>
              <w:rPr>
                <w:sz w:val="17"/>
                <w:szCs w:val="17"/>
                <w:color w:val="auto"/>
              </w:rPr>
            </w:pPr>
          </w:p>
        </w:tc>
        <w:tc>
          <w:tcPr>
            <w:tcW w:w="90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67,747</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6240" w:type="dxa"/>
            <w:vAlign w:val="bottom"/>
            <w:tcBorders>
              <w:bottom w:val="single" w:sz="8" w:color="auto"/>
            </w:tcBorders>
          </w:tcPr>
          <w:p>
            <w:pPr>
              <w:spacing w:after="0"/>
              <w:rPr>
                <w:sz w:val="5"/>
                <w:szCs w:val="5"/>
                <w:color w:val="auto"/>
              </w:rPr>
            </w:pPr>
          </w:p>
        </w:tc>
        <w:tc>
          <w:tcPr>
            <w:tcW w:w="256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6240" w:type="dxa"/>
            <w:vAlign w:val="bottom"/>
          </w:tcPr>
          <w:p>
            <w:pPr>
              <w:spacing w:after="0"/>
              <w:rPr>
                <w:sz w:val="5"/>
                <w:szCs w:val="5"/>
                <w:color w:val="auto"/>
              </w:rPr>
            </w:pPr>
          </w:p>
        </w:tc>
        <w:tc>
          <w:tcPr>
            <w:tcW w:w="256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240" w:type="dxa"/>
            <w:vAlign w:val="bottom"/>
            <w:shd w:val="clear" w:color="auto" w:fill="E5E5E5"/>
          </w:tcPr>
          <w:p>
            <w:pPr>
              <w:spacing w:after="0" w:line="202" w:lineRule="exact"/>
              <w:rPr>
                <w:sz w:val="20"/>
                <w:szCs w:val="20"/>
                <w:color w:val="auto"/>
              </w:rPr>
            </w:pPr>
            <w:r>
              <w:rPr>
                <w:rFonts w:ascii="Arial" w:cs="Arial" w:eastAsia="Arial" w:hAnsi="Arial"/>
                <w:sz w:val="18"/>
                <w:szCs w:val="18"/>
                <w:b w:val="1"/>
                <w:bCs w:val="1"/>
                <w:color w:val="auto"/>
              </w:rPr>
              <w:t>Retained earnings</w:t>
            </w:r>
          </w:p>
        </w:tc>
        <w:tc>
          <w:tcPr>
            <w:tcW w:w="2560" w:type="dxa"/>
            <w:vAlign w:val="bottom"/>
            <w:shd w:val="clear" w:color="auto" w:fill="E5E5E5"/>
          </w:tcPr>
          <w:p>
            <w:pPr>
              <w:spacing w:after="0"/>
              <w:rPr>
                <w:sz w:val="17"/>
                <w:szCs w:val="17"/>
                <w:color w:val="auto"/>
              </w:rPr>
            </w:pPr>
          </w:p>
        </w:tc>
        <w:tc>
          <w:tcPr>
            <w:tcW w:w="340" w:type="dxa"/>
            <w:vAlign w:val="bottom"/>
            <w:shd w:val="clear" w:color="auto" w:fill="E5E5E5"/>
          </w:tcPr>
          <w:p>
            <w:pPr>
              <w:spacing w:after="0"/>
              <w:rPr>
                <w:sz w:val="17"/>
                <w:szCs w:val="17"/>
                <w:color w:val="auto"/>
              </w:rPr>
            </w:pPr>
          </w:p>
        </w:tc>
        <w:tc>
          <w:tcPr>
            <w:tcW w:w="800" w:type="dxa"/>
            <w:vAlign w:val="bottom"/>
            <w:shd w:val="clear" w:color="auto" w:fill="E5E5E5"/>
          </w:tcPr>
          <w:p>
            <w:pPr>
              <w:spacing w:after="0"/>
              <w:rPr>
                <w:sz w:val="17"/>
                <w:szCs w:val="17"/>
                <w:color w:val="auto"/>
              </w:rPr>
            </w:pPr>
          </w:p>
        </w:tc>
        <w:tc>
          <w:tcPr>
            <w:tcW w:w="140" w:type="dxa"/>
            <w:vAlign w:val="bottom"/>
            <w:shd w:val="clear" w:color="auto" w:fill="E5E5E5"/>
          </w:tcPr>
          <w:p>
            <w:pPr>
              <w:spacing w:after="0"/>
              <w:rPr>
                <w:sz w:val="17"/>
                <w:szCs w:val="17"/>
                <w:color w:val="auto"/>
              </w:rPr>
            </w:pPr>
          </w:p>
        </w:tc>
        <w:tc>
          <w:tcPr>
            <w:tcW w:w="80" w:type="dxa"/>
            <w:vAlign w:val="bottom"/>
            <w:shd w:val="clear" w:color="auto" w:fill="E5E5E5"/>
          </w:tcPr>
          <w:p>
            <w:pPr>
              <w:spacing w:after="0"/>
              <w:rPr>
                <w:sz w:val="17"/>
                <w:szCs w:val="17"/>
                <w:color w:val="auto"/>
              </w:rPr>
            </w:pPr>
          </w:p>
        </w:tc>
        <w:tc>
          <w:tcPr>
            <w:tcW w:w="340" w:type="dxa"/>
            <w:vAlign w:val="bottom"/>
            <w:shd w:val="clear" w:color="auto" w:fill="E5E5E5"/>
          </w:tcPr>
          <w:p>
            <w:pPr>
              <w:spacing w:after="0"/>
              <w:rPr>
                <w:sz w:val="17"/>
                <w:szCs w:val="17"/>
                <w:color w:val="auto"/>
              </w:rPr>
            </w:pPr>
          </w:p>
        </w:tc>
        <w:tc>
          <w:tcPr>
            <w:tcW w:w="80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40" w:type="dxa"/>
            <w:vAlign w:val="bottom"/>
          </w:tcPr>
          <w:p>
            <w:pPr>
              <w:spacing w:after="0" w:line="202" w:lineRule="exact"/>
              <w:rPr>
                <w:sz w:val="20"/>
                <w:szCs w:val="20"/>
                <w:color w:val="auto"/>
              </w:rPr>
            </w:pPr>
            <w:r>
              <w:rPr>
                <w:rFonts w:ascii="Arial" w:cs="Arial" w:eastAsia="Arial" w:hAnsi="Arial"/>
                <w:sz w:val="18"/>
                <w:szCs w:val="18"/>
                <w:color w:val="auto"/>
              </w:rPr>
              <w:t>Balance, beginning of period</w:t>
            </w:r>
          </w:p>
        </w:tc>
        <w:tc>
          <w:tcPr>
            <w:tcW w:w="2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40" w:type="dxa"/>
            <w:vAlign w:val="bottom"/>
            <w:gridSpan w:val="2"/>
          </w:tcPr>
          <w:p>
            <w:pPr>
              <w:jc w:val="right"/>
              <w:ind w:right="140"/>
              <w:spacing w:after="0" w:line="202" w:lineRule="exact"/>
              <w:rPr>
                <w:sz w:val="20"/>
                <w:szCs w:val="20"/>
                <w:color w:val="auto"/>
              </w:rPr>
            </w:pPr>
            <w:r>
              <w:rPr>
                <w:rFonts w:ascii="Arial" w:cs="Arial" w:eastAsia="Arial" w:hAnsi="Arial"/>
                <w:sz w:val="18"/>
                <w:szCs w:val="18"/>
                <w:b w:val="1"/>
                <w:bCs w:val="1"/>
                <w:color w:val="auto"/>
              </w:rPr>
              <w:t>17,769</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13,118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4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Net income</w:t>
            </w:r>
          </w:p>
        </w:tc>
        <w:tc>
          <w:tcPr>
            <w:tcW w:w="2560" w:type="dxa"/>
            <w:vAlign w:val="bottom"/>
            <w:shd w:val="clear" w:color="auto" w:fill="E5E5E5"/>
          </w:tcPr>
          <w:p>
            <w:pPr>
              <w:spacing w:after="0"/>
              <w:rPr>
                <w:sz w:val="17"/>
                <w:szCs w:val="17"/>
                <w:color w:val="auto"/>
              </w:rPr>
            </w:pPr>
          </w:p>
        </w:tc>
        <w:tc>
          <w:tcPr>
            <w:tcW w:w="340" w:type="dxa"/>
            <w:vAlign w:val="bottom"/>
            <w:shd w:val="clear" w:color="auto" w:fill="E5E5E5"/>
          </w:tcPr>
          <w:p>
            <w:pPr>
              <w:spacing w:after="0"/>
              <w:rPr>
                <w:sz w:val="17"/>
                <w:szCs w:val="17"/>
                <w:color w:val="auto"/>
              </w:rPr>
            </w:pPr>
          </w:p>
        </w:tc>
        <w:tc>
          <w:tcPr>
            <w:tcW w:w="940" w:type="dxa"/>
            <w:vAlign w:val="bottom"/>
            <w:gridSpan w:val="2"/>
            <w:shd w:val="clear" w:color="auto" w:fill="E5E5E5"/>
          </w:tcPr>
          <w:p>
            <w:pPr>
              <w:jc w:val="right"/>
              <w:ind w:right="140"/>
              <w:spacing w:after="0" w:line="202" w:lineRule="exact"/>
              <w:rPr>
                <w:sz w:val="20"/>
                <w:szCs w:val="20"/>
                <w:color w:val="auto"/>
              </w:rPr>
            </w:pPr>
            <w:r>
              <w:rPr>
                <w:rFonts w:ascii="Arial" w:cs="Arial" w:eastAsia="Arial" w:hAnsi="Arial"/>
                <w:sz w:val="18"/>
                <w:szCs w:val="18"/>
                <w:b w:val="1"/>
                <w:bCs w:val="1"/>
                <w:color w:val="auto"/>
              </w:rPr>
              <w:t>6,576</w:t>
            </w:r>
          </w:p>
        </w:tc>
        <w:tc>
          <w:tcPr>
            <w:tcW w:w="80" w:type="dxa"/>
            <w:vAlign w:val="bottom"/>
            <w:shd w:val="clear" w:color="auto" w:fill="E5E5E5"/>
          </w:tcPr>
          <w:p>
            <w:pPr>
              <w:spacing w:after="0"/>
              <w:rPr>
                <w:sz w:val="17"/>
                <w:szCs w:val="17"/>
                <w:color w:val="auto"/>
              </w:rPr>
            </w:pPr>
          </w:p>
        </w:tc>
        <w:tc>
          <w:tcPr>
            <w:tcW w:w="340" w:type="dxa"/>
            <w:vAlign w:val="bottom"/>
            <w:shd w:val="clear" w:color="auto" w:fill="E5E5E5"/>
          </w:tcPr>
          <w:p>
            <w:pPr>
              <w:spacing w:after="0"/>
              <w:rPr>
                <w:sz w:val="17"/>
                <w:szCs w:val="17"/>
                <w:color w:val="auto"/>
              </w:rPr>
            </w:pPr>
          </w:p>
        </w:tc>
        <w:tc>
          <w:tcPr>
            <w:tcW w:w="90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5,667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40" w:type="dxa"/>
            <w:vAlign w:val="bottom"/>
          </w:tcPr>
          <w:p>
            <w:pPr>
              <w:spacing w:after="0" w:line="202" w:lineRule="exact"/>
              <w:rPr>
                <w:sz w:val="20"/>
                <w:szCs w:val="20"/>
                <w:color w:val="auto"/>
              </w:rPr>
            </w:pPr>
            <w:r>
              <w:rPr>
                <w:rFonts w:ascii="Arial" w:cs="Arial" w:eastAsia="Arial" w:hAnsi="Arial"/>
                <w:sz w:val="18"/>
                <w:szCs w:val="18"/>
                <w:color w:val="auto"/>
              </w:rPr>
              <w:t>Common stock cash dividends</w:t>
            </w:r>
          </w:p>
        </w:tc>
        <w:tc>
          <w:tcPr>
            <w:tcW w:w="2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40" w:type="dxa"/>
            <w:vAlign w:val="bottom"/>
            <w:gridSpan w:val="2"/>
          </w:tcPr>
          <w:p>
            <w:pPr>
              <w:jc w:val="right"/>
              <w:ind w:right="80"/>
              <w:spacing w:after="0" w:line="202" w:lineRule="exact"/>
              <w:rPr>
                <w:sz w:val="20"/>
                <w:szCs w:val="20"/>
                <w:color w:val="auto"/>
              </w:rPr>
            </w:pPr>
            <w:r>
              <w:rPr>
                <w:rFonts w:ascii="Arial" w:cs="Arial" w:eastAsia="Arial" w:hAnsi="Arial"/>
                <w:sz w:val="18"/>
                <w:szCs w:val="18"/>
                <w:b w:val="1"/>
                <w:bCs w:val="1"/>
                <w:color w:val="auto"/>
              </w:rPr>
              <w:t>(3,239)</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(3,025)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4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Common stock repurchased</w:t>
            </w:r>
          </w:p>
        </w:tc>
        <w:tc>
          <w:tcPr>
            <w:tcW w:w="2560" w:type="dxa"/>
            <w:vAlign w:val="bottom"/>
            <w:shd w:val="clear" w:color="auto" w:fill="E5E5E5"/>
          </w:tcPr>
          <w:p>
            <w:pPr>
              <w:spacing w:after="0"/>
              <w:rPr>
                <w:sz w:val="17"/>
                <w:szCs w:val="17"/>
                <w:color w:val="auto"/>
              </w:rPr>
            </w:pPr>
          </w:p>
        </w:tc>
        <w:tc>
          <w:tcPr>
            <w:tcW w:w="340" w:type="dxa"/>
            <w:vAlign w:val="bottom"/>
            <w:shd w:val="clear" w:color="auto" w:fill="E5E5E5"/>
          </w:tcPr>
          <w:p>
            <w:pPr>
              <w:spacing w:after="0"/>
              <w:rPr>
                <w:sz w:val="17"/>
                <w:szCs w:val="17"/>
                <w:color w:val="auto"/>
              </w:rPr>
            </w:pPr>
          </w:p>
        </w:tc>
        <w:tc>
          <w:tcPr>
            <w:tcW w:w="940" w:type="dxa"/>
            <w:vAlign w:val="bottom"/>
            <w:gridSpan w:val="2"/>
            <w:shd w:val="clear" w:color="auto" w:fill="E5E5E5"/>
          </w:tcPr>
          <w:p>
            <w:pPr>
              <w:jc w:val="right"/>
              <w:ind w:right="80"/>
              <w:spacing w:after="0" w:line="202" w:lineRule="exact"/>
              <w:rPr>
                <w:sz w:val="20"/>
                <w:szCs w:val="20"/>
                <w:color w:val="auto"/>
              </w:rPr>
            </w:pPr>
            <w:r>
              <w:rPr>
                <w:rFonts w:ascii="Arial" w:cs="Arial" w:eastAsia="Arial" w:hAnsi="Arial"/>
                <w:sz w:val="18"/>
                <w:szCs w:val="18"/>
                <w:b w:val="1"/>
                <w:bCs w:val="1"/>
                <w:color w:val="auto"/>
              </w:rPr>
              <w:t>(1,404)</w:t>
            </w:r>
          </w:p>
        </w:tc>
        <w:tc>
          <w:tcPr>
            <w:tcW w:w="80" w:type="dxa"/>
            <w:vAlign w:val="bottom"/>
            <w:shd w:val="clear" w:color="auto" w:fill="E5E5E5"/>
          </w:tcPr>
          <w:p>
            <w:pPr>
              <w:spacing w:after="0"/>
              <w:rPr>
                <w:sz w:val="17"/>
                <w:szCs w:val="17"/>
                <w:color w:val="auto"/>
              </w:rPr>
            </w:pPr>
          </w:p>
        </w:tc>
        <w:tc>
          <w:tcPr>
            <w:tcW w:w="340" w:type="dxa"/>
            <w:vAlign w:val="bottom"/>
            <w:shd w:val="clear" w:color="auto" w:fill="E5E5E5"/>
          </w:tcPr>
          <w:p>
            <w:pPr>
              <w:spacing w:after="0"/>
              <w:rPr>
                <w:sz w:val="17"/>
                <w:szCs w:val="17"/>
                <w:color w:val="auto"/>
              </w:rPr>
            </w:pPr>
          </w:p>
        </w:tc>
        <w:tc>
          <w:tcPr>
            <w:tcW w:w="900" w:type="dxa"/>
            <w:vAlign w:val="bottom"/>
            <w:gridSpan w:val="2"/>
            <w:shd w:val="clear" w:color="auto" w:fill="E5E5E5"/>
          </w:tcPr>
          <w:p>
            <w:pPr>
              <w:jc w:val="right"/>
              <w:ind w:right="40"/>
              <w:spacing w:after="0" w:line="202" w:lineRule="exact"/>
              <w:rPr>
                <w:sz w:val="20"/>
                <w:szCs w:val="20"/>
                <w:color w:val="auto"/>
              </w:rPr>
            </w:pPr>
            <w:r>
              <w:rPr>
                <w:rFonts w:ascii="Arial" w:cs="Arial" w:eastAsia="Arial" w:hAnsi="Arial"/>
                <w:sz w:val="18"/>
                <w:szCs w:val="18"/>
                <w:color w:val="auto"/>
              </w:rPr>
              <w:t>(3,003)</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6240" w:type="dxa"/>
            <w:vAlign w:val="bottom"/>
            <w:tcBorders>
              <w:bottom w:val="single" w:sz="8" w:color="auto"/>
            </w:tcBorders>
          </w:tcPr>
          <w:p>
            <w:pPr>
              <w:spacing w:after="0"/>
              <w:rPr>
                <w:sz w:val="5"/>
                <w:szCs w:val="5"/>
                <w:color w:val="auto"/>
              </w:rPr>
            </w:pPr>
          </w:p>
        </w:tc>
        <w:tc>
          <w:tcPr>
            <w:tcW w:w="256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240" w:type="dxa"/>
            <w:vAlign w:val="bottom"/>
          </w:tcPr>
          <w:p>
            <w:pPr>
              <w:spacing w:after="0"/>
              <w:rPr>
                <w:sz w:val="5"/>
                <w:szCs w:val="5"/>
                <w:color w:val="auto"/>
              </w:rPr>
            </w:pPr>
          </w:p>
        </w:tc>
        <w:tc>
          <w:tcPr>
            <w:tcW w:w="256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40" w:type="dxa"/>
            <w:vAlign w:val="bottom"/>
            <w:shd w:val="clear" w:color="auto" w:fill="E5E5E5"/>
          </w:tcPr>
          <w:p>
            <w:pPr>
              <w:ind w:left="200"/>
              <w:spacing w:after="0" w:line="202" w:lineRule="exact"/>
              <w:rPr>
                <w:sz w:val="20"/>
                <w:szCs w:val="20"/>
                <w:color w:val="auto"/>
              </w:rPr>
            </w:pPr>
            <w:r>
              <w:rPr>
                <w:rFonts w:ascii="Arial" w:cs="Arial" w:eastAsia="Arial" w:hAnsi="Arial"/>
                <w:sz w:val="18"/>
                <w:szCs w:val="18"/>
                <w:color w:val="auto"/>
              </w:rPr>
              <w:t>Balance, end of period</w:t>
            </w:r>
          </w:p>
        </w:tc>
        <w:tc>
          <w:tcPr>
            <w:tcW w:w="2560" w:type="dxa"/>
            <w:vAlign w:val="bottom"/>
            <w:shd w:val="clear" w:color="auto" w:fill="E5E5E5"/>
          </w:tcPr>
          <w:p>
            <w:pPr>
              <w:spacing w:after="0"/>
              <w:rPr>
                <w:sz w:val="17"/>
                <w:szCs w:val="17"/>
                <w:color w:val="auto"/>
              </w:rPr>
            </w:pPr>
          </w:p>
        </w:tc>
        <w:tc>
          <w:tcPr>
            <w:tcW w:w="340" w:type="dxa"/>
            <w:vAlign w:val="bottom"/>
            <w:shd w:val="clear" w:color="auto" w:fill="E5E5E5"/>
          </w:tcPr>
          <w:p>
            <w:pPr>
              <w:spacing w:after="0"/>
              <w:rPr>
                <w:sz w:val="17"/>
                <w:szCs w:val="17"/>
                <w:color w:val="auto"/>
              </w:rPr>
            </w:pPr>
          </w:p>
        </w:tc>
        <w:tc>
          <w:tcPr>
            <w:tcW w:w="940" w:type="dxa"/>
            <w:vAlign w:val="bottom"/>
            <w:gridSpan w:val="2"/>
            <w:shd w:val="clear" w:color="auto" w:fill="E5E5E5"/>
          </w:tcPr>
          <w:p>
            <w:pPr>
              <w:jc w:val="right"/>
              <w:ind w:right="140"/>
              <w:spacing w:after="0" w:line="202" w:lineRule="exact"/>
              <w:rPr>
                <w:sz w:val="20"/>
                <w:szCs w:val="20"/>
                <w:color w:val="auto"/>
              </w:rPr>
            </w:pPr>
            <w:r>
              <w:rPr>
                <w:rFonts w:ascii="Arial" w:cs="Arial" w:eastAsia="Arial" w:hAnsi="Arial"/>
                <w:sz w:val="18"/>
                <w:szCs w:val="18"/>
                <w:b w:val="1"/>
                <w:bCs w:val="1"/>
                <w:color w:val="auto"/>
              </w:rPr>
              <w:t>19,702</w:t>
            </w:r>
          </w:p>
        </w:tc>
        <w:tc>
          <w:tcPr>
            <w:tcW w:w="80" w:type="dxa"/>
            <w:vAlign w:val="bottom"/>
            <w:shd w:val="clear" w:color="auto" w:fill="E5E5E5"/>
          </w:tcPr>
          <w:p>
            <w:pPr>
              <w:spacing w:after="0"/>
              <w:rPr>
                <w:sz w:val="17"/>
                <w:szCs w:val="17"/>
                <w:color w:val="auto"/>
              </w:rPr>
            </w:pPr>
          </w:p>
        </w:tc>
        <w:tc>
          <w:tcPr>
            <w:tcW w:w="340" w:type="dxa"/>
            <w:vAlign w:val="bottom"/>
            <w:shd w:val="clear" w:color="auto" w:fill="E5E5E5"/>
          </w:tcPr>
          <w:p>
            <w:pPr>
              <w:spacing w:after="0"/>
              <w:rPr>
                <w:sz w:val="17"/>
                <w:szCs w:val="17"/>
                <w:color w:val="auto"/>
              </w:rPr>
            </w:pPr>
          </w:p>
        </w:tc>
        <w:tc>
          <w:tcPr>
            <w:tcW w:w="90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12,757</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6240" w:type="dxa"/>
            <w:vAlign w:val="bottom"/>
            <w:tcBorders>
              <w:bottom w:val="single" w:sz="8" w:color="auto"/>
            </w:tcBorders>
          </w:tcPr>
          <w:p>
            <w:pPr>
              <w:spacing w:after="0"/>
              <w:rPr>
                <w:sz w:val="5"/>
                <w:szCs w:val="5"/>
                <w:color w:val="auto"/>
              </w:rPr>
            </w:pPr>
          </w:p>
        </w:tc>
        <w:tc>
          <w:tcPr>
            <w:tcW w:w="256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6240" w:type="dxa"/>
            <w:vAlign w:val="bottom"/>
          </w:tcPr>
          <w:p>
            <w:pPr>
              <w:spacing w:after="0"/>
              <w:rPr>
                <w:sz w:val="5"/>
                <w:szCs w:val="5"/>
                <w:color w:val="auto"/>
              </w:rPr>
            </w:pPr>
          </w:p>
        </w:tc>
        <w:tc>
          <w:tcPr>
            <w:tcW w:w="256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240" w:type="dxa"/>
            <w:vAlign w:val="bottom"/>
            <w:shd w:val="clear" w:color="auto" w:fill="E5E5E5"/>
          </w:tcPr>
          <w:p>
            <w:pPr>
              <w:spacing w:after="0" w:line="202" w:lineRule="exact"/>
              <w:rPr>
                <w:sz w:val="20"/>
                <w:szCs w:val="20"/>
                <w:color w:val="auto"/>
              </w:rPr>
            </w:pPr>
            <w:r>
              <w:rPr>
                <w:rFonts w:ascii="Arial" w:cs="Arial" w:eastAsia="Arial" w:hAnsi="Arial"/>
                <w:sz w:val="18"/>
                <w:szCs w:val="18"/>
                <w:b w:val="1"/>
                <w:bCs w:val="1"/>
                <w:color w:val="auto"/>
              </w:rPr>
              <w:t>Accumulated other comprehensive income</w:t>
            </w:r>
          </w:p>
        </w:tc>
        <w:tc>
          <w:tcPr>
            <w:tcW w:w="2560" w:type="dxa"/>
            <w:vAlign w:val="bottom"/>
            <w:shd w:val="clear" w:color="auto" w:fill="E5E5E5"/>
          </w:tcPr>
          <w:p>
            <w:pPr>
              <w:spacing w:after="0"/>
              <w:rPr>
                <w:sz w:val="17"/>
                <w:szCs w:val="17"/>
                <w:color w:val="auto"/>
              </w:rPr>
            </w:pPr>
          </w:p>
        </w:tc>
        <w:tc>
          <w:tcPr>
            <w:tcW w:w="340" w:type="dxa"/>
            <w:vAlign w:val="bottom"/>
            <w:shd w:val="clear" w:color="auto" w:fill="E5E5E5"/>
          </w:tcPr>
          <w:p>
            <w:pPr>
              <w:spacing w:after="0"/>
              <w:rPr>
                <w:sz w:val="17"/>
                <w:szCs w:val="17"/>
                <w:color w:val="auto"/>
              </w:rPr>
            </w:pPr>
          </w:p>
        </w:tc>
        <w:tc>
          <w:tcPr>
            <w:tcW w:w="800" w:type="dxa"/>
            <w:vAlign w:val="bottom"/>
            <w:shd w:val="clear" w:color="auto" w:fill="E5E5E5"/>
          </w:tcPr>
          <w:p>
            <w:pPr>
              <w:spacing w:after="0"/>
              <w:rPr>
                <w:sz w:val="17"/>
                <w:szCs w:val="17"/>
                <w:color w:val="auto"/>
              </w:rPr>
            </w:pPr>
          </w:p>
        </w:tc>
        <w:tc>
          <w:tcPr>
            <w:tcW w:w="140" w:type="dxa"/>
            <w:vAlign w:val="bottom"/>
            <w:shd w:val="clear" w:color="auto" w:fill="E5E5E5"/>
          </w:tcPr>
          <w:p>
            <w:pPr>
              <w:spacing w:after="0"/>
              <w:rPr>
                <w:sz w:val="17"/>
                <w:szCs w:val="17"/>
                <w:color w:val="auto"/>
              </w:rPr>
            </w:pPr>
          </w:p>
        </w:tc>
        <w:tc>
          <w:tcPr>
            <w:tcW w:w="80" w:type="dxa"/>
            <w:vAlign w:val="bottom"/>
            <w:shd w:val="clear" w:color="auto" w:fill="E5E5E5"/>
          </w:tcPr>
          <w:p>
            <w:pPr>
              <w:spacing w:after="0"/>
              <w:rPr>
                <w:sz w:val="17"/>
                <w:szCs w:val="17"/>
                <w:color w:val="auto"/>
              </w:rPr>
            </w:pPr>
          </w:p>
        </w:tc>
        <w:tc>
          <w:tcPr>
            <w:tcW w:w="340" w:type="dxa"/>
            <w:vAlign w:val="bottom"/>
            <w:shd w:val="clear" w:color="auto" w:fill="E5E5E5"/>
          </w:tcPr>
          <w:p>
            <w:pPr>
              <w:spacing w:after="0"/>
              <w:rPr>
                <w:sz w:val="17"/>
                <w:szCs w:val="17"/>
                <w:color w:val="auto"/>
              </w:rPr>
            </w:pPr>
          </w:p>
        </w:tc>
        <w:tc>
          <w:tcPr>
            <w:tcW w:w="80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40" w:type="dxa"/>
            <w:vAlign w:val="bottom"/>
          </w:tcPr>
          <w:p>
            <w:pPr>
              <w:spacing w:after="0" w:line="202" w:lineRule="exact"/>
              <w:rPr>
                <w:sz w:val="20"/>
                <w:szCs w:val="20"/>
                <w:color w:val="auto"/>
              </w:rPr>
            </w:pPr>
            <w:r>
              <w:rPr>
                <w:rFonts w:ascii="Arial" w:cs="Arial" w:eastAsia="Arial" w:hAnsi="Arial"/>
                <w:sz w:val="18"/>
                <w:szCs w:val="18"/>
                <w:color w:val="auto"/>
              </w:rPr>
              <w:t>Balance, beginning of period</w:t>
            </w:r>
          </w:p>
        </w:tc>
        <w:tc>
          <w:tcPr>
            <w:tcW w:w="2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40" w:type="dxa"/>
            <w:vAlign w:val="bottom"/>
            <w:gridSpan w:val="2"/>
          </w:tcPr>
          <w:p>
            <w:pPr>
              <w:jc w:val="right"/>
              <w:ind w:right="140"/>
              <w:spacing w:after="0" w:line="202" w:lineRule="exact"/>
              <w:rPr>
                <w:sz w:val="20"/>
                <w:szCs w:val="20"/>
                <w:color w:val="auto"/>
              </w:rPr>
            </w:pPr>
            <w:r>
              <w:rPr>
                <w:rFonts w:ascii="Arial" w:cs="Arial" w:eastAsia="Arial" w:hAnsi="Arial"/>
                <w:sz w:val="18"/>
                <w:szCs w:val="18"/>
                <w:b w:val="1"/>
                <w:bCs w:val="1"/>
                <w:color w:val="auto"/>
              </w:rPr>
              <w:t>627</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1,794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4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Other comprehensive income (loss)</w:t>
            </w:r>
          </w:p>
        </w:tc>
        <w:tc>
          <w:tcPr>
            <w:tcW w:w="2560" w:type="dxa"/>
            <w:vAlign w:val="bottom"/>
            <w:shd w:val="clear" w:color="auto" w:fill="E5E5E5"/>
          </w:tcPr>
          <w:p>
            <w:pPr>
              <w:spacing w:after="0"/>
              <w:rPr>
                <w:sz w:val="17"/>
                <w:szCs w:val="17"/>
                <w:color w:val="auto"/>
              </w:rPr>
            </w:pPr>
          </w:p>
        </w:tc>
        <w:tc>
          <w:tcPr>
            <w:tcW w:w="340" w:type="dxa"/>
            <w:vAlign w:val="bottom"/>
            <w:shd w:val="clear" w:color="auto" w:fill="E5E5E5"/>
          </w:tcPr>
          <w:p>
            <w:pPr>
              <w:spacing w:after="0"/>
              <w:rPr>
                <w:sz w:val="17"/>
                <w:szCs w:val="17"/>
                <w:color w:val="auto"/>
              </w:rPr>
            </w:pPr>
          </w:p>
        </w:tc>
        <w:tc>
          <w:tcPr>
            <w:tcW w:w="940" w:type="dxa"/>
            <w:vAlign w:val="bottom"/>
            <w:gridSpan w:val="2"/>
            <w:shd w:val="clear" w:color="auto" w:fill="E5E5E5"/>
          </w:tcPr>
          <w:p>
            <w:pPr>
              <w:jc w:val="right"/>
              <w:ind w:right="80"/>
              <w:spacing w:after="0" w:line="202" w:lineRule="exact"/>
              <w:rPr>
                <w:sz w:val="20"/>
                <w:szCs w:val="20"/>
                <w:color w:val="auto"/>
              </w:rPr>
            </w:pPr>
            <w:r>
              <w:rPr>
                <w:rFonts w:ascii="Arial" w:cs="Arial" w:eastAsia="Arial" w:hAnsi="Arial"/>
                <w:sz w:val="18"/>
                <w:szCs w:val="18"/>
                <w:b w:val="1"/>
                <w:bCs w:val="1"/>
                <w:color w:val="auto"/>
              </w:rPr>
              <w:t>(101)</w:t>
            </w:r>
          </w:p>
        </w:tc>
        <w:tc>
          <w:tcPr>
            <w:tcW w:w="80" w:type="dxa"/>
            <w:vAlign w:val="bottom"/>
            <w:shd w:val="clear" w:color="auto" w:fill="E5E5E5"/>
          </w:tcPr>
          <w:p>
            <w:pPr>
              <w:spacing w:after="0"/>
              <w:rPr>
                <w:sz w:val="17"/>
                <w:szCs w:val="17"/>
                <w:color w:val="auto"/>
              </w:rPr>
            </w:pPr>
          </w:p>
        </w:tc>
        <w:tc>
          <w:tcPr>
            <w:tcW w:w="340" w:type="dxa"/>
            <w:vAlign w:val="bottom"/>
            <w:shd w:val="clear" w:color="auto" w:fill="E5E5E5"/>
          </w:tcPr>
          <w:p>
            <w:pPr>
              <w:spacing w:after="0"/>
              <w:rPr>
                <w:sz w:val="17"/>
                <w:szCs w:val="17"/>
                <w:color w:val="auto"/>
              </w:rPr>
            </w:pPr>
          </w:p>
        </w:tc>
        <w:tc>
          <w:tcPr>
            <w:tcW w:w="90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6240" w:type="dxa"/>
            <w:vAlign w:val="bottom"/>
            <w:tcBorders>
              <w:bottom w:val="single" w:sz="8" w:color="auto"/>
            </w:tcBorders>
          </w:tcPr>
          <w:p>
            <w:pPr>
              <w:spacing w:after="0"/>
              <w:rPr>
                <w:sz w:val="5"/>
                <w:szCs w:val="5"/>
                <w:color w:val="auto"/>
              </w:rPr>
            </w:pPr>
          </w:p>
        </w:tc>
        <w:tc>
          <w:tcPr>
            <w:tcW w:w="256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240" w:type="dxa"/>
            <w:vAlign w:val="bottom"/>
          </w:tcPr>
          <w:p>
            <w:pPr>
              <w:spacing w:after="0"/>
              <w:rPr>
                <w:sz w:val="5"/>
                <w:szCs w:val="5"/>
                <w:color w:val="auto"/>
              </w:rPr>
            </w:pPr>
          </w:p>
        </w:tc>
        <w:tc>
          <w:tcPr>
            <w:tcW w:w="256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40" w:type="dxa"/>
            <w:vAlign w:val="bottom"/>
            <w:shd w:val="clear" w:color="auto" w:fill="E5E5E5"/>
          </w:tcPr>
          <w:p>
            <w:pPr>
              <w:ind w:left="200"/>
              <w:spacing w:after="0" w:line="202" w:lineRule="exact"/>
              <w:rPr>
                <w:sz w:val="20"/>
                <w:szCs w:val="20"/>
                <w:color w:val="auto"/>
              </w:rPr>
            </w:pPr>
            <w:r>
              <w:rPr>
                <w:rFonts w:ascii="Arial" w:cs="Arial" w:eastAsia="Arial" w:hAnsi="Arial"/>
                <w:sz w:val="18"/>
                <w:szCs w:val="18"/>
                <w:color w:val="auto"/>
              </w:rPr>
              <w:t>Balance, end of period</w:t>
            </w:r>
          </w:p>
        </w:tc>
        <w:tc>
          <w:tcPr>
            <w:tcW w:w="2560" w:type="dxa"/>
            <w:vAlign w:val="bottom"/>
            <w:shd w:val="clear" w:color="auto" w:fill="E5E5E5"/>
          </w:tcPr>
          <w:p>
            <w:pPr>
              <w:spacing w:after="0"/>
              <w:rPr>
                <w:sz w:val="17"/>
                <w:szCs w:val="17"/>
                <w:color w:val="auto"/>
              </w:rPr>
            </w:pPr>
          </w:p>
        </w:tc>
        <w:tc>
          <w:tcPr>
            <w:tcW w:w="340" w:type="dxa"/>
            <w:vAlign w:val="bottom"/>
            <w:shd w:val="clear" w:color="auto" w:fill="E5E5E5"/>
          </w:tcPr>
          <w:p>
            <w:pPr>
              <w:spacing w:after="0"/>
              <w:rPr>
                <w:sz w:val="17"/>
                <w:szCs w:val="17"/>
                <w:color w:val="auto"/>
              </w:rPr>
            </w:pPr>
          </w:p>
        </w:tc>
        <w:tc>
          <w:tcPr>
            <w:tcW w:w="940" w:type="dxa"/>
            <w:vAlign w:val="bottom"/>
            <w:gridSpan w:val="2"/>
            <w:shd w:val="clear" w:color="auto" w:fill="E5E5E5"/>
          </w:tcPr>
          <w:p>
            <w:pPr>
              <w:jc w:val="right"/>
              <w:ind w:right="140"/>
              <w:spacing w:after="0" w:line="202" w:lineRule="exact"/>
              <w:rPr>
                <w:sz w:val="20"/>
                <w:szCs w:val="20"/>
                <w:color w:val="auto"/>
              </w:rPr>
            </w:pPr>
            <w:r>
              <w:rPr>
                <w:rFonts w:ascii="Arial" w:cs="Arial" w:eastAsia="Arial" w:hAnsi="Arial"/>
                <w:sz w:val="18"/>
                <w:szCs w:val="18"/>
                <w:b w:val="1"/>
                <w:bCs w:val="1"/>
                <w:color w:val="auto"/>
              </w:rPr>
              <w:t>526</w:t>
            </w:r>
          </w:p>
        </w:tc>
        <w:tc>
          <w:tcPr>
            <w:tcW w:w="80" w:type="dxa"/>
            <w:vAlign w:val="bottom"/>
            <w:shd w:val="clear" w:color="auto" w:fill="E5E5E5"/>
          </w:tcPr>
          <w:p>
            <w:pPr>
              <w:spacing w:after="0"/>
              <w:rPr>
                <w:sz w:val="17"/>
                <w:szCs w:val="17"/>
                <w:color w:val="auto"/>
              </w:rPr>
            </w:pPr>
          </w:p>
        </w:tc>
        <w:tc>
          <w:tcPr>
            <w:tcW w:w="340" w:type="dxa"/>
            <w:vAlign w:val="bottom"/>
            <w:shd w:val="clear" w:color="auto" w:fill="E5E5E5"/>
          </w:tcPr>
          <w:p>
            <w:pPr>
              <w:spacing w:after="0"/>
              <w:rPr>
                <w:sz w:val="17"/>
                <w:szCs w:val="17"/>
                <w:color w:val="auto"/>
              </w:rPr>
            </w:pPr>
          </w:p>
        </w:tc>
        <w:tc>
          <w:tcPr>
            <w:tcW w:w="90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1,958</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6240" w:type="dxa"/>
            <w:vAlign w:val="bottom"/>
            <w:tcBorders>
              <w:bottom w:val="single" w:sz="8" w:color="auto"/>
            </w:tcBorders>
          </w:tcPr>
          <w:p>
            <w:pPr>
              <w:spacing w:after="0"/>
              <w:rPr>
                <w:sz w:val="5"/>
                <w:szCs w:val="5"/>
                <w:color w:val="auto"/>
              </w:rPr>
            </w:pPr>
          </w:p>
        </w:tc>
        <w:tc>
          <w:tcPr>
            <w:tcW w:w="256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6240" w:type="dxa"/>
            <w:vAlign w:val="bottom"/>
          </w:tcPr>
          <w:p>
            <w:pPr>
              <w:spacing w:after="0"/>
              <w:rPr>
                <w:sz w:val="5"/>
                <w:szCs w:val="5"/>
                <w:color w:val="auto"/>
              </w:rPr>
            </w:pPr>
          </w:p>
        </w:tc>
        <w:tc>
          <w:tcPr>
            <w:tcW w:w="256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24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Total stockholders’ equity</w:t>
            </w:r>
          </w:p>
        </w:tc>
        <w:tc>
          <w:tcPr>
            <w:tcW w:w="2900" w:type="dxa"/>
            <w:vAlign w:val="bottom"/>
            <w:gridSpan w:val="2"/>
            <w:shd w:val="clear" w:color="auto" w:fill="E5E5E5"/>
          </w:tcPr>
          <w:p>
            <w:pPr>
              <w:jc w:val="right"/>
              <w:ind w:right="240"/>
              <w:spacing w:after="0" w:line="202" w:lineRule="exact"/>
              <w:rPr>
                <w:sz w:val="20"/>
                <w:szCs w:val="20"/>
                <w:color w:val="auto"/>
              </w:rPr>
            </w:pPr>
            <w:r>
              <w:rPr>
                <w:rFonts w:ascii="Arial" w:cs="Arial" w:eastAsia="Arial" w:hAnsi="Arial"/>
                <w:sz w:val="18"/>
                <w:szCs w:val="18"/>
                <w:b w:val="1"/>
                <w:bCs w:val="1"/>
                <w:color w:val="auto"/>
              </w:rPr>
              <w:t>$</w:t>
            </w:r>
          </w:p>
        </w:tc>
        <w:tc>
          <w:tcPr>
            <w:tcW w:w="940" w:type="dxa"/>
            <w:vAlign w:val="bottom"/>
            <w:gridSpan w:val="2"/>
            <w:shd w:val="clear" w:color="auto" w:fill="E5E5E5"/>
          </w:tcPr>
          <w:p>
            <w:pPr>
              <w:jc w:val="right"/>
              <w:ind w:right="140"/>
              <w:spacing w:after="0" w:line="202" w:lineRule="exact"/>
              <w:rPr>
                <w:sz w:val="20"/>
                <w:szCs w:val="20"/>
                <w:color w:val="auto"/>
              </w:rPr>
            </w:pPr>
            <w:r>
              <w:rPr>
                <w:rFonts w:ascii="Arial" w:cs="Arial" w:eastAsia="Arial" w:hAnsi="Arial"/>
                <w:sz w:val="18"/>
                <w:szCs w:val="18"/>
                <w:b w:val="1"/>
                <w:bCs w:val="1"/>
                <w:color w:val="auto"/>
              </w:rPr>
              <w:t>89,647</w:t>
            </w:r>
          </w:p>
        </w:tc>
        <w:tc>
          <w:tcPr>
            <w:tcW w:w="420" w:type="dxa"/>
            <w:vAlign w:val="bottom"/>
            <w:gridSpan w:val="2"/>
            <w:shd w:val="clear" w:color="auto" w:fill="E5E5E5"/>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90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82,462</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240" w:type="dxa"/>
            <w:vAlign w:val="bottom"/>
          </w:tcPr>
          <w:p>
            <w:pPr>
              <w:spacing w:after="0"/>
              <w:rPr>
                <w:sz w:val="6"/>
                <w:szCs w:val="6"/>
                <w:color w:val="auto"/>
              </w:rPr>
            </w:pPr>
          </w:p>
        </w:tc>
        <w:tc>
          <w:tcPr>
            <w:tcW w:w="2560" w:type="dxa"/>
            <w:vAlign w:val="bottom"/>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Refer to accompanying notes.</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28916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 w:name="page8"/>
    <w:bookmarkEnd w:id="7"/>
    <w:p>
      <w:pPr>
        <w:ind w:left="5500"/>
        <w:spacing w:after="0"/>
        <w:rPr>
          <w:sz w:val="20"/>
          <w:szCs w:val="20"/>
          <w:color w:val="auto"/>
        </w:rPr>
      </w:pPr>
      <w:r>
        <w:rPr>
          <w:rFonts w:ascii="Arial" w:cs="Arial" w:eastAsia="Arial" w:hAnsi="Arial"/>
          <w:sz w:val="14"/>
          <w:szCs w:val="14"/>
          <w:u w:val="single" w:color="auto"/>
          <w:color w:val="auto"/>
        </w:rPr>
        <w:t>PART I</w:t>
      </w:r>
    </w:p>
    <w:p>
      <w:pPr>
        <w:spacing w:after="0" w:line="5" w:lineRule="exact"/>
        <w:rPr>
          <w:sz w:val="20"/>
          <w:szCs w:val="20"/>
          <w:color w:val="auto"/>
        </w:rPr>
      </w:pPr>
    </w:p>
    <w:p>
      <w:pPr>
        <w:ind w:left="5520"/>
        <w:spacing w:after="0"/>
        <w:rPr>
          <w:sz w:val="20"/>
          <w:szCs w:val="20"/>
          <w:color w:val="auto"/>
        </w:rPr>
      </w:pPr>
      <w:r>
        <w:rPr>
          <w:rFonts w:ascii="Arial" w:cs="Arial" w:eastAsia="Arial" w:hAnsi="Arial"/>
          <w:sz w:val="14"/>
          <w:szCs w:val="14"/>
          <w:color w:val="auto"/>
        </w:rPr>
        <w:t>Item 1</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(Unaudited)</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 1 — ACCOUNTING POLICIES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Principles</w:t>
      </w:r>
    </w:p>
    <w:p>
      <w:pPr>
        <w:spacing w:after="0" w:line="160"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Our unaudited interim consolidated financial statements and accompanying notes are prepared in accordance with accounting principles generally accepted in the United States of America (“U.S. GAAP”). In the opinion of management, the unaudited interim consolidated financial statements reflect all adjustments of a normal recurring nature that are necessary for a fair presentation of the results for the interim periods presented. Interim results are not necessarily indicative of results for a full year. The information included in this Form 10-Q should be read in conjunction with information included in the Microsoft Corporation 2017 Form 10-K filed with the U.S. Securities and Exchange Commission on August 2, 2017.</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Principles of Consolidation</w:t>
      </w:r>
    </w:p>
    <w:p>
      <w:pPr>
        <w:spacing w:after="0" w:line="160"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The consolidated financial statements include the accounts of Microsoft Corporation and its subsidiaries. Intercompany transactions and balances have been eliminated. Equity investments for which we are able to exercise significant influence over but do not control the investee and are not the primary beneficiary of the investee’s activities are accounted for using the equity method. Investments for which we are not able to exercise significant influence over the investee and which do not have readily determinable fair values are accounted for under the cost method.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Estimates and Assumptions</w:t>
      </w:r>
    </w:p>
    <w:p>
      <w:pPr>
        <w:spacing w:after="0" w:line="160" w:lineRule="exact"/>
        <w:rPr>
          <w:sz w:val="20"/>
          <w:szCs w:val="20"/>
          <w:color w:val="auto"/>
        </w:rPr>
      </w:pPr>
    </w:p>
    <w:p>
      <w:pPr>
        <w:jc w:val="both"/>
        <w:spacing w:after="0"/>
        <w:rPr>
          <w:sz w:val="20"/>
          <w:szCs w:val="20"/>
          <w:color w:val="auto"/>
        </w:rPr>
      </w:pPr>
      <w:r>
        <w:rPr>
          <w:rFonts w:ascii="Arial" w:cs="Arial" w:eastAsia="Arial" w:hAnsi="Arial"/>
          <w:sz w:val="18"/>
          <w:szCs w:val="18"/>
          <w:color w:val="auto"/>
        </w:rPr>
        <w:t>Preparing financial statements requires management to make estimates and assumptions that affect the reported amounts of assets, liabilities, revenue, and expenses. Examples of estimates include: for revenue recognition, determining the nature and timing of satisfaction of performance obligations, and determining the standalone selling price (“SSP”) of performance obligations, variable consideration, and other obligations such as product returns and refunds; loss contingencies; product warranties; the fair value of and/or potential impairment of goodwill and intangible assets for our reporting units; product life cycles; useful lives of our tangible and intangible assets; allowances for doubtful accounts; the market value of, and demand for, our inventory; and stock-based compensation forfeiture rates. Examples of assumptions include: when technological feasibility is achieved for our products; the potential outcome of future tax consequences of events that have been recognized on our consolidated financial statements or tax returns; and determining when investment impairments are other-than-temporary. Actual results and outcomes may differ from management’s estimates and assumptions.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Revenue and Service and Other Revenue</w:t>
      </w:r>
    </w:p>
    <w:p>
      <w:pPr>
        <w:spacing w:after="0" w:line="15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Product revenue includes sales from operating systems; cross-device productivity applications; server applications; business solution applications; desktop and server management tools; software development tools; video games; and hardware such as PCs, tablets, gaming and entertainment consoles, other intelligent devices, and related accessories.</w:t>
      </w:r>
    </w:p>
    <w:p>
      <w:pPr>
        <w:spacing w:after="0" w:line="11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Service and other revenue includes sales from cloud-based solutions that provide customers with software, services, platforms, and content such as Microsoft Office 365, Microsoft Azure, Microsoft Dynamics 365, and Xbox Live; solution support; and consulting services. Service and other revenue also includes sales from online advertising and LinkedIn.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58"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Revenue is recognized upon transfer of control of promised products or services to customers in an amount that reflects the consideration we expect to receive in exchange for those products or services. We enter into contracts that can include various combinations of products and services, which are generally capable of being distinct and accounted for as separate performance obligations. Revenue is recognized net of allowances for returns and any taxes collected from customers, which are subsequently remitted to governmental authorities.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28916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 w:name="page9"/>
    <w:bookmarkEnd w:id="8"/>
    <w:p>
      <w:pPr>
        <w:ind w:left="5500"/>
        <w:spacing w:after="0"/>
        <w:rPr>
          <w:sz w:val="20"/>
          <w:szCs w:val="20"/>
          <w:color w:val="auto"/>
        </w:rPr>
      </w:pPr>
      <w:r>
        <w:rPr>
          <w:rFonts w:ascii="Arial" w:cs="Arial" w:eastAsia="Arial" w:hAnsi="Arial"/>
          <w:sz w:val="14"/>
          <w:szCs w:val="14"/>
          <w:u w:val="single" w:color="auto"/>
          <w:color w:val="auto"/>
        </w:rPr>
        <w:t>PART I</w:t>
      </w:r>
    </w:p>
    <w:p>
      <w:pPr>
        <w:spacing w:after="0" w:line="5" w:lineRule="exact"/>
        <w:rPr>
          <w:sz w:val="20"/>
          <w:szCs w:val="20"/>
          <w:color w:val="auto"/>
        </w:rPr>
      </w:pPr>
    </w:p>
    <w:p>
      <w:pPr>
        <w:ind w:left="5520"/>
        <w:spacing w:after="0"/>
        <w:rPr>
          <w:sz w:val="20"/>
          <w:szCs w:val="20"/>
          <w:color w:val="auto"/>
        </w:rPr>
      </w:pPr>
      <w:r>
        <w:rPr>
          <w:rFonts w:ascii="Arial" w:cs="Arial" w:eastAsia="Arial" w:hAnsi="Arial"/>
          <w:sz w:val="14"/>
          <w:szCs w:val="14"/>
          <w:color w:val="auto"/>
        </w:rPr>
        <w:t>Item 1</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Nature of Products and Services</w:t>
      </w:r>
    </w:p>
    <w:p>
      <w:pPr>
        <w:spacing w:after="0" w:line="156"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Licenses for on-premises software provide the customer with a right to use the software as it exists when made available to the customer. Customers may purchase perpetual licenses or subscribe to licenses, which provide customers with the same functionality and differ mainly in the duration over which the customer benefits from the software. Revenue from distinct on-premises licenses is recognized upfront at the point in time when the software is made available to the customer. In cases where we allocate revenue to software updates, primarily because the updates are provided at no additional charge, revenue is recognized as the updates are provided, which is generally ratably over the estimated life of the related device or license.</w:t>
      </w:r>
    </w:p>
    <w:p>
      <w:pPr>
        <w:spacing w:after="0" w:line="120"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Certain volume licensing programs, including Enterprise Agreements, include on-premises licenses combined with Software Assurance (“SA”). SA conveys rights to new software and upgrades released over the contract period and provides support, tools, and training to help customers deploy and use products more efficiently. On-premises licenses are considered distinct performance obligations when sold with SA. Revenue allocated to SA is generally recognized ratably over the contract period as customers simultaneously consume and receive benefits, given that SA comprises distinct performance obligations that are satisfied over time.</w:t>
      </w:r>
    </w:p>
    <w:p>
      <w:pPr>
        <w:spacing w:after="0" w:line="118"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Cloud services, which allow customers to use hosted software over the contract period without taking possession of the software, are provided on either a subscription or consumption basis. Revenue related to cloud services provided on a subscription basis is recognized ratably over the contract period. Revenue related to cloud services provided on a consumption basis, such as the amount of storage used in a period, is recognized based on the customer utilization of such resources. When cloud services require a significant level of integration and interdependency with software and the individual components are not considered distinct, all revenue is recognized over the period in which the cloud services are provided.</w:t>
      </w:r>
    </w:p>
    <w:p>
      <w:pPr>
        <w:spacing w:after="0" w:line="120"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Revenue from search advertising is recognized when the advertisement appears in the search results or when the action necessary to earn the revenue has been completed. Revenue from consulting services is recognized as services are provided.</w:t>
      </w:r>
    </w:p>
    <w:p>
      <w:pPr>
        <w:spacing w:after="0" w:line="91"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Our hardware is generally highly dependent on, and interrelated with, the underlying operating system and cannot function without the operating system. In these cases, the hardware and software license are accounted for as a single performance obligation and revenue is recognized at the point in time when ownership is transferred to resellers or directly to end customers through retail stores and online marketplaces.</w:t>
      </w:r>
    </w:p>
    <w:p>
      <w:pPr>
        <w:spacing w:after="0" w:line="117"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Refer to Note 19 – Segment Information and Geographic Data for further information, including revenue by significant product and service offering.</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Significant Judgments</w:t>
      </w:r>
    </w:p>
    <w:p>
      <w:pPr>
        <w:spacing w:after="0" w:line="156"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Our contracts with customers often include promises to transfer multiple products and services to a customer. Determining whether products and services are considered distinct performance obligations that should be accounted for separately versus together may require significant judgment. Certain cloud services, such as Office 365, depend on a significant level of integration and interdependency between the desktop applications and cloud services. Judgment is required to determine whether the software license is considered distinct and accounted for separately, or not distinct and accounted for together with the cloud service and recognized over time.</w:t>
      </w:r>
    </w:p>
    <w:p>
      <w:pPr>
        <w:spacing w:after="0" w:line="118"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Judgment is required to determine the SSP for each distinct performance obligation. We use a single amount to estimate SSP for items that are not sold separately, including on-premises licenses sold with SA or software updates provided at no additional charge. We use a range of amounts to estimate SSP when we sell each of the products and services separately and need to determine whether there is a discount that needs to be allocated based on the relative SSP of the various products and services.</w:t>
      </w:r>
    </w:p>
    <w:p>
      <w:pPr>
        <w:spacing w:after="0" w:line="117"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In instances where SSP is not directly observable, such as when we do not sell the product or service separately, we determine the SSP using information that may include market conditions and other observable inputs. We typically have more than one SSP for individual products and services due to the stratification of those products and services by customers and circumstances. In these instances, we may use information such as the size of the customer and geographic region in determining the SSP.</w:t>
      </w:r>
    </w:p>
    <w:p>
      <w:pPr>
        <w:spacing w:after="0" w:line="117"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Due to the various benefits from and the nature of our SA program, judgment is required to assess the pattern of delivery, including the exercise pattern of certain benefits across our portfolio of customers.</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28916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 w:name="page10"/>
    <w:bookmarkEnd w:id="9"/>
    <w:p>
      <w:pPr>
        <w:ind w:left="5500"/>
        <w:spacing w:after="0"/>
        <w:rPr>
          <w:sz w:val="20"/>
          <w:szCs w:val="20"/>
          <w:color w:val="auto"/>
        </w:rPr>
      </w:pPr>
      <w:r>
        <w:rPr>
          <w:rFonts w:ascii="Arial" w:cs="Arial" w:eastAsia="Arial" w:hAnsi="Arial"/>
          <w:sz w:val="14"/>
          <w:szCs w:val="14"/>
          <w:u w:val="single" w:color="auto"/>
          <w:color w:val="auto"/>
        </w:rPr>
        <w:t>PART I</w:t>
      </w:r>
    </w:p>
    <w:p>
      <w:pPr>
        <w:spacing w:after="0" w:line="5" w:lineRule="exact"/>
        <w:rPr>
          <w:sz w:val="20"/>
          <w:szCs w:val="20"/>
          <w:color w:val="auto"/>
        </w:rPr>
      </w:pPr>
    </w:p>
    <w:p>
      <w:pPr>
        <w:ind w:left="5520"/>
        <w:spacing w:after="0"/>
        <w:rPr>
          <w:sz w:val="20"/>
          <w:szCs w:val="20"/>
          <w:color w:val="auto"/>
        </w:rPr>
      </w:pPr>
      <w:r>
        <w:rPr>
          <w:rFonts w:ascii="Arial" w:cs="Arial" w:eastAsia="Arial" w:hAnsi="Arial"/>
          <w:sz w:val="14"/>
          <w:szCs w:val="14"/>
          <w:color w:val="auto"/>
        </w:rPr>
        <w:t>Item 1</w:t>
      </w:r>
    </w:p>
    <w:p>
      <w:pPr>
        <w:spacing w:after="0" w:line="127"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Our products are generally sold with a right of return and we may provide other credits or incentives, which are accounted for as variable consideration when estimating the amount of revenue to recognize. Returns and credits are estimated at contract inception and updated at the end of each reporting period as additional information becomes available and only to the extent that it is probable that a significant reversal of any incremental revenue will not occur.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Balances</w:t>
      </w:r>
    </w:p>
    <w:p>
      <w:pPr>
        <w:spacing w:after="0" w:line="158"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Timing of revenue recognition may differ from the timing of invoicing to customers. We record a receivable when revenue is recognized prior to invoicing, or unearned revenue when revenue is recognized subsequent to invoicing. For multi-year agreements, we generally invoice customers annually at the beginning of each annual coverage period. We record a receivable related to revenue recognized for multi-year on-premises licenses as we have an unconditional right to invoice and receive payment in the future related to those licenses.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opening balance of current and long-term accounts receivable, net of allowance for doubtful accounts, was $22.3 billion as of July 1, 2016.</w:t>
      </w:r>
    </w:p>
    <w:p>
      <w:pPr>
        <w:spacing w:after="0" w:line="158"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As of September 30, 2017 and June 30, 2017, long-term accounts receivable, net of allowance for doubtful accounts, were $1.6 billion and $1.7 billion, respectively, and are included in other long-term assets on our consolidated balance sheets.</w:t>
      </w:r>
    </w:p>
    <w:p>
      <w:pPr>
        <w:spacing w:after="0" w:line="91" w:lineRule="exact"/>
        <w:rPr>
          <w:sz w:val="20"/>
          <w:szCs w:val="20"/>
          <w:color w:val="auto"/>
        </w:rPr>
      </w:pPr>
    </w:p>
    <w:p>
      <w:pPr>
        <w:jc w:val="both"/>
        <w:ind w:right="20"/>
        <w:spacing w:after="0" w:line="276" w:lineRule="auto"/>
        <w:rPr>
          <w:sz w:val="20"/>
          <w:szCs w:val="20"/>
          <w:color w:val="auto"/>
        </w:rPr>
      </w:pPr>
      <w:r>
        <w:rPr>
          <w:rFonts w:ascii="Arial" w:cs="Arial" w:eastAsia="Arial" w:hAnsi="Arial"/>
          <w:sz w:val="18"/>
          <w:szCs w:val="18"/>
          <w:color w:val="auto"/>
        </w:rPr>
        <w:t>The allowance for doubtful accounts reflects our best estimate of probable losses inherent in the accounts receivable balance. We determine the allowance based on known troubled accounts, historical experience, and other currently available evidence.</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color w:val="auto"/>
        </w:rPr>
        <w:t>Activity in the allowance for doubtful accounts was as follows:</w:t>
      </w:r>
    </w:p>
    <w:p>
      <w:pPr>
        <w:spacing w:after="0" w:line="14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46990</wp:posOffset>
            </wp:positionV>
            <wp:extent cx="716915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9150" cy="8890"/>
                    </a:xfrm>
                    <a:prstGeom prst="rect">
                      <a:avLst/>
                    </a:prstGeom>
                    <a:noFill/>
                  </pic:spPr>
                </pic:pic>
              </a:graphicData>
            </a:graphic>
          </wp:anchor>
        </w:drawing>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280" w:type="dxa"/>
            <w:vAlign w:val="bottom"/>
            <w:gridSpan w:val="2"/>
          </w:tcPr>
          <w:p>
            <w:pPr>
              <w:spacing w:after="0"/>
              <w:rPr>
                <w:sz w:val="20"/>
                <w:szCs w:val="20"/>
                <w:color w:val="auto"/>
              </w:rPr>
            </w:pPr>
            <w:r>
              <w:rPr>
                <w:rFonts w:ascii="Arial" w:cs="Arial" w:eastAsia="Arial" w:hAnsi="Arial"/>
                <w:sz w:val="14"/>
                <w:szCs w:val="14"/>
                <w:b w:val="1"/>
                <w:bCs w:val="1"/>
                <w:color w:val="auto"/>
              </w:rPr>
              <w:t>Three Months Ended September 30, 2017</w:t>
            </w:r>
          </w:p>
        </w:tc>
        <w:tc>
          <w:tcPr>
            <w:tcW w:w="25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 w:type="dxa"/>
            <w:vAlign w:val="bottom"/>
            <w:vMerge w:val="restart"/>
          </w:tcPr>
          <w:p>
            <w:pPr>
              <w:spacing w:after="0"/>
              <w:rPr>
                <w:sz w:val="3"/>
                <w:szCs w:val="3"/>
                <w:color w:val="auto"/>
              </w:rPr>
            </w:pPr>
          </w:p>
        </w:tc>
        <w:tc>
          <w:tcPr>
            <w:tcW w:w="7260" w:type="dxa"/>
            <w:vAlign w:val="bottom"/>
          </w:tcPr>
          <w:p>
            <w:pPr>
              <w:spacing w:after="0"/>
              <w:rPr>
                <w:sz w:val="3"/>
                <w:szCs w:val="3"/>
                <w:color w:val="auto"/>
              </w:rPr>
            </w:pPr>
          </w:p>
        </w:tc>
        <w:tc>
          <w:tcPr>
            <w:tcW w:w="254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26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Balance, beginning of period</w:t>
            </w:r>
          </w:p>
        </w:tc>
        <w:tc>
          <w:tcPr>
            <w:tcW w:w="3180" w:type="dxa"/>
            <w:vAlign w:val="bottom"/>
            <w:gridSpan w:val="2"/>
            <w:shd w:val="clear" w:color="auto" w:fill="E5E5E5"/>
          </w:tcPr>
          <w:p>
            <w:pPr>
              <w:jc w:val="right"/>
              <w:ind w:right="540"/>
              <w:spacing w:after="0" w:line="202" w:lineRule="exact"/>
              <w:rPr>
                <w:sz w:val="20"/>
                <w:szCs w:val="20"/>
                <w:color w:val="auto"/>
              </w:rPr>
            </w:pPr>
            <w:r>
              <w:rPr>
                <w:rFonts w:ascii="Arial" w:cs="Arial" w:eastAsia="Arial" w:hAnsi="Arial"/>
                <w:sz w:val="18"/>
                <w:szCs w:val="18"/>
                <w:b w:val="1"/>
                <w:bCs w:val="1"/>
                <w:color w:val="auto"/>
              </w:rPr>
              <w:t>$</w:t>
            </w:r>
          </w:p>
        </w:tc>
        <w:tc>
          <w:tcPr>
            <w:tcW w:w="84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361</w:t>
            </w:r>
          </w:p>
        </w:tc>
        <w:tc>
          <w:tcPr>
            <w:tcW w:w="12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60" w:type="dxa"/>
            <w:vAlign w:val="bottom"/>
          </w:tcPr>
          <w:p>
            <w:pPr>
              <w:ind w:left="200"/>
              <w:spacing w:after="0" w:line="202" w:lineRule="exact"/>
              <w:rPr>
                <w:sz w:val="20"/>
                <w:szCs w:val="20"/>
                <w:color w:val="auto"/>
              </w:rPr>
            </w:pPr>
            <w:r>
              <w:rPr>
                <w:rFonts w:ascii="Arial" w:cs="Arial" w:eastAsia="Arial" w:hAnsi="Arial"/>
                <w:sz w:val="18"/>
                <w:szCs w:val="18"/>
                <w:color w:val="auto"/>
              </w:rPr>
              <w:t>Charged to costs and other</w:t>
            </w:r>
          </w:p>
        </w:tc>
        <w:tc>
          <w:tcPr>
            <w:tcW w:w="25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60" w:type="dxa"/>
            <w:vAlign w:val="bottom"/>
            <w:gridSpan w:val="2"/>
          </w:tcPr>
          <w:p>
            <w:pPr>
              <w:jc w:val="right"/>
              <w:ind w:right="60"/>
              <w:spacing w:after="0" w:line="202" w:lineRule="exact"/>
              <w:rPr>
                <w:sz w:val="20"/>
                <w:szCs w:val="20"/>
                <w:color w:val="auto"/>
              </w:rPr>
            </w:pPr>
            <w:r>
              <w:rPr>
                <w:rFonts w:ascii="Arial" w:cs="Arial" w:eastAsia="Arial" w:hAnsi="Arial"/>
                <w:sz w:val="18"/>
                <w:szCs w:val="18"/>
                <w:b w:val="1"/>
                <w:bCs w:val="1"/>
                <w:color w:val="auto"/>
              </w:rPr>
              <w:t>(45)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60" w:type="dxa"/>
            <w:vAlign w:val="bottom"/>
            <w:shd w:val="clear" w:color="auto" w:fill="E5E5E5"/>
          </w:tcPr>
          <w:p>
            <w:pPr>
              <w:ind w:left="200"/>
              <w:spacing w:after="0" w:line="202" w:lineRule="exact"/>
              <w:rPr>
                <w:sz w:val="20"/>
                <w:szCs w:val="20"/>
                <w:color w:val="auto"/>
              </w:rPr>
            </w:pPr>
            <w:r>
              <w:rPr>
                <w:rFonts w:ascii="Arial" w:cs="Arial" w:eastAsia="Arial" w:hAnsi="Arial"/>
                <w:sz w:val="18"/>
                <w:szCs w:val="18"/>
                <w:color w:val="auto"/>
              </w:rPr>
              <w:t>Write-offs</w:t>
            </w:r>
          </w:p>
        </w:tc>
        <w:tc>
          <w:tcPr>
            <w:tcW w:w="2540" w:type="dxa"/>
            <w:vAlign w:val="bottom"/>
            <w:shd w:val="clear" w:color="auto" w:fill="E5E5E5"/>
          </w:tcPr>
          <w:p>
            <w:pPr>
              <w:spacing w:after="0"/>
              <w:rPr>
                <w:sz w:val="17"/>
                <w:szCs w:val="17"/>
                <w:color w:val="auto"/>
              </w:rPr>
            </w:pPr>
          </w:p>
        </w:tc>
        <w:tc>
          <w:tcPr>
            <w:tcW w:w="640" w:type="dxa"/>
            <w:vAlign w:val="bottom"/>
            <w:shd w:val="clear" w:color="auto" w:fill="E5E5E5"/>
          </w:tcPr>
          <w:p>
            <w:pPr>
              <w:spacing w:after="0"/>
              <w:rPr>
                <w:sz w:val="17"/>
                <w:szCs w:val="17"/>
                <w:color w:val="auto"/>
              </w:rPr>
            </w:pPr>
          </w:p>
        </w:tc>
        <w:tc>
          <w:tcPr>
            <w:tcW w:w="960" w:type="dxa"/>
            <w:vAlign w:val="bottom"/>
            <w:gridSpan w:val="2"/>
            <w:shd w:val="clear" w:color="auto" w:fill="E5E5E5"/>
          </w:tcPr>
          <w:p>
            <w:pPr>
              <w:jc w:val="right"/>
              <w:ind w:right="60"/>
              <w:spacing w:after="0" w:line="202" w:lineRule="exact"/>
              <w:rPr>
                <w:sz w:val="20"/>
                <w:szCs w:val="20"/>
                <w:color w:val="auto"/>
              </w:rPr>
            </w:pPr>
            <w:r>
              <w:rPr>
                <w:rFonts w:ascii="Arial" w:cs="Arial" w:eastAsia="Arial" w:hAnsi="Arial"/>
                <w:sz w:val="18"/>
                <w:szCs w:val="18"/>
                <w:b w:val="1"/>
                <w:bCs w:val="1"/>
                <w:color w:val="auto"/>
              </w:rPr>
              <w:t>(16)</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60" w:type="dxa"/>
            <w:vAlign w:val="bottom"/>
            <w:tcBorders>
              <w:bottom w:val="single" w:sz="8" w:color="auto"/>
            </w:tcBorders>
          </w:tcPr>
          <w:p>
            <w:pPr>
              <w:spacing w:after="0"/>
              <w:rPr>
                <w:sz w:val="5"/>
                <w:szCs w:val="5"/>
                <w:color w:val="auto"/>
              </w:rPr>
            </w:pPr>
          </w:p>
        </w:tc>
        <w:tc>
          <w:tcPr>
            <w:tcW w:w="254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7260" w:type="dxa"/>
            <w:vAlign w:val="bottom"/>
          </w:tcPr>
          <w:p>
            <w:pPr>
              <w:spacing w:after="0"/>
              <w:rPr>
                <w:sz w:val="5"/>
                <w:szCs w:val="5"/>
                <w:color w:val="auto"/>
              </w:rPr>
            </w:pPr>
          </w:p>
        </w:tc>
        <w:tc>
          <w:tcPr>
            <w:tcW w:w="2540" w:type="dxa"/>
            <w:vAlign w:val="bottom"/>
          </w:tcPr>
          <w:p>
            <w:pPr>
              <w:spacing w:after="0"/>
              <w:rPr>
                <w:sz w:val="5"/>
                <w:szCs w:val="5"/>
                <w:color w:val="auto"/>
              </w:rPr>
            </w:pPr>
          </w:p>
        </w:tc>
        <w:tc>
          <w:tcPr>
            <w:tcW w:w="640" w:type="dxa"/>
            <w:vAlign w:val="bottom"/>
          </w:tcPr>
          <w:p>
            <w:pPr>
              <w:spacing w:after="0"/>
              <w:rPr>
                <w:sz w:val="5"/>
                <w:szCs w:val="5"/>
                <w:color w:val="auto"/>
              </w:rPr>
            </w:pPr>
          </w:p>
        </w:tc>
        <w:tc>
          <w:tcPr>
            <w:tcW w:w="840" w:type="dxa"/>
            <w:vAlign w:val="bottom"/>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26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Balance, end of period</w:t>
            </w:r>
          </w:p>
        </w:tc>
        <w:tc>
          <w:tcPr>
            <w:tcW w:w="3180" w:type="dxa"/>
            <w:vAlign w:val="bottom"/>
            <w:gridSpan w:val="2"/>
            <w:shd w:val="clear" w:color="auto" w:fill="E5E5E5"/>
          </w:tcPr>
          <w:p>
            <w:pPr>
              <w:jc w:val="right"/>
              <w:ind w:right="540"/>
              <w:spacing w:after="0" w:line="202" w:lineRule="exact"/>
              <w:rPr>
                <w:sz w:val="20"/>
                <w:szCs w:val="20"/>
                <w:color w:val="auto"/>
              </w:rPr>
            </w:pPr>
            <w:r>
              <w:rPr>
                <w:rFonts w:ascii="Arial" w:cs="Arial" w:eastAsia="Arial" w:hAnsi="Arial"/>
                <w:sz w:val="18"/>
                <w:szCs w:val="18"/>
                <w:b w:val="1"/>
                <w:bCs w:val="1"/>
                <w:color w:val="auto"/>
              </w:rPr>
              <w:t>$</w:t>
            </w:r>
          </w:p>
        </w:tc>
        <w:tc>
          <w:tcPr>
            <w:tcW w:w="84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300</w:t>
            </w:r>
          </w:p>
        </w:tc>
        <w:tc>
          <w:tcPr>
            <w:tcW w:w="12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75"/>
        </w:trPr>
        <w:tc>
          <w:tcPr>
            <w:tcW w:w="72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Reported as of September 30, 2017</w:t>
            </w:r>
          </w:p>
        </w:tc>
        <w:tc>
          <w:tcPr>
            <w:tcW w:w="2540" w:type="dxa"/>
            <w:vAlign w:val="bottom"/>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9"/>
        </w:trPr>
        <w:tc>
          <w:tcPr>
            <w:tcW w:w="7280" w:type="dxa"/>
            <w:vAlign w:val="bottom"/>
            <w:gridSpan w:val="2"/>
            <w:vMerge w:val="continue"/>
          </w:tcPr>
          <w:p>
            <w:pPr>
              <w:spacing w:after="0"/>
              <w:rPr>
                <w:sz w:val="20"/>
                <w:szCs w:val="20"/>
                <w:color w:val="auto"/>
              </w:rPr>
            </w:pPr>
          </w:p>
        </w:tc>
        <w:tc>
          <w:tcPr>
            <w:tcW w:w="25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
        </w:trPr>
        <w:tc>
          <w:tcPr>
            <w:tcW w:w="20" w:type="dxa"/>
            <w:vAlign w:val="bottom"/>
            <w:vMerge w:val="restart"/>
          </w:tcPr>
          <w:p>
            <w:pPr>
              <w:spacing w:after="0"/>
              <w:rPr>
                <w:sz w:val="3"/>
                <w:szCs w:val="3"/>
                <w:color w:val="auto"/>
              </w:rPr>
            </w:pPr>
          </w:p>
        </w:tc>
        <w:tc>
          <w:tcPr>
            <w:tcW w:w="7260" w:type="dxa"/>
            <w:vAlign w:val="bottom"/>
          </w:tcPr>
          <w:p>
            <w:pPr>
              <w:spacing w:after="0"/>
              <w:rPr>
                <w:sz w:val="3"/>
                <w:szCs w:val="3"/>
                <w:color w:val="auto"/>
              </w:rPr>
            </w:pPr>
          </w:p>
        </w:tc>
        <w:tc>
          <w:tcPr>
            <w:tcW w:w="254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26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Accounts receivable, net of allowance for doubtful accounts</w:t>
            </w:r>
          </w:p>
        </w:tc>
        <w:tc>
          <w:tcPr>
            <w:tcW w:w="3180" w:type="dxa"/>
            <w:vAlign w:val="bottom"/>
            <w:gridSpan w:val="2"/>
            <w:shd w:val="clear" w:color="auto" w:fill="E5E5E5"/>
          </w:tcPr>
          <w:p>
            <w:pPr>
              <w:jc w:val="right"/>
              <w:ind w:right="540"/>
              <w:spacing w:after="0" w:line="202" w:lineRule="exact"/>
              <w:rPr>
                <w:sz w:val="20"/>
                <w:szCs w:val="20"/>
                <w:color w:val="auto"/>
              </w:rPr>
            </w:pPr>
            <w:r>
              <w:rPr>
                <w:rFonts w:ascii="Arial" w:cs="Arial" w:eastAsia="Arial" w:hAnsi="Arial"/>
                <w:sz w:val="18"/>
                <w:szCs w:val="18"/>
                <w:b w:val="1"/>
                <w:bCs w:val="1"/>
                <w:color w:val="auto"/>
              </w:rPr>
              <w:t>$</w:t>
            </w:r>
          </w:p>
        </w:tc>
        <w:tc>
          <w:tcPr>
            <w:tcW w:w="84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285</w:t>
            </w:r>
          </w:p>
        </w:tc>
        <w:tc>
          <w:tcPr>
            <w:tcW w:w="12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Other long-term assets</w:t>
            </w:r>
          </w:p>
        </w:tc>
        <w:tc>
          <w:tcPr>
            <w:tcW w:w="25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15</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60" w:type="dxa"/>
            <w:vAlign w:val="bottom"/>
            <w:tcBorders>
              <w:top w:val="single" w:sz="8" w:color="auto"/>
            </w:tcBorders>
          </w:tcPr>
          <w:p>
            <w:pPr>
              <w:spacing w:after="0"/>
              <w:rPr>
                <w:sz w:val="5"/>
                <w:szCs w:val="5"/>
                <w:color w:val="auto"/>
              </w:rPr>
            </w:pPr>
          </w:p>
        </w:tc>
        <w:tc>
          <w:tcPr>
            <w:tcW w:w="2540" w:type="dxa"/>
            <w:vAlign w:val="bottom"/>
            <w:tcBorders>
              <w:top w:val="single" w:sz="8" w:color="auto"/>
            </w:tcBorders>
          </w:tcPr>
          <w:p>
            <w:pPr>
              <w:spacing w:after="0"/>
              <w:rPr>
                <w:sz w:val="5"/>
                <w:szCs w:val="5"/>
                <w:color w:val="auto"/>
              </w:rPr>
            </w:pPr>
          </w:p>
        </w:tc>
        <w:tc>
          <w:tcPr>
            <w:tcW w:w="640" w:type="dxa"/>
            <w:vAlign w:val="bottom"/>
            <w:tcBorders>
              <w:top w:val="single" w:sz="8" w:color="auto"/>
            </w:tcBorders>
          </w:tcPr>
          <w:p>
            <w:pPr>
              <w:spacing w:after="0"/>
              <w:rPr>
                <w:sz w:val="5"/>
                <w:szCs w:val="5"/>
                <w:color w:val="auto"/>
              </w:rPr>
            </w:pPr>
          </w:p>
        </w:tc>
        <w:tc>
          <w:tcPr>
            <w:tcW w:w="840" w:type="dxa"/>
            <w:vAlign w:val="bottom"/>
            <w:tcBorders>
              <w:top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60" w:type="dxa"/>
            <w:vAlign w:val="bottom"/>
            <w:shd w:val="clear" w:color="auto" w:fill="E5E5E5"/>
          </w:tcPr>
          <w:p>
            <w:pPr>
              <w:ind w:left="240"/>
              <w:spacing w:after="0" w:line="202" w:lineRule="exact"/>
              <w:rPr>
                <w:sz w:val="20"/>
                <w:szCs w:val="20"/>
                <w:color w:val="auto"/>
              </w:rPr>
            </w:pPr>
            <w:r>
              <w:rPr>
                <w:rFonts w:ascii="Arial" w:cs="Arial" w:eastAsia="Arial" w:hAnsi="Arial"/>
                <w:sz w:val="18"/>
                <w:szCs w:val="18"/>
                <w:color w:val="auto"/>
              </w:rPr>
              <w:t>Total</w:t>
            </w:r>
          </w:p>
        </w:tc>
        <w:tc>
          <w:tcPr>
            <w:tcW w:w="3180" w:type="dxa"/>
            <w:vAlign w:val="bottom"/>
            <w:gridSpan w:val="2"/>
            <w:shd w:val="clear" w:color="auto" w:fill="E5E5E5"/>
          </w:tcPr>
          <w:p>
            <w:pPr>
              <w:jc w:val="right"/>
              <w:ind w:right="540"/>
              <w:spacing w:after="0" w:line="202" w:lineRule="exact"/>
              <w:rPr>
                <w:sz w:val="20"/>
                <w:szCs w:val="20"/>
                <w:color w:val="auto"/>
              </w:rPr>
            </w:pPr>
            <w:r>
              <w:rPr>
                <w:rFonts w:ascii="Arial" w:cs="Arial" w:eastAsia="Arial" w:hAnsi="Arial"/>
                <w:sz w:val="18"/>
                <w:szCs w:val="18"/>
                <w:b w:val="1"/>
                <w:bCs w:val="1"/>
                <w:color w:val="auto"/>
              </w:rPr>
              <w:t>$</w:t>
            </w:r>
          </w:p>
        </w:tc>
        <w:tc>
          <w:tcPr>
            <w:tcW w:w="84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300</w:t>
            </w:r>
          </w:p>
        </w:tc>
        <w:tc>
          <w:tcPr>
            <w:tcW w:w="12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260" w:type="dxa"/>
            <w:vAlign w:val="bottom"/>
          </w:tcPr>
          <w:p>
            <w:pPr>
              <w:spacing w:after="0"/>
              <w:rPr>
                <w:sz w:val="6"/>
                <w:szCs w:val="6"/>
                <w:color w:val="auto"/>
              </w:rPr>
            </w:pPr>
          </w:p>
        </w:tc>
        <w:tc>
          <w:tcPr>
            <w:tcW w:w="2540" w:type="dxa"/>
            <w:vAlign w:val="bottom"/>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Unearned revenue is comprised mainly of unearned revenue related to volume licensing programs, which may include SA and cloud services. Unearned revenue is generally invoiced annually at the beginning of each contract period for multi-year agreements and recognized ratably over the coverage period. Unearned revenue also includes payments for: consulting services to be performed in the future; Office 365 subscriptions; LinkedIn subscriptions; Xbox Live subscriptions; Windows 10 post-delivery support; Dynamics business solutions; Skype prepaid credits and subscriptions; and other offerings for which we have been paid in advance and earn the revenue when we transfer control of the product or service.</w:t>
      </w:r>
    </w:p>
    <w:p>
      <w:pPr>
        <w:spacing w:after="0" w:line="120"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Refer to Note 14 – Unearned Revenue for further information, including unearned revenue by segment and changes in unearned revenue during the period.</w:t>
      </w:r>
    </w:p>
    <w:p>
      <w:pPr>
        <w:spacing w:after="0" w:line="91"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Payment terms and conditions vary by contract type, although terms generally include a requirement of payment within 30 to 60 days. In instances where the timing of revenue recognition differs from the timing of invoicing, we have determined our contracts generally do not include a significant financing component. The primary purpose of our invoicing terms is to provide customers with simplified and predictable ways of purchasing our products and services, not to receive financing from our customers, such as invoicing at the beginning of a subscription term with revenue recognized ratably over the contract period, or to provide customers with financing, such as multi-year on-premises licenses that are invoiced annually with revenue recognized upfront.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28916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 w:name="page11"/>
    <w:bookmarkEnd w:id="10"/>
    <w:p>
      <w:pPr>
        <w:ind w:left="5500"/>
        <w:spacing w:after="0"/>
        <w:rPr>
          <w:sz w:val="20"/>
          <w:szCs w:val="20"/>
          <w:color w:val="auto"/>
        </w:rPr>
      </w:pPr>
      <w:r>
        <w:rPr>
          <w:rFonts w:ascii="Arial" w:cs="Arial" w:eastAsia="Arial" w:hAnsi="Arial"/>
          <w:sz w:val="14"/>
          <w:szCs w:val="14"/>
          <w:u w:val="single" w:color="auto"/>
          <w:color w:val="auto"/>
        </w:rPr>
        <w:t>PART I</w:t>
      </w:r>
    </w:p>
    <w:p>
      <w:pPr>
        <w:spacing w:after="0" w:line="5" w:lineRule="exact"/>
        <w:rPr>
          <w:sz w:val="20"/>
          <w:szCs w:val="20"/>
          <w:color w:val="auto"/>
        </w:rPr>
      </w:pPr>
    </w:p>
    <w:p>
      <w:pPr>
        <w:ind w:left="5520"/>
        <w:spacing w:after="0"/>
        <w:rPr>
          <w:sz w:val="20"/>
          <w:szCs w:val="20"/>
          <w:color w:val="auto"/>
        </w:rPr>
      </w:pPr>
      <w:r>
        <w:rPr>
          <w:rFonts w:ascii="Arial" w:cs="Arial" w:eastAsia="Arial" w:hAnsi="Arial"/>
          <w:sz w:val="14"/>
          <w:szCs w:val="14"/>
          <w:color w:val="auto"/>
        </w:rPr>
        <w:t>Item 1</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Assets Recognized from the Costs to Obtain a Contract with a Customer</w:t>
      </w:r>
    </w:p>
    <w:p>
      <w:pPr>
        <w:spacing w:after="0" w:line="158"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We recognize an asset for the incremental costs of obtaining a contract with a customer if we expect the benefit of those costs to be longer than one year. We have determined that certain sales incentive programs meet the requirements to be capitalized. Total capitalized costs to</w:t>
      </w:r>
    </w:p>
    <w:p>
      <w:pPr>
        <w:jc w:val="both"/>
        <w:ind w:right="20"/>
        <w:spacing w:after="0" w:line="276" w:lineRule="auto"/>
        <w:rPr>
          <w:sz w:val="20"/>
          <w:szCs w:val="20"/>
          <w:color w:val="auto"/>
        </w:rPr>
      </w:pPr>
      <w:r>
        <w:rPr>
          <w:rFonts w:ascii="Arial" w:cs="Arial" w:eastAsia="Arial" w:hAnsi="Arial"/>
          <w:sz w:val="18"/>
          <w:szCs w:val="18"/>
          <w:color w:val="auto"/>
        </w:rPr>
        <w:t>obtain a contract were immaterial during the periods presented and are included in other current and long-term assets on our consolidated balance sheets.</w:t>
      </w:r>
    </w:p>
    <w:p>
      <w:pPr>
        <w:spacing w:after="0" w:line="9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apply a practical expedient to expense costs as incurred for costs to obtain a contract when the amortization period would have been one year or less. These costs include our internal sales force compensation program and certain partner sales incentive programs as we have determined annual compensation is commensurate with annual sales activities.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w:t>
      </w:r>
    </w:p>
    <w:p>
      <w:pPr>
        <w:spacing w:after="0" w:line="16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determine if an arrangement is a lease at inception. Operating leases are included in operating lease right-of-use (“ROU”) assets, other current liabilities, and operating lease liabilities on our consolidated balance sheets. Finance leases are included in property and equipment, other current liabilities, and other long-term liabilities on our consolidated balance sheets.</w:t>
      </w:r>
    </w:p>
    <w:p>
      <w:pPr>
        <w:spacing w:after="0" w:line="110"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Operating lease ROU assets and operating lease liabilities are recognized based on the present value of the future minimum lease payments over the lease term at commencement date. As most of our leases do not provide an implicit rate, we use our incremental borrowing rate based on the information available at commencement date in determining the present value of future payments. The operating lease ROU asset also includes any lease payments made and excludes lease incentives and initial direct costs incurred. Our lease terms may include options to extend or terminate the lease when it is reasonably certain that we will exercise that option. Lease expense for minimum lease payments is recognized on a straight-line basis over the lease term.</w:t>
      </w:r>
    </w:p>
    <w:p>
      <w:pPr>
        <w:spacing w:after="0" w:line="12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lease agreements with lease and non-lease components, which are generally accounted for separately. For certain equipment leases, such as vehicles, we account for the lease and non-lease components as a single lease component. Additionally, for certain equipment leases, we apply a portfolio approach to effectively account for the operating lease ROU assets and liabilities.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Guidance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Guidance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Leases</w:t>
      </w:r>
    </w:p>
    <w:p>
      <w:pPr>
        <w:spacing w:after="0" w:line="156"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In February 2016, the Financial Accounting Standards Board (“FASB”) issued a new standard related to leases to increase transparency and comparability among organizations by requiring the recognition of ROU assets and lease liabilities on the balance sheet. Most prominent among the changes in the standard is the recognition of ROU assets and lease liabilities by lessees for those leases classified as operating leases. Under the standard, disclosures are required to meet the objective of enabling users of financial statements to assess the amount, timing, and uncertainty of cash flows arising from leases. We are also required to recognize and measure leases existing at, or entered into after, the beginning of the earliest comparative period presented using a modified retrospective approach, with certain practical expedients available.</w:t>
      </w:r>
    </w:p>
    <w:p>
      <w:pPr>
        <w:spacing w:after="0" w:line="1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elected to early adopt the standard effective July 1, 2017 concurrent with our adoption of the new standard related to revenue recognition. We elected the available practical expedients and implemented internal controls and key system functionality to enable the preparation of financial information on adoption.</w:t>
      </w:r>
    </w:p>
    <w:p>
      <w:pPr>
        <w:spacing w:after="0" w:line="110"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The standard had a material impact on our consolidated balance sheets, but did not have an impact on our consolidated income statements. The most significant impact was the recognition of ROU assets and lease liabilities for operating leases, while our accounting for finance leases remained substantially unchanged. Adoption of the standard required us to restate certain previously reported results, including the recognition of additional ROU assets and lease liabilities for operating leases. Refer to Impacts to Previously Reported Results below for the impact of adoption of the standard on our consolidated financial statements.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28916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1" w:name="page12"/>
    <w:bookmarkEnd w:id="11"/>
    <w:p>
      <w:pPr>
        <w:ind w:left="5500"/>
        <w:spacing w:after="0"/>
        <w:rPr>
          <w:sz w:val="20"/>
          <w:szCs w:val="20"/>
          <w:color w:val="auto"/>
        </w:rPr>
      </w:pPr>
      <w:r>
        <w:rPr>
          <w:rFonts w:ascii="Arial" w:cs="Arial" w:eastAsia="Arial" w:hAnsi="Arial"/>
          <w:sz w:val="14"/>
          <w:szCs w:val="14"/>
          <w:u w:val="single" w:color="auto"/>
          <w:color w:val="auto"/>
        </w:rPr>
        <w:t>PART I</w:t>
      </w:r>
    </w:p>
    <w:p>
      <w:pPr>
        <w:spacing w:after="0" w:line="5" w:lineRule="exact"/>
        <w:rPr>
          <w:sz w:val="20"/>
          <w:szCs w:val="20"/>
          <w:color w:val="auto"/>
        </w:rPr>
      </w:pPr>
    </w:p>
    <w:p>
      <w:pPr>
        <w:ind w:left="5520"/>
        <w:spacing w:after="0"/>
        <w:rPr>
          <w:sz w:val="20"/>
          <w:szCs w:val="20"/>
          <w:color w:val="auto"/>
        </w:rPr>
      </w:pPr>
      <w:r>
        <w:rPr>
          <w:rFonts w:ascii="Arial" w:cs="Arial" w:eastAsia="Arial" w:hAnsi="Arial"/>
          <w:sz w:val="14"/>
          <w:szCs w:val="14"/>
          <w:color w:val="auto"/>
        </w:rPr>
        <w:t>Item 1</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from Contracts with Customers</w:t>
      </w:r>
    </w:p>
    <w:p>
      <w:pPr>
        <w:spacing w:after="0" w:line="156" w:lineRule="exact"/>
        <w:rPr>
          <w:sz w:val="20"/>
          <w:szCs w:val="20"/>
          <w:color w:val="auto"/>
        </w:rPr>
      </w:pPr>
    </w:p>
    <w:p>
      <w:pPr>
        <w:jc w:val="both"/>
        <w:ind w:right="20"/>
        <w:spacing w:after="0" w:line="248" w:lineRule="auto"/>
        <w:rPr>
          <w:sz w:val="20"/>
          <w:szCs w:val="20"/>
          <w:color w:val="auto"/>
        </w:rPr>
      </w:pPr>
      <w:r>
        <w:rPr>
          <w:rFonts w:ascii="Arial" w:cs="Arial" w:eastAsia="Arial" w:hAnsi="Arial"/>
          <w:sz w:val="18"/>
          <w:szCs w:val="18"/>
          <w:color w:val="auto"/>
        </w:rPr>
        <w:t>In May 2014, the FASB issued a new standard related to revenue recognition. Under the standard, revenue is recognized when a customer obtains control of promised goods or services in an amount that reflects the consideration the entity expects to receive in exchange for those goods or services. In addition, the standard requires disclosure of the nature, amount, timing, and uncertainty of revenue and cash flows arising from contracts with customers.</w:t>
      </w:r>
    </w:p>
    <w:p>
      <w:pPr>
        <w:spacing w:after="0" w:line="117"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We elected to early adopt the standard effective July 1, 2017, using the full retrospective method, which required us to restate each prior reporting period presented. We implemented internal controls and key system functionality to enable the preparation of financial information on adoption.</w:t>
      </w:r>
    </w:p>
    <w:p>
      <w:pPr>
        <w:spacing w:after="0" w:line="110" w:lineRule="exact"/>
        <w:rPr>
          <w:sz w:val="20"/>
          <w:szCs w:val="20"/>
          <w:color w:val="auto"/>
        </w:rPr>
      </w:pPr>
    </w:p>
    <w:p>
      <w:pPr>
        <w:jc w:val="both"/>
        <w:ind w:right="20"/>
        <w:spacing w:after="0" w:line="241" w:lineRule="auto"/>
        <w:rPr>
          <w:sz w:val="20"/>
          <w:szCs w:val="20"/>
          <w:color w:val="auto"/>
        </w:rPr>
      </w:pPr>
      <w:r>
        <w:rPr>
          <w:rFonts w:ascii="Arial" w:cs="Arial" w:eastAsia="Arial" w:hAnsi="Arial"/>
          <w:sz w:val="18"/>
          <w:szCs w:val="18"/>
          <w:color w:val="auto"/>
        </w:rPr>
        <w:t>The most significant impact of the standard relates to our accounting for software license revenue. Specifically, for Windows 10, we recognize revenue predominantly at the time of billing and delivery rather than ratably over the life of the related device. For certain multi-year commercial software subscriptions that include both distinct software licenses and SA, we recognize license revenue at the time of contract execution rather than over the subscription period. Due to the complexity of certain of our commercial license subscription contracts, the actual revenue recognition treatment required under the standard depends on contract-specific terms and in some instances may vary from recognition at the time of billing. Revenue recognition related to our hardware, cloud offerings (such as Office 365), LinkedIn, and professional services remains substantially unchanged.</w:t>
      </w:r>
    </w:p>
    <w:p>
      <w:pPr>
        <w:spacing w:after="0" w:line="125" w:lineRule="exact"/>
        <w:rPr>
          <w:sz w:val="20"/>
          <w:szCs w:val="20"/>
          <w:color w:val="auto"/>
        </w:rPr>
      </w:pPr>
    </w:p>
    <w:p>
      <w:pPr>
        <w:jc w:val="both"/>
        <w:ind w:right="20"/>
        <w:spacing w:after="0" w:line="241" w:lineRule="auto"/>
        <w:rPr>
          <w:sz w:val="20"/>
          <w:szCs w:val="20"/>
          <w:color w:val="auto"/>
        </w:rPr>
      </w:pPr>
      <w:r>
        <w:rPr>
          <w:rFonts w:ascii="Arial" w:cs="Arial" w:eastAsia="Arial" w:hAnsi="Arial"/>
          <w:sz w:val="18"/>
          <w:szCs w:val="18"/>
          <w:color w:val="auto"/>
        </w:rPr>
        <w:t>Adoption of the standard using the full retrospective method required us to restate certain previously reported results, including the recognition of additional revenue and an increase in the provision for income taxes, primarily due to the net change in Windows 10 revenue recognition. In addition, adoption of the standard resulted in an increase in accounts receivable and other current and long-term assets, driven by unbilled receivables from upfront recognition of revenue for certain multi-year commercial software subscriptions that include both distinct software licenses and Software Assurance; a reduction of unearned revenue, driven by the upfront recognition of license revenue from Windows 10 and certain multi-year commercial software subscriptions; and an increase in deferred income taxes, driven by the upfront recognition of revenue. Refer to Impacts to Previously Reported Results below for the impact of adoption of the standard on our consolidated financial statements.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Impacts to Previously Reported Results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Adoption of the standards related to revenue recognition and leases impacted our previously reported results as follows: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900" w:type="dxa"/>
            <w:vAlign w:val="bottom"/>
            <w:vMerge w:val="restart"/>
          </w:tcPr>
          <w:p>
            <w:pPr>
              <w:jc w:val="right"/>
              <w:ind w:right="20"/>
              <w:spacing w:after="0"/>
              <w:rPr>
                <w:sz w:val="20"/>
                <w:szCs w:val="20"/>
                <w:color w:val="auto"/>
              </w:rPr>
            </w:pPr>
            <w:r>
              <w:rPr>
                <w:rFonts w:ascii="Arial" w:cs="Arial" w:eastAsia="Arial" w:hAnsi="Arial"/>
                <w:sz w:val="14"/>
                <w:szCs w:val="14"/>
                <w:b w:val="1"/>
                <w:bCs w:val="1"/>
                <w:color w:val="auto"/>
              </w:rPr>
              <w:t>As</w:t>
            </w:r>
          </w:p>
        </w:tc>
        <w:tc>
          <w:tcPr>
            <w:tcW w:w="300" w:type="dxa"/>
            <w:vAlign w:val="bottom"/>
          </w:tcPr>
          <w:p>
            <w:pPr>
              <w:spacing w:after="0"/>
              <w:rPr>
                <w:sz w:val="14"/>
                <w:szCs w:val="14"/>
                <w:color w:val="auto"/>
              </w:rPr>
            </w:pPr>
          </w:p>
        </w:tc>
        <w:tc>
          <w:tcPr>
            <w:tcW w:w="940" w:type="dxa"/>
            <w:vAlign w:val="bottom"/>
          </w:tcPr>
          <w:p>
            <w:pPr>
              <w:jc w:val="right"/>
              <w:ind w:right="41"/>
              <w:spacing w:after="0"/>
              <w:rPr>
                <w:sz w:val="20"/>
                <w:szCs w:val="20"/>
                <w:color w:val="auto"/>
              </w:rPr>
            </w:pPr>
            <w:r>
              <w:rPr>
                <w:rFonts w:ascii="Arial" w:cs="Arial" w:eastAsia="Arial" w:hAnsi="Arial"/>
                <w:sz w:val="14"/>
                <w:szCs w:val="14"/>
                <w:b w:val="1"/>
                <w:bCs w:val="1"/>
                <w:color w:val="auto"/>
              </w:rPr>
              <w:t>New</w:t>
            </w:r>
          </w:p>
        </w:tc>
        <w:tc>
          <w:tcPr>
            <w:tcW w:w="3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tcPr>
          <w:p>
            <w:pPr>
              <w:jc w:val="right"/>
              <w:ind w:right="41"/>
              <w:spacing w:after="0" w:line="149" w:lineRule="exact"/>
              <w:rPr>
                <w:sz w:val="20"/>
                <w:szCs w:val="20"/>
                <w:color w:val="auto"/>
              </w:rPr>
            </w:pPr>
            <w:r>
              <w:rPr>
                <w:rFonts w:ascii="Arial" w:cs="Arial" w:eastAsia="Arial" w:hAnsi="Arial"/>
                <w:sz w:val="14"/>
                <w:szCs w:val="14"/>
                <w:b w:val="1"/>
                <w:bCs w:val="1"/>
                <w:color w:val="auto"/>
              </w:rPr>
              <w:t>Revenue</w:t>
            </w:r>
          </w:p>
        </w:tc>
        <w:tc>
          <w:tcPr>
            <w:tcW w:w="380" w:type="dxa"/>
            <w:vAlign w:val="bottom"/>
          </w:tcPr>
          <w:p>
            <w:pPr>
              <w:spacing w:after="0"/>
              <w:rPr>
                <w:sz w:val="12"/>
                <w:szCs w:val="12"/>
                <w:color w:val="auto"/>
              </w:rPr>
            </w:pPr>
          </w:p>
        </w:tc>
        <w:tc>
          <w:tcPr>
            <w:tcW w:w="86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rPr>
              <w:t>As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1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 except per share amounts)</w:t>
            </w:r>
          </w:p>
        </w:tc>
        <w:tc>
          <w:tcPr>
            <w:tcW w:w="3900" w:type="dxa"/>
            <w:vAlign w:val="bottom"/>
          </w:tcPr>
          <w:p>
            <w:pPr>
              <w:spacing w:after="0"/>
              <w:rPr>
                <w:sz w:val="12"/>
                <w:szCs w:val="12"/>
                <w:color w:val="auto"/>
              </w:rPr>
            </w:pPr>
          </w:p>
        </w:tc>
        <w:tc>
          <w:tcPr>
            <w:tcW w:w="900" w:type="dxa"/>
            <w:vAlign w:val="bottom"/>
          </w:tcPr>
          <w:p>
            <w:pPr>
              <w:jc w:val="right"/>
              <w:ind w:right="20"/>
              <w:spacing w:after="0" w:line="149" w:lineRule="exact"/>
              <w:rPr>
                <w:sz w:val="20"/>
                <w:szCs w:val="20"/>
                <w:color w:val="auto"/>
              </w:rPr>
            </w:pPr>
            <w:r>
              <w:rPr>
                <w:rFonts w:ascii="Arial" w:cs="Arial" w:eastAsia="Arial" w:hAnsi="Arial"/>
                <w:sz w:val="14"/>
                <w:szCs w:val="14"/>
                <w:b w:val="1"/>
                <w:bCs w:val="1"/>
                <w:color w:val="auto"/>
              </w:rPr>
              <w:t>Previously</w:t>
            </w:r>
          </w:p>
        </w:tc>
        <w:tc>
          <w:tcPr>
            <w:tcW w:w="300" w:type="dxa"/>
            <w:vAlign w:val="bottom"/>
          </w:tcPr>
          <w:p>
            <w:pPr>
              <w:spacing w:after="0"/>
              <w:rPr>
                <w:sz w:val="12"/>
                <w:szCs w:val="12"/>
                <w:color w:val="auto"/>
              </w:rPr>
            </w:pPr>
          </w:p>
        </w:tc>
        <w:tc>
          <w:tcPr>
            <w:tcW w:w="940" w:type="dxa"/>
            <w:vAlign w:val="bottom"/>
          </w:tcPr>
          <w:p>
            <w:pPr>
              <w:jc w:val="right"/>
              <w:ind w:right="41"/>
              <w:spacing w:after="0" w:line="149" w:lineRule="exact"/>
              <w:rPr>
                <w:sz w:val="20"/>
                <w:szCs w:val="20"/>
                <w:color w:val="auto"/>
              </w:rPr>
            </w:pPr>
            <w:r>
              <w:rPr>
                <w:rFonts w:ascii="Arial" w:cs="Arial" w:eastAsia="Arial" w:hAnsi="Arial"/>
                <w:sz w:val="14"/>
                <w:szCs w:val="14"/>
                <w:b w:val="1"/>
                <w:bCs w:val="1"/>
                <w:color w:val="auto"/>
              </w:rPr>
              <w:t>Standard</w:t>
            </w:r>
          </w:p>
        </w:tc>
        <w:tc>
          <w:tcPr>
            <w:tcW w:w="38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4140" w:type="dxa"/>
            <w:vAlign w:val="bottom"/>
            <w:gridSpan w:val="2"/>
            <w:vMerge w:val="continue"/>
          </w:tcPr>
          <w:p>
            <w:pPr>
              <w:spacing w:after="0"/>
              <w:rPr>
                <w:sz w:val="16"/>
                <w:szCs w:val="16"/>
                <w:color w:val="auto"/>
              </w:rPr>
            </w:pPr>
          </w:p>
        </w:tc>
        <w:tc>
          <w:tcPr>
            <w:tcW w:w="3900" w:type="dxa"/>
            <w:vAlign w:val="bottom"/>
          </w:tcPr>
          <w:p>
            <w:pPr>
              <w:spacing w:after="0"/>
              <w:rPr>
                <w:sz w:val="16"/>
                <w:szCs w:val="16"/>
                <w:color w:val="auto"/>
              </w:rPr>
            </w:pPr>
          </w:p>
        </w:tc>
        <w:tc>
          <w:tcPr>
            <w:tcW w:w="900" w:type="dxa"/>
            <w:vAlign w:val="bottom"/>
          </w:tcPr>
          <w:p>
            <w:pPr>
              <w:jc w:val="right"/>
              <w:ind w:right="20"/>
              <w:spacing w:after="0"/>
              <w:rPr>
                <w:sz w:val="20"/>
                <w:szCs w:val="20"/>
                <w:color w:val="auto"/>
              </w:rPr>
            </w:pPr>
            <w:r>
              <w:rPr>
                <w:rFonts w:ascii="Arial" w:cs="Arial" w:eastAsia="Arial" w:hAnsi="Arial"/>
                <w:sz w:val="14"/>
                <w:szCs w:val="14"/>
                <w:b w:val="1"/>
                <w:bCs w:val="1"/>
                <w:color w:val="auto"/>
              </w:rPr>
              <w:t>Reported</w:t>
            </w:r>
          </w:p>
        </w:tc>
        <w:tc>
          <w:tcPr>
            <w:tcW w:w="300" w:type="dxa"/>
            <w:vAlign w:val="bottom"/>
          </w:tcPr>
          <w:p>
            <w:pPr>
              <w:spacing w:after="0"/>
              <w:rPr>
                <w:sz w:val="16"/>
                <w:szCs w:val="16"/>
                <w:color w:val="auto"/>
              </w:rPr>
            </w:pPr>
          </w:p>
        </w:tc>
        <w:tc>
          <w:tcPr>
            <w:tcW w:w="940" w:type="dxa"/>
            <w:vAlign w:val="bottom"/>
          </w:tcPr>
          <w:p>
            <w:pPr>
              <w:jc w:val="right"/>
              <w:ind w:right="41"/>
              <w:spacing w:after="0"/>
              <w:rPr>
                <w:sz w:val="20"/>
                <w:szCs w:val="20"/>
                <w:color w:val="auto"/>
              </w:rPr>
            </w:pPr>
            <w:r>
              <w:rPr>
                <w:rFonts w:ascii="Arial" w:cs="Arial" w:eastAsia="Arial" w:hAnsi="Arial"/>
                <w:sz w:val="14"/>
                <w:szCs w:val="14"/>
                <w:b w:val="1"/>
                <w:bCs w:val="1"/>
                <w:color w:val="auto"/>
              </w:rPr>
              <w:t>Adjustment</w:t>
            </w:r>
          </w:p>
        </w:tc>
        <w:tc>
          <w:tcPr>
            <w:tcW w:w="380" w:type="dxa"/>
            <w:vAlign w:val="bottom"/>
          </w:tcPr>
          <w:p>
            <w:pPr>
              <w:spacing w:after="0"/>
              <w:rPr>
                <w:sz w:val="16"/>
                <w:szCs w:val="16"/>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Restated</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4140" w:type="dxa"/>
            <w:vAlign w:val="bottom"/>
            <w:tcBorders>
              <w:bottom w:val="single" w:sz="8" w:color="auto"/>
            </w:tcBorders>
            <w:gridSpan w:val="2"/>
          </w:tcPr>
          <w:p>
            <w:pPr>
              <w:spacing w:after="0"/>
              <w:rPr>
                <w:sz w:val="3"/>
                <w:szCs w:val="3"/>
                <w:color w:val="auto"/>
              </w:rPr>
            </w:pPr>
          </w:p>
        </w:tc>
        <w:tc>
          <w:tcPr>
            <w:tcW w:w="39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3"/>
        </w:trPr>
        <w:tc>
          <w:tcPr>
            <w:tcW w:w="4140" w:type="dxa"/>
            <w:vAlign w:val="bottom"/>
            <w:gridSpan w:val="2"/>
          </w:tcPr>
          <w:p>
            <w:pPr>
              <w:spacing w:after="0"/>
              <w:rPr>
                <w:sz w:val="20"/>
                <w:szCs w:val="20"/>
                <w:color w:val="auto"/>
              </w:rPr>
            </w:pPr>
            <w:r>
              <w:rPr>
                <w:rFonts w:ascii="Arial" w:cs="Arial" w:eastAsia="Arial" w:hAnsi="Arial"/>
                <w:sz w:val="14"/>
                <w:szCs w:val="14"/>
                <w:b w:val="1"/>
                <w:bCs w:val="1"/>
                <w:color w:val="auto"/>
              </w:rPr>
              <w:t>Three Months Ended September 30, 2016</w:t>
            </w:r>
          </w:p>
        </w:tc>
        <w:tc>
          <w:tcPr>
            <w:tcW w:w="39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140" w:type="dxa"/>
            <w:vAlign w:val="bottom"/>
            <w:gridSpan w:val="2"/>
          </w:tcPr>
          <w:p>
            <w:pPr>
              <w:spacing w:after="0"/>
              <w:rPr>
                <w:sz w:val="20"/>
                <w:szCs w:val="20"/>
                <w:color w:val="auto"/>
              </w:rPr>
            </w:pPr>
            <w:r>
              <w:rPr>
                <w:rFonts w:ascii="Arial" w:cs="Arial" w:eastAsia="Arial" w:hAnsi="Arial"/>
                <w:sz w:val="14"/>
                <w:szCs w:val="14"/>
                <w:b w:val="1"/>
                <w:bCs w:val="1"/>
                <w:color w:val="auto"/>
              </w:rPr>
              <w:t>Income Statements</w:t>
            </w:r>
          </w:p>
        </w:tc>
        <w:tc>
          <w:tcPr>
            <w:tcW w:w="39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
        </w:trPr>
        <w:tc>
          <w:tcPr>
            <w:tcW w:w="20" w:type="dxa"/>
            <w:vAlign w:val="bottom"/>
            <w:vMerge w:val="restart"/>
          </w:tcPr>
          <w:p>
            <w:pPr>
              <w:spacing w:after="0"/>
              <w:rPr>
                <w:sz w:val="3"/>
                <w:szCs w:val="3"/>
                <w:color w:val="auto"/>
              </w:rPr>
            </w:pPr>
          </w:p>
        </w:tc>
        <w:tc>
          <w:tcPr>
            <w:tcW w:w="4120" w:type="dxa"/>
            <w:vAlign w:val="bottom"/>
          </w:tcPr>
          <w:p>
            <w:pPr>
              <w:spacing w:after="0"/>
              <w:rPr>
                <w:sz w:val="3"/>
                <w:szCs w:val="3"/>
                <w:color w:val="auto"/>
              </w:rPr>
            </w:pPr>
          </w:p>
        </w:tc>
        <w:tc>
          <w:tcPr>
            <w:tcW w:w="3900" w:type="dxa"/>
            <w:vAlign w:val="bottom"/>
          </w:tcPr>
          <w:p>
            <w:pPr>
              <w:spacing w:after="0"/>
              <w:rPr>
                <w:sz w:val="3"/>
                <w:szCs w:val="3"/>
                <w:color w:val="auto"/>
              </w:rPr>
            </w:pPr>
          </w:p>
        </w:tc>
        <w:tc>
          <w:tcPr>
            <w:tcW w:w="900" w:type="dxa"/>
            <w:vAlign w:val="bottom"/>
          </w:tcPr>
          <w:p>
            <w:pPr>
              <w:spacing w:after="0"/>
              <w:rPr>
                <w:sz w:val="3"/>
                <w:szCs w:val="3"/>
                <w:color w:val="auto"/>
              </w:rPr>
            </w:pPr>
          </w:p>
        </w:tc>
        <w:tc>
          <w:tcPr>
            <w:tcW w:w="300" w:type="dxa"/>
            <w:vAlign w:val="bottom"/>
          </w:tcPr>
          <w:p>
            <w:pPr>
              <w:spacing w:after="0"/>
              <w:rPr>
                <w:sz w:val="3"/>
                <w:szCs w:val="3"/>
                <w:color w:val="auto"/>
              </w:rPr>
            </w:pPr>
          </w:p>
        </w:tc>
        <w:tc>
          <w:tcPr>
            <w:tcW w:w="940" w:type="dxa"/>
            <w:vAlign w:val="bottom"/>
          </w:tcPr>
          <w:p>
            <w:pPr>
              <w:spacing w:after="0"/>
              <w:rPr>
                <w:sz w:val="3"/>
                <w:szCs w:val="3"/>
                <w:color w:val="auto"/>
              </w:rPr>
            </w:pPr>
          </w:p>
        </w:tc>
        <w:tc>
          <w:tcPr>
            <w:tcW w:w="3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12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Revenue</w:t>
            </w:r>
          </w:p>
        </w:tc>
        <w:tc>
          <w:tcPr>
            <w:tcW w:w="3900" w:type="dxa"/>
            <w:vAlign w:val="bottom"/>
            <w:shd w:val="clear" w:color="auto" w:fill="E5E5E5"/>
          </w:tcPr>
          <w:p>
            <w:pPr>
              <w:jc w:val="right"/>
              <w:ind w:right="39"/>
              <w:spacing w:after="0" w:line="202" w:lineRule="exact"/>
              <w:rPr>
                <w:sz w:val="20"/>
                <w:szCs w:val="20"/>
                <w:color w:val="auto"/>
              </w:rPr>
            </w:pPr>
            <w:r>
              <w:rPr>
                <w:rFonts w:ascii="Arial" w:cs="Arial" w:eastAsia="Arial" w:hAnsi="Arial"/>
                <w:sz w:val="18"/>
                <w:szCs w:val="18"/>
                <w:color w:val="auto"/>
              </w:rPr>
              <w:t>$</w:t>
            </w:r>
          </w:p>
        </w:tc>
        <w:tc>
          <w:tcPr>
            <w:tcW w:w="900" w:type="dxa"/>
            <w:vAlign w:val="bottom"/>
            <w:shd w:val="clear" w:color="auto" w:fill="E5E5E5"/>
          </w:tcPr>
          <w:p>
            <w:pPr>
              <w:jc w:val="right"/>
              <w:ind w:right="20"/>
              <w:spacing w:after="0" w:line="202" w:lineRule="exact"/>
              <w:rPr>
                <w:sz w:val="20"/>
                <w:szCs w:val="20"/>
                <w:color w:val="auto"/>
              </w:rPr>
            </w:pPr>
            <w:r>
              <w:rPr>
                <w:rFonts w:ascii="Arial" w:cs="Arial" w:eastAsia="Arial" w:hAnsi="Arial"/>
                <w:sz w:val="18"/>
                <w:szCs w:val="18"/>
                <w:color w:val="auto"/>
              </w:rPr>
              <w:t>20,453</w:t>
            </w:r>
          </w:p>
        </w:tc>
        <w:tc>
          <w:tcPr>
            <w:tcW w:w="30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shd w:val="clear" w:color="auto" w:fill="E5E5E5"/>
          </w:tcPr>
          <w:p>
            <w:pPr>
              <w:jc w:val="right"/>
              <w:ind w:right="41"/>
              <w:spacing w:after="0" w:line="202" w:lineRule="exact"/>
              <w:rPr>
                <w:sz w:val="20"/>
                <w:szCs w:val="20"/>
                <w:color w:val="auto"/>
              </w:rPr>
            </w:pPr>
            <w:r>
              <w:rPr>
                <w:rFonts w:ascii="Arial" w:cs="Arial" w:eastAsia="Arial" w:hAnsi="Arial"/>
                <w:sz w:val="18"/>
                <w:szCs w:val="18"/>
                <w:color w:val="auto"/>
              </w:rPr>
              <w:t>1,475</w:t>
            </w:r>
          </w:p>
        </w:tc>
        <w:tc>
          <w:tcPr>
            <w:tcW w:w="380" w:type="dxa"/>
            <w:vAlign w:val="bottom"/>
            <w:shd w:val="clear" w:color="auto" w:fill="E5E5E5"/>
          </w:tcPr>
          <w:p>
            <w:pPr>
              <w:jc w:val="right"/>
              <w:ind w:right="90"/>
              <w:spacing w:after="0" w:line="202" w:lineRule="exact"/>
              <w:rPr>
                <w:sz w:val="20"/>
                <w:szCs w:val="20"/>
                <w:color w:val="auto"/>
              </w:rPr>
            </w:pPr>
            <w:r>
              <w:rPr>
                <w:rFonts w:ascii="Arial" w:cs="Arial" w:eastAsia="Arial" w:hAnsi="Arial"/>
                <w:sz w:val="18"/>
                <w:szCs w:val="18"/>
                <w:color w:val="auto"/>
              </w:rPr>
              <w:t>$</w:t>
            </w:r>
          </w:p>
        </w:tc>
        <w:tc>
          <w:tcPr>
            <w:tcW w:w="86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21,928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20" w:type="dxa"/>
            <w:vAlign w:val="bottom"/>
          </w:tcPr>
          <w:p>
            <w:pPr>
              <w:spacing w:after="0" w:line="202" w:lineRule="exact"/>
              <w:rPr>
                <w:sz w:val="20"/>
                <w:szCs w:val="20"/>
                <w:color w:val="auto"/>
              </w:rPr>
            </w:pPr>
            <w:r>
              <w:rPr>
                <w:rFonts w:ascii="Arial" w:cs="Arial" w:eastAsia="Arial" w:hAnsi="Arial"/>
                <w:sz w:val="18"/>
                <w:szCs w:val="18"/>
                <w:color w:val="auto"/>
              </w:rPr>
              <w:t>Provision for income taxes</w:t>
            </w:r>
          </w:p>
        </w:tc>
        <w:tc>
          <w:tcPr>
            <w:tcW w:w="3900" w:type="dxa"/>
            <w:vAlign w:val="bottom"/>
          </w:tcPr>
          <w:p>
            <w:pPr>
              <w:spacing w:after="0"/>
              <w:rPr>
                <w:sz w:val="17"/>
                <w:szCs w:val="17"/>
                <w:color w:val="auto"/>
              </w:rPr>
            </w:pPr>
          </w:p>
        </w:tc>
        <w:tc>
          <w:tcPr>
            <w:tcW w:w="900" w:type="dxa"/>
            <w:vAlign w:val="bottom"/>
          </w:tcPr>
          <w:p>
            <w:pPr>
              <w:jc w:val="right"/>
              <w:ind w:right="20"/>
              <w:spacing w:after="0" w:line="202" w:lineRule="exact"/>
              <w:rPr>
                <w:sz w:val="20"/>
                <w:szCs w:val="20"/>
                <w:color w:val="auto"/>
              </w:rPr>
            </w:pPr>
            <w:r>
              <w:rPr>
                <w:rFonts w:ascii="Arial" w:cs="Arial" w:eastAsia="Arial" w:hAnsi="Arial"/>
                <w:sz w:val="18"/>
                <w:szCs w:val="18"/>
                <w:color w:val="auto"/>
              </w:rPr>
              <w:t>635</w:t>
            </w:r>
          </w:p>
        </w:tc>
        <w:tc>
          <w:tcPr>
            <w:tcW w:w="300" w:type="dxa"/>
            <w:vAlign w:val="bottom"/>
          </w:tcPr>
          <w:p>
            <w:pPr>
              <w:spacing w:after="0"/>
              <w:rPr>
                <w:sz w:val="17"/>
                <w:szCs w:val="17"/>
                <w:color w:val="auto"/>
              </w:rPr>
            </w:pPr>
          </w:p>
        </w:tc>
        <w:tc>
          <w:tcPr>
            <w:tcW w:w="940" w:type="dxa"/>
            <w:vAlign w:val="bottom"/>
          </w:tcPr>
          <w:p>
            <w:pPr>
              <w:jc w:val="right"/>
              <w:ind w:right="41"/>
              <w:spacing w:after="0" w:line="202" w:lineRule="exact"/>
              <w:rPr>
                <w:sz w:val="20"/>
                <w:szCs w:val="20"/>
                <w:color w:val="auto"/>
              </w:rPr>
            </w:pPr>
            <w:r>
              <w:rPr>
                <w:rFonts w:ascii="Arial" w:cs="Arial" w:eastAsia="Arial" w:hAnsi="Arial"/>
                <w:sz w:val="18"/>
                <w:szCs w:val="18"/>
                <w:color w:val="auto"/>
              </w:rPr>
              <w:t>525</w:t>
            </w:r>
          </w:p>
        </w:tc>
        <w:tc>
          <w:tcPr>
            <w:tcW w:w="380" w:type="dxa"/>
            <w:vAlign w:val="bottom"/>
          </w:tcPr>
          <w:p>
            <w:pPr>
              <w:spacing w:after="0"/>
              <w:rPr>
                <w:sz w:val="17"/>
                <w:szCs w:val="17"/>
                <w:color w:val="auto"/>
              </w:rPr>
            </w:pPr>
          </w:p>
        </w:tc>
        <w:tc>
          <w:tcPr>
            <w:tcW w:w="8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1,160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2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Net income</w:t>
            </w:r>
          </w:p>
        </w:tc>
        <w:tc>
          <w:tcPr>
            <w:tcW w:w="3900" w:type="dxa"/>
            <w:vAlign w:val="bottom"/>
            <w:shd w:val="clear" w:color="auto" w:fill="E5E5E5"/>
          </w:tcPr>
          <w:p>
            <w:pPr>
              <w:spacing w:after="0"/>
              <w:rPr>
                <w:sz w:val="17"/>
                <w:szCs w:val="17"/>
                <w:color w:val="auto"/>
              </w:rPr>
            </w:pPr>
          </w:p>
        </w:tc>
        <w:tc>
          <w:tcPr>
            <w:tcW w:w="900" w:type="dxa"/>
            <w:vAlign w:val="bottom"/>
            <w:shd w:val="clear" w:color="auto" w:fill="E5E5E5"/>
          </w:tcPr>
          <w:p>
            <w:pPr>
              <w:jc w:val="right"/>
              <w:ind w:right="20"/>
              <w:spacing w:after="0" w:line="202" w:lineRule="exact"/>
              <w:rPr>
                <w:sz w:val="20"/>
                <w:szCs w:val="20"/>
                <w:color w:val="auto"/>
              </w:rPr>
            </w:pPr>
            <w:r>
              <w:rPr>
                <w:rFonts w:ascii="Arial" w:cs="Arial" w:eastAsia="Arial" w:hAnsi="Arial"/>
                <w:sz w:val="18"/>
                <w:szCs w:val="18"/>
                <w:color w:val="auto"/>
              </w:rPr>
              <w:t>4,690</w:t>
            </w:r>
          </w:p>
        </w:tc>
        <w:tc>
          <w:tcPr>
            <w:tcW w:w="300" w:type="dxa"/>
            <w:vAlign w:val="bottom"/>
            <w:shd w:val="clear" w:color="auto" w:fill="E5E5E5"/>
          </w:tcPr>
          <w:p>
            <w:pPr>
              <w:spacing w:after="0"/>
              <w:rPr>
                <w:sz w:val="17"/>
                <w:szCs w:val="17"/>
                <w:color w:val="auto"/>
              </w:rPr>
            </w:pPr>
          </w:p>
        </w:tc>
        <w:tc>
          <w:tcPr>
            <w:tcW w:w="940" w:type="dxa"/>
            <w:vAlign w:val="bottom"/>
            <w:shd w:val="clear" w:color="auto" w:fill="E5E5E5"/>
          </w:tcPr>
          <w:p>
            <w:pPr>
              <w:jc w:val="right"/>
              <w:ind w:right="41"/>
              <w:spacing w:after="0" w:line="202" w:lineRule="exact"/>
              <w:rPr>
                <w:sz w:val="20"/>
                <w:szCs w:val="20"/>
                <w:color w:val="auto"/>
              </w:rPr>
            </w:pPr>
            <w:r>
              <w:rPr>
                <w:rFonts w:ascii="Arial" w:cs="Arial" w:eastAsia="Arial" w:hAnsi="Arial"/>
                <w:sz w:val="18"/>
                <w:szCs w:val="18"/>
                <w:color w:val="auto"/>
              </w:rPr>
              <w:t>977</w:t>
            </w:r>
          </w:p>
        </w:tc>
        <w:tc>
          <w:tcPr>
            <w:tcW w:w="380" w:type="dxa"/>
            <w:vAlign w:val="bottom"/>
            <w:shd w:val="clear" w:color="auto" w:fill="E5E5E5"/>
          </w:tcPr>
          <w:p>
            <w:pPr>
              <w:spacing w:after="0"/>
              <w:rPr>
                <w:sz w:val="17"/>
                <w:szCs w:val="17"/>
                <w:color w:val="auto"/>
              </w:rPr>
            </w:pPr>
          </w:p>
        </w:tc>
        <w:tc>
          <w:tcPr>
            <w:tcW w:w="86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5,667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Diluted earnings per share</w:t>
            </w:r>
          </w:p>
        </w:tc>
        <w:tc>
          <w:tcPr>
            <w:tcW w:w="3900" w:type="dxa"/>
            <w:vAlign w:val="bottom"/>
          </w:tcPr>
          <w:p>
            <w:pPr>
              <w:spacing w:after="0"/>
              <w:rPr>
                <w:sz w:val="22"/>
                <w:szCs w:val="22"/>
                <w:color w:val="auto"/>
              </w:rPr>
            </w:pPr>
          </w:p>
        </w:tc>
        <w:tc>
          <w:tcPr>
            <w:tcW w:w="900" w:type="dxa"/>
            <w:vAlign w:val="bottom"/>
          </w:tcPr>
          <w:p>
            <w:pPr>
              <w:jc w:val="right"/>
              <w:ind w:right="20"/>
              <w:spacing w:after="0"/>
              <w:rPr>
                <w:sz w:val="20"/>
                <w:szCs w:val="20"/>
                <w:color w:val="auto"/>
              </w:rPr>
            </w:pPr>
            <w:r>
              <w:rPr>
                <w:rFonts w:ascii="Arial" w:cs="Arial" w:eastAsia="Arial" w:hAnsi="Arial"/>
                <w:sz w:val="18"/>
                <w:szCs w:val="18"/>
                <w:color w:val="auto"/>
              </w:rPr>
              <w:t>0.60</w:t>
            </w:r>
          </w:p>
        </w:tc>
        <w:tc>
          <w:tcPr>
            <w:tcW w:w="300" w:type="dxa"/>
            <w:vAlign w:val="bottom"/>
          </w:tcPr>
          <w:p>
            <w:pPr>
              <w:spacing w:after="0"/>
              <w:rPr>
                <w:sz w:val="22"/>
                <w:szCs w:val="22"/>
                <w:color w:val="auto"/>
              </w:rPr>
            </w:pPr>
          </w:p>
        </w:tc>
        <w:tc>
          <w:tcPr>
            <w:tcW w:w="940" w:type="dxa"/>
            <w:vAlign w:val="bottom"/>
          </w:tcPr>
          <w:p>
            <w:pPr>
              <w:jc w:val="right"/>
              <w:ind w:right="41"/>
              <w:spacing w:after="0"/>
              <w:rPr>
                <w:sz w:val="20"/>
                <w:szCs w:val="20"/>
                <w:color w:val="auto"/>
              </w:rPr>
            </w:pPr>
            <w:r>
              <w:rPr>
                <w:rFonts w:ascii="Arial" w:cs="Arial" w:eastAsia="Arial" w:hAnsi="Arial"/>
                <w:sz w:val="18"/>
                <w:szCs w:val="18"/>
                <w:color w:val="auto"/>
              </w:rPr>
              <w:t>0.12</w:t>
            </w:r>
          </w:p>
        </w:tc>
        <w:tc>
          <w:tcPr>
            <w:tcW w:w="380" w:type="dxa"/>
            <w:vAlign w:val="bottom"/>
          </w:tcPr>
          <w:p>
            <w:pPr>
              <w:spacing w:after="0"/>
              <w:rPr>
                <w:sz w:val="22"/>
                <w:szCs w:val="22"/>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0.72</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4120" w:type="dxa"/>
            <w:vAlign w:val="bottom"/>
            <w:tcBorders>
              <w:bottom w:val="single" w:sz="8" w:color="auto"/>
            </w:tcBorders>
          </w:tcPr>
          <w:p>
            <w:pPr>
              <w:spacing w:after="0"/>
              <w:rPr>
                <w:sz w:val="5"/>
                <w:szCs w:val="5"/>
                <w:color w:val="auto"/>
              </w:rPr>
            </w:pPr>
          </w:p>
        </w:tc>
        <w:tc>
          <w:tcPr>
            <w:tcW w:w="390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93"/>
        </w:trPr>
        <w:tc>
          <w:tcPr>
            <w:tcW w:w="2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3900" w:type="dxa"/>
            <w:vAlign w:val="bottom"/>
          </w:tcPr>
          <w:p>
            <w:pPr>
              <w:jc w:val="right"/>
              <w:ind w:right="2159"/>
              <w:spacing w:after="0"/>
              <w:rPr>
                <w:sz w:val="20"/>
                <w:szCs w:val="20"/>
                <w:color w:val="auto"/>
              </w:rPr>
            </w:pPr>
            <w:r>
              <w:rPr>
                <w:rFonts w:ascii="Arial" w:cs="Arial" w:eastAsia="Arial" w:hAnsi="Arial"/>
                <w:sz w:val="14"/>
                <w:szCs w:val="14"/>
                <w:color w:val="auto"/>
              </w:rPr>
              <w:t>12</w:t>
            </w: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4120" w:type="dxa"/>
            <w:vAlign w:val="bottom"/>
            <w:tcBorders>
              <w:bottom w:val="single" w:sz="8" w:color="9A9A9A"/>
            </w:tcBorders>
          </w:tcPr>
          <w:p>
            <w:pPr>
              <w:spacing w:after="0"/>
              <w:rPr>
                <w:sz w:val="8"/>
                <w:szCs w:val="8"/>
                <w:color w:val="auto"/>
              </w:rPr>
            </w:pPr>
          </w:p>
        </w:tc>
        <w:tc>
          <w:tcPr>
            <w:tcW w:w="3900" w:type="dxa"/>
            <w:vAlign w:val="bottom"/>
            <w:tcBorders>
              <w:bottom w:val="single" w:sz="8" w:color="9A9A9A"/>
            </w:tcBorders>
          </w:tcPr>
          <w:p>
            <w:pPr>
              <w:spacing w:after="0"/>
              <w:rPr>
                <w:sz w:val="8"/>
                <w:szCs w:val="8"/>
                <w:color w:val="auto"/>
              </w:rPr>
            </w:pPr>
          </w:p>
        </w:tc>
        <w:tc>
          <w:tcPr>
            <w:tcW w:w="90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940" w:type="dxa"/>
            <w:vAlign w:val="bottom"/>
            <w:tcBorders>
              <w:bottom w:val="single" w:sz="8" w:color="9A9A9A"/>
            </w:tcBorders>
          </w:tcPr>
          <w:p>
            <w:pPr>
              <w:spacing w:after="0"/>
              <w:rPr>
                <w:sz w:val="8"/>
                <w:szCs w:val="8"/>
                <w:color w:val="auto"/>
              </w:rPr>
            </w:pPr>
          </w:p>
        </w:tc>
        <w:tc>
          <w:tcPr>
            <w:tcW w:w="380" w:type="dxa"/>
            <w:vAlign w:val="bottom"/>
            <w:tcBorders>
              <w:bottom w:val="single" w:sz="8" w:color="9A9A9A"/>
            </w:tcBorders>
          </w:tcPr>
          <w:p>
            <w:pPr>
              <w:spacing w:after="0"/>
              <w:rPr>
                <w:sz w:val="8"/>
                <w:szCs w:val="8"/>
                <w:color w:val="auto"/>
              </w:rPr>
            </w:pPr>
          </w:p>
        </w:tc>
        <w:tc>
          <w:tcPr>
            <w:tcW w:w="7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12" w:name="page13"/>
    <w:bookmarkEnd w:id="12"/>
    <w:p>
      <w:pPr>
        <w:ind w:left="5500"/>
        <w:spacing w:after="0"/>
        <w:rPr>
          <w:sz w:val="20"/>
          <w:szCs w:val="20"/>
          <w:color w:val="auto"/>
        </w:rPr>
      </w:pPr>
      <w:r>
        <w:rPr>
          <w:rFonts w:ascii="Arial" w:cs="Arial" w:eastAsia="Arial" w:hAnsi="Arial"/>
          <w:sz w:val="14"/>
          <w:szCs w:val="14"/>
          <w:u w:val="single" w:color="auto"/>
          <w:color w:val="auto"/>
        </w:rPr>
        <w:t>PART I</w:t>
      </w:r>
    </w:p>
    <w:p>
      <w:pPr>
        <w:spacing w:after="0" w:line="5" w:lineRule="exact"/>
        <w:rPr>
          <w:sz w:val="20"/>
          <w:szCs w:val="20"/>
          <w:color w:val="auto"/>
        </w:rPr>
      </w:pPr>
    </w:p>
    <w:p>
      <w:pPr>
        <w:ind w:left="5520"/>
        <w:spacing w:after="0"/>
        <w:rPr>
          <w:sz w:val="20"/>
          <w:szCs w:val="20"/>
          <w:color w:val="auto"/>
        </w:rPr>
      </w:pPr>
      <w:r>
        <w:rPr>
          <w:rFonts w:ascii="Arial" w:cs="Arial" w:eastAsia="Arial" w:hAnsi="Arial"/>
          <w:sz w:val="14"/>
          <w:szCs w:val="14"/>
          <w:color w:val="auto"/>
        </w:rPr>
        <w:t>Item 1</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40" w:type="dxa"/>
            <w:vAlign w:val="bottom"/>
            <w:vMerge w:val="restart"/>
          </w:tcPr>
          <w:p>
            <w:pPr>
              <w:jc w:val="right"/>
              <w:ind w:right="36"/>
              <w:spacing w:after="0"/>
              <w:rPr>
                <w:sz w:val="20"/>
                <w:szCs w:val="20"/>
                <w:color w:val="auto"/>
              </w:rPr>
            </w:pPr>
            <w:r>
              <w:rPr>
                <w:rFonts w:ascii="Arial" w:cs="Arial" w:eastAsia="Arial" w:hAnsi="Arial"/>
                <w:sz w:val="14"/>
                <w:szCs w:val="14"/>
                <w:b w:val="1"/>
                <w:bCs w:val="1"/>
                <w:color w:val="auto"/>
              </w:rPr>
              <w:t>As</w:t>
            </w:r>
          </w:p>
        </w:tc>
        <w:tc>
          <w:tcPr>
            <w:tcW w:w="320" w:type="dxa"/>
            <w:vAlign w:val="bottom"/>
          </w:tcPr>
          <w:p>
            <w:pPr>
              <w:spacing w:after="0"/>
              <w:rPr>
                <w:sz w:val="14"/>
                <w:szCs w:val="14"/>
                <w:color w:val="auto"/>
              </w:rPr>
            </w:pPr>
          </w:p>
        </w:tc>
        <w:tc>
          <w:tcPr>
            <w:tcW w:w="980" w:type="dxa"/>
            <w:vAlign w:val="bottom"/>
          </w:tcPr>
          <w:p>
            <w:pPr>
              <w:jc w:val="right"/>
              <w:ind w:right="57"/>
              <w:spacing w:after="0"/>
              <w:rPr>
                <w:sz w:val="20"/>
                <w:szCs w:val="20"/>
                <w:color w:val="auto"/>
              </w:rPr>
            </w:pPr>
            <w:r>
              <w:rPr>
                <w:rFonts w:ascii="Arial" w:cs="Arial" w:eastAsia="Arial" w:hAnsi="Arial"/>
                <w:sz w:val="14"/>
                <w:szCs w:val="14"/>
                <w:b w:val="1"/>
                <w:bCs w:val="1"/>
                <w:color w:val="auto"/>
              </w:rPr>
              <w:t>New</w:t>
            </w:r>
          </w:p>
        </w:tc>
        <w:tc>
          <w:tcPr>
            <w:tcW w:w="260" w:type="dxa"/>
            <w:vAlign w:val="bottom"/>
          </w:tcPr>
          <w:p>
            <w:pPr>
              <w:spacing w:after="0"/>
              <w:rPr>
                <w:sz w:val="14"/>
                <w:szCs w:val="14"/>
                <w:color w:val="auto"/>
              </w:rPr>
            </w:pPr>
          </w:p>
        </w:tc>
        <w:tc>
          <w:tcPr>
            <w:tcW w:w="940" w:type="dxa"/>
            <w:vAlign w:val="bottom"/>
            <w:vMerge w:val="restart"/>
          </w:tcPr>
          <w:p>
            <w:pPr>
              <w:jc w:val="right"/>
              <w:ind w:right="36"/>
              <w:spacing w:after="0"/>
              <w:rPr>
                <w:sz w:val="20"/>
                <w:szCs w:val="20"/>
                <w:color w:val="auto"/>
              </w:rPr>
            </w:pPr>
            <w:r>
              <w:rPr>
                <w:rFonts w:ascii="Arial" w:cs="Arial" w:eastAsia="Arial" w:hAnsi="Arial"/>
                <w:sz w:val="14"/>
                <w:szCs w:val="14"/>
                <w:b w:val="1"/>
                <w:bCs w:val="1"/>
                <w:color w:val="auto"/>
              </w:rPr>
              <w:t>New Lease</w:t>
            </w:r>
          </w:p>
        </w:tc>
        <w:tc>
          <w:tcPr>
            <w:tcW w:w="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980" w:type="dxa"/>
            <w:vAlign w:val="bottom"/>
          </w:tcPr>
          <w:p>
            <w:pPr>
              <w:jc w:val="right"/>
              <w:ind w:right="57"/>
              <w:spacing w:after="0" w:line="149" w:lineRule="exact"/>
              <w:rPr>
                <w:sz w:val="20"/>
                <w:szCs w:val="20"/>
                <w:color w:val="auto"/>
              </w:rPr>
            </w:pPr>
            <w:r>
              <w:rPr>
                <w:rFonts w:ascii="Arial" w:cs="Arial" w:eastAsia="Arial" w:hAnsi="Arial"/>
                <w:sz w:val="14"/>
                <w:szCs w:val="14"/>
                <w:b w:val="1"/>
                <w:bCs w:val="1"/>
                <w:color w:val="auto"/>
              </w:rPr>
              <w:t>Revenue</w:t>
            </w:r>
          </w:p>
        </w:tc>
        <w:tc>
          <w:tcPr>
            <w:tcW w:w="26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84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rPr>
              <w:t>As</w:t>
            </w:r>
          </w:p>
        </w:tc>
        <w:tc>
          <w:tcPr>
            <w:tcW w:w="0" w:type="dxa"/>
            <w:vAlign w:val="bottom"/>
          </w:tcPr>
          <w:p>
            <w:pPr>
              <w:spacing w:after="0"/>
              <w:rPr>
                <w:sz w:val="1"/>
                <w:szCs w:val="1"/>
                <w:color w:val="auto"/>
              </w:rPr>
            </w:pPr>
          </w:p>
        </w:tc>
      </w:tr>
      <w:tr>
        <w:trPr>
          <w:trHeight w:val="149"/>
        </w:trPr>
        <w:tc>
          <w:tcPr>
            <w:tcW w:w="56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w:t>
            </w:r>
          </w:p>
        </w:tc>
        <w:tc>
          <w:tcPr>
            <w:tcW w:w="1120" w:type="dxa"/>
            <w:vAlign w:val="bottom"/>
          </w:tcPr>
          <w:p>
            <w:pPr>
              <w:spacing w:after="0"/>
              <w:rPr>
                <w:sz w:val="12"/>
                <w:szCs w:val="12"/>
                <w:color w:val="auto"/>
              </w:rPr>
            </w:pPr>
          </w:p>
        </w:tc>
        <w:tc>
          <w:tcPr>
            <w:tcW w:w="940" w:type="dxa"/>
            <w:vAlign w:val="bottom"/>
          </w:tcPr>
          <w:p>
            <w:pPr>
              <w:jc w:val="right"/>
              <w:ind w:right="36"/>
              <w:spacing w:after="0" w:line="149" w:lineRule="exact"/>
              <w:rPr>
                <w:sz w:val="20"/>
                <w:szCs w:val="20"/>
                <w:color w:val="auto"/>
              </w:rPr>
            </w:pPr>
            <w:r>
              <w:rPr>
                <w:rFonts w:ascii="Arial" w:cs="Arial" w:eastAsia="Arial" w:hAnsi="Arial"/>
                <w:sz w:val="14"/>
                <w:szCs w:val="14"/>
                <w:b w:val="1"/>
                <w:bCs w:val="1"/>
                <w:color w:val="auto"/>
              </w:rPr>
              <w:t>Previously</w:t>
            </w:r>
          </w:p>
        </w:tc>
        <w:tc>
          <w:tcPr>
            <w:tcW w:w="320" w:type="dxa"/>
            <w:vAlign w:val="bottom"/>
          </w:tcPr>
          <w:p>
            <w:pPr>
              <w:spacing w:after="0"/>
              <w:rPr>
                <w:sz w:val="12"/>
                <w:szCs w:val="12"/>
                <w:color w:val="auto"/>
              </w:rPr>
            </w:pPr>
          </w:p>
        </w:tc>
        <w:tc>
          <w:tcPr>
            <w:tcW w:w="980" w:type="dxa"/>
            <w:vAlign w:val="bottom"/>
          </w:tcPr>
          <w:p>
            <w:pPr>
              <w:jc w:val="right"/>
              <w:ind w:right="57"/>
              <w:spacing w:after="0" w:line="149" w:lineRule="exact"/>
              <w:rPr>
                <w:sz w:val="20"/>
                <w:szCs w:val="20"/>
                <w:color w:val="auto"/>
              </w:rPr>
            </w:pPr>
            <w:r>
              <w:rPr>
                <w:rFonts w:ascii="Arial" w:cs="Arial" w:eastAsia="Arial" w:hAnsi="Arial"/>
                <w:sz w:val="14"/>
                <w:szCs w:val="14"/>
                <w:b w:val="1"/>
                <w:bCs w:val="1"/>
                <w:color w:val="auto"/>
              </w:rPr>
              <w:t>Standard</w:t>
            </w:r>
          </w:p>
        </w:tc>
        <w:tc>
          <w:tcPr>
            <w:tcW w:w="260" w:type="dxa"/>
            <w:vAlign w:val="bottom"/>
          </w:tcPr>
          <w:p>
            <w:pPr>
              <w:spacing w:after="0"/>
              <w:rPr>
                <w:sz w:val="12"/>
                <w:szCs w:val="12"/>
                <w:color w:val="auto"/>
              </w:rPr>
            </w:pPr>
          </w:p>
        </w:tc>
        <w:tc>
          <w:tcPr>
            <w:tcW w:w="940" w:type="dxa"/>
            <w:vAlign w:val="bottom"/>
          </w:tcPr>
          <w:p>
            <w:pPr>
              <w:jc w:val="right"/>
              <w:ind w:right="36"/>
              <w:spacing w:after="0" w:line="149" w:lineRule="exact"/>
              <w:rPr>
                <w:sz w:val="20"/>
                <w:szCs w:val="20"/>
                <w:color w:val="auto"/>
              </w:rPr>
            </w:pPr>
            <w:r>
              <w:rPr>
                <w:rFonts w:ascii="Arial" w:cs="Arial" w:eastAsia="Arial" w:hAnsi="Arial"/>
                <w:sz w:val="14"/>
                <w:szCs w:val="14"/>
                <w:b w:val="1"/>
                <w:bCs w:val="1"/>
                <w:color w:val="auto"/>
              </w:rPr>
              <w:t>Standard</w:t>
            </w:r>
          </w:p>
        </w:tc>
        <w:tc>
          <w:tcPr>
            <w:tcW w:w="38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5640" w:type="dxa"/>
            <w:vAlign w:val="bottom"/>
            <w:gridSpan w:val="2"/>
            <w:vMerge w:val="continue"/>
          </w:tcPr>
          <w:p>
            <w:pPr>
              <w:spacing w:after="0"/>
              <w:rPr>
                <w:sz w:val="16"/>
                <w:szCs w:val="16"/>
                <w:color w:val="auto"/>
              </w:rPr>
            </w:pPr>
          </w:p>
        </w:tc>
        <w:tc>
          <w:tcPr>
            <w:tcW w:w="1120" w:type="dxa"/>
            <w:vAlign w:val="bottom"/>
          </w:tcPr>
          <w:p>
            <w:pPr>
              <w:spacing w:after="0"/>
              <w:rPr>
                <w:sz w:val="16"/>
                <w:szCs w:val="16"/>
                <w:color w:val="auto"/>
              </w:rPr>
            </w:pPr>
          </w:p>
        </w:tc>
        <w:tc>
          <w:tcPr>
            <w:tcW w:w="940" w:type="dxa"/>
            <w:vAlign w:val="bottom"/>
          </w:tcPr>
          <w:p>
            <w:pPr>
              <w:jc w:val="right"/>
              <w:ind w:right="36"/>
              <w:spacing w:after="0"/>
              <w:rPr>
                <w:sz w:val="20"/>
                <w:szCs w:val="20"/>
                <w:color w:val="auto"/>
              </w:rPr>
            </w:pPr>
            <w:r>
              <w:rPr>
                <w:rFonts w:ascii="Arial" w:cs="Arial" w:eastAsia="Arial" w:hAnsi="Arial"/>
                <w:sz w:val="14"/>
                <w:szCs w:val="14"/>
                <w:b w:val="1"/>
                <w:bCs w:val="1"/>
                <w:color w:val="auto"/>
              </w:rPr>
              <w:t>Reported</w:t>
            </w:r>
          </w:p>
        </w:tc>
        <w:tc>
          <w:tcPr>
            <w:tcW w:w="320" w:type="dxa"/>
            <w:vAlign w:val="bottom"/>
          </w:tcPr>
          <w:p>
            <w:pPr>
              <w:spacing w:after="0"/>
              <w:rPr>
                <w:sz w:val="16"/>
                <w:szCs w:val="16"/>
                <w:color w:val="auto"/>
              </w:rPr>
            </w:pPr>
          </w:p>
        </w:tc>
        <w:tc>
          <w:tcPr>
            <w:tcW w:w="980" w:type="dxa"/>
            <w:vAlign w:val="bottom"/>
          </w:tcPr>
          <w:p>
            <w:pPr>
              <w:jc w:val="right"/>
              <w:ind w:right="57"/>
              <w:spacing w:after="0"/>
              <w:rPr>
                <w:sz w:val="20"/>
                <w:szCs w:val="20"/>
                <w:color w:val="auto"/>
              </w:rPr>
            </w:pPr>
            <w:r>
              <w:rPr>
                <w:rFonts w:ascii="Arial" w:cs="Arial" w:eastAsia="Arial" w:hAnsi="Arial"/>
                <w:sz w:val="14"/>
                <w:szCs w:val="14"/>
                <w:b w:val="1"/>
                <w:bCs w:val="1"/>
                <w:color w:val="auto"/>
              </w:rPr>
              <w:t>Adjustment</w:t>
            </w:r>
          </w:p>
        </w:tc>
        <w:tc>
          <w:tcPr>
            <w:tcW w:w="260" w:type="dxa"/>
            <w:vAlign w:val="bottom"/>
          </w:tcPr>
          <w:p>
            <w:pPr>
              <w:spacing w:after="0"/>
              <w:rPr>
                <w:sz w:val="16"/>
                <w:szCs w:val="16"/>
                <w:color w:val="auto"/>
              </w:rPr>
            </w:pPr>
          </w:p>
        </w:tc>
        <w:tc>
          <w:tcPr>
            <w:tcW w:w="940" w:type="dxa"/>
            <w:vAlign w:val="bottom"/>
          </w:tcPr>
          <w:p>
            <w:pPr>
              <w:jc w:val="right"/>
              <w:ind w:right="36"/>
              <w:spacing w:after="0"/>
              <w:rPr>
                <w:sz w:val="20"/>
                <w:szCs w:val="20"/>
                <w:color w:val="auto"/>
              </w:rPr>
            </w:pPr>
            <w:r>
              <w:rPr>
                <w:rFonts w:ascii="Arial" w:cs="Arial" w:eastAsia="Arial" w:hAnsi="Arial"/>
                <w:sz w:val="14"/>
                <w:szCs w:val="14"/>
                <w:b w:val="1"/>
                <w:bCs w:val="1"/>
                <w:color w:val="auto"/>
              </w:rPr>
              <w:t>Adjustment</w:t>
            </w:r>
          </w:p>
        </w:tc>
        <w:tc>
          <w:tcPr>
            <w:tcW w:w="380" w:type="dxa"/>
            <w:vAlign w:val="bottom"/>
          </w:tcPr>
          <w:p>
            <w:pPr>
              <w:spacing w:after="0"/>
              <w:rPr>
                <w:sz w:val="16"/>
                <w:szCs w:val="16"/>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Restated</w:t>
            </w:r>
          </w:p>
        </w:tc>
        <w:tc>
          <w:tcPr>
            <w:tcW w:w="0" w:type="dxa"/>
            <w:vAlign w:val="bottom"/>
          </w:tcPr>
          <w:p>
            <w:pPr>
              <w:spacing w:after="0"/>
              <w:rPr>
                <w:sz w:val="1"/>
                <w:szCs w:val="1"/>
                <w:color w:val="auto"/>
              </w:rPr>
            </w:pPr>
          </w:p>
        </w:tc>
      </w:tr>
      <w:tr>
        <w:trPr>
          <w:trHeight w:val="45"/>
        </w:trPr>
        <w:tc>
          <w:tcPr>
            <w:tcW w:w="5640" w:type="dxa"/>
            <w:vAlign w:val="bottom"/>
            <w:tcBorders>
              <w:bottom w:val="single" w:sz="8" w:color="auto"/>
            </w:tcBorders>
            <w:gridSpan w:val="2"/>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3"/>
        </w:trPr>
        <w:tc>
          <w:tcPr>
            <w:tcW w:w="5640" w:type="dxa"/>
            <w:vAlign w:val="bottom"/>
            <w:gridSpan w:val="2"/>
          </w:tcPr>
          <w:p>
            <w:pPr>
              <w:spacing w:after="0"/>
              <w:rPr>
                <w:sz w:val="20"/>
                <w:szCs w:val="20"/>
                <w:color w:val="auto"/>
              </w:rPr>
            </w:pPr>
            <w:r>
              <w:rPr>
                <w:rFonts w:ascii="Arial" w:cs="Arial" w:eastAsia="Arial" w:hAnsi="Arial"/>
                <w:sz w:val="14"/>
                <w:szCs w:val="14"/>
                <w:b w:val="1"/>
                <w:bCs w:val="1"/>
                <w:color w:val="auto"/>
              </w:rPr>
              <w:t>June 30, 2017</w:t>
            </w:r>
          </w:p>
        </w:tc>
        <w:tc>
          <w:tcPr>
            <w:tcW w:w="1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640" w:type="dxa"/>
            <w:vAlign w:val="bottom"/>
            <w:gridSpan w:val="2"/>
          </w:tcPr>
          <w:p>
            <w:pPr>
              <w:spacing w:after="0"/>
              <w:rPr>
                <w:sz w:val="20"/>
                <w:szCs w:val="20"/>
                <w:color w:val="auto"/>
              </w:rPr>
            </w:pPr>
            <w:r>
              <w:rPr>
                <w:rFonts w:ascii="Arial" w:cs="Arial" w:eastAsia="Arial" w:hAnsi="Arial"/>
                <w:sz w:val="14"/>
                <w:szCs w:val="14"/>
                <w:b w:val="1"/>
                <w:bCs w:val="1"/>
                <w:color w:val="auto"/>
              </w:rPr>
              <w:t>Balance Sheets</w:t>
            </w:r>
          </w:p>
        </w:tc>
        <w:tc>
          <w:tcPr>
            <w:tcW w:w="1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
        </w:trPr>
        <w:tc>
          <w:tcPr>
            <w:tcW w:w="20" w:type="dxa"/>
            <w:vAlign w:val="bottom"/>
            <w:vMerge w:val="restart"/>
          </w:tcPr>
          <w:p>
            <w:pPr>
              <w:spacing w:after="0"/>
              <w:rPr>
                <w:sz w:val="3"/>
                <w:szCs w:val="3"/>
                <w:color w:val="auto"/>
              </w:rPr>
            </w:pPr>
          </w:p>
        </w:tc>
        <w:tc>
          <w:tcPr>
            <w:tcW w:w="56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940" w:type="dxa"/>
            <w:vAlign w:val="bottom"/>
          </w:tcPr>
          <w:p>
            <w:pPr>
              <w:spacing w:after="0"/>
              <w:rPr>
                <w:sz w:val="3"/>
                <w:szCs w:val="3"/>
                <w:color w:val="auto"/>
              </w:rPr>
            </w:pPr>
          </w:p>
        </w:tc>
        <w:tc>
          <w:tcPr>
            <w:tcW w:w="320" w:type="dxa"/>
            <w:vAlign w:val="bottom"/>
          </w:tcPr>
          <w:p>
            <w:pPr>
              <w:spacing w:after="0"/>
              <w:rPr>
                <w:sz w:val="3"/>
                <w:szCs w:val="3"/>
                <w:color w:val="auto"/>
              </w:rPr>
            </w:pPr>
          </w:p>
        </w:tc>
        <w:tc>
          <w:tcPr>
            <w:tcW w:w="980" w:type="dxa"/>
            <w:vAlign w:val="bottom"/>
          </w:tcPr>
          <w:p>
            <w:pPr>
              <w:spacing w:after="0"/>
              <w:rPr>
                <w:sz w:val="3"/>
                <w:szCs w:val="3"/>
                <w:color w:val="auto"/>
              </w:rPr>
            </w:pPr>
          </w:p>
        </w:tc>
        <w:tc>
          <w:tcPr>
            <w:tcW w:w="260" w:type="dxa"/>
            <w:vAlign w:val="bottom"/>
          </w:tcPr>
          <w:p>
            <w:pPr>
              <w:spacing w:after="0"/>
              <w:rPr>
                <w:sz w:val="3"/>
                <w:szCs w:val="3"/>
                <w:color w:val="auto"/>
              </w:rPr>
            </w:pPr>
          </w:p>
        </w:tc>
        <w:tc>
          <w:tcPr>
            <w:tcW w:w="940" w:type="dxa"/>
            <w:vAlign w:val="bottom"/>
          </w:tcPr>
          <w:p>
            <w:pPr>
              <w:spacing w:after="0"/>
              <w:rPr>
                <w:sz w:val="3"/>
                <w:szCs w:val="3"/>
                <w:color w:val="auto"/>
              </w:rPr>
            </w:pPr>
          </w:p>
        </w:tc>
        <w:tc>
          <w:tcPr>
            <w:tcW w:w="38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62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Accounts receivable, net of allowance for doubtful accounts</w:t>
            </w:r>
          </w:p>
        </w:tc>
        <w:tc>
          <w:tcPr>
            <w:tcW w:w="1120" w:type="dxa"/>
            <w:vAlign w:val="bottom"/>
            <w:shd w:val="clear" w:color="auto" w:fill="E5E5E5"/>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940" w:type="dxa"/>
            <w:vAlign w:val="bottom"/>
            <w:shd w:val="clear" w:color="auto" w:fill="E5E5E5"/>
          </w:tcPr>
          <w:p>
            <w:pPr>
              <w:jc w:val="right"/>
              <w:ind w:right="36"/>
              <w:spacing w:after="0" w:line="202" w:lineRule="exact"/>
              <w:rPr>
                <w:sz w:val="20"/>
                <w:szCs w:val="20"/>
                <w:color w:val="auto"/>
              </w:rPr>
            </w:pPr>
            <w:r>
              <w:rPr>
                <w:rFonts w:ascii="Arial" w:cs="Arial" w:eastAsia="Arial" w:hAnsi="Arial"/>
                <w:sz w:val="18"/>
                <w:szCs w:val="18"/>
                <w:color w:val="auto"/>
              </w:rPr>
              <w:t>19,792</w:t>
            </w:r>
          </w:p>
        </w:tc>
        <w:tc>
          <w:tcPr>
            <w:tcW w:w="320" w:type="dxa"/>
            <w:vAlign w:val="bottom"/>
            <w:shd w:val="clear" w:color="auto" w:fill="E5E5E5"/>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980" w:type="dxa"/>
            <w:vAlign w:val="bottom"/>
            <w:shd w:val="clear" w:color="auto" w:fill="E5E5E5"/>
          </w:tcPr>
          <w:p>
            <w:pPr>
              <w:jc w:val="right"/>
              <w:ind w:right="57"/>
              <w:spacing w:after="0" w:line="202" w:lineRule="exact"/>
              <w:rPr>
                <w:sz w:val="20"/>
                <w:szCs w:val="20"/>
                <w:color w:val="auto"/>
              </w:rPr>
            </w:pPr>
            <w:r>
              <w:rPr>
                <w:rFonts w:ascii="Arial" w:cs="Arial" w:eastAsia="Arial" w:hAnsi="Arial"/>
                <w:sz w:val="18"/>
                <w:szCs w:val="18"/>
                <w:color w:val="auto"/>
              </w:rPr>
              <w:t>2,639</w:t>
            </w:r>
          </w:p>
        </w:tc>
        <w:tc>
          <w:tcPr>
            <w:tcW w:w="26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shd w:val="clear" w:color="auto" w:fill="E5E5E5"/>
          </w:tcPr>
          <w:p>
            <w:pPr>
              <w:jc w:val="right"/>
              <w:ind w:right="36"/>
              <w:spacing w:after="0" w:line="202" w:lineRule="exact"/>
              <w:rPr>
                <w:sz w:val="20"/>
                <w:szCs w:val="20"/>
                <w:color w:val="auto"/>
              </w:rPr>
            </w:pPr>
            <w:r>
              <w:rPr>
                <w:rFonts w:ascii="Arial" w:cs="Arial" w:eastAsia="Arial" w:hAnsi="Arial"/>
                <w:sz w:val="18"/>
                <w:szCs w:val="18"/>
                <w:color w:val="auto"/>
              </w:rPr>
              <w:t>0</w:t>
            </w:r>
          </w:p>
        </w:tc>
        <w:tc>
          <w:tcPr>
            <w:tcW w:w="380" w:type="dxa"/>
            <w:vAlign w:val="bottom"/>
            <w:shd w:val="clear" w:color="auto" w:fill="E5E5E5"/>
          </w:tcPr>
          <w:p>
            <w:pPr>
              <w:jc w:val="right"/>
              <w:ind w:right="90"/>
              <w:spacing w:after="0" w:line="202" w:lineRule="exact"/>
              <w:rPr>
                <w:sz w:val="20"/>
                <w:szCs w:val="20"/>
                <w:color w:val="auto"/>
              </w:rPr>
            </w:pPr>
            <w:r>
              <w:rPr>
                <w:rFonts w:ascii="Arial" w:cs="Arial" w:eastAsia="Arial" w:hAnsi="Arial"/>
                <w:sz w:val="18"/>
                <w:szCs w:val="18"/>
                <w:color w:val="auto"/>
              </w:rPr>
              <w:t>$</w:t>
            </w:r>
          </w:p>
        </w:tc>
        <w:tc>
          <w:tcPr>
            <w:tcW w:w="84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22,431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Operating lease right-of-use assets</w:t>
            </w:r>
          </w:p>
        </w:tc>
        <w:tc>
          <w:tcPr>
            <w:tcW w:w="1120" w:type="dxa"/>
            <w:vAlign w:val="bottom"/>
          </w:tcPr>
          <w:p>
            <w:pPr>
              <w:spacing w:after="0"/>
              <w:rPr>
                <w:sz w:val="21"/>
                <w:szCs w:val="21"/>
                <w:color w:val="auto"/>
              </w:rPr>
            </w:pPr>
          </w:p>
        </w:tc>
        <w:tc>
          <w:tcPr>
            <w:tcW w:w="940" w:type="dxa"/>
            <w:vAlign w:val="bottom"/>
          </w:tcPr>
          <w:p>
            <w:pPr>
              <w:jc w:val="right"/>
              <w:ind w:right="36"/>
              <w:spacing w:after="0"/>
              <w:rPr>
                <w:sz w:val="20"/>
                <w:szCs w:val="20"/>
                <w:color w:val="auto"/>
              </w:rPr>
            </w:pPr>
            <w:r>
              <w:rPr>
                <w:rFonts w:ascii="Arial" w:cs="Arial" w:eastAsia="Arial" w:hAnsi="Arial"/>
                <w:sz w:val="18"/>
                <w:szCs w:val="18"/>
                <w:color w:val="auto"/>
              </w:rPr>
              <w:t>0</w:t>
            </w:r>
          </w:p>
        </w:tc>
        <w:tc>
          <w:tcPr>
            <w:tcW w:w="320" w:type="dxa"/>
            <w:vAlign w:val="bottom"/>
          </w:tcPr>
          <w:p>
            <w:pPr>
              <w:spacing w:after="0"/>
              <w:rPr>
                <w:sz w:val="21"/>
                <w:szCs w:val="21"/>
                <w:color w:val="auto"/>
              </w:rPr>
            </w:pPr>
          </w:p>
        </w:tc>
        <w:tc>
          <w:tcPr>
            <w:tcW w:w="980" w:type="dxa"/>
            <w:vAlign w:val="bottom"/>
          </w:tcPr>
          <w:p>
            <w:pPr>
              <w:jc w:val="right"/>
              <w:ind w:right="57"/>
              <w:spacing w:after="0"/>
              <w:rPr>
                <w:sz w:val="20"/>
                <w:szCs w:val="20"/>
                <w:color w:val="auto"/>
              </w:rPr>
            </w:pPr>
            <w:r>
              <w:rPr>
                <w:rFonts w:ascii="Arial" w:cs="Arial" w:eastAsia="Arial" w:hAnsi="Arial"/>
                <w:sz w:val="18"/>
                <w:szCs w:val="18"/>
                <w:color w:val="auto"/>
              </w:rPr>
              <w:t>0</w:t>
            </w:r>
          </w:p>
        </w:tc>
        <w:tc>
          <w:tcPr>
            <w:tcW w:w="260" w:type="dxa"/>
            <w:vAlign w:val="bottom"/>
          </w:tcPr>
          <w:p>
            <w:pPr>
              <w:spacing w:after="0"/>
              <w:rPr>
                <w:sz w:val="21"/>
                <w:szCs w:val="21"/>
                <w:color w:val="auto"/>
              </w:rPr>
            </w:pPr>
          </w:p>
        </w:tc>
        <w:tc>
          <w:tcPr>
            <w:tcW w:w="940" w:type="dxa"/>
            <w:vAlign w:val="bottom"/>
          </w:tcPr>
          <w:p>
            <w:pPr>
              <w:jc w:val="right"/>
              <w:ind w:right="36"/>
              <w:spacing w:after="0"/>
              <w:rPr>
                <w:sz w:val="20"/>
                <w:szCs w:val="20"/>
                <w:color w:val="auto"/>
              </w:rPr>
            </w:pPr>
            <w:r>
              <w:rPr>
                <w:rFonts w:ascii="Arial" w:cs="Arial" w:eastAsia="Arial" w:hAnsi="Arial"/>
                <w:sz w:val="18"/>
                <w:szCs w:val="18"/>
                <w:color w:val="auto"/>
              </w:rPr>
              <w:t>6,555</w:t>
            </w:r>
          </w:p>
        </w:tc>
        <w:tc>
          <w:tcPr>
            <w:tcW w:w="3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6,555</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2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Other current and long-term assets</w:t>
            </w:r>
          </w:p>
        </w:tc>
        <w:tc>
          <w:tcPr>
            <w:tcW w:w="1120" w:type="dxa"/>
            <w:vAlign w:val="bottom"/>
            <w:shd w:val="clear" w:color="auto" w:fill="E5E5E5"/>
          </w:tcPr>
          <w:p>
            <w:pPr>
              <w:spacing w:after="0"/>
              <w:rPr>
                <w:sz w:val="17"/>
                <w:szCs w:val="17"/>
                <w:color w:val="auto"/>
              </w:rPr>
            </w:pPr>
          </w:p>
        </w:tc>
        <w:tc>
          <w:tcPr>
            <w:tcW w:w="940" w:type="dxa"/>
            <w:vAlign w:val="bottom"/>
            <w:shd w:val="clear" w:color="auto" w:fill="E5E5E5"/>
          </w:tcPr>
          <w:p>
            <w:pPr>
              <w:jc w:val="right"/>
              <w:ind w:right="36"/>
              <w:spacing w:after="0" w:line="202" w:lineRule="exact"/>
              <w:rPr>
                <w:sz w:val="20"/>
                <w:szCs w:val="20"/>
                <w:color w:val="auto"/>
              </w:rPr>
            </w:pPr>
            <w:r>
              <w:rPr>
                <w:rFonts w:ascii="Arial" w:cs="Arial" w:eastAsia="Arial" w:hAnsi="Arial"/>
                <w:sz w:val="18"/>
                <w:szCs w:val="18"/>
                <w:color w:val="auto"/>
              </w:rPr>
              <w:t>11,147</w:t>
            </w:r>
          </w:p>
        </w:tc>
        <w:tc>
          <w:tcPr>
            <w:tcW w:w="320" w:type="dxa"/>
            <w:vAlign w:val="bottom"/>
            <w:shd w:val="clear" w:color="auto" w:fill="E5E5E5"/>
          </w:tcPr>
          <w:p>
            <w:pPr>
              <w:spacing w:after="0"/>
              <w:rPr>
                <w:sz w:val="17"/>
                <w:szCs w:val="17"/>
                <w:color w:val="auto"/>
              </w:rPr>
            </w:pPr>
          </w:p>
        </w:tc>
        <w:tc>
          <w:tcPr>
            <w:tcW w:w="980" w:type="dxa"/>
            <w:vAlign w:val="bottom"/>
            <w:shd w:val="clear" w:color="auto" w:fill="E5E5E5"/>
          </w:tcPr>
          <w:p>
            <w:pPr>
              <w:jc w:val="right"/>
              <w:ind w:right="57"/>
              <w:spacing w:after="0" w:line="202" w:lineRule="exact"/>
              <w:rPr>
                <w:sz w:val="20"/>
                <w:szCs w:val="20"/>
                <w:color w:val="auto"/>
              </w:rPr>
            </w:pPr>
            <w:r>
              <w:rPr>
                <w:rFonts w:ascii="Arial" w:cs="Arial" w:eastAsia="Arial" w:hAnsi="Arial"/>
                <w:sz w:val="18"/>
                <w:szCs w:val="18"/>
                <w:color w:val="auto"/>
              </w:rPr>
              <w:t>32</w:t>
            </w:r>
          </w:p>
        </w:tc>
        <w:tc>
          <w:tcPr>
            <w:tcW w:w="260" w:type="dxa"/>
            <w:vAlign w:val="bottom"/>
            <w:shd w:val="clear" w:color="auto" w:fill="E5E5E5"/>
          </w:tcPr>
          <w:p>
            <w:pPr>
              <w:spacing w:after="0"/>
              <w:rPr>
                <w:sz w:val="17"/>
                <w:szCs w:val="17"/>
                <w:color w:val="auto"/>
              </w:rPr>
            </w:pPr>
          </w:p>
        </w:tc>
        <w:tc>
          <w:tcPr>
            <w:tcW w:w="940" w:type="dxa"/>
            <w:vAlign w:val="bottom"/>
            <w:shd w:val="clear" w:color="auto" w:fill="E5E5E5"/>
          </w:tcPr>
          <w:p>
            <w:pPr>
              <w:jc w:val="right"/>
              <w:ind w:right="36"/>
              <w:spacing w:after="0" w:line="202" w:lineRule="exact"/>
              <w:rPr>
                <w:sz w:val="20"/>
                <w:szCs w:val="20"/>
                <w:color w:val="auto"/>
              </w:rPr>
            </w:pPr>
            <w:r>
              <w:rPr>
                <w:rFonts w:ascii="Arial" w:cs="Arial" w:eastAsia="Arial" w:hAnsi="Arial"/>
                <w:sz w:val="18"/>
                <w:szCs w:val="18"/>
                <w:color w:val="auto"/>
              </w:rPr>
              <w:t>0</w:t>
            </w:r>
          </w:p>
        </w:tc>
        <w:tc>
          <w:tcPr>
            <w:tcW w:w="380" w:type="dxa"/>
            <w:vAlign w:val="bottom"/>
            <w:shd w:val="clear" w:color="auto" w:fill="E5E5E5"/>
          </w:tcPr>
          <w:p>
            <w:pPr>
              <w:spacing w:after="0"/>
              <w:rPr>
                <w:sz w:val="17"/>
                <w:szCs w:val="17"/>
                <w:color w:val="auto"/>
              </w:rPr>
            </w:pPr>
          </w:p>
        </w:tc>
        <w:tc>
          <w:tcPr>
            <w:tcW w:w="74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11,179</w:t>
            </w:r>
          </w:p>
        </w:tc>
        <w:tc>
          <w:tcPr>
            <w:tcW w:w="10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Unearned revenue</w:t>
            </w:r>
          </w:p>
        </w:tc>
        <w:tc>
          <w:tcPr>
            <w:tcW w:w="1120" w:type="dxa"/>
            <w:vAlign w:val="bottom"/>
          </w:tcPr>
          <w:p>
            <w:pPr>
              <w:spacing w:after="0"/>
              <w:rPr>
                <w:sz w:val="21"/>
                <w:szCs w:val="21"/>
                <w:color w:val="auto"/>
              </w:rPr>
            </w:pPr>
          </w:p>
        </w:tc>
        <w:tc>
          <w:tcPr>
            <w:tcW w:w="940" w:type="dxa"/>
            <w:vAlign w:val="bottom"/>
          </w:tcPr>
          <w:p>
            <w:pPr>
              <w:jc w:val="right"/>
              <w:ind w:right="36"/>
              <w:spacing w:after="0"/>
              <w:rPr>
                <w:sz w:val="20"/>
                <w:szCs w:val="20"/>
                <w:color w:val="auto"/>
              </w:rPr>
            </w:pPr>
            <w:r>
              <w:rPr>
                <w:rFonts w:ascii="Arial" w:cs="Arial" w:eastAsia="Arial" w:hAnsi="Arial"/>
                <w:sz w:val="18"/>
                <w:szCs w:val="18"/>
                <w:color w:val="auto"/>
              </w:rPr>
              <w:t>44,479</w:t>
            </w:r>
          </w:p>
        </w:tc>
        <w:tc>
          <w:tcPr>
            <w:tcW w:w="3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(17,823)</w:t>
            </w:r>
          </w:p>
        </w:tc>
        <w:tc>
          <w:tcPr>
            <w:tcW w:w="260" w:type="dxa"/>
            <w:vAlign w:val="bottom"/>
          </w:tcPr>
          <w:p>
            <w:pPr>
              <w:spacing w:after="0"/>
              <w:rPr>
                <w:sz w:val="21"/>
                <w:szCs w:val="21"/>
                <w:color w:val="auto"/>
              </w:rPr>
            </w:pPr>
          </w:p>
        </w:tc>
        <w:tc>
          <w:tcPr>
            <w:tcW w:w="940" w:type="dxa"/>
            <w:vAlign w:val="bottom"/>
          </w:tcPr>
          <w:p>
            <w:pPr>
              <w:jc w:val="right"/>
              <w:ind w:right="36"/>
              <w:spacing w:after="0"/>
              <w:rPr>
                <w:sz w:val="20"/>
                <w:szCs w:val="20"/>
                <w:color w:val="auto"/>
              </w:rPr>
            </w:pPr>
            <w:r>
              <w:rPr>
                <w:rFonts w:ascii="Arial" w:cs="Arial" w:eastAsia="Arial" w:hAnsi="Arial"/>
                <w:sz w:val="18"/>
                <w:szCs w:val="18"/>
                <w:color w:val="auto"/>
              </w:rPr>
              <w:t>0</w:t>
            </w:r>
          </w:p>
        </w:tc>
        <w:tc>
          <w:tcPr>
            <w:tcW w:w="380" w:type="dxa"/>
            <w:vAlign w:val="bottom"/>
          </w:tcPr>
          <w:p>
            <w:pPr>
              <w:spacing w:after="0"/>
              <w:rPr>
                <w:sz w:val="21"/>
                <w:szCs w:val="21"/>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26,656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2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Deferred income taxes</w:t>
            </w:r>
          </w:p>
        </w:tc>
        <w:tc>
          <w:tcPr>
            <w:tcW w:w="1120" w:type="dxa"/>
            <w:vAlign w:val="bottom"/>
            <w:shd w:val="clear" w:color="auto" w:fill="E5E5E5"/>
          </w:tcPr>
          <w:p>
            <w:pPr>
              <w:spacing w:after="0"/>
              <w:rPr>
                <w:sz w:val="17"/>
                <w:szCs w:val="17"/>
                <w:color w:val="auto"/>
              </w:rPr>
            </w:pPr>
          </w:p>
        </w:tc>
        <w:tc>
          <w:tcPr>
            <w:tcW w:w="940" w:type="dxa"/>
            <w:vAlign w:val="bottom"/>
            <w:shd w:val="clear" w:color="auto" w:fill="E5E5E5"/>
          </w:tcPr>
          <w:p>
            <w:pPr>
              <w:jc w:val="right"/>
              <w:ind w:right="36"/>
              <w:spacing w:after="0" w:line="202" w:lineRule="exact"/>
              <w:rPr>
                <w:sz w:val="20"/>
                <w:szCs w:val="20"/>
                <w:color w:val="auto"/>
              </w:rPr>
            </w:pPr>
            <w:r>
              <w:rPr>
                <w:rFonts w:ascii="Arial" w:cs="Arial" w:eastAsia="Arial" w:hAnsi="Arial"/>
                <w:sz w:val="18"/>
                <w:szCs w:val="18"/>
                <w:color w:val="auto"/>
              </w:rPr>
              <w:t>531</w:t>
            </w:r>
          </w:p>
        </w:tc>
        <w:tc>
          <w:tcPr>
            <w:tcW w:w="320" w:type="dxa"/>
            <w:vAlign w:val="bottom"/>
            <w:shd w:val="clear" w:color="auto" w:fill="E5E5E5"/>
          </w:tcPr>
          <w:p>
            <w:pPr>
              <w:spacing w:after="0"/>
              <w:rPr>
                <w:sz w:val="17"/>
                <w:szCs w:val="17"/>
                <w:color w:val="auto"/>
              </w:rPr>
            </w:pPr>
          </w:p>
        </w:tc>
        <w:tc>
          <w:tcPr>
            <w:tcW w:w="980" w:type="dxa"/>
            <w:vAlign w:val="bottom"/>
            <w:shd w:val="clear" w:color="auto" w:fill="E5E5E5"/>
          </w:tcPr>
          <w:p>
            <w:pPr>
              <w:jc w:val="right"/>
              <w:ind w:right="57"/>
              <w:spacing w:after="0" w:line="202" w:lineRule="exact"/>
              <w:rPr>
                <w:sz w:val="20"/>
                <w:szCs w:val="20"/>
                <w:color w:val="auto"/>
              </w:rPr>
            </w:pPr>
            <w:r>
              <w:rPr>
                <w:rFonts w:ascii="Arial" w:cs="Arial" w:eastAsia="Arial" w:hAnsi="Arial"/>
                <w:sz w:val="18"/>
                <w:szCs w:val="18"/>
                <w:color w:val="auto"/>
              </w:rPr>
              <w:t>5,203</w:t>
            </w:r>
          </w:p>
        </w:tc>
        <w:tc>
          <w:tcPr>
            <w:tcW w:w="260" w:type="dxa"/>
            <w:vAlign w:val="bottom"/>
            <w:shd w:val="clear" w:color="auto" w:fill="E5E5E5"/>
          </w:tcPr>
          <w:p>
            <w:pPr>
              <w:spacing w:after="0"/>
              <w:rPr>
                <w:sz w:val="17"/>
                <w:szCs w:val="17"/>
                <w:color w:val="auto"/>
              </w:rPr>
            </w:pPr>
          </w:p>
        </w:tc>
        <w:tc>
          <w:tcPr>
            <w:tcW w:w="940" w:type="dxa"/>
            <w:vAlign w:val="bottom"/>
            <w:shd w:val="clear" w:color="auto" w:fill="E5E5E5"/>
          </w:tcPr>
          <w:p>
            <w:pPr>
              <w:jc w:val="right"/>
              <w:ind w:right="36"/>
              <w:spacing w:after="0" w:line="202" w:lineRule="exact"/>
              <w:rPr>
                <w:sz w:val="20"/>
                <w:szCs w:val="20"/>
                <w:color w:val="auto"/>
              </w:rPr>
            </w:pPr>
            <w:r>
              <w:rPr>
                <w:rFonts w:ascii="Arial" w:cs="Arial" w:eastAsia="Arial" w:hAnsi="Arial"/>
                <w:sz w:val="18"/>
                <w:szCs w:val="18"/>
                <w:color w:val="auto"/>
              </w:rPr>
              <w:t>0</w:t>
            </w:r>
          </w:p>
        </w:tc>
        <w:tc>
          <w:tcPr>
            <w:tcW w:w="380" w:type="dxa"/>
            <w:vAlign w:val="bottom"/>
            <w:shd w:val="clear" w:color="auto" w:fill="E5E5E5"/>
          </w:tcPr>
          <w:p>
            <w:pPr>
              <w:spacing w:after="0"/>
              <w:rPr>
                <w:sz w:val="17"/>
                <w:szCs w:val="17"/>
                <w:color w:val="auto"/>
              </w:rPr>
            </w:pPr>
          </w:p>
        </w:tc>
        <w:tc>
          <w:tcPr>
            <w:tcW w:w="74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5,734</w:t>
            </w:r>
          </w:p>
        </w:tc>
        <w:tc>
          <w:tcPr>
            <w:tcW w:w="10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20" w:type="dxa"/>
            <w:vAlign w:val="bottom"/>
          </w:tcPr>
          <w:p>
            <w:pPr>
              <w:spacing w:after="0" w:line="202" w:lineRule="exact"/>
              <w:rPr>
                <w:sz w:val="20"/>
                <w:szCs w:val="20"/>
                <w:color w:val="auto"/>
              </w:rPr>
            </w:pPr>
            <w:r>
              <w:rPr>
                <w:rFonts w:ascii="Arial" w:cs="Arial" w:eastAsia="Arial" w:hAnsi="Arial"/>
                <w:sz w:val="18"/>
                <w:szCs w:val="18"/>
                <w:color w:val="auto"/>
              </w:rPr>
              <w:t>Operating lease liabilities</w:t>
            </w:r>
          </w:p>
        </w:tc>
        <w:tc>
          <w:tcPr>
            <w:tcW w:w="1120" w:type="dxa"/>
            <w:vAlign w:val="bottom"/>
          </w:tcPr>
          <w:p>
            <w:pPr>
              <w:spacing w:after="0"/>
              <w:rPr>
                <w:sz w:val="17"/>
                <w:szCs w:val="17"/>
                <w:color w:val="auto"/>
              </w:rPr>
            </w:pPr>
          </w:p>
        </w:tc>
        <w:tc>
          <w:tcPr>
            <w:tcW w:w="940" w:type="dxa"/>
            <w:vAlign w:val="bottom"/>
          </w:tcPr>
          <w:p>
            <w:pPr>
              <w:jc w:val="right"/>
              <w:ind w:right="36"/>
              <w:spacing w:after="0" w:line="202" w:lineRule="exact"/>
              <w:rPr>
                <w:sz w:val="20"/>
                <w:szCs w:val="20"/>
                <w:color w:val="auto"/>
              </w:rPr>
            </w:pPr>
            <w:r>
              <w:rPr>
                <w:rFonts w:ascii="Arial" w:cs="Arial" w:eastAsia="Arial" w:hAnsi="Arial"/>
                <w:sz w:val="18"/>
                <w:szCs w:val="18"/>
                <w:color w:val="auto"/>
              </w:rPr>
              <w:t>0</w:t>
            </w:r>
          </w:p>
        </w:tc>
        <w:tc>
          <w:tcPr>
            <w:tcW w:w="320" w:type="dxa"/>
            <w:vAlign w:val="bottom"/>
          </w:tcPr>
          <w:p>
            <w:pPr>
              <w:spacing w:after="0"/>
              <w:rPr>
                <w:sz w:val="17"/>
                <w:szCs w:val="17"/>
                <w:color w:val="auto"/>
              </w:rPr>
            </w:pPr>
          </w:p>
        </w:tc>
        <w:tc>
          <w:tcPr>
            <w:tcW w:w="980" w:type="dxa"/>
            <w:vAlign w:val="bottom"/>
          </w:tcPr>
          <w:p>
            <w:pPr>
              <w:jc w:val="right"/>
              <w:ind w:right="57"/>
              <w:spacing w:after="0" w:line="202" w:lineRule="exact"/>
              <w:rPr>
                <w:sz w:val="20"/>
                <w:szCs w:val="20"/>
                <w:color w:val="auto"/>
              </w:rPr>
            </w:pPr>
            <w:r>
              <w:rPr>
                <w:rFonts w:ascii="Arial" w:cs="Arial" w:eastAsia="Arial" w:hAnsi="Arial"/>
                <w:sz w:val="18"/>
                <w:szCs w:val="18"/>
                <w:color w:val="auto"/>
              </w:rPr>
              <w:t>0</w:t>
            </w:r>
          </w:p>
        </w:tc>
        <w:tc>
          <w:tcPr>
            <w:tcW w:w="260" w:type="dxa"/>
            <w:vAlign w:val="bottom"/>
          </w:tcPr>
          <w:p>
            <w:pPr>
              <w:spacing w:after="0"/>
              <w:rPr>
                <w:sz w:val="17"/>
                <w:szCs w:val="17"/>
                <w:color w:val="auto"/>
              </w:rPr>
            </w:pPr>
          </w:p>
        </w:tc>
        <w:tc>
          <w:tcPr>
            <w:tcW w:w="940" w:type="dxa"/>
            <w:vAlign w:val="bottom"/>
          </w:tcPr>
          <w:p>
            <w:pPr>
              <w:jc w:val="right"/>
              <w:ind w:right="36"/>
              <w:spacing w:after="0" w:line="202" w:lineRule="exact"/>
              <w:rPr>
                <w:sz w:val="20"/>
                <w:szCs w:val="20"/>
                <w:color w:val="auto"/>
              </w:rPr>
            </w:pPr>
            <w:r>
              <w:rPr>
                <w:rFonts w:ascii="Arial" w:cs="Arial" w:eastAsia="Arial" w:hAnsi="Arial"/>
                <w:sz w:val="18"/>
                <w:szCs w:val="18"/>
                <w:color w:val="auto"/>
              </w:rPr>
              <w:t>5,372</w:t>
            </w:r>
          </w:p>
        </w:tc>
        <w:tc>
          <w:tcPr>
            <w:tcW w:w="38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5,372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2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Other current and long-term liabilities</w:t>
            </w:r>
          </w:p>
        </w:tc>
        <w:tc>
          <w:tcPr>
            <w:tcW w:w="1120" w:type="dxa"/>
            <w:vAlign w:val="bottom"/>
            <w:shd w:val="clear" w:color="auto" w:fill="E5E5E5"/>
          </w:tcPr>
          <w:p>
            <w:pPr>
              <w:spacing w:after="0"/>
              <w:rPr>
                <w:sz w:val="17"/>
                <w:szCs w:val="17"/>
                <w:color w:val="auto"/>
              </w:rPr>
            </w:pPr>
          </w:p>
        </w:tc>
        <w:tc>
          <w:tcPr>
            <w:tcW w:w="940" w:type="dxa"/>
            <w:vAlign w:val="bottom"/>
            <w:shd w:val="clear" w:color="auto" w:fill="E5E5E5"/>
          </w:tcPr>
          <w:p>
            <w:pPr>
              <w:jc w:val="right"/>
              <w:ind w:right="36"/>
              <w:spacing w:after="0" w:line="202" w:lineRule="exact"/>
              <w:rPr>
                <w:sz w:val="20"/>
                <w:szCs w:val="20"/>
                <w:color w:val="auto"/>
              </w:rPr>
            </w:pPr>
            <w:r>
              <w:rPr>
                <w:rFonts w:ascii="Arial" w:cs="Arial" w:eastAsia="Arial" w:hAnsi="Arial"/>
                <w:sz w:val="18"/>
                <w:szCs w:val="18"/>
                <w:color w:val="auto"/>
              </w:rPr>
              <w:t>23,464</w:t>
            </w:r>
          </w:p>
        </w:tc>
        <w:tc>
          <w:tcPr>
            <w:tcW w:w="320" w:type="dxa"/>
            <w:vAlign w:val="bottom"/>
            <w:shd w:val="clear" w:color="auto" w:fill="E5E5E5"/>
          </w:tcPr>
          <w:p>
            <w:pPr>
              <w:spacing w:after="0"/>
              <w:rPr>
                <w:sz w:val="17"/>
                <w:szCs w:val="17"/>
                <w:color w:val="auto"/>
              </w:rPr>
            </w:pPr>
          </w:p>
        </w:tc>
        <w:tc>
          <w:tcPr>
            <w:tcW w:w="98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(26)</w:t>
            </w:r>
          </w:p>
        </w:tc>
        <w:tc>
          <w:tcPr>
            <w:tcW w:w="260" w:type="dxa"/>
            <w:vAlign w:val="bottom"/>
            <w:shd w:val="clear" w:color="auto" w:fill="E5E5E5"/>
          </w:tcPr>
          <w:p>
            <w:pPr>
              <w:spacing w:after="0"/>
              <w:rPr>
                <w:sz w:val="17"/>
                <w:szCs w:val="17"/>
                <w:color w:val="auto"/>
              </w:rPr>
            </w:pPr>
          </w:p>
        </w:tc>
        <w:tc>
          <w:tcPr>
            <w:tcW w:w="940" w:type="dxa"/>
            <w:vAlign w:val="bottom"/>
            <w:shd w:val="clear" w:color="auto" w:fill="E5E5E5"/>
          </w:tcPr>
          <w:p>
            <w:pPr>
              <w:jc w:val="right"/>
              <w:ind w:right="36"/>
              <w:spacing w:after="0" w:line="202" w:lineRule="exact"/>
              <w:rPr>
                <w:sz w:val="20"/>
                <w:szCs w:val="20"/>
                <w:color w:val="auto"/>
              </w:rPr>
            </w:pPr>
            <w:r>
              <w:rPr>
                <w:rFonts w:ascii="Arial" w:cs="Arial" w:eastAsia="Arial" w:hAnsi="Arial"/>
                <w:sz w:val="18"/>
                <w:szCs w:val="18"/>
                <w:color w:val="auto"/>
              </w:rPr>
              <w:t>1,183</w:t>
            </w:r>
          </w:p>
        </w:tc>
        <w:tc>
          <w:tcPr>
            <w:tcW w:w="380" w:type="dxa"/>
            <w:vAlign w:val="bottom"/>
            <w:shd w:val="clear" w:color="auto" w:fill="E5E5E5"/>
          </w:tcPr>
          <w:p>
            <w:pPr>
              <w:spacing w:after="0"/>
              <w:rPr>
                <w:sz w:val="17"/>
                <w:szCs w:val="17"/>
                <w:color w:val="auto"/>
              </w:rPr>
            </w:pPr>
          </w:p>
        </w:tc>
        <w:tc>
          <w:tcPr>
            <w:tcW w:w="84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24,621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Stockholders' equity</w:t>
            </w:r>
          </w:p>
        </w:tc>
        <w:tc>
          <w:tcPr>
            <w:tcW w:w="1120" w:type="dxa"/>
            <w:vAlign w:val="bottom"/>
          </w:tcPr>
          <w:p>
            <w:pPr>
              <w:spacing w:after="0"/>
              <w:rPr>
                <w:sz w:val="21"/>
                <w:szCs w:val="21"/>
                <w:color w:val="auto"/>
              </w:rPr>
            </w:pPr>
          </w:p>
        </w:tc>
        <w:tc>
          <w:tcPr>
            <w:tcW w:w="940" w:type="dxa"/>
            <w:vAlign w:val="bottom"/>
          </w:tcPr>
          <w:p>
            <w:pPr>
              <w:jc w:val="right"/>
              <w:ind w:right="36"/>
              <w:spacing w:after="0"/>
              <w:rPr>
                <w:sz w:val="20"/>
                <w:szCs w:val="20"/>
                <w:color w:val="auto"/>
              </w:rPr>
            </w:pPr>
            <w:r>
              <w:rPr>
                <w:rFonts w:ascii="Arial" w:cs="Arial" w:eastAsia="Arial" w:hAnsi="Arial"/>
                <w:sz w:val="18"/>
                <w:szCs w:val="18"/>
                <w:color w:val="auto"/>
              </w:rPr>
              <w:t>72,394</w:t>
            </w:r>
          </w:p>
        </w:tc>
        <w:tc>
          <w:tcPr>
            <w:tcW w:w="320" w:type="dxa"/>
            <w:vAlign w:val="bottom"/>
          </w:tcPr>
          <w:p>
            <w:pPr>
              <w:spacing w:after="0"/>
              <w:rPr>
                <w:sz w:val="21"/>
                <w:szCs w:val="21"/>
                <w:color w:val="auto"/>
              </w:rPr>
            </w:pPr>
          </w:p>
        </w:tc>
        <w:tc>
          <w:tcPr>
            <w:tcW w:w="980" w:type="dxa"/>
            <w:vAlign w:val="bottom"/>
          </w:tcPr>
          <w:p>
            <w:pPr>
              <w:jc w:val="right"/>
              <w:ind w:right="57"/>
              <w:spacing w:after="0"/>
              <w:rPr>
                <w:sz w:val="20"/>
                <w:szCs w:val="20"/>
                <w:color w:val="auto"/>
              </w:rPr>
            </w:pPr>
            <w:r>
              <w:rPr>
                <w:rFonts w:ascii="Arial" w:cs="Arial" w:eastAsia="Arial" w:hAnsi="Arial"/>
                <w:sz w:val="18"/>
                <w:szCs w:val="18"/>
                <w:color w:val="auto"/>
              </w:rPr>
              <w:t>15,317</w:t>
            </w:r>
          </w:p>
        </w:tc>
        <w:tc>
          <w:tcPr>
            <w:tcW w:w="260" w:type="dxa"/>
            <w:vAlign w:val="bottom"/>
          </w:tcPr>
          <w:p>
            <w:pPr>
              <w:spacing w:after="0"/>
              <w:rPr>
                <w:sz w:val="21"/>
                <w:szCs w:val="21"/>
                <w:color w:val="auto"/>
              </w:rPr>
            </w:pPr>
          </w:p>
        </w:tc>
        <w:tc>
          <w:tcPr>
            <w:tcW w:w="940" w:type="dxa"/>
            <w:vAlign w:val="bottom"/>
          </w:tcPr>
          <w:p>
            <w:pPr>
              <w:jc w:val="right"/>
              <w:ind w:right="36"/>
              <w:spacing w:after="0"/>
              <w:rPr>
                <w:sz w:val="20"/>
                <w:szCs w:val="20"/>
                <w:color w:val="auto"/>
              </w:rPr>
            </w:pPr>
            <w:r>
              <w:rPr>
                <w:rFonts w:ascii="Arial" w:cs="Arial" w:eastAsia="Arial" w:hAnsi="Arial"/>
                <w:sz w:val="18"/>
                <w:szCs w:val="18"/>
                <w:color w:val="auto"/>
              </w:rPr>
              <w:t>0</w:t>
            </w:r>
          </w:p>
        </w:tc>
        <w:tc>
          <w:tcPr>
            <w:tcW w:w="3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87,711</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
        </w:trPr>
        <w:tc>
          <w:tcPr>
            <w:tcW w:w="20" w:type="dxa"/>
            <w:vAlign w:val="bottom"/>
            <w:tcBorders>
              <w:bottom w:val="single" w:sz="8" w:color="auto"/>
            </w:tcBorders>
          </w:tcPr>
          <w:p>
            <w:pPr>
              <w:spacing w:after="0"/>
              <w:rPr>
                <w:sz w:val="3"/>
                <w:szCs w:val="3"/>
                <w:color w:val="auto"/>
              </w:rPr>
            </w:pPr>
          </w:p>
        </w:tc>
        <w:tc>
          <w:tcPr>
            <w:tcW w:w="56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139"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Adoption of the standards related to revenue recognition and leases had no impact to cash from or used in operating, financing, or investing on our consolidated cash flows statements.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Guidance Not Yet Adopted</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Instruments – Targeted Improvements to Accounting for Hedging Activities</w:t>
      </w:r>
    </w:p>
    <w:p>
      <w:pPr>
        <w:spacing w:after="0" w:line="156"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In August 2017, the FASB issued new guidance related to accounting for hedging activities. This guidance expands strategies that qualify for hedge accounting, changes how many hedging relationships are presented in the financial statements, and simplifies the application of hedge accounting in certain situations. The standard will be effective for us beginning July 1, 2019, with early adoption permitted for any interim or annual period before the effective date. Adoption of the standard will be applied using a modified retrospective approach through a cumulative-effect adjustment to retained earnings as of the effective date. We are currently evaluating the impact of this standard on our consolidated financial statements, including accounting policies, processes, and systems.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for Income Taxes – Intra-Entity Asset Transfers</w:t>
      </w:r>
    </w:p>
    <w:p>
      <w:pPr>
        <w:spacing w:after="0" w:line="156"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In October 2016, the FASB issued new guidance requiring an entity to recognize the income tax consequences of an intra-entity transfer of an asset other than inventory when the transfer occurs, rather than when the asset has been sold to an outside party. This guidance is effective for us beginning July 1, 2018, with early adoption permitted beginning July 1, 2017. We plan to adopt the guidance effective July 1, 2018. Adoption of the guidance will be applied using a modified retrospective approach through a cumulative-effect adjustment to retained earnings as of the effective date. A cumulative-effect adjustment will capture the write-off of income tax consequences deferred from past intra-entity transfers</w:t>
      </w:r>
    </w:p>
    <w:p>
      <w:pPr>
        <w:spacing w:after="0" w:line="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involving assets other than inventory and new deferred tax assets for amounts not recognized under current U.S. GAAP. We anticipate this guidance will have a material impact on our consolidated balance sheets upon adoption, and continue to evaluate any impacts to our accounting policies, processes, and systems.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Instruments – Credit Losses</w:t>
      </w:r>
    </w:p>
    <w:p>
      <w:pPr>
        <w:spacing w:after="0" w:line="156" w:lineRule="exact"/>
        <w:rPr>
          <w:sz w:val="20"/>
          <w:szCs w:val="20"/>
          <w:color w:val="auto"/>
        </w:rPr>
      </w:pPr>
    </w:p>
    <w:p>
      <w:pPr>
        <w:jc w:val="both"/>
        <w:spacing w:after="0"/>
        <w:rPr>
          <w:sz w:val="20"/>
          <w:szCs w:val="20"/>
          <w:color w:val="auto"/>
        </w:rPr>
      </w:pPr>
      <w:r>
        <w:rPr>
          <w:rFonts w:ascii="Arial" w:cs="Arial" w:eastAsia="Arial" w:hAnsi="Arial"/>
          <w:sz w:val="18"/>
          <w:szCs w:val="18"/>
          <w:color w:val="auto"/>
        </w:rPr>
        <w:t>In June 2016, the FASB issued a new standard to replace the incurred loss impairment methodology under current U.S. GAAP with a methodology that reflects expected credit losses and requires consideration of a broader range of reasonable and supportable information to inform credit loss estimates. We will be required to use a forward-looking expected credit loss model for accounts receivables, loans, and other financial instruments. Credit losses relating to available-for-sale debt securities will also be recorded through an allowance for credit losses rather than as a reduction in the amortized cost basis of the securities. The standard will be effective for us beginning July 1, 2020, with early adoption permitted beginning July 1, 2019. Adoption of the standard will be applied using a modified retrospective approach through a cumulative-effect adjustment to retained earnings as of the effective date to align our credit loss methodology with the new standard. We are currently evaluating the impact of this standard on our consolidated financial statements, including accounting policies, processes, and systems.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28916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3" w:name="page14"/>
    <w:bookmarkEnd w:id="13"/>
    <w:p>
      <w:pPr>
        <w:ind w:left="5500"/>
        <w:spacing w:after="0"/>
        <w:rPr>
          <w:sz w:val="20"/>
          <w:szCs w:val="20"/>
          <w:color w:val="auto"/>
        </w:rPr>
      </w:pPr>
      <w:r>
        <w:rPr>
          <w:rFonts w:ascii="Arial" w:cs="Arial" w:eastAsia="Arial" w:hAnsi="Arial"/>
          <w:sz w:val="14"/>
          <w:szCs w:val="14"/>
          <w:u w:val="single" w:color="auto"/>
          <w:color w:val="auto"/>
        </w:rPr>
        <w:t>PART I</w:t>
      </w:r>
    </w:p>
    <w:p>
      <w:pPr>
        <w:spacing w:after="0" w:line="5" w:lineRule="exact"/>
        <w:rPr>
          <w:sz w:val="20"/>
          <w:szCs w:val="20"/>
          <w:color w:val="auto"/>
        </w:rPr>
      </w:pPr>
    </w:p>
    <w:p>
      <w:pPr>
        <w:ind w:left="5520"/>
        <w:spacing w:after="0"/>
        <w:rPr>
          <w:sz w:val="20"/>
          <w:szCs w:val="20"/>
          <w:color w:val="auto"/>
        </w:rPr>
      </w:pPr>
      <w:r>
        <w:rPr>
          <w:rFonts w:ascii="Arial" w:cs="Arial" w:eastAsia="Arial" w:hAnsi="Arial"/>
          <w:sz w:val="14"/>
          <w:szCs w:val="14"/>
          <w:color w:val="auto"/>
        </w:rPr>
        <w:t>Item 1</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Instruments – Recognition, Measurement, Presentation, and Disclosure</w:t>
      </w:r>
    </w:p>
    <w:p>
      <w:pPr>
        <w:spacing w:after="0" w:line="156" w:lineRule="exact"/>
        <w:rPr>
          <w:sz w:val="20"/>
          <w:szCs w:val="20"/>
          <w:color w:val="auto"/>
        </w:rPr>
      </w:pPr>
    </w:p>
    <w:p>
      <w:pPr>
        <w:jc w:val="both"/>
        <w:spacing w:after="0"/>
        <w:rPr>
          <w:sz w:val="20"/>
          <w:szCs w:val="20"/>
          <w:color w:val="auto"/>
        </w:rPr>
      </w:pPr>
      <w:r>
        <w:rPr>
          <w:rFonts w:ascii="Arial" w:cs="Arial" w:eastAsia="Arial" w:hAnsi="Arial"/>
          <w:sz w:val="18"/>
          <w:szCs w:val="18"/>
          <w:color w:val="auto"/>
        </w:rPr>
        <w:t>In January 2016, the FASB issued a new standard related to certain aspects of recognition, measurement, presentation, and disclosure of financial instruments. Most prominent among the changes in the standard is the requirement for changes in the fair value of our equity investments, with certain exceptions, to be recognized through net income rather than other comprehensive income (“OCI”). The standard will be effective for us beginning July 1, 2018. Adoption of the standard will be applied using a modified retrospective approach through a cumulative-effect adjustment to retained earnings as of the effective date. A cumulative-effect adjustment will capture any previously held unrealized gains and losses related to our equity investments carried at fair value and the impact of recording the fair value of certain equity investments that were carried at cost. We are currently evaluating the impact of this standard on our consolidated financial statements, including accounting policies, processes, and systems.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 2 — EARNINGS PER SHARE</w:t>
      </w:r>
    </w:p>
    <w:p>
      <w:pPr>
        <w:spacing w:after="0" w:line="158"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Basic earnings per share (“EPS”) is computed based on the weighted average number of shares of common stock outstanding during the period. Diluted EPS is computed based on the weighted average number of shares of common stock plus the effect of dilutive potential common shares outstanding during the period using the treasury stock method. Dilutive potential common shares include outstanding stock options and stock awards.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basic and diluted EPS were as follows:</w:t>
      </w:r>
    </w:p>
    <w:p>
      <w:pPr>
        <w:spacing w:after="0" w:line="18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 millions,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46990</wp:posOffset>
            </wp:positionV>
            <wp:extent cx="717804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8040" cy="8890"/>
                    </a:xfrm>
                    <a:prstGeom prst="rect">
                      <a:avLst/>
                    </a:prstGeom>
                    <a:noFill/>
                  </pic:spPr>
                </pic:pic>
              </a:graphicData>
            </a:graphic>
          </wp:anchor>
        </w:drawing>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80" w:type="dxa"/>
            <w:vAlign w:val="bottom"/>
            <w:gridSpan w:val="2"/>
          </w:tcPr>
          <w:p>
            <w:pPr>
              <w:spacing w:after="0"/>
              <w:rPr>
                <w:sz w:val="20"/>
                <w:szCs w:val="20"/>
                <w:color w:val="auto"/>
              </w:rPr>
            </w:pPr>
            <w:r>
              <w:rPr>
                <w:rFonts w:ascii="Arial" w:cs="Arial" w:eastAsia="Arial" w:hAnsi="Arial"/>
                <w:sz w:val="14"/>
                <w:szCs w:val="14"/>
                <w:b w:val="1"/>
                <w:bCs w:val="1"/>
                <w:color w:val="auto"/>
              </w:rPr>
              <w:t>Three Months Ended September 30,</w:t>
            </w:r>
          </w:p>
        </w:tc>
        <w:tc>
          <w:tcPr>
            <w:tcW w:w="20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 w:type="dxa"/>
            <w:vAlign w:val="bottom"/>
            <w:vMerge w:val="restart"/>
          </w:tcPr>
          <w:p>
            <w:pPr>
              <w:spacing w:after="0"/>
              <w:rPr>
                <w:sz w:val="3"/>
                <w:szCs w:val="3"/>
                <w:color w:val="auto"/>
              </w:rPr>
            </w:pPr>
          </w:p>
        </w:tc>
        <w:tc>
          <w:tcPr>
            <w:tcW w:w="6760" w:type="dxa"/>
            <w:vAlign w:val="bottom"/>
          </w:tcPr>
          <w:p>
            <w:pPr>
              <w:spacing w:after="0"/>
              <w:rPr>
                <w:sz w:val="3"/>
                <w:szCs w:val="3"/>
                <w:color w:val="auto"/>
              </w:rPr>
            </w:pPr>
          </w:p>
        </w:tc>
        <w:tc>
          <w:tcPr>
            <w:tcW w:w="2040" w:type="dxa"/>
            <w:vAlign w:val="bottom"/>
          </w:tcPr>
          <w:p>
            <w:pPr>
              <w:spacing w:after="0"/>
              <w:rPr>
                <w:sz w:val="3"/>
                <w:szCs w:val="3"/>
                <w:color w:val="auto"/>
              </w:rPr>
            </w:pPr>
          </w:p>
        </w:tc>
        <w:tc>
          <w:tcPr>
            <w:tcW w:w="4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76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Net income available for common shareholders (A)</w:t>
            </w:r>
          </w:p>
        </w:tc>
        <w:tc>
          <w:tcPr>
            <w:tcW w:w="2440" w:type="dxa"/>
            <w:vAlign w:val="bottom"/>
            <w:gridSpan w:val="2"/>
            <w:shd w:val="clear" w:color="auto" w:fill="E5E5E5"/>
          </w:tcPr>
          <w:p>
            <w:pPr>
              <w:jc w:val="right"/>
              <w:ind w:right="300"/>
              <w:spacing w:after="0" w:line="202" w:lineRule="exact"/>
              <w:rPr>
                <w:sz w:val="20"/>
                <w:szCs w:val="20"/>
                <w:color w:val="auto"/>
              </w:rPr>
            </w:pPr>
            <w:r>
              <w:rPr>
                <w:rFonts w:ascii="Arial" w:cs="Arial" w:eastAsia="Arial" w:hAnsi="Arial"/>
                <w:sz w:val="18"/>
                <w:szCs w:val="18"/>
                <w:b w:val="1"/>
                <w:bCs w:val="1"/>
                <w:color w:val="auto"/>
              </w:rPr>
              <w:t>$</w:t>
            </w:r>
          </w:p>
        </w:tc>
        <w:tc>
          <w:tcPr>
            <w:tcW w:w="84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b w:val="1"/>
                <w:bCs w:val="1"/>
                <w:color w:val="auto"/>
              </w:rPr>
              <w:t>6,576</w:t>
            </w:r>
          </w:p>
        </w:tc>
        <w:tc>
          <w:tcPr>
            <w:tcW w:w="500" w:type="dxa"/>
            <w:vAlign w:val="bottom"/>
            <w:gridSpan w:val="2"/>
            <w:shd w:val="clear" w:color="auto" w:fill="E5E5E5"/>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76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5,667</w:t>
            </w:r>
          </w:p>
        </w:tc>
        <w:tc>
          <w:tcPr>
            <w:tcW w:w="10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760" w:type="dxa"/>
            <w:vAlign w:val="bottom"/>
          </w:tcPr>
          <w:p>
            <w:pPr>
              <w:spacing w:after="0"/>
              <w:rPr>
                <w:sz w:val="6"/>
                <w:szCs w:val="6"/>
                <w:color w:val="auto"/>
              </w:rPr>
            </w:pPr>
          </w:p>
        </w:tc>
        <w:tc>
          <w:tcPr>
            <w:tcW w:w="2040" w:type="dxa"/>
            <w:vAlign w:val="bottom"/>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6760" w:type="dxa"/>
            <w:vAlign w:val="bottom"/>
          </w:tcPr>
          <w:p>
            <w:pPr>
              <w:spacing w:after="0"/>
              <w:rPr>
                <w:sz w:val="5"/>
                <w:szCs w:val="5"/>
                <w:color w:val="auto"/>
              </w:rPr>
            </w:pPr>
          </w:p>
        </w:tc>
        <w:tc>
          <w:tcPr>
            <w:tcW w:w="2040" w:type="dxa"/>
            <w:vAlign w:val="bottom"/>
          </w:tcPr>
          <w:p>
            <w:pPr>
              <w:spacing w:after="0"/>
              <w:rPr>
                <w:sz w:val="5"/>
                <w:szCs w:val="5"/>
                <w:color w:val="auto"/>
              </w:rPr>
            </w:pPr>
          </w:p>
        </w:tc>
        <w:tc>
          <w:tcPr>
            <w:tcW w:w="40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76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Weighted average outstanding shares of common stock (B)</w:t>
            </w:r>
          </w:p>
        </w:tc>
        <w:tc>
          <w:tcPr>
            <w:tcW w:w="2040" w:type="dxa"/>
            <w:vAlign w:val="bottom"/>
            <w:shd w:val="clear" w:color="auto" w:fill="E5E5E5"/>
          </w:tcPr>
          <w:p>
            <w:pPr>
              <w:spacing w:after="0"/>
              <w:rPr>
                <w:sz w:val="17"/>
                <w:szCs w:val="17"/>
                <w:color w:val="auto"/>
              </w:rPr>
            </w:pPr>
          </w:p>
        </w:tc>
        <w:tc>
          <w:tcPr>
            <w:tcW w:w="400" w:type="dxa"/>
            <w:vAlign w:val="bottom"/>
            <w:shd w:val="clear" w:color="auto" w:fill="E5E5E5"/>
          </w:tcPr>
          <w:p>
            <w:pPr>
              <w:spacing w:after="0"/>
              <w:rPr>
                <w:sz w:val="17"/>
                <w:szCs w:val="17"/>
                <w:color w:val="auto"/>
              </w:rPr>
            </w:pPr>
          </w:p>
        </w:tc>
        <w:tc>
          <w:tcPr>
            <w:tcW w:w="84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b w:val="1"/>
                <w:bCs w:val="1"/>
                <w:color w:val="auto"/>
              </w:rPr>
              <w:t>7,708</w:t>
            </w:r>
          </w:p>
        </w:tc>
        <w:tc>
          <w:tcPr>
            <w:tcW w:w="120" w:type="dxa"/>
            <w:vAlign w:val="bottom"/>
            <w:shd w:val="clear" w:color="auto" w:fill="E5E5E5"/>
          </w:tcPr>
          <w:p>
            <w:pPr>
              <w:spacing w:after="0"/>
              <w:rPr>
                <w:sz w:val="17"/>
                <w:szCs w:val="17"/>
                <w:color w:val="auto"/>
              </w:rPr>
            </w:pPr>
          </w:p>
        </w:tc>
        <w:tc>
          <w:tcPr>
            <w:tcW w:w="380" w:type="dxa"/>
            <w:vAlign w:val="bottom"/>
            <w:shd w:val="clear" w:color="auto" w:fill="E5E5E5"/>
          </w:tcPr>
          <w:p>
            <w:pPr>
              <w:spacing w:after="0"/>
              <w:rPr>
                <w:sz w:val="17"/>
                <w:szCs w:val="17"/>
                <w:color w:val="auto"/>
              </w:rPr>
            </w:pPr>
          </w:p>
        </w:tc>
        <w:tc>
          <w:tcPr>
            <w:tcW w:w="76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7,789</w:t>
            </w:r>
          </w:p>
        </w:tc>
        <w:tc>
          <w:tcPr>
            <w:tcW w:w="10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Dilutive effect of stock-based awards</w:t>
            </w:r>
          </w:p>
        </w:tc>
        <w:tc>
          <w:tcPr>
            <w:tcW w:w="20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91</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6760" w:type="dxa"/>
            <w:vAlign w:val="bottom"/>
            <w:tcBorders>
              <w:top w:val="single" w:sz="8" w:color="auto"/>
            </w:tcBorders>
          </w:tcPr>
          <w:p>
            <w:pPr>
              <w:spacing w:after="0"/>
              <w:rPr>
                <w:sz w:val="5"/>
                <w:szCs w:val="5"/>
                <w:color w:val="auto"/>
              </w:rPr>
            </w:pPr>
          </w:p>
        </w:tc>
        <w:tc>
          <w:tcPr>
            <w:tcW w:w="2040" w:type="dxa"/>
            <w:vAlign w:val="bottom"/>
            <w:tcBorders>
              <w:top w:val="single" w:sz="8" w:color="auto"/>
            </w:tcBorders>
          </w:tcPr>
          <w:p>
            <w:pPr>
              <w:spacing w:after="0"/>
              <w:rPr>
                <w:sz w:val="5"/>
                <w:szCs w:val="5"/>
                <w:color w:val="auto"/>
              </w:rPr>
            </w:pPr>
          </w:p>
        </w:tc>
        <w:tc>
          <w:tcPr>
            <w:tcW w:w="400" w:type="dxa"/>
            <w:vAlign w:val="bottom"/>
            <w:tcBorders>
              <w:top w:val="single" w:sz="8" w:color="auto"/>
            </w:tcBorders>
          </w:tcPr>
          <w:p>
            <w:pPr>
              <w:spacing w:after="0"/>
              <w:rPr>
                <w:sz w:val="5"/>
                <w:szCs w:val="5"/>
                <w:color w:val="auto"/>
              </w:rPr>
            </w:pPr>
          </w:p>
        </w:tc>
        <w:tc>
          <w:tcPr>
            <w:tcW w:w="74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380" w:type="dxa"/>
            <w:vAlign w:val="bottom"/>
            <w:tcBorders>
              <w:top w:val="single" w:sz="8" w:color="auto"/>
            </w:tcBorders>
          </w:tcPr>
          <w:p>
            <w:pPr>
              <w:spacing w:after="0"/>
              <w:rPr>
                <w:sz w:val="5"/>
                <w:szCs w:val="5"/>
                <w:color w:val="auto"/>
              </w:rPr>
            </w:pPr>
          </w:p>
        </w:tc>
        <w:tc>
          <w:tcPr>
            <w:tcW w:w="76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76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Common stock and common stock equivalents (C)</w:t>
            </w:r>
          </w:p>
        </w:tc>
        <w:tc>
          <w:tcPr>
            <w:tcW w:w="2040" w:type="dxa"/>
            <w:vAlign w:val="bottom"/>
            <w:shd w:val="clear" w:color="auto" w:fill="E5E5E5"/>
          </w:tcPr>
          <w:p>
            <w:pPr>
              <w:spacing w:after="0"/>
              <w:rPr>
                <w:sz w:val="17"/>
                <w:szCs w:val="17"/>
                <w:color w:val="auto"/>
              </w:rPr>
            </w:pPr>
          </w:p>
        </w:tc>
        <w:tc>
          <w:tcPr>
            <w:tcW w:w="400" w:type="dxa"/>
            <w:vAlign w:val="bottom"/>
            <w:shd w:val="clear" w:color="auto" w:fill="E5E5E5"/>
          </w:tcPr>
          <w:p>
            <w:pPr>
              <w:spacing w:after="0"/>
              <w:rPr>
                <w:sz w:val="17"/>
                <w:szCs w:val="17"/>
                <w:color w:val="auto"/>
              </w:rPr>
            </w:pPr>
          </w:p>
        </w:tc>
        <w:tc>
          <w:tcPr>
            <w:tcW w:w="84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b w:val="1"/>
                <w:bCs w:val="1"/>
                <w:color w:val="auto"/>
              </w:rPr>
              <w:t>7,799</w:t>
            </w:r>
          </w:p>
        </w:tc>
        <w:tc>
          <w:tcPr>
            <w:tcW w:w="120" w:type="dxa"/>
            <w:vAlign w:val="bottom"/>
            <w:shd w:val="clear" w:color="auto" w:fill="E5E5E5"/>
          </w:tcPr>
          <w:p>
            <w:pPr>
              <w:spacing w:after="0"/>
              <w:rPr>
                <w:sz w:val="17"/>
                <w:szCs w:val="17"/>
                <w:color w:val="auto"/>
              </w:rPr>
            </w:pPr>
          </w:p>
        </w:tc>
        <w:tc>
          <w:tcPr>
            <w:tcW w:w="380" w:type="dxa"/>
            <w:vAlign w:val="bottom"/>
            <w:shd w:val="clear" w:color="auto" w:fill="E5E5E5"/>
          </w:tcPr>
          <w:p>
            <w:pPr>
              <w:spacing w:after="0"/>
              <w:rPr>
                <w:sz w:val="17"/>
                <w:szCs w:val="17"/>
                <w:color w:val="auto"/>
              </w:rPr>
            </w:pPr>
          </w:p>
        </w:tc>
        <w:tc>
          <w:tcPr>
            <w:tcW w:w="76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7,876</w:t>
            </w:r>
          </w:p>
        </w:tc>
        <w:tc>
          <w:tcPr>
            <w:tcW w:w="10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75"/>
        </w:trPr>
        <w:tc>
          <w:tcPr>
            <w:tcW w:w="67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Earnings Per Share</w:t>
            </w:r>
          </w:p>
        </w:tc>
        <w:tc>
          <w:tcPr>
            <w:tcW w:w="2040" w:type="dxa"/>
            <w:vAlign w:val="bottom"/>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9"/>
        </w:trPr>
        <w:tc>
          <w:tcPr>
            <w:tcW w:w="6780" w:type="dxa"/>
            <w:vAlign w:val="bottom"/>
            <w:gridSpan w:val="2"/>
            <w:vMerge w:val="continue"/>
          </w:tcPr>
          <w:p>
            <w:pPr>
              <w:spacing w:after="0"/>
              <w:rPr>
                <w:sz w:val="20"/>
                <w:szCs w:val="20"/>
                <w:color w:val="auto"/>
              </w:rPr>
            </w:pPr>
          </w:p>
        </w:tc>
        <w:tc>
          <w:tcPr>
            <w:tcW w:w="20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
        </w:trPr>
        <w:tc>
          <w:tcPr>
            <w:tcW w:w="20" w:type="dxa"/>
            <w:vAlign w:val="bottom"/>
            <w:vMerge w:val="restart"/>
          </w:tcPr>
          <w:p>
            <w:pPr>
              <w:spacing w:after="0"/>
              <w:rPr>
                <w:sz w:val="3"/>
                <w:szCs w:val="3"/>
                <w:color w:val="auto"/>
              </w:rPr>
            </w:pPr>
          </w:p>
        </w:tc>
        <w:tc>
          <w:tcPr>
            <w:tcW w:w="6760" w:type="dxa"/>
            <w:vAlign w:val="bottom"/>
          </w:tcPr>
          <w:p>
            <w:pPr>
              <w:spacing w:after="0"/>
              <w:rPr>
                <w:sz w:val="3"/>
                <w:szCs w:val="3"/>
                <w:color w:val="auto"/>
              </w:rPr>
            </w:pPr>
          </w:p>
        </w:tc>
        <w:tc>
          <w:tcPr>
            <w:tcW w:w="2040" w:type="dxa"/>
            <w:vAlign w:val="bottom"/>
          </w:tcPr>
          <w:p>
            <w:pPr>
              <w:spacing w:after="0"/>
              <w:rPr>
                <w:sz w:val="3"/>
                <w:szCs w:val="3"/>
                <w:color w:val="auto"/>
              </w:rPr>
            </w:pPr>
          </w:p>
        </w:tc>
        <w:tc>
          <w:tcPr>
            <w:tcW w:w="4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76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Basic (A/B)</w:t>
            </w:r>
          </w:p>
        </w:tc>
        <w:tc>
          <w:tcPr>
            <w:tcW w:w="2440" w:type="dxa"/>
            <w:vAlign w:val="bottom"/>
            <w:gridSpan w:val="2"/>
            <w:shd w:val="clear" w:color="auto" w:fill="E5E5E5"/>
          </w:tcPr>
          <w:p>
            <w:pPr>
              <w:jc w:val="right"/>
              <w:ind w:right="300"/>
              <w:spacing w:after="0" w:line="202" w:lineRule="exact"/>
              <w:rPr>
                <w:sz w:val="20"/>
                <w:szCs w:val="20"/>
                <w:color w:val="auto"/>
              </w:rPr>
            </w:pPr>
            <w:r>
              <w:rPr>
                <w:rFonts w:ascii="Arial" w:cs="Arial" w:eastAsia="Arial" w:hAnsi="Arial"/>
                <w:sz w:val="18"/>
                <w:szCs w:val="18"/>
                <w:b w:val="1"/>
                <w:bCs w:val="1"/>
                <w:color w:val="auto"/>
              </w:rPr>
              <w:t>$</w:t>
            </w:r>
          </w:p>
        </w:tc>
        <w:tc>
          <w:tcPr>
            <w:tcW w:w="84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b w:val="1"/>
                <w:bCs w:val="1"/>
                <w:color w:val="auto"/>
              </w:rPr>
              <w:t>0.85</w:t>
            </w:r>
          </w:p>
        </w:tc>
        <w:tc>
          <w:tcPr>
            <w:tcW w:w="500" w:type="dxa"/>
            <w:vAlign w:val="bottom"/>
            <w:gridSpan w:val="2"/>
            <w:shd w:val="clear" w:color="auto" w:fill="E5E5E5"/>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76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0.73</w:t>
            </w:r>
          </w:p>
        </w:tc>
        <w:tc>
          <w:tcPr>
            <w:tcW w:w="10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20" w:type="dxa"/>
            <w:vAlign w:val="bottom"/>
            <w:tcBorders>
              <w:bottom w:val="single" w:sz="8" w:color="auto"/>
            </w:tcBorders>
          </w:tcPr>
          <w:p>
            <w:pPr>
              <w:spacing w:after="0"/>
              <w:rPr>
                <w:sz w:val="22"/>
                <w:szCs w:val="22"/>
                <w:color w:val="auto"/>
              </w:rPr>
            </w:pPr>
          </w:p>
        </w:tc>
        <w:tc>
          <w:tcPr>
            <w:tcW w:w="67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Diluted (A/C)</w:t>
            </w:r>
          </w:p>
        </w:tc>
        <w:tc>
          <w:tcPr>
            <w:tcW w:w="244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b w:val="1"/>
                <w:bCs w:val="1"/>
                <w:color w:val="auto"/>
              </w:rPr>
              <w:t>0.84</w:t>
            </w:r>
          </w:p>
        </w:tc>
        <w:tc>
          <w:tcPr>
            <w:tcW w:w="50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0.72</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Anti-dilutive stock-based awards excluded from the calculations of diluted EPS were immaterial during the periods presented.</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28916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4" w:name="page15"/>
    <w:bookmarkEnd w:id="14"/>
    <w:p>
      <w:pPr>
        <w:ind w:left="5500"/>
        <w:spacing w:after="0"/>
        <w:rPr>
          <w:sz w:val="20"/>
          <w:szCs w:val="20"/>
          <w:color w:val="auto"/>
        </w:rPr>
      </w:pPr>
      <w:r>
        <w:rPr>
          <w:rFonts w:ascii="Arial" w:cs="Arial" w:eastAsia="Arial" w:hAnsi="Arial"/>
          <w:sz w:val="14"/>
          <w:szCs w:val="14"/>
          <w:u w:val="single" w:color="auto"/>
          <w:color w:val="auto"/>
        </w:rPr>
        <w:t>PART I</w:t>
      </w:r>
    </w:p>
    <w:p>
      <w:pPr>
        <w:spacing w:after="0" w:line="5" w:lineRule="exact"/>
        <w:rPr>
          <w:sz w:val="20"/>
          <w:szCs w:val="20"/>
          <w:color w:val="auto"/>
        </w:rPr>
      </w:pPr>
    </w:p>
    <w:p>
      <w:pPr>
        <w:ind w:left="5520"/>
        <w:spacing w:after="0"/>
        <w:rPr>
          <w:sz w:val="20"/>
          <w:szCs w:val="20"/>
          <w:color w:val="auto"/>
        </w:rPr>
      </w:pPr>
      <w:r>
        <w:rPr>
          <w:rFonts w:ascii="Arial" w:cs="Arial" w:eastAsia="Arial" w:hAnsi="Arial"/>
          <w:sz w:val="14"/>
          <w:szCs w:val="14"/>
          <w:color w:val="auto"/>
        </w:rPr>
        <w:t>Item 1</w:t>
      </w:r>
    </w:p>
    <w:p>
      <w:pPr>
        <w:spacing w:after="0" w:line="127" w:lineRule="exact"/>
        <w:rPr>
          <w:sz w:val="20"/>
          <w:szCs w:val="20"/>
          <w:color w:val="auto"/>
        </w:rPr>
      </w:pPr>
    </w:p>
    <w:p>
      <w:pPr>
        <w:ind w:right="3820" w:firstLine="3801"/>
        <w:spacing w:after="0" w:line="440" w:lineRule="auto"/>
        <w:rPr>
          <w:sz w:val="20"/>
          <w:szCs w:val="20"/>
          <w:color w:val="auto"/>
        </w:rPr>
      </w:pPr>
      <w:r>
        <w:rPr>
          <w:rFonts w:ascii="Arial" w:cs="Arial" w:eastAsia="Arial" w:hAnsi="Arial"/>
          <w:sz w:val="18"/>
          <w:szCs w:val="18"/>
          <w:u w:val="single" w:color="auto"/>
          <w:color w:val="auto"/>
        </w:rPr>
        <w:t xml:space="preserve">NOTE 3 — OTHER INCOME (EXPENSE), NET </w:t>
      </w:r>
      <w:r>
        <w:rPr>
          <w:rFonts w:ascii="Arial" w:cs="Arial" w:eastAsia="Arial" w:hAnsi="Arial"/>
          <w:sz w:val="18"/>
          <w:szCs w:val="18"/>
          <w:color w:val="auto"/>
        </w:rPr>
        <w:t>The components of other income (expense), net were as follows:</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46990</wp:posOffset>
            </wp:positionV>
            <wp:extent cx="717804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8040" cy="8890"/>
                    </a:xfrm>
                    <a:prstGeom prst="rect">
                      <a:avLst/>
                    </a:prstGeom>
                    <a:noFill/>
                  </pic:spPr>
                </pic:pic>
              </a:graphicData>
            </a:graphic>
          </wp:anchor>
        </w:drawing>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040" w:type="dxa"/>
            <w:vAlign w:val="bottom"/>
            <w:gridSpan w:val="2"/>
          </w:tcPr>
          <w:p>
            <w:pPr>
              <w:spacing w:after="0"/>
              <w:rPr>
                <w:sz w:val="20"/>
                <w:szCs w:val="20"/>
                <w:color w:val="auto"/>
              </w:rPr>
            </w:pPr>
            <w:r>
              <w:rPr>
                <w:rFonts w:ascii="Arial" w:cs="Arial" w:eastAsia="Arial" w:hAnsi="Arial"/>
                <w:sz w:val="14"/>
                <w:szCs w:val="14"/>
                <w:b w:val="1"/>
                <w:bCs w:val="1"/>
                <w:color w:val="auto"/>
              </w:rPr>
              <w:t>Three Months Ended September 30,</w:t>
            </w: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2017</w:t>
            </w: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 w:type="dxa"/>
            <w:vAlign w:val="bottom"/>
            <w:vMerge w:val="restart"/>
          </w:tcPr>
          <w:p>
            <w:pPr>
              <w:spacing w:after="0"/>
              <w:rPr>
                <w:sz w:val="3"/>
                <w:szCs w:val="3"/>
                <w:color w:val="auto"/>
              </w:rPr>
            </w:pPr>
          </w:p>
        </w:tc>
        <w:tc>
          <w:tcPr>
            <w:tcW w:w="3020" w:type="dxa"/>
            <w:vAlign w:val="bottom"/>
          </w:tcPr>
          <w:p>
            <w:pPr>
              <w:spacing w:after="0"/>
              <w:rPr>
                <w:sz w:val="3"/>
                <w:szCs w:val="3"/>
                <w:color w:val="auto"/>
              </w:rPr>
            </w:pPr>
          </w:p>
        </w:tc>
        <w:tc>
          <w:tcPr>
            <w:tcW w:w="2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80" w:type="dxa"/>
            <w:vAlign w:val="bottom"/>
          </w:tcPr>
          <w:p>
            <w:pPr>
              <w:spacing w:after="0"/>
              <w:rPr>
                <w:sz w:val="3"/>
                <w:szCs w:val="3"/>
                <w:color w:val="auto"/>
              </w:rPr>
            </w:pPr>
          </w:p>
        </w:tc>
        <w:tc>
          <w:tcPr>
            <w:tcW w:w="3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0" w:type="dxa"/>
            <w:vAlign w:val="bottom"/>
          </w:tcPr>
          <w:p>
            <w:pPr>
              <w:spacing w:after="0"/>
              <w:rPr>
                <w:sz w:val="3"/>
                <w:szCs w:val="3"/>
                <w:color w:val="auto"/>
              </w:rPr>
            </w:pPr>
          </w:p>
        </w:tc>
        <w:tc>
          <w:tcPr>
            <w:tcW w:w="720" w:type="dxa"/>
            <w:vAlign w:val="bottom"/>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02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Dividends and interest income</w:t>
            </w:r>
          </w:p>
        </w:tc>
        <w:tc>
          <w:tcPr>
            <w:tcW w:w="240" w:type="dxa"/>
            <w:vAlign w:val="bottom"/>
            <w:shd w:val="clear" w:color="auto" w:fill="E5E5E5"/>
          </w:tcPr>
          <w:p>
            <w:pPr>
              <w:spacing w:after="0"/>
              <w:rPr>
                <w:sz w:val="17"/>
                <w:szCs w:val="17"/>
                <w:color w:val="auto"/>
              </w:rPr>
            </w:pPr>
          </w:p>
        </w:tc>
        <w:tc>
          <w:tcPr>
            <w:tcW w:w="840" w:type="dxa"/>
            <w:vAlign w:val="bottom"/>
            <w:shd w:val="clear" w:color="auto" w:fill="E5E5E5"/>
          </w:tcPr>
          <w:p>
            <w:pPr>
              <w:spacing w:after="0"/>
              <w:rPr>
                <w:sz w:val="17"/>
                <w:szCs w:val="17"/>
                <w:color w:val="auto"/>
              </w:rPr>
            </w:pPr>
          </w:p>
        </w:tc>
        <w:tc>
          <w:tcPr>
            <w:tcW w:w="180" w:type="dxa"/>
            <w:vAlign w:val="bottom"/>
            <w:shd w:val="clear" w:color="auto" w:fill="E5E5E5"/>
          </w:tcPr>
          <w:p>
            <w:pPr>
              <w:spacing w:after="0"/>
              <w:rPr>
                <w:sz w:val="17"/>
                <w:szCs w:val="17"/>
                <w:color w:val="auto"/>
              </w:rPr>
            </w:pPr>
          </w:p>
        </w:tc>
        <w:tc>
          <w:tcPr>
            <w:tcW w:w="300" w:type="dxa"/>
            <w:vAlign w:val="bottom"/>
            <w:shd w:val="clear" w:color="auto" w:fill="E5E5E5"/>
          </w:tcPr>
          <w:p>
            <w:pPr>
              <w:spacing w:after="0"/>
              <w:rPr>
                <w:sz w:val="17"/>
                <w:szCs w:val="17"/>
                <w:color w:val="auto"/>
              </w:rPr>
            </w:pPr>
          </w:p>
        </w:tc>
        <w:tc>
          <w:tcPr>
            <w:tcW w:w="74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280" w:type="dxa"/>
            <w:vAlign w:val="bottom"/>
            <w:shd w:val="clear" w:color="auto" w:fill="E5E5E5"/>
          </w:tcPr>
          <w:p>
            <w:pPr>
              <w:spacing w:after="0"/>
              <w:rPr>
                <w:sz w:val="17"/>
                <w:szCs w:val="17"/>
                <w:color w:val="auto"/>
              </w:rPr>
            </w:pPr>
          </w:p>
        </w:tc>
        <w:tc>
          <w:tcPr>
            <w:tcW w:w="74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60" w:type="dxa"/>
            <w:vAlign w:val="bottom"/>
            <w:shd w:val="clear" w:color="auto" w:fill="E5E5E5"/>
          </w:tcPr>
          <w:p>
            <w:pPr>
              <w:spacing w:after="0"/>
              <w:rPr>
                <w:sz w:val="17"/>
                <w:szCs w:val="17"/>
                <w:color w:val="auto"/>
              </w:rPr>
            </w:pPr>
          </w:p>
        </w:tc>
        <w:tc>
          <w:tcPr>
            <w:tcW w:w="60" w:type="dxa"/>
            <w:vAlign w:val="bottom"/>
            <w:shd w:val="clear" w:color="auto" w:fill="E5E5E5"/>
          </w:tcPr>
          <w:p>
            <w:pPr>
              <w:spacing w:after="0"/>
              <w:rPr>
                <w:sz w:val="17"/>
                <w:szCs w:val="17"/>
                <w:color w:val="auto"/>
              </w:rPr>
            </w:pPr>
          </w:p>
        </w:tc>
        <w:tc>
          <w:tcPr>
            <w:tcW w:w="180" w:type="dxa"/>
            <w:vAlign w:val="bottom"/>
            <w:shd w:val="clear" w:color="auto" w:fill="E5E5E5"/>
          </w:tcPr>
          <w:p>
            <w:pPr>
              <w:spacing w:after="0"/>
              <w:rPr>
                <w:sz w:val="17"/>
                <w:szCs w:val="17"/>
                <w:color w:val="auto"/>
              </w:rPr>
            </w:pPr>
          </w:p>
        </w:tc>
        <w:tc>
          <w:tcPr>
            <w:tcW w:w="780" w:type="dxa"/>
            <w:vAlign w:val="bottom"/>
            <w:shd w:val="clear" w:color="auto" w:fill="E5E5E5"/>
          </w:tcPr>
          <w:p>
            <w:pPr>
              <w:spacing w:after="0"/>
              <w:rPr>
                <w:sz w:val="17"/>
                <w:szCs w:val="17"/>
                <w:color w:val="auto"/>
              </w:rPr>
            </w:pPr>
          </w:p>
        </w:tc>
        <w:tc>
          <w:tcPr>
            <w:tcW w:w="20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980" w:type="dxa"/>
            <w:vAlign w:val="bottom"/>
            <w:gridSpan w:val="3"/>
            <w:shd w:val="clear" w:color="auto" w:fill="E5E5E5"/>
          </w:tcPr>
          <w:p>
            <w:pPr>
              <w:jc w:val="right"/>
              <w:ind w:right="160"/>
              <w:spacing w:after="0" w:line="202" w:lineRule="exact"/>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E5E5E5"/>
          </w:tcPr>
          <w:p>
            <w:pPr>
              <w:spacing w:after="0"/>
              <w:rPr>
                <w:sz w:val="17"/>
                <w:szCs w:val="17"/>
                <w:color w:val="auto"/>
              </w:rPr>
            </w:pPr>
          </w:p>
        </w:tc>
        <w:tc>
          <w:tcPr>
            <w:tcW w:w="860" w:type="dxa"/>
            <w:vAlign w:val="bottom"/>
            <w:gridSpan w:val="2"/>
            <w:shd w:val="clear" w:color="auto" w:fill="E5E5E5"/>
          </w:tcPr>
          <w:p>
            <w:pPr>
              <w:jc w:val="right"/>
              <w:ind w:right="140"/>
              <w:spacing w:after="0" w:line="202" w:lineRule="exact"/>
              <w:rPr>
                <w:sz w:val="20"/>
                <w:szCs w:val="20"/>
                <w:color w:val="auto"/>
              </w:rPr>
            </w:pPr>
            <w:r>
              <w:rPr>
                <w:rFonts w:ascii="Arial" w:cs="Arial" w:eastAsia="Arial" w:hAnsi="Arial"/>
                <w:sz w:val="18"/>
                <w:szCs w:val="18"/>
                <w:b w:val="1"/>
                <w:bCs w:val="1"/>
                <w:color w:val="auto"/>
              </w:rPr>
              <w:t>473</w:t>
            </w:r>
          </w:p>
        </w:tc>
        <w:tc>
          <w:tcPr>
            <w:tcW w:w="40" w:type="dxa"/>
            <w:vAlign w:val="bottom"/>
            <w:shd w:val="clear" w:color="auto" w:fill="E5E5E5"/>
          </w:tcPr>
          <w:p>
            <w:pPr>
              <w:spacing w:after="0"/>
              <w:rPr>
                <w:sz w:val="17"/>
                <w:szCs w:val="17"/>
                <w:color w:val="auto"/>
              </w:rPr>
            </w:pPr>
          </w:p>
        </w:tc>
        <w:tc>
          <w:tcPr>
            <w:tcW w:w="160" w:type="dxa"/>
            <w:vAlign w:val="bottom"/>
            <w:gridSpan w:val="2"/>
            <w:shd w:val="clear" w:color="auto" w:fill="E5E5E5"/>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E5E5E5"/>
          </w:tcPr>
          <w:p>
            <w:pPr>
              <w:spacing w:after="0"/>
              <w:rPr>
                <w:sz w:val="17"/>
                <w:szCs w:val="17"/>
                <w:color w:val="auto"/>
              </w:rPr>
            </w:pPr>
          </w:p>
        </w:tc>
        <w:tc>
          <w:tcPr>
            <w:tcW w:w="96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293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20" w:type="dxa"/>
            <w:vAlign w:val="bottom"/>
          </w:tcPr>
          <w:p>
            <w:pPr>
              <w:spacing w:after="0" w:line="202" w:lineRule="exact"/>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gridSpan w:val="2"/>
          </w:tcPr>
          <w:p>
            <w:pPr>
              <w:jc w:val="right"/>
              <w:ind w:right="80"/>
              <w:spacing w:after="0" w:line="202" w:lineRule="exact"/>
              <w:rPr>
                <w:sz w:val="20"/>
                <w:szCs w:val="20"/>
                <w:color w:val="auto"/>
              </w:rPr>
            </w:pPr>
            <w:r>
              <w:rPr>
                <w:rFonts w:ascii="Arial" w:cs="Arial" w:eastAsia="Arial" w:hAnsi="Arial"/>
                <w:sz w:val="18"/>
                <w:szCs w:val="18"/>
                <w:b w:val="1"/>
                <w:bCs w:val="1"/>
                <w:color w:val="auto"/>
              </w:rPr>
              <w:t>(672)</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(437)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2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Net recognized gains on investments</w:t>
            </w:r>
          </w:p>
        </w:tc>
        <w:tc>
          <w:tcPr>
            <w:tcW w:w="240" w:type="dxa"/>
            <w:vAlign w:val="bottom"/>
            <w:shd w:val="clear" w:color="auto" w:fill="E5E5E5"/>
          </w:tcPr>
          <w:p>
            <w:pPr>
              <w:spacing w:after="0"/>
              <w:rPr>
                <w:sz w:val="17"/>
                <w:szCs w:val="17"/>
                <w:color w:val="auto"/>
              </w:rPr>
            </w:pPr>
          </w:p>
        </w:tc>
        <w:tc>
          <w:tcPr>
            <w:tcW w:w="840" w:type="dxa"/>
            <w:vAlign w:val="bottom"/>
            <w:shd w:val="clear" w:color="auto" w:fill="E5E5E5"/>
          </w:tcPr>
          <w:p>
            <w:pPr>
              <w:spacing w:after="0"/>
              <w:rPr>
                <w:sz w:val="17"/>
                <w:szCs w:val="17"/>
                <w:color w:val="auto"/>
              </w:rPr>
            </w:pPr>
          </w:p>
        </w:tc>
        <w:tc>
          <w:tcPr>
            <w:tcW w:w="180" w:type="dxa"/>
            <w:vAlign w:val="bottom"/>
            <w:shd w:val="clear" w:color="auto" w:fill="E5E5E5"/>
          </w:tcPr>
          <w:p>
            <w:pPr>
              <w:spacing w:after="0"/>
              <w:rPr>
                <w:sz w:val="17"/>
                <w:szCs w:val="17"/>
                <w:color w:val="auto"/>
              </w:rPr>
            </w:pPr>
          </w:p>
        </w:tc>
        <w:tc>
          <w:tcPr>
            <w:tcW w:w="300" w:type="dxa"/>
            <w:vAlign w:val="bottom"/>
            <w:shd w:val="clear" w:color="auto" w:fill="E5E5E5"/>
          </w:tcPr>
          <w:p>
            <w:pPr>
              <w:spacing w:after="0"/>
              <w:rPr>
                <w:sz w:val="17"/>
                <w:szCs w:val="17"/>
                <w:color w:val="auto"/>
              </w:rPr>
            </w:pPr>
          </w:p>
        </w:tc>
        <w:tc>
          <w:tcPr>
            <w:tcW w:w="74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280" w:type="dxa"/>
            <w:vAlign w:val="bottom"/>
            <w:shd w:val="clear" w:color="auto" w:fill="E5E5E5"/>
          </w:tcPr>
          <w:p>
            <w:pPr>
              <w:spacing w:after="0"/>
              <w:rPr>
                <w:sz w:val="17"/>
                <w:szCs w:val="17"/>
                <w:color w:val="auto"/>
              </w:rPr>
            </w:pPr>
          </w:p>
        </w:tc>
        <w:tc>
          <w:tcPr>
            <w:tcW w:w="74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60" w:type="dxa"/>
            <w:vAlign w:val="bottom"/>
            <w:shd w:val="clear" w:color="auto" w:fill="E5E5E5"/>
          </w:tcPr>
          <w:p>
            <w:pPr>
              <w:spacing w:after="0"/>
              <w:rPr>
                <w:sz w:val="17"/>
                <w:szCs w:val="17"/>
                <w:color w:val="auto"/>
              </w:rPr>
            </w:pPr>
          </w:p>
        </w:tc>
        <w:tc>
          <w:tcPr>
            <w:tcW w:w="60" w:type="dxa"/>
            <w:vAlign w:val="bottom"/>
            <w:shd w:val="clear" w:color="auto" w:fill="E5E5E5"/>
          </w:tcPr>
          <w:p>
            <w:pPr>
              <w:spacing w:after="0"/>
              <w:rPr>
                <w:sz w:val="17"/>
                <w:szCs w:val="17"/>
                <w:color w:val="auto"/>
              </w:rPr>
            </w:pPr>
          </w:p>
        </w:tc>
        <w:tc>
          <w:tcPr>
            <w:tcW w:w="180" w:type="dxa"/>
            <w:vAlign w:val="bottom"/>
            <w:shd w:val="clear" w:color="auto" w:fill="E5E5E5"/>
          </w:tcPr>
          <w:p>
            <w:pPr>
              <w:spacing w:after="0"/>
              <w:rPr>
                <w:sz w:val="17"/>
                <w:szCs w:val="17"/>
                <w:color w:val="auto"/>
              </w:rPr>
            </w:pPr>
          </w:p>
        </w:tc>
        <w:tc>
          <w:tcPr>
            <w:tcW w:w="780" w:type="dxa"/>
            <w:vAlign w:val="bottom"/>
            <w:shd w:val="clear" w:color="auto" w:fill="E5E5E5"/>
          </w:tcPr>
          <w:p>
            <w:pPr>
              <w:spacing w:after="0"/>
              <w:rPr>
                <w:sz w:val="17"/>
                <w:szCs w:val="17"/>
                <w:color w:val="auto"/>
              </w:rPr>
            </w:pPr>
          </w:p>
        </w:tc>
        <w:tc>
          <w:tcPr>
            <w:tcW w:w="20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720" w:type="dxa"/>
            <w:vAlign w:val="bottom"/>
            <w:shd w:val="clear" w:color="auto" w:fill="E5E5E5"/>
          </w:tcPr>
          <w:p>
            <w:pPr>
              <w:spacing w:after="0"/>
              <w:rPr>
                <w:sz w:val="17"/>
                <w:szCs w:val="17"/>
                <w:color w:val="auto"/>
              </w:rPr>
            </w:pPr>
          </w:p>
        </w:tc>
        <w:tc>
          <w:tcPr>
            <w:tcW w:w="60" w:type="dxa"/>
            <w:vAlign w:val="bottom"/>
            <w:shd w:val="clear" w:color="auto" w:fill="E5E5E5"/>
          </w:tcPr>
          <w:p>
            <w:pPr>
              <w:spacing w:after="0"/>
              <w:rPr>
                <w:sz w:val="17"/>
                <w:szCs w:val="17"/>
                <w:color w:val="auto"/>
              </w:rPr>
            </w:pPr>
          </w:p>
        </w:tc>
        <w:tc>
          <w:tcPr>
            <w:tcW w:w="20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860" w:type="dxa"/>
            <w:vAlign w:val="bottom"/>
            <w:gridSpan w:val="2"/>
            <w:shd w:val="clear" w:color="auto" w:fill="E5E5E5"/>
          </w:tcPr>
          <w:p>
            <w:pPr>
              <w:jc w:val="right"/>
              <w:ind w:right="140"/>
              <w:spacing w:after="0" w:line="202" w:lineRule="exact"/>
              <w:rPr>
                <w:sz w:val="20"/>
                <w:szCs w:val="20"/>
                <w:color w:val="auto"/>
              </w:rPr>
            </w:pPr>
            <w:r>
              <w:rPr>
                <w:rFonts w:ascii="Arial" w:cs="Arial" w:eastAsia="Arial" w:hAnsi="Arial"/>
                <w:sz w:val="18"/>
                <w:szCs w:val="18"/>
                <w:b w:val="1"/>
                <w:bCs w:val="1"/>
                <w:color w:val="auto"/>
              </w:rPr>
              <w:t>573</w:t>
            </w:r>
          </w:p>
        </w:tc>
        <w:tc>
          <w:tcPr>
            <w:tcW w:w="40" w:type="dxa"/>
            <w:vAlign w:val="bottom"/>
            <w:shd w:val="clear" w:color="auto" w:fill="E5E5E5"/>
          </w:tcPr>
          <w:p>
            <w:pPr>
              <w:spacing w:after="0"/>
              <w:rPr>
                <w:sz w:val="17"/>
                <w:szCs w:val="17"/>
                <w:color w:val="auto"/>
              </w:rPr>
            </w:pPr>
          </w:p>
        </w:tc>
        <w:tc>
          <w:tcPr>
            <w:tcW w:w="4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96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405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20" w:type="dxa"/>
            <w:vAlign w:val="bottom"/>
          </w:tcPr>
          <w:p>
            <w:pPr>
              <w:spacing w:after="0" w:line="202" w:lineRule="exact"/>
              <w:rPr>
                <w:sz w:val="20"/>
                <w:szCs w:val="20"/>
                <w:color w:val="auto"/>
              </w:rPr>
            </w:pPr>
            <w:r>
              <w:rPr>
                <w:rFonts w:ascii="Arial" w:cs="Arial" w:eastAsia="Arial" w:hAnsi="Arial"/>
                <w:sz w:val="18"/>
                <w:szCs w:val="18"/>
                <w:color w:val="auto"/>
              </w:rPr>
              <w:t>Net losses on derivatives</w:t>
            </w: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gridSpan w:val="2"/>
          </w:tcPr>
          <w:p>
            <w:pPr>
              <w:jc w:val="right"/>
              <w:ind w:right="80"/>
              <w:spacing w:after="0" w:line="202" w:lineRule="exact"/>
              <w:rPr>
                <w:sz w:val="20"/>
                <w:szCs w:val="20"/>
                <w:color w:val="auto"/>
              </w:rPr>
            </w:pPr>
            <w:r>
              <w:rPr>
                <w:rFonts w:ascii="Arial" w:cs="Arial" w:eastAsia="Arial" w:hAnsi="Arial"/>
                <w:sz w:val="18"/>
                <w:szCs w:val="18"/>
                <w:b w:val="1"/>
                <w:bCs w:val="1"/>
                <w:color w:val="auto"/>
              </w:rPr>
              <w:t>(50)</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(94)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80" w:type="dxa"/>
            <w:vAlign w:val="bottom"/>
            <w:gridSpan w:val="4"/>
            <w:shd w:val="clear" w:color="auto" w:fill="E5E5E5"/>
          </w:tcPr>
          <w:p>
            <w:pPr>
              <w:spacing w:after="0" w:line="202" w:lineRule="exact"/>
              <w:rPr>
                <w:sz w:val="20"/>
                <w:szCs w:val="20"/>
                <w:color w:val="auto"/>
              </w:rPr>
            </w:pPr>
            <w:r>
              <w:rPr>
                <w:rFonts w:ascii="Arial" w:cs="Arial" w:eastAsia="Arial" w:hAnsi="Arial"/>
                <w:sz w:val="18"/>
                <w:szCs w:val="18"/>
                <w:color w:val="auto"/>
              </w:rPr>
              <w:t>Net losses on foreign currency remeasurements</w:t>
            </w:r>
          </w:p>
        </w:tc>
        <w:tc>
          <w:tcPr>
            <w:tcW w:w="300" w:type="dxa"/>
            <w:vAlign w:val="bottom"/>
            <w:shd w:val="clear" w:color="auto" w:fill="E5E5E5"/>
          </w:tcPr>
          <w:p>
            <w:pPr>
              <w:spacing w:after="0"/>
              <w:rPr>
                <w:sz w:val="17"/>
                <w:szCs w:val="17"/>
                <w:color w:val="auto"/>
              </w:rPr>
            </w:pPr>
          </w:p>
        </w:tc>
        <w:tc>
          <w:tcPr>
            <w:tcW w:w="74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280" w:type="dxa"/>
            <w:vAlign w:val="bottom"/>
            <w:shd w:val="clear" w:color="auto" w:fill="E5E5E5"/>
          </w:tcPr>
          <w:p>
            <w:pPr>
              <w:spacing w:after="0"/>
              <w:rPr>
                <w:sz w:val="17"/>
                <w:szCs w:val="17"/>
                <w:color w:val="auto"/>
              </w:rPr>
            </w:pPr>
          </w:p>
        </w:tc>
        <w:tc>
          <w:tcPr>
            <w:tcW w:w="74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60" w:type="dxa"/>
            <w:vAlign w:val="bottom"/>
            <w:shd w:val="clear" w:color="auto" w:fill="E5E5E5"/>
          </w:tcPr>
          <w:p>
            <w:pPr>
              <w:spacing w:after="0"/>
              <w:rPr>
                <w:sz w:val="17"/>
                <w:szCs w:val="17"/>
                <w:color w:val="auto"/>
              </w:rPr>
            </w:pPr>
          </w:p>
        </w:tc>
        <w:tc>
          <w:tcPr>
            <w:tcW w:w="60" w:type="dxa"/>
            <w:vAlign w:val="bottom"/>
            <w:shd w:val="clear" w:color="auto" w:fill="E5E5E5"/>
          </w:tcPr>
          <w:p>
            <w:pPr>
              <w:spacing w:after="0"/>
              <w:rPr>
                <w:sz w:val="17"/>
                <w:szCs w:val="17"/>
                <w:color w:val="auto"/>
              </w:rPr>
            </w:pPr>
          </w:p>
        </w:tc>
        <w:tc>
          <w:tcPr>
            <w:tcW w:w="180" w:type="dxa"/>
            <w:vAlign w:val="bottom"/>
            <w:shd w:val="clear" w:color="auto" w:fill="E5E5E5"/>
          </w:tcPr>
          <w:p>
            <w:pPr>
              <w:spacing w:after="0"/>
              <w:rPr>
                <w:sz w:val="17"/>
                <w:szCs w:val="17"/>
                <w:color w:val="auto"/>
              </w:rPr>
            </w:pPr>
          </w:p>
        </w:tc>
        <w:tc>
          <w:tcPr>
            <w:tcW w:w="780" w:type="dxa"/>
            <w:vAlign w:val="bottom"/>
            <w:shd w:val="clear" w:color="auto" w:fill="E5E5E5"/>
          </w:tcPr>
          <w:p>
            <w:pPr>
              <w:spacing w:after="0"/>
              <w:rPr>
                <w:sz w:val="17"/>
                <w:szCs w:val="17"/>
                <w:color w:val="auto"/>
              </w:rPr>
            </w:pPr>
          </w:p>
        </w:tc>
        <w:tc>
          <w:tcPr>
            <w:tcW w:w="20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720" w:type="dxa"/>
            <w:vAlign w:val="bottom"/>
            <w:shd w:val="clear" w:color="auto" w:fill="E5E5E5"/>
          </w:tcPr>
          <w:p>
            <w:pPr>
              <w:spacing w:after="0"/>
              <w:rPr>
                <w:sz w:val="17"/>
                <w:szCs w:val="17"/>
                <w:color w:val="auto"/>
              </w:rPr>
            </w:pPr>
          </w:p>
        </w:tc>
        <w:tc>
          <w:tcPr>
            <w:tcW w:w="60" w:type="dxa"/>
            <w:vAlign w:val="bottom"/>
            <w:shd w:val="clear" w:color="auto" w:fill="E5E5E5"/>
          </w:tcPr>
          <w:p>
            <w:pPr>
              <w:spacing w:after="0"/>
              <w:rPr>
                <w:sz w:val="17"/>
                <w:szCs w:val="17"/>
                <w:color w:val="auto"/>
              </w:rPr>
            </w:pPr>
          </w:p>
        </w:tc>
        <w:tc>
          <w:tcPr>
            <w:tcW w:w="20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860" w:type="dxa"/>
            <w:vAlign w:val="bottom"/>
            <w:gridSpan w:val="2"/>
            <w:shd w:val="clear" w:color="auto" w:fill="E5E5E5"/>
          </w:tcPr>
          <w:p>
            <w:pPr>
              <w:jc w:val="right"/>
              <w:ind w:right="80"/>
              <w:spacing w:after="0" w:line="202" w:lineRule="exact"/>
              <w:rPr>
                <w:sz w:val="20"/>
                <w:szCs w:val="20"/>
                <w:color w:val="auto"/>
              </w:rPr>
            </w:pPr>
            <w:r>
              <w:rPr>
                <w:rFonts w:ascii="Arial" w:cs="Arial" w:eastAsia="Arial" w:hAnsi="Arial"/>
                <w:sz w:val="18"/>
                <w:szCs w:val="18"/>
                <w:b w:val="1"/>
                <w:bCs w:val="1"/>
                <w:color w:val="auto"/>
              </w:rPr>
              <w:t>(9)</w:t>
            </w:r>
          </w:p>
        </w:tc>
        <w:tc>
          <w:tcPr>
            <w:tcW w:w="40" w:type="dxa"/>
            <w:vAlign w:val="bottom"/>
            <w:shd w:val="clear" w:color="auto" w:fill="E5E5E5"/>
          </w:tcPr>
          <w:p>
            <w:pPr>
              <w:spacing w:after="0"/>
              <w:rPr>
                <w:sz w:val="17"/>
                <w:szCs w:val="17"/>
                <w:color w:val="auto"/>
              </w:rPr>
            </w:pPr>
          </w:p>
        </w:tc>
        <w:tc>
          <w:tcPr>
            <w:tcW w:w="4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960" w:type="dxa"/>
            <w:vAlign w:val="bottom"/>
            <w:gridSpan w:val="2"/>
            <w:shd w:val="clear" w:color="auto" w:fill="E5E5E5"/>
          </w:tcPr>
          <w:p>
            <w:pPr>
              <w:jc w:val="right"/>
              <w:ind w:right="40"/>
              <w:spacing w:after="0" w:line="202" w:lineRule="exact"/>
              <w:rPr>
                <w:sz w:val="20"/>
                <w:szCs w:val="20"/>
                <w:color w:val="auto"/>
              </w:rPr>
            </w:pPr>
            <w:r>
              <w:rPr>
                <w:rFonts w:ascii="Arial" w:cs="Arial" w:eastAsia="Arial" w:hAnsi="Arial"/>
                <w:sz w:val="18"/>
                <w:szCs w:val="18"/>
                <w:color w:val="auto"/>
              </w:rPr>
              <w:t>(40)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Other, net</w:t>
            </w: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(39)</w:t>
            </w: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3020" w:type="dxa"/>
            <w:vAlign w:val="bottom"/>
            <w:tcBorders>
              <w:top w:val="single" w:sz="8" w:color="auto"/>
            </w:tcBorders>
          </w:tcPr>
          <w:p>
            <w:pPr>
              <w:spacing w:after="0"/>
              <w:rPr>
                <w:sz w:val="5"/>
                <w:szCs w:val="5"/>
                <w:color w:val="auto"/>
              </w:rPr>
            </w:pPr>
          </w:p>
        </w:tc>
        <w:tc>
          <w:tcPr>
            <w:tcW w:w="240" w:type="dxa"/>
            <w:vAlign w:val="bottom"/>
            <w:tcBorders>
              <w:top w:val="single" w:sz="8" w:color="auto"/>
            </w:tcBorders>
          </w:tcPr>
          <w:p>
            <w:pPr>
              <w:spacing w:after="0"/>
              <w:rPr>
                <w:sz w:val="5"/>
                <w:szCs w:val="5"/>
                <w:color w:val="auto"/>
              </w:rPr>
            </w:pPr>
          </w:p>
        </w:tc>
        <w:tc>
          <w:tcPr>
            <w:tcW w:w="840" w:type="dxa"/>
            <w:vAlign w:val="bottom"/>
            <w:tcBorders>
              <w:top w:val="single" w:sz="8" w:color="auto"/>
            </w:tcBorders>
          </w:tcPr>
          <w:p>
            <w:pPr>
              <w:spacing w:after="0"/>
              <w:rPr>
                <w:sz w:val="5"/>
                <w:szCs w:val="5"/>
                <w:color w:val="auto"/>
              </w:rPr>
            </w:pPr>
          </w:p>
        </w:tc>
        <w:tc>
          <w:tcPr>
            <w:tcW w:w="180" w:type="dxa"/>
            <w:vAlign w:val="bottom"/>
            <w:tcBorders>
              <w:top w:val="single" w:sz="8" w:color="auto"/>
            </w:tcBorders>
          </w:tcPr>
          <w:p>
            <w:pPr>
              <w:spacing w:after="0"/>
              <w:rPr>
                <w:sz w:val="5"/>
                <w:szCs w:val="5"/>
                <w:color w:val="auto"/>
              </w:rPr>
            </w:pPr>
          </w:p>
        </w:tc>
        <w:tc>
          <w:tcPr>
            <w:tcW w:w="300" w:type="dxa"/>
            <w:vAlign w:val="bottom"/>
            <w:tcBorders>
              <w:top w:val="single" w:sz="8" w:color="auto"/>
            </w:tcBorders>
          </w:tcPr>
          <w:p>
            <w:pPr>
              <w:spacing w:after="0"/>
              <w:rPr>
                <w:sz w:val="5"/>
                <w:szCs w:val="5"/>
                <w:color w:val="auto"/>
              </w:rPr>
            </w:pPr>
          </w:p>
        </w:tc>
        <w:tc>
          <w:tcPr>
            <w:tcW w:w="740" w:type="dxa"/>
            <w:vAlign w:val="bottom"/>
            <w:tcBorders>
              <w:top w:val="single" w:sz="8" w:color="auto"/>
            </w:tcBorders>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280" w:type="dxa"/>
            <w:vAlign w:val="bottom"/>
            <w:tcBorders>
              <w:top w:val="single" w:sz="8" w:color="auto"/>
            </w:tcBorders>
          </w:tcPr>
          <w:p>
            <w:pPr>
              <w:spacing w:after="0"/>
              <w:rPr>
                <w:sz w:val="5"/>
                <w:szCs w:val="5"/>
                <w:color w:val="auto"/>
              </w:rPr>
            </w:pPr>
          </w:p>
        </w:tc>
        <w:tc>
          <w:tcPr>
            <w:tcW w:w="740" w:type="dxa"/>
            <w:vAlign w:val="bottom"/>
            <w:tcBorders>
              <w:top w:val="single" w:sz="8" w:color="auto"/>
            </w:tcBorders>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60" w:type="dxa"/>
            <w:vAlign w:val="bottom"/>
            <w:tcBorders>
              <w:top w:val="single" w:sz="8" w:color="auto"/>
            </w:tcBorders>
          </w:tcPr>
          <w:p>
            <w:pPr>
              <w:spacing w:after="0"/>
              <w:rPr>
                <w:sz w:val="5"/>
                <w:szCs w:val="5"/>
                <w:color w:val="auto"/>
              </w:rPr>
            </w:pPr>
          </w:p>
        </w:tc>
        <w:tc>
          <w:tcPr>
            <w:tcW w:w="60" w:type="dxa"/>
            <w:vAlign w:val="bottom"/>
            <w:tcBorders>
              <w:top w:val="single" w:sz="8" w:color="auto"/>
            </w:tcBorders>
          </w:tcPr>
          <w:p>
            <w:pPr>
              <w:spacing w:after="0"/>
              <w:rPr>
                <w:sz w:val="5"/>
                <w:szCs w:val="5"/>
                <w:color w:val="auto"/>
              </w:rPr>
            </w:pPr>
          </w:p>
        </w:tc>
        <w:tc>
          <w:tcPr>
            <w:tcW w:w="180" w:type="dxa"/>
            <w:vAlign w:val="bottom"/>
            <w:tcBorders>
              <w:top w:val="single" w:sz="8" w:color="auto"/>
            </w:tcBorders>
          </w:tcPr>
          <w:p>
            <w:pPr>
              <w:spacing w:after="0"/>
              <w:rPr>
                <w:sz w:val="5"/>
                <w:szCs w:val="5"/>
                <w:color w:val="auto"/>
              </w:rPr>
            </w:pPr>
          </w:p>
        </w:tc>
        <w:tc>
          <w:tcPr>
            <w:tcW w:w="780" w:type="dxa"/>
            <w:vAlign w:val="bottom"/>
            <w:tcBorders>
              <w:top w:val="single" w:sz="8" w:color="auto"/>
            </w:tcBorders>
          </w:tcPr>
          <w:p>
            <w:pPr>
              <w:spacing w:after="0"/>
              <w:rPr>
                <w:sz w:val="5"/>
                <w:szCs w:val="5"/>
                <w:color w:val="auto"/>
              </w:rPr>
            </w:pPr>
          </w:p>
        </w:tc>
        <w:tc>
          <w:tcPr>
            <w:tcW w:w="200" w:type="dxa"/>
            <w:vAlign w:val="bottom"/>
            <w:tcBorders>
              <w:top w:val="single" w:sz="8" w:color="auto"/>
            </w:tcBorders>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720" w:type="dxa"/>
            <w:vAlign w:val="bottom"/>
            <w:tcBorders>
              <w:top w:val="single" w:sz="8" w:color="auto"/>
            </w:tcBorders>
          </w:tcPr>
          <w:p>
            <w:pPr>
              <w:spacing w:after="0"/>
              <w:rPr>
                <w:sz w:val="5"/>
                <w:szCs w:val="5"/>
                <w:color w:val="auto"/>
              </w:rPr>
            </w:pPr>
          </w:p>
        </w:tc>
        <w:tc>
          <w:tcPr>
            <w:tcW w:w="60" w:type="dxa"/>
            <w:vAlign w:val="bottom"/>
            <w:tcBorders>
              <w:top w:val="single" w:sz="8" w:color="auto"/>
            </w:tcBorders>
          </w:tcPr>
          <w:p>
            <w:pPr>
              <w:spacing w:after="0"/>
              <w:rPr>
                <w:sz w:val="5"/>
                <w:szCs w:val="5"/>
                <w:color w:val="auto"/>
              </w:rPr>
            </w:pPr>
          </w:p>
        </w:tc>
        <w:tc>
          <w:tcPr>
            <w:tcW w:w="200" w:type="dxa"/>
            <w:vAlign w:val="bottom"/>
            <w:tcBorders>
              <w:top w:val="single" w:sz="8" w:color="auto"/>
            </w:tcBorders>
          </w:tcPr>
          <w:p>
            <w:pPr>
              <w:spacing w:after="0"/>
              <w:rPr>
                <w:sz w:val="5"/>
                <w:szCs w:val="5"/>
                <w:color w:val="auto"/>
              </w:rPr>
            </w:pPr>
          </w:p>
        </w:tc>
        <w:tc>
          <w:tcPr>
            <w:tcW w:w="160" w:type="dxa"/>
            <w:vAlign w:val="bottom"/>
            <w:tcBorders>
              <w:top w:val="single" w:sz="8" w:color="auto"/>
            </w:tcBorders>
          </w:tcPr>
          <w:p>
            <w:pPr>
              <w:spacing w:after="0"/>
              <w:rPr>
                <w:sz w:val="5"/>
                <w:szCs w:val="5"/>
                <w:color w:val="auto"/>
              </w:rPr>
            </w:pPr>
          </w:p>
        </w:tc>
        <w:tc>
          <w:tcPr>
            <w:tcW w:w="720" w:type="dxa"/>
            <w:vAlign w:val="bottom"/>
            <w:tcBorders>
              <w:top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160" w:type="dxa"/>
            <w:vAlign w:val="bottom"/>
            <w:tcBorders>
              <w:top w:val="single" w:sz="8" w:color="auto"/>
            </w:tcBorders>
          </w:tcPr>
          <w:p>
            <w:pPr>
              <w:spacing w:after="0"/>
              <w:rPr>
                <w:sz w:val="5"/>
                <w:szCs w:val="5"/>
                <w:color w:val="auto"/>
              </w:rPr>
            </w:pPr>
          </w:p>
        </w:tc>
        <w:tc>
          <w:tcPr>
            <w:tcW w:w="86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20" w:type="dxa"/>
            <w:vAlign w:val="bottom"/>
            <w:shd w:val="clear" w:color="auto" w:fill="E5E5E5"/>
          </w:tcPr>
          <w:p>
            <w:pPr>
              <w:ind w:left="200"/>
              <w:spacing w:after="0" w:line="202" w:lineRule="exact"/>
              <w:rPr>
                <w:sz w:val="20"/>
                <w:szCs w:val="20"/>
                <w:color w:val="auto"/>
              </w:rPr>
            </w:pPr>
            <w:r>
              <w:rPr>
                <w:rFonts w:ascii="Arial" w:cs="Arial" w:eastAsia="Arial" w:hAnsi="Arial"/>
                <w:sz w:val="18"/>
                <w:szCs w:val="18"/>
                <w:color w:val="auto"/>
              </w:rPr>
              <w:t>Total</w:t>
            </w:r>
          </w:p>
        </w:tc>
        <w:tc>
          <w:tcPr>
            <w:tcW w:w="240" w:type="dxa"/>
            <w:vAlign w:val="bottom"/>
            <w:shd w:val="clear" w:color="auto" w:fill="E5E5E5"/>
          </w:tcPr>
          <w:p>
            <w:pPr>
              <w:spacing w:after="0"/>
              <w:rPr>
                <w:sz w:val="17"/>
                <w:szCs w:val="17"/>
                <w:color w:val="auto"/>
              </w:rPr>
            </w:pPr>
          </w:p>
        </w:tc>
        <w:tc>
          <w:tcPr>
            <w:tcW w:w="840" w:type="dxa"/>
            <w:vAlign w:val="bottom"/>
            <w:shd w:val="clear" w:color="auto" w:fill="E5E5E5"/>
          </w:tcPr>
          <w:p>
            <w:pPr>
              <w:spacing w:after="0"/>
              <w:rPr>
                <w:sz w:val="17"/>
                <w:szCs w:val="17"/>
                <w:color w:val="auto"/>
              </w:rPr>
            </w:pPr>
          </w:p>
        </w:tc>
        <w:tc>
          <w:tcPr>
            <w:tcW w:w="180" w:type="dxa"/>
            <w:vAlign w:val="bottom"/>
            <w:shd w:val="clear" w:color="auto" w:fill="E5E5E5"/>
          </w:tcPr>
          <w:p>
            <w:pPr>
              <w:spacing w:after="0"/>
              <w:rPr>
                <w:sz w:val="17"/>
                <w:szCs w:val="17"/>
                <w:color w:val="auto"/>
              </w:rPr>
            </w:pPr>
          </w:p>
        </w:tc>
        <w:tc>
          <w:tcPr>
            <w:tcW w:w="300" w:type="dxa"/>
            <w:vAlign w:val="bottom"/>
            <w:shd w:val="clear" w:color="auto" w:fill="E5E5E5"/>
          </w:tcPr>
          <w:p>
            <w:pPr>
              <w:spacing w:after="0"/>
              <w:rPr>
                <w:sz w:val="17"/>
                <w:szCs w:val="17"/>
                <w:color w:val="auto"/>
              </w:rPr>
            </w:pPr>
          </w:p>
        </w:tc>
        <w:tc>
          <w:tcPr>
            <w:tcW w:w="74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280" w:type="dxa"/>
            <w:vAlign w:val="bottom"/>
            <w:shd w:val="clear" w:color="auto" w:fill="E5E5E5"/>
          </w:tcPr>
          <w:p>
            <w:pPr>
              <w:spacing w:after="0"/>
              <w:rPr>
                <w:sz w:val="17"/>
                <w:szCs w:val="17"/>
                <w:color w:val="auto"/>
              </w:rPr>
            </w:pPr>
          </w:p>
        </w:tc>
        <w:tc>
          <w:tcPr>
            <w:tcW w:w="74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60" w:type="dxa"/>
            <w:vAlign w:val="bottom"/>
            <w:shd w:val="clear" w:color="auto" w:fill="E5E5E5"/>
          </w:tcPr>
          <w:p>
            <w:pPr>
              <w:spacing w:after="0"/>
              <w:rPr>
                <w:sz w:val="17"/>
                <w:szCs w:val="17"/>
                <w:color w:val="auto"/>
              </w:rPr>
            </w:pPr>
          </w:p>
        </w:tc>
        <w:tc>
          <w:tcPr>
            <w:tcW w:w="60" w:type="dxa"/>
            <w:vAlign w:val="bottom"/>
            <w:shd w:val="clear" w:color="auto" w:fill="E5E5E5"/>
          </w:tcPr>
          <w:p>
            <w:pPr>
              <w:spacing w:after="0"/>
              <w:rPr>
                <w:sz w:val="17"/>
                <w:szCs w:val="17"/>
                <w:color w:val="auto"/>
              </w:rPr>
            </w:pPr>
          </w:p>
        </w:tc>
        <w:tc>
          <w:tcPr>
            <w:tcW w:w="180" w:type="dxa"/>
            <w:vAlign w:val="bottom"/>
            <w:shd w:val="clear" w:color="auto" w:fill="E5E5E5"/>
          </w:tcPr>
          <w:p>
            <w:pPr>
              <w:spacing w:after="0"/>
              <w:rPr>
                <w:sz w:val="17"/>
                <w:szCs w:val="17"/>
                <w:color w:val="auto"/>
              </w:rPr>
            </w:pPr>
          </w:p>
        </w:tc>
        <w:tc>
          <w:tcPr>
            <w:tcW w:w="780" w:type="dxa"/>
            <w:vAlign w:val="bottom"/>
            <w:shd w:val="clear" w:color="auto" w:fill="E5E5E5"/>
          </w:tcPr>
          <w:p>
            <w:pPr>
              <w:spacing w:after="0"/>
              <w:rPr>
                <w:sz w:val="17"/>
                <w:szCs w:val="17"/>
                <w:color w:val="auto"/>
              </w:rPr>
            </w:pPr>
          </w:p>
        </w:tc>
        <w:tc>
          <w:tcPr>
            <w:tcW w:w="20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980" w:type="dxa"/>
            <w:vAlign w:val="bottom"/>
            <w:gridSpan w:val="3"/>
            <w:shd w:val="clear" w:color="auto" w:fill="E5E5E5"/>
          </w:tcPr>
          <w:p>
            <w:pPr>
              <w:jc w:val="right"/>
              <w:ind w:right="160"/>
              <w:spacing w:after="0" w:line="202" w:lineRule="exact"/>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E5E5E5"/>
          </w:tcPr>
          <w:p>
            <w:pPr>
              <w:spacing w:after="0"/>
              <w:rPr>
                <w:sz w:val="17"/>
                <w:szCs w:val="17"/>
                <w:color w:val="auto"/>
              </w:rPr>
            </w:pPr>
          </w:p>
        </w:tc>
        <w:tc>
          <w:tcPr>
            <w:tcW w:w="860" w:type="dxa"/>
            <w:vAlign w:val="bottom"/>
            <w:gridSpan w:val="2"/>
            <w:shd w:val="clear" w:color="auto" w:fill="E5E5E5"/>
          </w:tcPr>
          <w:p>
            <w:pPr>
              <w:jc w:val="right"/>
              <w:ind w:right="140"/>
              <w:spacing w:after="0" w:line="202" w:lineRule="exact"/>
              <w:rPr>
                <w:sz w:val="20"/>
                <w:szCs w:val="20"/>
                <w:color w:val="auto"/>
              </w:rPr>
            </w:pPr>
            <w:r>
              <w:rPr>
                <w:rFonts w:ascii="Arial" w:cs="Arial" w:eastAsia="Arial" w:hAnsi="Arial"/>
                <w:sz w:val="18"/>
                <w:szCs w:val="18"/>
                <w:b w:val="1"/>
                <w:bCs w:val="1"/>
                <w:color w:val="auto"/>
              </w:rPr>
              <w:t>276</w:t>
            </w:r>
          </w:p>
        </w:tc>
        <w:tc>
          <w:tcPr>
            <w:tcW w:w="40" w:type="dxa"/>
            <w:vAlign w:val="bottom"/>
            <w:shd w:val="clear" w:color="auto" w:fill="E5E5E5"/>
          </w:tcPr>
          <w:p>
            <w:pPr>
              <w:spacing w:after="0"/>
              <w:rPr>
                <w:sz w:val="17"/>
                <w:szCs w:val="17"/>
                <w:color w:val="auto"/>
              </w:rPr>
            </w:pPr>
          </w:p>
        </w:tc>
        <w:tc>
          <w:tcPr>
            <w:tcW w:w="160" w:type="dxa"/>
            <w:vAlign w:val="bottom"/>
            <w:gridSpan w:val="2"/>
            <w:shd w:val="clear" w:color="auto" w:fill="E5E5E5"/>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E5E5E5"/>
          </w:tcPr>
          <w:p>
            <w:pPr>
              <w:spacing w:after="0"/>
              <w:rPr>
                <w:sz w:val="17"/>
                <w:szCs w:val="17"/>
                <w:color w:val="auto"/>
              </w:rPr>
            </w:pPr>
          </w:p>
        </w:tc>
        <w:tc>
          <w:tcPr>
            <w:tcW w:w="96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112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5"/>
        </w:trPr>
        <w:tc>
          <w:tcPr>
            <w:tcW w:w="7980" w:type="dxa"/>
            <w:vAlign w:val="bottom"/>
            <w:gridSpan w:val="17"/>
            <w:vMerge w:val="restart"/>
          </w:tcPr>
          <w:p>
            <w:pPr>
              <w:spacing w:after="0"/>
              <w:rPr>
                <w:sz w:val="20"/>
                <w:szCs w:val="20"/>
                <w:color w:val="auto"/>
              </w:rPr>
            </w:pPr>
            <w:r>
              <w:rPr>
                <w:rFonts w:ascii="Arial" w:cs="Arial" w:eastAsia="Arial" w:hAnsi="Arial"/>
                <w:sz w:val="18"/>
                <w:szCs w:val="18"/>
                <w:color w:val="auto"/>
              </w:rPr>
              <w:t>Following are details of net recognized gains (losses) on investments during the periods reported:</w:t>
            </w:r>
          </w:p>
        </w:tc>
        <w:tc>
          <w:tcPr>
            <w:tcW w:w="120" w:type="dxa"/>
            <w:vAlign w:val="bottom"/>
          </w:tcPr>
          <w:p>
            <w:pPr>
              <w:spacing w:after="0"/>
              <w:rPr>
                <w:sz w:val="6"/>
                <w:szCs w:val="6"/>
                <w:color w:val="auto"/>
              </w:rPr>
            </w:pPr>
          </w:p>
        </w:tc>
        <w:tc>
          <w:tcPr>
            <w:tcW w:w="720" w:type="dxa"/>
            <w:vAlign w:val="bottom"/>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2"/>
        </w:trPr>
        <w:tc>
          <w:tcPr>
            <w:tcW w:w="7980" w:type="dxa"/>
            <w:vAlign w:val="bottom"/>
            <w:gridSpan w:val="17"/>
            <w:vMerge w:val="continue"/>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3"/>
        </w:trPr>
        <w:tc>
          <w:tcPr>
            <w:tcW w:w="3040" w:type="dxa"/>
            <w:vAlign w:val="bottom"/>
            <w:gridSpan w:val="2"/>
          </w:tcPr>
          <w:p>
            <w:pPr>
              <w:spacing w:after="0"/>
              <w:rPr>
                <w:sz w:val="20"/>
                <w:szCs w:val="20"/>
                <w:color w:val="auto"/>
              </w:rPr>
            </w:pPr>
            <w:r>
              <w:rPr>
                <w:rFonts w:ascii="Arial" w:cs="Arial" w:eastAsia="Arial" w:hAnsi="Arial"/>
                <w:sz w:val="14"/>
                <w:szCs w:val="14"/>
                <w:b w:val="1"/>
                <w:bCs w:val="1"/>
                <w:color w:val="auto"/>
              </w:rPr>
              <w:t>(In millions)</w:t>
            </w: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
        </w:trPr>
        <w:tc>
          <w:tcPr>
            <w:tcW w:w="3040" w:type="dxa"/>
            <w:vAlign w:val="bottom"/>
            <w:tcBorders>
              <w:bottom w:val="single" w:sz="8" w:color="auto"/>
            </w:tcBorders>
            <w:gridSpan w:val="2"/>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3"/>
        </w:trPr>
        <w:tc>
          <w:tcPr>
            <w:tcW w:w="3040" w:type="dxa"/>
            <w:vAlign w:val="bottom"/>
            <w:gridSpan w:val="2"/>
          </w:tcPr>
          <w:p>
            <w:pPr>
              <w:spacing w:after="0"/>
              <w:rPr>
                <w:sz w:val="20"/>
                <w:szCs w:val="20"/>
                <w:color w:val="auto"/>
              </w:rPr>
            </w:pPr>
            <w:r>
              <w:rPr>
                <w:rFonts w:ascii="Arial" w:cs="Arial" w:eastAsia="Arial" w:hAnsi="Arial"/>
                <w:sz w:val="14"/>
                <w:szCs w:val="14"/>
                <w:b w:val="1"/>
                <w:bCs w:val="1"/>
                <w:color w:val="auto"/>
              </w:rPr>
              <w:t>Three Months Ended September 30,</w:t>
            </w: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2017</w:t>
            </w: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
        </w:trPr>
        <w:tc>
          <w:tcPr>
            <w:tcW w:w="20" w:type="dxa"/>
            <w:vAlign w:val="bottom"/>
            <w:vMerge w:val="restart"/>
          </w:tcPr>
          <w:p>
            <w:pPr>
              <w:spacing w:after="0"/>
              <w:rPr>
                <w:sz w:val="3"/>
                <w:szCs w:val="3"/>
                <w:color w:val="auto"/>
              </w:rPr>
            </w:pPr>
          </w:p>
        </w:tc>
        <w:tc>
          <w:tcPr>
            <w:tcW w:w="4100" w:type="dxa"/>
            <w:vAlign w:val="bottom"/>
            <w:gridSpan w:val="3"/>
          </w:tcPr>
          <w:p>
            <w:pPr>
              <w:spacing w:after="0"/>
              <w:rPr>
                <w:sz w:val="3"/>
                <w:szCs w:val="3"/>
                <w:color w:val="auto"/>
              </w:rPr>
            </w:pPr>
          </w:p>
        </w:tc>
        <w:tc>
          <w:tcPr>
            <w:tcW w:w="180" w:type="dxa"/>
            <w:vAlign w:val="bottom"/>
          </w:tcPr>
          <w:p>
            <w:pPr>
              <w:spacing w:after="0"/>
              <w:rPr>
                <w:sz w:val="3"/>
                <w:szCs w:val="3"/>
                <w:color w:val="auto"/>
              </w:rPr>
            </w:pPr>
          </w:p>
        </w:tc>
        <w:tc>
          <w:tcPr>
            <w:tcW w:w="3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780" w:type="dxa"/>
            <w:vAlign w:val="bottom"/>
            <w:gridSpan w:val="2"/>
          </w:tcPr>
          <w:p>
            <w:pPr>
              <w:spacing w:after="0"/>
              <w:rPr>
                <w:sz w:val="3"/>
                <w:szCs w:val="3"/>
                <w:color w:val="auto"/>
              </w:rPr>
            </w:pPr>
          </w:p>
        </w:tc>
        <w:tc>
          <w:tcPr>
            <w:tcW w:w="2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60" w:type="dxa"/>
            <w:vAlign w:val="bottom"/>
            <w:gridSpan w:val="2"/>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gridSpan w:val="2"/>
          </w:tcPr>
          <w:p>
            <w:pPr>
              <w:spacing w:after="0"/>
              <w:rPr>
                <w:sz w:val="3"/>
                <w:szCs w:val="3"/>
                <w:color w:val="auto"/>
              </w:rPr>
            </w:pPr>
          </w:p>
        </w:tc>
        <w:tc>
          <w:tcPr>
            <w:tcW w:w="160" w:type="dxa"/>
            <w:vAlign w:val="bottom"/>
          </w:tcPr>
          <w:p>
            <w:pPr>
              <w:spacing w:after="0"/>
              <w:rPr>
                <w:sz w:val="3"/>
                <w:szCs w:val="3"/>
                <w:color w:val="auto"/>
              </w:rPr>
            </w:pPr>
          </w:p>
        </w:tc>
        <w:tc>
          <w:tcPr>
            <w:tcW w:w="96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280" w:type="dxa"/>
            <w:vAlign w:val="bottom"/>
            <w:gridSpan w:val="4"/>
            <w:shd w:val="clear" w:color="auto" w:fill="E5E5E5"/>
          </w:tcPr>
          <w:p>
            <w:pPr>
              <w:spacing w:after="0" w:line="202" w:lineRule="exact"/>
              <w:rPr>
                <w:sz w:val="20"/>
                <w:szCs w:val="20"/>
                <w:color w:val="auto"/>
              </w:rPr>
            </w:pPr>
            <w:r>
              <w:rPr>
                <w:rFonts w:ascii="Arial" w:cs="Arial" w:eastAsia="Arial" w:hAnsi="Arial"/>
                <w:sz w:val="18"/>
                <w:szCs w:val="18"/>
                <w:color w:val="auto"/>
              </w:rPr>
              <w:t>Other-than-temporary impairments of investments</w:t>
            </w:r>
          </w:p>
        </w:tc>
        <w:tc>
          <w:tcPr>
            <w:tcW w:w="300" w:type="dxa"/>
            <w:vAlign w:val="bottom"/>
            <w:shd w:val="clear" w:color="auto" w:fill="E5E5E5"/>
          </w:tcPr>
          <w:p>
            <w:pPr>
              <w:spacing w:after="0"/>
              <w:rPr>
                <w:sz w:val="17"/>
                <w:szCs w:val="17"/>
                <w:color w:val="auto"/>
              </w:rPr>
            </w:pPr>
          </w:p>
        </w:tc>
        <w:tc>
          <w:tcPr>
            <w:tcW w:w="74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280" w:type="dxa"/>
            <w:vAlign w:val="bottom"/>
            <w:shd w:val="clear" w:color="auto" w:fill="E5E5E5"/>
          </w:tcPr>
          <w:p>
            <w:pPr>
              <w:spacing w:after="0"/>
              <w:rPr>
                <w:sz w:val="17"/>
                <w:szCs w:val="17"/>
                <w:color w:val="auto"/>
              </w:rPr>
            </w:pPr>
          </w:p>
        </w:tc>
        <w:tc>
          <w:tcPr>
            <w:tcW w:w="74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60" w:type="dxa"/>
            <w:vAlign w:val="bottom"/>
            <w:shd w:val="clear" w:color="auto" w:fill="E5E5E5"/>
          </w:tcPr>
          <w:p>
            <w:pPr>
              <w:spacing w:after="0"/>
              <w:rPr>
                <w:sz w:val="17"/>
                <w:szCs w:val="17"/>
                <w:color w:val="auto"/>
              </w:rPr>
            </w:pPr>
          </w:p>
        </w:tc>
        <w:tc>
          <w:tcPr>
            <w:tcW w:w="60" w:type="dxa"/>
            <w:vAlign w:val="bottom"/>
            <w:shd w:val="clear" w:color="auto" w:fill="E5E5E5"/>
          </w:tcPr>
          <w:p>
            <w:pPr>
              <w:spacing w:after="0"/>
              <w:rPr>
                <w:sz w:val="17"/>
                <w:szCs w:val="17"/>
                <w:color w:val="auto"/>
              </w:rPr>
            </w:pPr>
          </w:p>
        </w:tc>
        <w:tc>
          <w:tcPr>
            <w:tcW w:w="180" w:type="dxa"/>
            <w:vAlign w:val="bottom"/>
            <w:shd w:val="clear" w:color="auto" w:fill="E5E5E5"/>
          </w:tcPr>
          <w:p>
            <w:pPr>
              <w:spacing w:after="0"/>
              <w:rPr>
                <w:sz w:val="17"/>
                <w:szCs w:val="17"/>
                <w:color w:val="auto"/>
              </w:rPr>
            </w:pPr>
          </w:p>
        </w:tc>
        <w:tc>
          <w:tcPr>
            <w:tcW w:w="780" w:type="dxa"/>
            <w:vAlign w:val="bottom"/>
            <w:shd w:val="clear" w:color="auto" w:fill="E5E5E5"/>
          </w:tcPr>
          <w:p>
            <w:pPr>
              <w:spacing w:after="0"/>
              <w:rPr>
                <w:sz w:val="17"/>
                <w:szCs w:val="17"/>
                <w:color w:val="auto"/>
              </w:rPr>
            </w:pPr>
          </w:p>
        </w:tc>
        <w:tc>
          <w:tcPr>
            <w:tcW w:w="20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980" w:type="dxa"/>
            <w:vAlign w:val="bottom"/>
            <w:gridSpan w:val="3"/>
            <w:shd w:val="clear" w:color="auto" w:fill="E5E5E5"/>
          </w:tcPr>
          <w:p>
            <w:pPr>
              <w:jc w:val="right"/>
              <w:ind w:right="160"/>
              <w:spacing w:after="0" w:line="202" w:lineRule="exact"/>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E5E5E5"/>
          </w:tcPr>
          <w:p>
            <w:pPr>
              <w:spacing w:after="0"/>
              <w:rPr>
                <w:sz w:val="17"/>
                <w:szCs w:val="17"/>
                <w:color w:val="auto"/>
              </w:rPr>
            </w:pPr>
          </w:p>
        </w:tc>
        <w:tc>
          <w:tcPr>
            <w:tcW w:w="860" w:type="dxa"/>
            <w:vAlign w:val="bottom"/>
            <w:gridSpan w:val="2"/>
            <w:shd w:val="clear" w:color="auto" w:fill="E5E5E5"/>
          </w:tcPr>
          <w:p>
            <w:pPr>
              <w:jc w:val="right"/>
              <w:ind w:right="80"/>
              <w:spacing w:after="0" w:line="202" w:lineRule="exact"/>
              <w:rPr>
                <w:sz w:val="20"/>
                <w:szCs w:val="20"/>
                <w:color w:val="auto"/>
              </w:rPr>
            </w:pPr>
            <w:r>
              <w:rPr>
                <w:rFonts w:ascii="Arial" w:cs="Arial" w:eastAsia="Arial" w:hAnsi="Arial"/>
                <w:sz w:val="18"/>
                <w:szCs w:val="18"/>
                <w:b w:val="1"/>
                <w:bCs w:val="1"/>
                <w:color w:val="auto"/>
              </w:rPr>
              <w:t>(6)</w:t>
            </w:r>
          </w:p>
        </w:tc>
        <w:tc>
          <w:tcPr>
            <w:tcW w:w="40" w:type="dxa"/>
            <w:vAlign w:val="bottom"/>
            <w:shd w:val="clear" w:color="auto" w:fill="E5E5E5"/>
          </w:tcPr>
          <w:p>
            <w:pPr>
              <w:spacing w:after="0"/>
              <w:rPr>
                <w:sz w:val="17"/>
                <w:szCs w:val="17"/>
                <w:color w:val="auto"/>
              </w:rPr>
            </w:pPr>
          </w:p>
        </w:tc>
        <w:tc>
          <w:tcPr>
            <w:tcW w:w="160" w:type="dxa"/>
            <w:vAlign w:val="bottom"/>
            <w:gridSpan w:val="2"/>
            <w:shd w:val="clear" w:color="auto" w:fill="E5E5E5"/>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E5E5E5"/>
          </w:tcPr>
          <w:p>
            <w:pPr>
              <w:spacing w:after="0"/>
              <w:rPr>
                <w:sz w:val="17"/>
                <w:szCs w:val="17"/>
                <w:color w:val="auto"/>
              </w:rPr>
            </w:pPr>
          </w:p>
        </w:tc>
        <w:tc>
          <w:tcPr>
            <w:tcW w:w="960" w:type="dxa"/>
            <w:vAlign w:val="bottom"/>
            <w:gridSpan w:val="2"/>
            <w:shd w:val="clear" w:color="auto" w:fill="E5E5E5"/>
          </w:tcPr>
          <w:p>
            <w:pPr>
              <w:jc w:val="right"/>
              <w:ind w:right="40"/>
              <w:spacing w:after="0" w:line="202" w:lineRule="exact"/>
              <w:rPr>
                <w:sz w:val="20"/>
                <w:szCs w:val="20"/>
                <w:color w:val="auto"/>
              </w:rPr>
            </w:pPr>
            <w:r>
              <w:rPr>
                <w:rFonts w:ascii="Arial" w:cs="Arial" w:eastAsia="Arial" w:hAnsi="Arial"/>
                <w:sz w:val="18"/>
                <w:szCs w:val="18"/>
                <w:color w:val="auto"/>
              </w:rPr>
              <w:t>(18)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80" w:type="dxa"/>
            <w:vAlign w:val="bottom"/>
            <w:gridSpan w:val="5"/>
          </w:tcPr>
          <w:p>
            <w:pPr>
              <w:spacing w:after="0" w:line="202" w:lineRule="exact"/>
              <w:rPr>
                <w:sz w:val="20"/>
                <w:szCs w:val="20"/>
                <w:color w:val="auto"/>
              </w:rPr>
            </w:pPr>
            <w:r>
              <w:rPr>
                <w:rFonts w:ascii="Arial" w:cs="Arial" w:eastAsia="Arial" w:hAnsi="Arial"/>
                <w:sz w:val="18"/>
                <w:szCs w:val="18"/>
                <w:color w:val="auto"/>
              </w:rPr>
              <w:t>Realized gains from sales of available-for-sale securities</w:t>
            </w: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gridSpan w:val="2"/>
          </w:tcPr>
          <w:p>
            <w:pPr>
              <w:jc w:val="right"/>
              <w:ind w:right="140"/>
              <w:spacing w:after="0" w:line="202" w:lineRule="exact"/>
              <w:rPr>
                <w:sz w:val="20"/>
                <w:szCs w:val="20"/>
                <w:color w:val="auto"/>
              </w:rPr>
            </w:pPr>
            <w:r>
              <w:rPr>
                <w:rFonts w:ascii="Arial" w:cs="Arial" w:eastAsia="Arial" w:hAnsi="Arial"/>
                <w:sz w:val="18"/>
                <w:szCs w:val="18"/>
                <w:b w:val="1"/>
                <w:bCs w:val="1"/>
                <w:color w:val="auto"/>
              </w:rPr>
              <w:t>671</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483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80" w:type="dxa"/>
            <w:vAlign w:val="bottom"/>
            <w:gridSpan w:val="5"/>
            <w:shd w:val="clear" w:color="auto" w:fill="E5E5E5"/>
          </w:tcPr>
          <w:p>
            <w:pPr>
              <w:spacing w:after="0" w:line="202" w:lineRule="exact"/>
              <w:rPr>
                <w:sz w:val="20"/>
                <w:szCs w:val="20"/>
                <w:color w:val="auto"/>
              </w:rPr>
            </w:pPr>
            <w:r>
              <w:rPr>
                <w:rFonts w:ascii="Arial" w:cs="Arial" w:eastAsia="Arial" w:hAnsi="Arial"/>
                <w:sz w:val="18"/>
                <w:szCs w:val="18"/>
                <w:color w:val="auto"/>
                <w:w w:val="99"/>
              </w:rPr>
              <w:t>Realized losses from sales of available-for-sale securities</w:t>
            </w:r>
          </w:p>
        </w:tc>
        <w:tc>
          <w:tcPr>
            <w:tcW w:w="74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280" w:type="dxa"/>
            <w:vAlign w:val="bottom"/>
            <w:shd w:val="clear" w:color="auto" w:fill="E5E5E5"/>
          </w:tcPr>
          <w:p>
            <w:pPr>
              <w:spacing w:after="0"/>
              <w:rPr>
                <w:sz w:val="17"/>
                <w:szCs w:val="17"/>
                <w:color w:val="auto"/>
              </w:rPr>
            </w:pPr>
          </w:p>
        </w:tc>
        <w:tc>
          <w:tcPr>
            <w:tcW w:w="74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60" w:type="dxa"/>
            <w:vAlign w:val="bottom"/>
            <w:shd w:val="clear" w:color="auto" w:fill="E5E5E5"/>
          </w:tcPr>
          <w:p>
            <w:pPr>
              <w:spacing w:after="0"/>
              <w:rPr>
                <w:sz w:val="17"/>
                <w:szCs w:val="17"/>
                <w:color w:val="auto"/>
              </w:rPr>
            </w:pPr>
          </w:p>
        </w:tc>
        <w:tc>
          <w:tcPr>
            <w:tcW w:w="60" w:type="dxa"/>
            <w:vAlign w:val="bottom"/>
            <w:shd w:val="clear" w:color="auto" w:fill="E5E5E5"/>
          </w:tcPr>
          <w:p>
            <w:pPr>
              <w:spacing w:after="0"/>
              <w:rPr>
                <w:sz w:val="17"/>
                <w:szCs w:val="17"/>
                <w:color w:val="auto"/>
              </w:rPr>
            </w:pPr>
          </w:p>
        </w:tc>
        <w:tc>
          <w:tcPr>
            <w:tcW w:w="180" w:type="dxa"/>
            <w:vAlign w:val="bottom"/>
            <w:shd w:val="clear" w:color="auto" w:fill="E5E5E5"/>
          </w:tcPr>
          <w:p>
            <w:pPr>
              <w:spacing w:after="0"/>
              <w:rPr>
                <w:sz w:val="17"/>
                <w:szCs w:val="17"/>
                <w:color w:val="auto"/>
              </w:rPr>
            </w:pPr>
          </w:p>
        </w:tc>
        <w:tc>
          <w:tcPr>
            <w:tcW w:w="780" w:type="dxa"/>
            <w:vAlign w:val="bottom"/>
            <w:shd w:val="clear" w:color="auto" w:fill="E5E5E5"/>
          </w:tcPr>
          <w:p>
            <w:pPr>
              <w:spacing w:after="0"/>
              <w:rPr>
                <w:sz w:val="17"/>
                <w:szCs w:val="17"/>
                <w:color w:val="auto"/>
              </w:rPr>
            </w:pPr>
          </w:p>
        </w:tc>
        <w:tc>
          <w:tcPr>
            <w:tcW w:w="20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720" w:type="dxa"/>
            <w:vAlign w:val="bottom"/>
            <w:shd w:val="clear" w:color="auto" w:fill="E5E5E5"/>
          </w:tcPr>
          <w:p>
            <w:pPr>
              <w:spacing w:after="0"/>
              <w:rPr>
                <w:sz w:val="17"/>
                <w:szCs w:val="17"/>
                <w:color w:val="auto"/>
              </w:rPr>
            </w:pPr>
          </w:p>
        </w:tc>
        <w:tc>
          <w:tcPr>
            <w:tcW w:w="60" w:type="dxa"/>
            <w:vAlign w:val="bottom"/>
            <w:shd w:val="clear" w:color="auto" w:fill="E5E5E5"/>
          </w:tcPr>
          <w:p>
            <w:pPr>
              <w:spacing w:after="0"/>
              <w:rPr>
                <w:sz w:val="17"/>
                <w:szCs w:val="17"/>
                <w:color w:val="auto"/>
              </w:rPr>
            </w:pPr>
          </w:p>
        </w:tc>
        <w:tc>
          <w:tcPr>
            <w:tcW w:w="20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860" w:type="dxa"/>
            <w:vAlign w:val="bottom"/>
            <w:gridSpan w:val="2"/>
            <w:shd w:val="clear" w:color="auto" w:fill="E5E5E5"/>
          </w:tcPr>
          <w:p>
            <w:pPr>
              <w:jc w:val="right"/>
              <w:ind w:right="80"/>
              <w:spacing w:after="0" w:line="202" w:lineRule="exact"/>
              <w:rPr>
                <w:sz w:val="20"/>
                <w:szCs w:val="20"/>
                <w:color w:val="auto"/>
              </w:rPr>
            </w:pPr>
            <w:r>
              <w:rPr>
                <w:rFonts w:ascii="Arial" w:cs="Arial" w:eastAsia="Arial" w:hAnsi="Arial"/>
                <w:sz w:val="18"/>
                <w:szCs w:val="18"/>
                <w:b w:val="1"/>
                <w:bCs w:val="1"/>
                <w:color w:val="auto"/>
              </w:rPr>
              <w:t>(92)</w:t>
            </w:r>
          </w:p>
        </w:tc>
        <w:tc>
          <w:tcPr>
            <w:tcW w:w="40" w:type="dxa"/>
            <w:vAlign w:val="bottom"/>
            <w:shd w:val="clear" w:color="auto" w:fill="E5E5E5"/>
          </w:tcPr>
          <w:p>
            <w:pPr>
              <w:spacing w:after="0"/>
              <w:rPr>
                <w:sz w:val="17"/>
                <w:szCs w:val="17"/>
                <w:color w:val="auto"/>
              </w:rPr>
            </w:pPr>
          </w:p>
        </w:tc>
        <w:tc>
          <w:tcPr>
            <w:tcW w:w="4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960" w:type="dxa"/>
            <w:vAlign w:val="bottom"/>
            <w:gridSpan w:val="2"/>
            <w:shd w:val="clear" w:color="auto" w:fill="E5E5E5"/>
          </w:tcPr>
          <w:p>
            <w:pPr>
              <w:jc w:val="right"/>
              <w:ind w:right="40"/>
              <w:spacing w:after="0" w:line="202" w:lineRule="exact"/>
              <w:rPr>
                <w:sz w:val="20"/>
                <w:szCs w:val="20"/>
                <w:color w:val="auto"/>
              </w:rPr>
            </w:pPr>
            <w:r>
              <w:rPr>
                <w:rFonts w:ascii="Arial" w:cs="Arial" w:eastAsia="Arial" w:hAnsi="Arial"/>
                <w:sz w:val="18"/>
                <w:szCs w:val="18"/>
                <w:color w:val="auto"/>
              </w:rPr>
              <w:t>(60)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3020" w:type="dxa"/>
            <w:vAlign w:val="bottom"/>
          </w:tcPr>
          <w:p>
            <w:pPr>
              <w:spacing w:after="0"/>
              <w:rPr>
                <w:sz w:val="5"/>
                <w:szCs w:val="5"/>
                <w:color w:val="auto"/>
              </w:rPr>
            </w:pPr>
          </w:p>
        </w:tc>
        <w:tc>
          <w:tcPr>
            <w:tcW w:w="240" w:type="dxa"/>
            <w:vAlign w:val="bottom"/>
          </w:tcPr>
          <w:p>
            <w:pPr>
              <w:spacing w:after="0"/>
              <w:rPr>
                <w:sz w:val="5"/>
                <w:szCs w:val="5"/>
                <w:color w:val="auto"/>
              </w:rPr>
            </w:pPr>
          </w:p>
        </w:tc>
        <w:tc>
          <w:tcPr>
            <w:tcW w:w="840" w:type="dxa"/>
            <w:vAlign w:val="bottom"/>
          </w:tcPr>
          <w:p>
            <w:pPr>
              <w:spacing w:after="0"/>
              <w:rPr>
                <w:sz w:val="5"/>
                <w:szCs w:val="5"/>
                <w:color w:val="auto"/>
              </w:rPr>
            </w:pPr>
          </w:p>
        </w:tc>
        <w:tc>
          <w:tcPr>
            <w:tcW w:w="180" w:type="dxa"/>
            <w:vAlign w:val="bottom"/>
          </w:tcPr>
          <w:p>
            <w:pPr>
              <w:spacing w:after="0"/>
              <w:rPr>
                <w:sz w:val="5"/>
                <w:szCs w:val="5"/>
                <w:color w:val="auto"/>
              </w:rPr>
            </w:pPr>
          </w:p>
        </w:tc>
        <w:tc>
          <w:tcPr>
            <w:tcW w:w="300" w:type="dxa"/>
            <w:vAlign w:val="bottom"/>
          </w:tcPr>
          <w:p>
            <w:pPr>
              <w:spacing w:after="0"/>
              <w:rPr>
                <w:sz w:val="5"/>
                <w:szCs w:val="5"/>
                <w:color w:val="auto"/>
              </w:rPr>
            </w:pPr>
          </w:p>
        </w:tc>
        <w:tc>
          <w:tcPr>
            <w:tcW w:w="7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7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 w:type="dxa"/>
            <w:vAlign w:val="bottom"/>
          </w:tcPr>
          <w:p>
            <w:pPr>
              <w:spacing w:after="0"/>
              <w:rPr>
                <w:sz w:val="5"/>
                <w:szCs w:val="5"/>
                <w:color w:val="auto"/>
              </w:rPr>
            </w:pPr>
          </w:p>
        </w:tc>
        <w:tc>
          <w:tcPr>
            <w:tcW w:w="780" w:type="dxa"/>
            <w:vAlign w:val="bottom"/>
            <w:gridSpan w:val="2"/>
          </w:tcPr>
          <w:p>
            <w:pPr>
              <w:spacing w:after="0"/>
              <w:rPr>
                <w:sz w:val="5"/>
                <w:szCs w:val="5"/>
                <w:color w:val="auto"/>
              </w:rPr>
            </w:pPr>
          </w:p>
        </w:tc>
        <w:tc>
          <w:tcPr>
            <w:tcW w:w="200" w:type="dxa"/>
            <w:vAlign w:val="bottom"/>
          </w:tcPr>
          <w:p>
            <w:pPr>
              <w:spacing w:after="0"/>
              <w:rPr>
                <w:sz w:val="5"/>
                <w:szCs w:val="5"/>
                <w:color w:val="auto"/>
              </w:rPr>
            </w:pPr>
          </w:p>
        </w:tc>
        <w:tc>
          <w:tcPr>
            <w:tcW w:w="160" w:type="dxa"/>
            <w:vAlign w:val="bottom"/>
          </w:tcPr>
          <w:p>
            <w:pPr>
              <w:spacing w:after="0"/>
              <w:rPr>
                <w:sz w:val="5"/>
                <w:szCs w:val="5"/>
                <w:color w:val="auto"/>
              </w:rPr>
            </w:pPr>
          </w:p>
        </w:tc>
        <w:tc>
          <w:tcPr>
            <w:tcW w:w="860" w:type="dxa"/>
            <w:vAlign w:val="bottom"/>
            <w:gridSpan w:val="2"/>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gridSpan w:val="2"/>
          </w:tcPr>
          <w:p>
            <w:pPr>
              <w:spacing w:after="0"/>
              <w:rPr>
                <w:sz w:val="5"/>
                <w:szCs w:val="5"/>
                <w:color w:val="auto"/>
              </w:rPr>
            </w:pPr>
          </w:p>
        </w:tc>
        <w:tc>
          <w:tcPr>
            <w:tcW w:w="160" w:type="dxa"/>
            <w:vAlign w:val="bottom"/>
          </w:tcPr>
          <w:p>
            <w:pPr>
              <w:spacing w:after="0"/>
              <w:rPr>
                <w:sz w:val="5"/>
                <w:szCs w:val="5"/>
                <w:color w:val="auto"/>
              </w:rPr>
            </w:pPr>
          </w:p>
        </w:tc>
        <w:tc>
          <w:tcPr>
            <w:tcW w:w="960" w:type="dxa"/>
            <w:vAlign w:val="bottom"/>
            <w:gridSpan w:val="2"/>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020" w:type="dxa"/>
            <w:vAlign w:val="bottom"/>
            <w:tcBorders>
              <w:top w:val="single" w:sz="8" w:color="auto"/>
            </w:tcBorders>
          </w:tcPr>
          <w:p>
            <w:pPr>
              <w:spacing w:after="0"/>
              <w:rPr>
                <w:sz w:val="5"/>
                <w:szCs w:val="5"/>
                <w:color w:val="auto"/>
              </w:rPr>
            </w:pPr>
          </w:p>
        </w:tc>
        <w:tc>
          <w:tcPr>
            <w:tcW w:w="240" w:type="dxa"/>
            <w:vAlign w:val="bottom"/>
            <w:tcBorders>
              <w:top w:val="single" w:sz="8" w:color="auto"/>
            </w:tcBorders>
          </w:tcPr>
          <w:p>
            <w:pPr>
              <w:spacing w:after="0"/>
              <w:rPr>
                <w:sz w:val="5"/>
                <w:szCs w:val="5"/>
                <w:color w:val="auto"/>
              </w:rPr>
            </w:pPr>
          </w:p>
        </w:tc>
        <w:tc>
          <w:tcPr>
            <w:tcW w:w="840" w:type="dxa"/>
            <w:vAlign w:val="bottom"/>
            <w:tcBorders>
              <w:top w:val="single" w:sz="8" w:color="auto"/>
            </w:tcBorders>
          </w:tcPr>
          <w:p>
            <w:pPr>
              <w:spacing w:after="0"/>
              <w:rPr>
                <w:sz w:val="5"/>
                <w:szCs w:val="5"/>
                <w:color w:val="auto"/>
              </w:rPr>
            </w:pPr>
          </w:p>
        </w:tc>
        <w:tc>
          <w:tcPr>
            <w:tcW w:w="180" w:type="dxa"/>
            <w:vAlign w:val="bottom"/>
            <w:tcBorders>
              <w:top w:val="single" w:sz="8" w:color="auto"/>
            </w:tcBorders>
          </w:tcPr>
          <w:p>
            <w:pPr>
              <w:spacing w:after="0"/>
              <w:rPr>
                <w:sz w:val="5"/>
                <w:szCs w:val="5"/>
                <w:color w:val="auto"/>
              </w:rPr>
            </w:pPr>
          </w:p>
        </w:tc>
        <w:tc>
          <w:tcPr>
            <w:tcW w:w="300" w:type="dxa"/>
            <w:vAlign w:val="bottom"/>
            <w:tcBorders>
              <w:top w:val="single" w:sz="8" w:color="auto"/>
            </w:tcBorders>
          </w:tcPr>
          <w:p>
            <w:pPr>
              <w:spacing w:after="0"/>
              <w:rPr>
                <w:sz w:val="5"/>
                <w:szCs w:val="5"/>
                <w:color w:val="auto"/>
              </w:rPr>
            </w:pPr>
          </w:p>
        </w:tc>
        <w:tc>
          <w:tcPr>
            <w:tcW w:w="740" w:type="dxa"/>
            <w:vAlign w:val="bottom"/>
            <w:tcBorders>
              <w:top w:val="single" w:sz="8" w:color="auto"/>
            </w:tcBorders>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280" w:type="dxa"/>
            <w:vAlign w:val="bottom"/>
            <w:tcBorders>
              <w:top w:val="single" w:sz="8" w:color="auto"/>
            </w:tcBorders>
          </w:tcPr>
          <w:p>
            <w:pPr>
              <w:spacing w:after="0"/>
              <w:rPr>
                <w:sz w:val="5"/>
                <w:szCs w:val="5"/>
                <w:color w:val="auto"/>
              </w:rPr>
            </w:pPr>
          </w:p>
        </w:tc>
        <w:tc>
          <w:tcPr>
            <w:tcW w:w="740" w:type="dxa"/>
            <w:vAlign w:val="bottom"/>
            <w:tcBorders>
              <w:top w:val="single" w:sz="8" w:color="auto"/>
            </w:tcBorders>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60" w:type="dxa"/>
            <w:vAlign w:val="bottom"/>
            <w:tcBorders>
              <w:top w:val="single" w:sz="8" w:color="auto"/>
            </w:tcBorders>
          </w:tcPr>
          <w:p>
            <w:pPr>
              <w:spacing w:after="0"/>
              <w:rPr>
                <w:sz w:val="5"/>
                <w:szCs w:val="5"/>
                <w:color w:val="auto"/>
              </w:rPr>
            </w:pPr>
          </w:p>
        </w:tc>
        <w:tc>
          <w:tcPr>
            <w:tcW w:w="60" w:type="dxa"/>
            <w:vAlign w:val="bottom"/>
            <w:tcBorders>
              <w:top w:val="single" w:sz="8" w:color="auto"/>
            </w:tcBorders>
          </w:tcPr>
          <w:p>
            <w:pPr>
              <w:spacing w:after="0"/>
              <w:rPr>
                <w:sz w:val="5"/>
                <w:szCs w:val="5"/>
                <w:color w:val="auto"/>
              </w:rPr>
            </w:pPr>
          </w:p>
        </w:tc>
        <w:tc>
          <w:tcPr>
            <w:tcW w:w="180" w:type="dxa"/>
            <w:vAlign w:val="bottom"/>
            <w:tcBorders>
              <w:top w:val="single" w:sz="8" w:color="auto"/>
            </w:tcBorders>
          </w:tcPr>
          <w:p>
            <w:pPr>
              <w:spacing w:after="0"/>
              <w:rPr>
                <w:sz w:val="5"/>
                <w:szCs w:val="5"/>
                <w:color w:val="auto"/>
              </w:rPr>
            </w:pPr>
          </w:p>
        </w:tc>
        <w:tc>
          <w:tcPr>
            <w:tcW w:w="780" w:type="dxa"/>
            <w:vAlign w:val="bottom"/>
            <w:tcBorders>
              <w:top w:val="single" w:sz="8" w:color="auto"/>
            </w:tcBorders>
          </w:tcPr>
          <w:p>
            <w:pPr>
              <w:spacing w:after="0"/>
              <w:rPr>
                <w:sz w:val="5"/>
                <w:szCs w:val="5"/>
                <w:color w:val="auto"/>
              </w:rPr>
            </w:pPr>
          </w:p>
        </w:tc>
        <w:tc>
          <w:tcPr>
            <w:tcW w:w="200" w:type="dxa"/>
            <w:vAlign w:val="bottom"/>
            <w:tcBorders>
              <w:top w:val="single" w:sz="8" w:color="auto"/>
            </w:tcBorders>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720" w:type="dxa"/>
            <w:vAlign w:val="bottom"/>
            <w:tcBorders>
              <w:top w:val="single" w:sz="8" w:color="auto"/>
            </w:tcBorders>
          </w:tcPr>
          <w:p>
            <w:pPr>
              <w:spacing w:after="0"/>
              <w:rPr>
                <w:sz w:val="5"/>
                <w:szCs w:val="5"/>
                <w:color w:val="auto"/>
              </w:rPr>
            </w:pPr>
          </w:p>
        </w:tc>
        <w:tc>
          <w:tcPr>
            <w:tcW w:w="60" w:type="dxa"/>
            <w:vAlign w:val="bottom"/>
            <w:tcBorders>
              <w:top w:val="single" w:sz="8" w:color="auto"/>
            </w:tcBorders>
          </w:tcPr>
          <w:p>
            <w:pPr>
              <w:spacing w:after="0"/>
              <w:rPr>
                <w:sz w:val="5"/>
                <w:szCs w:val="5"/>
                <w:color w:val="auto"/>
              </w:rPr>
            </w:pPr>
          </w:p>
        </w:tc>
        <w:tc>
          <w:tcPr>
            <w:tcW w:w="200" w:type="dxa"/>
            <w:vAlign w:val="bottom"/>
            <w:tcBorders>
              <w:top w:val="single" w:sz="8" w:color="auto"/>
            </w:tcBorders>
          </w:tcPr>
          <w:p>
            <w:pPr>
              <w:spacing w:after="0"/>
              <w:rPr>
                <w:sz w:val="5"/>
                <w:szCs w:val="5"/>
                <w:color w:val="auto"/>
              </w:rPr>
            </w:pPr>
          </w:p>
        </w:tc>
        <w:tc>
          <w:tcPr>
            <w:tcW w:w="160" w:type="dxa"/>
            <w:vAlign w:val="bottom"/>
            <w:tcBorders>
              <w:top w:val="single" w:sz="8" w:color="auto"/>
            </w:tcBorders>
          </w:tcPr>
          <w:p>
            <w:pPr>
              <w:spacing w:after="0"/>
              <w:rPr>
                <w:sz w:val="5"/>
                <w:szCs w:val="5"/>
                <w:color w:val="auto"/>
              </w:rPr>
            </w:pPr>
          </w:p>
        </w:tc>
        <w:tc>
          <w:tcPr>
            <w:tcW w:w="720" w:type="dxa"/>
            <w:vAlign w:val="bottom"/>
            <w:tcBorders>
              <w:top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160" w:type="dxa"/>
            <w:vAlign w:val="bottom"/>
            <w:tcBorders>
              <w:top w:val="single" w:sz="8" w:color="auto"/>
            </w:tcBorders>
          </w:tcPr>
          <w:p>
            <w:pPr>
              <w:spacing w:after="0"/>
              <w:rPr>
                <w:sz w:val="5"/>
                <w:szCs w:val="5"/>
                <w:color w:val="auto"/>
              </w:rPr>
            </w:pPr>
          </w:p>
        </w:tc>
        <w:tc>
          <w:tcPr>
            <w:tcW w:w="86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20" w:type="dxa"/>
            <w:vAlign w:val="bottom"/>
            <w:shd w:val="clear" w:color="auto" w:fill="E5E5E5"/>
          </w:tcPr>
          <w:p>
            <w:pPr>
              <w:ind w:left="200"/>
              <w:spacing w:after="0" w:line="202" w:lineRule="exact"/>
              <w:rPr>
                <w:sz w:val="20"/>
                <w:szCs w:val="20"/>
                <w:color w:val="auto"/>
              </w:rPr>
            </w:pPr>
            <w:r>
              <w:rPr>
                <w:rFonts w:ascii="Arial" w:cs="Arial" w:eastAsia="Arial" w:hAnsi="Arial"/>
                <w:sz w:val="18"/>
                <w:szCs w:val="18"/>
                <w:color w:val="auto"/>
              </w:rPr>
              <w:t>Total</w:t>
            </w:r>
          </w:p>
        </w:tc>
        <w:tc>
          <w:tcPr>
            <w:tcW w:w="240" w:type="dxa"/>
            <w:vAlign w:val="bottom"/>
            <w:shd w:val="clear" w:color="auto" w:fill="E5E5E5"/>
          </w:tcPr>
          <w:p>
            <w:pPr>
              <w:spacing w:after="0"/>
              <w:rPr>
                <w:sz w:val="17"/>
                <w:szCs w:val="17"/>
                <w:color w:val="auto"/>
              </w:rPr>
            </w:pPr>
          </w:p>
        </w:tc>
        <w:tc>
          <w:tcPr>
            <w:tcW w:w="840" w:type="dxa"/>
            <w:vAlign w:val="bottom"/>
            <w:shd w:val="clear" w:color="auto" w:fill="E5E5E5"/>
          </w:tcPr>
          <w:p>
            <w:pPr>
              <w:spacing w:after="0"/>
              <w:rPr>
                <w:sz w:val="17"/>
                <w:szCs w:val="17"/>
                <w:color w:val="auto"/>
              </w:rPr>
            </w:pPr>
          </w:p>
        </w:tc>
        <w:tc>
          <w:tcPr>
            <w:tcW w:w="180" w:type="dxa"/>
            <w:vAlign w:val="bottom"/>
            <w:shd w:val="clear" w:color="auto" w:fill="E5E5E5"/>
          </w:tcPr>
          <w:p>
            <w:pPr>
              <w:spacing w:after="0"/>
              <w:rPr>
                <w:sz w:val="17"/>
                <w:szCs w:val="17"/>
                <w:color w:val="auto"/>
              </w:rPr>
            </w:pPr>
          </w:p>
        </w:tc>
        <w:tc>
          <w:tcPr>
            <w:tcW w:w="300" w:type="dxa"/>
            <w:vAlign w:val="bottom"/>
            <w:shd w:val="clear" w:color="auto" w:fill="E5E5E5"/>
          </w:tcPr>
          <w:p>
            <w:pPr>
              <w:spacing w:after="0"/>
              <w:rPr>
                <w:sz w:val="17"/>
                <w:szCs w:val="17"/>
                <w:color w:val="auto"/>
              </w:rPr>
            </w:pPr>
          </w:p>
        </w:tc>
        <w:tc>
          <w:tcPr>
            <w:tcW w:w="74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280" w:type="dxa"/>
            <w:vAlign w:val="bottom"/>
            <w:shd w:val="clear" w:color="auto" w:fill="E5E5E5"/>
          </w:tcPr>
          <w:p>
            <w:pPr>
              <w:spacing w:after="0"/>
              <w:rPr>
                <w:sz w:val="17"/>
                <w:szCs w:val="17"/>
                <w:color w:val="auto"/>
              </w:rPr>
            </w:pPr>
          </w:p>
        </w:tc>
        <w:tc>
          <w:tcPr>
            <w:tcW w:w="74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60" w:type="dxa"/>
            <w:vAlign w:val="bottom"/>
            <w:shd w:val="clear" w:color="auto" w:fill="E5E5E5"/>
          </w:tcPr>
          <w:p>
            <w:pPr>
              <w:spacing w:after="0"/>
              <w:rPr>
                <w:sz w:val="17"/>
                <w:szCs w:val="17"/>
                <w:color w:val="auto"/>
              </w:rPr>
            </w:pPr>
          </w:p>
        </w:tc>
        <w:tc>
          <w:tcPr>
            <w:tcW w:w="60" w:type="dxa"/>
            <w:vAlign w:val="bottom"/>
            <w:shd w:val="clear" w:color="auto" w:fill="E5E5E5"/>
          </w:tcPr>
          <w:p>
            <w:pPr>
              <w:spacing w:after="0"/>
              <w:rPr>
                <w:sz w:val="17"/>
                <w:szCs w:val="17"/>
                <w:color w:val="auto"/>
              </w:rPr>
            </w:pPr>
          </w:p>
        </w:tc>
        <w:tc>
          <w:tcPr>
            <w:tcW w:w="180" w:type="dxa"/>
            <w:vAlign w:val="bottom"/>
            <w:shd w:val="clear" w:color="auto" w:fill="E5E5E5"/>
          </w:tcPr>
          <w:p>
            <w:pPr>
              <w:spacing w:after="0"/>
              <w:rPr>
                <w:sz w:val="17"/>
                <w:szCs w:val="17"/>
                <w:color w:val="auto"/>
              </w:rPr>
            </w:pPr>
          </w:p>
        </w:tc>
        <w:tc>
          <w:tcPr>
            <w:tcW w:w="780" w:type="dxa"/>
            <w:vAlign w:val="bottom"/>
            <w:shd w:val="clear" w:color="auto" w:fill="E5E5E5"/>
          </w:tcPr>
          <w:p>
            <w:pPr>
              <w:spacing w:after="0"/>
              <w:rPr>
                <w:sz w:val="17"/>
                <w:szCs w:val="17"/>
                <w:color w:val="auto"/>
              </w:rPr>
            </w:pPr>
          </w:p>
        </w:tc>
        <w:tc>
          <w:tcPr>
            <w:tcW w:w="20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980" w:type="dxa"/>
            <w:vAlign w:val="bottom"/>
            <w:gridSpan w:val="3"/>
            <w:shd w:val="clear" w:color="auto" w:fill="E5E5E5"/>
          </w:tcPr>
          <w:p>
            <w:pPr>
              <w:jc w:val="right"/>
              <w:ind w:right="160"/>
              <w:spacing w:after="0" w:line="202" w:lineRule="exact"/>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E5E5E5"/>
          </w:tcPr>
          <w:p>
            <w:pPr>
              <w:spacing w:after="0"/>
              <w:rPr>
                <w:sz w:val="17"/>
                <w:szCs w:val="17"/>
                <w:color w:val="auto"/>
              </w:rPr>
            </w:pPr>
          </w:p>
        </w:tc>
        <w:tc>
          <w:tcPr>
            <w:tcW w:w="860" w:type="dxa"/>
            <w:vAlign w:val="bottom"/>
            <w:gridSpan w:val="2"/>
            <w:shd w:val="clear" w:color="auto" w:fill="E5E5E5"/>
          </w:tcPr>
          <w:p>
            <w:pPr>
              <w:jc w:val="right"/>
              <w:ind w:right="140"/>
              <w:spacing w:after="0" w:line="202" w:lineRule="exact"/>
              <w:rPr>
                <w:sz w:val="20"/>
                <w:szCs w:val="20"/>
                <w:color w:val="auto"/>
              </w:rPr>
            </w:pPr>
            <w:r>
              <w:rPr>
                <w:rFonts w:ascii="Arial" w:cs="Arial" w:eastAsia="Arial" w:hAnsi="Arial"/>
                <w:sz w:val="18"/>
                <w:szCs w:val="18"/>
                <w:b w:val="1"/>
                <w:bCs w:val="1"/>
                <w:color w:val="auto"/>
              </w:rPr>
              <w:t>573</w:t>
            </w:r>
          </w:p>
        </w:tc>
        <w:tc>
          <w:tcPr>
            <w:tcW w:w="40" w:type="dxa"/>
            <w:vAlign w:val="bottom"/>
            <w:shd w:val="clear" w:color="auto" w:fill="E5E5E5"/>
          </w:tcPr>
          <w:p>
            <w:pPr>
              <w:spacing w:after="0"/>
              <w:rPr>
                <w:sz w:val="17"/>
                <w:szCs w:val="17"/>
                <w:color w:val="auto"/>
              </w:rPr>
            </w:pPr>
          </w:p>
        </w:tc>
        <w:tc>
          <w:tcPr>
            <w:tcW w:w="160" w:type="dxa"/>
            <w:vAlign w:val="bottom"/>
            <w:gridSpan w:val="2"/>
            <w:shd w:val="clear" w:color="auto" w:fill="E5E5E5"/>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E5E5E5"/>
          </w:tcPr>
          <w:p>
            <w:pPr>
              <w:spacing w:after="0"/>
              <w:rPr>
                <w:sz w:val="17"/>
                <w:szCs w:val="17"/>
                <w:color w:val="auto"/>
              </w:rPr>
            </w:pPr>
          </w:p>
        </w:tc>
        <w:tc>
          <w:tcPr>
            <w:tcW w:w="96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405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3020" w:type="dxa"/>
            <w:vAlign w:val="bottom"/>
          </w:tcPr>
          <w:p>
            <w:pPr>
              <w:spacing w:after="0"/>
              <w:rPr>
                <w:sz w:val="6"/>
                <w:szCs w:val="6"/>
                <w:color w:val="auto"/>
              </w:rPr>
            </w:pPr>
          </w:p>
        </w:tc>
        <w:tc>
          <w:tcPr>
            <w:tcW w:w="240" w:type="dxa"/>
            <w:vAlign w:val="bottom"/>
          </w:tcPr>
          <w:p>
            <w:pPr>
              <w:spacing w:after="0"/>
              <w:rPr>
                <w:sz w:val="6"/>
                <w:szCs w:val="6"/>
                <w:color w:val="auto"/>
              </w:rPr>
            </w:pPr>
          </w:p>
        </w:tc>
        <w:tc>
          <w:tcPr>
            <w:tcW w:w="840" w:type="dxa"/>
            <w:vAlign w:val="bottom"/>
          </w:tcPr>
          <w:p>
            <w:pPr>
              <w:spacing w:after="0"/>
              <w:rPr>
                <w:sz w:val="6"/>
                <w:szCs w:val="6"/>
                <w:color w:val="auto"/>
              </w:rPr>
            </w:pPr>
          </w:p>
        </w:tc>
        <w:tc>
          <w:tcPr>
            <w:tcW w:w="180" w:type="dxa"/>
            <w:vAlign w:val="bottom"/>
          </w:tcPr>
          <w:p>
            <w:pPr>
              <w:spacing w:after="0"/>
              <w:rPr>
                <w:sz w:val="6"/>
                <w:szCs w:val="6"/>
                <w:color w:val="auto"/>
              </w:rPr>
            </w:pPr>
          </w:p>
        </w:tc>
        <w:tc>
          <w:tcPr>
            <w:tcW w:w="300" w:type="dxa"/>
            <w:vAlign w:val="bottom"/>
          </w:tcPr>
          <w:p>
            <w:pPr>
              <w:spacing w:after="0"/>
              <w:rPr>
                <w:sz w:val="6"/>
                <w:szCs w:val="6"/>
                <w:color w:val="auto"/>
              </w:rPr>
            </w:pPr>
          </w:p>
        </w:tc>
        <w:tc>
          <w:tcPr>
            <w:tcW w:w="2400" w:type="dxa"/>
            <w:vAlign w:val="bottom"/>
            <w:gridSpan w:val="9"/>
            <w:vMerge w:val="restart"/>
          </w:tcPr>
          <w:p>
            <w:pPr>
              <w:jc w:val="right"/>
              <w:ind w:right="180"/>
              <w:spacing w:after="0"/>
              <w:rPr>
                <w:sz w:val="20"/>
                <w:szCs w:val="20"/>
                <w:color w:val="auto"/>
              </w:rPr>
            </w:pPr>
            <w:r>
              <w:rPr>
                <w:rFonts w:ascii="Arial" w:cs="Arial" w:eastAsia="Arial" w:hAnsi="Arial"/>
                <w:sz w:val="18"/>
                <w:szCs w:val="18"/>
                <w:color w:val="auto"/>
                <w:w w:val="99"/>
              </w:rPr>
              <w:t>NOTE 4 — INVESTMENTS</w:t>
            </w:r>
          </w:p>
        </w:tc>
        <w:tc>
          <w:tcPr>
            <w:tcW w:w="7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20" w:type="dxa"/>
            <w:vAlign w:val="bottom"/>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0" w:type="dxa"/>
            <w:vAlign w:val="bottom"/>
            <w:gridSpan w:val="9"/>
            <w:vMerge w:val="continue"/>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7"/>
        </w:trPr>
        <w:tc>
          <w:tcPr>
            <w:tcW w:w="3040" w:type="dxa"/>
            <w:vAlign w:val="bottom"/>
            <w:gridSpan w:val="2"/>
          </w:tcPr>
          <w:p>
            <w:pPr>
              <w:spacing w:after="0"/>
              <w:rPr>
                <w:sz w:val="20"/>
                <w:szCs w:val="20"/>
                <w:color w:val="auto"/>
              </w:rPr>
            </w:pPr>
            <w:r>
              <w:rPr>
                <w:rFonts w:ascii="Arial" w:cs="Arial" w:eastAsia="Arial" w:hAnsi="Arial"/>
                <w:sz w:val="18"/>
                <w:szCs w:val="18"/>
                <w:b w:val="1"/>
                <w:bCs w:val="1"/>
                <w:color w:val="auto"/>
              </w:rPr>
              <w:t>Investment Components</w:t>
            </w: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7"/>
        </w:trPr>
        <w:tc>
          <w:tcPr>
            <w:tcW w:w="6700" w:type="dxa"/>
            <w:vAlign w:val="bottom"/>
            <w:gridSpan w:val="12"/>
          </w:tcPr>
          <w:p>
            <w:pPr>
              <w:spacing w:after="0"/>
              <w:rPr>
                <w:sz w:val="20"/>
                <w:szCs w:val="20"/>
                <w:color w:val="auto"/>
              </w:rPr>
            </w:pPr>
            <w:r>
              <w:rPr>
                <w:rFonts w:ascii="Arial" w:cs="Arial" w:eastAsia="Arial" w:hAnsi="Arial"/>
                <w:sz w:val="18"/>
                <w:szCs w:val="18"/>
                <w:color w:val="auto"/>
              </w:rPr>
              <w:t>The components of investments, including associated derivatives, were as follows:</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1"/>
        </w:trPr>
        <w:tc>
          <w:tcPr>
            <w:tcW w:w="2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gridSpan w:val="2"/>
            <w:vMerge w:val="restart"/>
          </w:tcPr>
          <w:p>
            <w:pPr>
              <w:jc w:val="right"/>
              <w:ind w:right="120"/>
              <w:spacing w:after="0"/>
              <w:rPr>
                <w:sz w:val="20"/>
                <w:szCs w:val="20"/>
                <w:color w:val="auto"/>
              </w:rPr>
            </w:pPr>
            <w:r>
              <w:rPr>
                <w:rFonts w:ascii="Arial" w:cs="Arial" w:eastAsia="Arial" w:hAnsi="Arial"/>
                <w:sz w:val="14"/>
                <w:szCs w:val="14"/>
                <w:b w:val="1"/>
                <w:bCs w:val="1"/>
                <w:color w:val="auto"/>
              </w:rPr>
              <w:t>Unrealized</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4"/>
                <w:szCs w:val="14"/>
                <w:b w:val="1"/>
                <w:bCs w:val="1"/>
                <w:color w:val="auto"/>
                <w:w w:val="98"/>
              </w:rPr>
              <w:t>Unrealized</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Recorded</w:t>
            </w:r>
          </w:p>
        </w:tc>
        <w:tc>
          <w:tcPr>
            <w:tcW w:w="120" w:type="dxa"/>
            <w:vAlign w:val="bottom"/>
          </w:tcPr>
          <w:p>
            <w:pPr>
              <w:spacing w:after="0"/>
              <w:rPr>
                <w:sz w:val="24"/>
                <w:szCs w:val="24"/>
                <w:color w:val="auto"/>
              </w:rPr>
            </w:pPr>
          </w:p>
        </w:tc>
        <w:tc>
          <w:tcPr>
            <w:tcW w:w="98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rPr>
              <w:t>Cash</w:t>
            </w:r>
          </w:p>
        </w:tc>
        <w:tc>
          <w:tcPr>
            <w:tcW w:w="160" w:type="dxa"/>
            <w:vAlign w:val="bottom"/>
          </w:tcPr>
          <w:p>
            <w:pPr>
              <w:spacing w:after="0"/>
              <w:rPr>
                <w:sz w:val="24"/>
                <w:szCs w:val="24"/>
                <w:color w:val="auto"/>
              </w:rPr>
            </w:pPr>
          </w:p>
        </w:tc>
        <w:tc>
          <w:tcPr>
            <w:tcW w:w="900" w:type="dxa"/>
            <w:vAlign w:val="bottom"/>
            <w:gridSpan w:val="3"/>
            <w:vMerge w:val="restart"/>
          </w:tcPr>
          <w:p>
            <w:pPr>
              <w:jc w:val="right"/>
              <w:ind w:right="60"/>
              <w:spacing w:after="0"/>
              <w:rPr>
                <w:sz w:val="20"/>
                <w:szCs w:val="20"/>
                <w:color w:val="auto"/>
              </w:rPr>
            </w:pPr>
            <w:r>
              <w:rPr>
                <w:rFonts w:ascii="Arial" w:cs="Arial" w:eastAsia="Arial" w:hAnsi="Arial"/>
                <w:sz w:val="14"/>
                <w:szCs w:val="14"/>
                <w:b w:val="1"/>
                <w:bCs w:val="1"/>
                <w:color w:val="auto"/>
              </w:rPr>
              <w:t>Short-term</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Equity</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30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w:t>
            </w:r>
          </w:p>
        </w:tc>
        <w:tc>
          <w:tcPr>
            <w:tcW w:w="240" w:type="dxa"/>
            <w:vAlign w:val="bottom"/>
          </w:tcPr>
          <w:p>
            <w:pPr>
              <w:spacing w:after="0"/>
              <w:rPr>
                <w:sz w:val="12"/>
                <w:szCs w:val="12"/>
                <w:color w:val="auto"/>
              </w:rPr>
            </w:pPr>
          </w:p>
        </w:tc>
        <w:tc>
          <w:tcPr>
            <w:tcW w:w="10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Cost Basis</w:t>
            </w:r>
          </w:p>
        </w:tc>
        <w:tc>
          <w:tcPr>
            <w:tcW w:w="30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3"/>
          </w:tcPr>
          <w:p>
            <w:pPr>
              <w:jc w:val="right"/>
              <w:ind w:right="200"/>
              <w:spacing w:after="0" w:line="149" w:lineRule="exact"/>
              <w:rPr>
                <w:sz w:val="20"/>
                <w:szCs w:val="20"/>
                <w:color w:val="auto"/>
              </w:rPr>
            </w:pPr>
            <w:r>
              <w:rPr>
                <w:rFonts w:ascii="Arial" w:cs="Arial" w:eastAsia="Arial" w:hAnsi="Arial"/>
                <w:sz w:val="14"/>
                <w:szCs w:val="14"/>
                <w:b w:val="1"/>
                <w:bCs w:val="1"/>
                <w:color w:val="auto"/>
              </w:rPr>
              <w:t>and Cash</w:t>
            </w:r>
          </w:p>
        </w:tc>
        <w:tc>
          <w:tcPr>
            <w:tcW w:w="160" w:type="dxa"/>
            <w:vAlign w:val="bottom"/>
          </w:tcPr>
          <w:p>
            <w:pPr>
              <w:spacing w:after="0"/>
              <w:rPr>
                <w:sz w:val="12"/>
                <w:szCs w:val="12"/>
                <w:color w:val="auto"/>
              </w:rPr>
            </w:pPr>
          </w:p>
        </w:tc>
        <w:tc>
          <w:tcPr>
            <w:tcW w:w="90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and Other</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304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Gains</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Losses</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Basis</w:t>
            </w:r>
          </w:p>
        </w:tc>
        <w:tc>
          <w:tcPr>
            <w:tcW w:w="120" w:type="dxa"/>
            <w:vAlign w:val="bottom"/>
          </w:tcPr>
          <w:p>
            <w:pPr>
              <w:spacing w:after="0"/>
              <w:rPr>
                <w:sz w:val="16"/>
                <w:szCs w:val="16"/>
                <w:color w:val="auto"/>
              </w:rPr>
            </w:pPr>
          </w:p>
        </w:tc>
        <w:tc>
          <w:tcPr>
            <w:tcW w:w="98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96"/>
              </w:rPr>
              <w:t>Equivalents</w:t>
            </w:r>
          </w:p>
        </w:tc>
        <w:tc>
          <w:tcPr>
            <w:tcW w:w="160" w:type="dxa"/>
            <w:vAlign w:val="bottom"/>
          </w:tcPr>
          <w:p>
            <w:pPr>
              <w:spacing w:after="0"/>
              <w:rPr>
                <w:sz w:val="16"/>
                <w:szCs w:val="16"/>
                <w:color w:val="auto"/>
              </w:rPr>
            </w:pPr>
          </w:p>
        </w:tc>
        <w:tc>
          <w:tcPr>
            <w:tcW w:w="90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Investments</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Investments</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3040" w:type="dxa"/>
            <w:vAlign w:val="bottom"/>
            <w:tcBorders>
              <w:bottom w:val="single" w:sz="8" w:color="auto"/>
            </w:tcBorders>
            <w:gridSpan w:val="2"/>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3"/>
        </w:trPr>
        <w:tc>
          <w:tcPr>
            <w:tcW w:w="3040" w:type="dxa"/>
            <w:vAlign w:val="bottom"/>
            <w:gridSpan w:val="2"/>
          </w:tcPr>
          <w:p>
            <w:pPr>
              <w:spacing w:after="0"/>
              <w:rPr>
                <w:sz w:val="20"/>
                <w:szCs w:val="20"/>
                <w:color w:val="auto"/>
              </w:rPr>
            </w:pPr>
            <w:r>
              <w:rPr>
                <w:rFonts w:ascii="Arial" w:cs="Arial" w:eastAsia="Arial" w:hAnsi="Arial"/>
                <w:sz w:val="14"/>
                <w:szCs w:val="14"/>
                <w:b w:val="1"/>
                <w:bCs w:val="1"/>
                <w:color w:val="auto"/>
              </w:rPr>
              <w:t>September 30, 2017</w:t>
            </w: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
        </w:trPr>
        <w:tc>
          <w:tcPr>
            <w:tcW w:w="20" w:type="dxa"/>
            <w:vAlign w:val="bottom"/>
            <w:vMerge w:val="restart"/>
          </w:tcPr>
          <w:p>
            <w:pPr>
              <w:spacing w:after="0"/>
              <w:rPr>
                <w:sz w:val="3"/>
                <w:szCs w:val="3"/>
                <w:color w:val="auto"/>
              </w:rPr>
            </w:pPr>
          </w:p>
        </w:tc>
        <w:tc>
          <w:tcPr>
            <w:tcW w:w="3020" w:type="dxa"/>
            <w:vAlign w:val="bottom"/>
          </w:tcPr>
          <w:p>
            <w:pPr>
              <w:spacing w:after="0"/>
              <w:rPr>
                <w:sz w:val="3"/>
                <w:szCs w:val="3"/>
                <w:color w:val="auto"/>
              </w:rPr>
            </w:pPr>
          </w:p>
        </w:tc>
        <w:tc>
          <w:tcPr>
            <w:tcW w:w="2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80" w:type="dxa"/>
            <w:vAlign w:val="bottom"/>
          </w:tcPr>
          <w:p>
            <w:pPr>
              <w:spacing w:after="0"/>
              <w:rPr>
                <w:sz w:val="3"/>
                <w:szCs w:val="3"/>
                <w:color w:val="auto"/>
              </w:rPr>
            </w:pPr>
          </w:p>
        </w:tc>
        <w:tc>
          <w:tcPr>
            <w:tcW w:w="3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780" w:type="dxa"/>
            <w:vAlign w:val="bottom"/>
            <w:gridSpan w:val="2"/>
          </w:tcPr>
          <w:p>
            <w:pPr>
              <w:spacing w:after="0"/>
              <w:rPr>
                <w:sz w:val="3"/>
                <w:szCs w:val="3"/>
                <w:color w:val="auto"/>
              </w:rPr>
            </w:pPr>
          </w:p>
        </w:tc>
        <w:tc>
          <w:tcPr>
            <w:tcW w:w="2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60" w:type="dxa"/>
            <w:vAlign w:val="bottom"/>
            <w:gridSpan w:val="2"/>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gridSpan w:val="2"/>
          </w:tcPr>
          <w:p>
            <w:pPr>
              <w:spacing w:after="0"/>
              <w:rPr>
                <w:sz w:val="3"/>
                <w:szCs w:val="3"/>
                <w:color w:val="auto"/>
              </w:rPr>
            </w:pPr>
          </w:p>
        </w:tc>
        <w:tc>
          <w:tcPr>
            <w:tcW w:w="16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02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Cash</w:t>
            </w:r>
          </w:p>
        </w:tc>
        <w:tc>
          <w:tcPr>
            <w:tcW w:w="240" w:type="dxa"/>
            <w:vAlign w:val="bottom"/>
            <w:shd w:val="clear" w:color="auto" w:fill="E5E5E5"/>
          </w:tcPr>
          <w:p>
            <w:pPr>
              <w:jc w:val="right"/>
              <w:ind w:right="50"/>
              <w:spacing w:after="0" w:line="202" w:lineRule="exact"/>
              <w:rPr>
                <w:sz w:val="20"/>
                <w:szCs w:val="20"/>
                <w:color w:val="auto"/>
              </w:rPr>
            </w:pPr>
            <w:r>
              <w:rPr>
                <w:rFonts w:ascii="Arial" w:cs="Arial" w:eastAsia="Arial" w:hAnsi="Arial"/>
                <w:sz w:val="18"/>
                <w:szCs w:val="18"/>
                <w:b w:val="1"/>
                <w:bCs w:val="1"/>
                <w:color w:val="auto"/>
                <w:w w:val="79"/>
              </w:rPr>
              <w:t>$</w:t>
            </w:r>
          </w:p>
        </w:tc>
        <w:tc>
          <w:tcPr>
            <w:tcW w:w="1020" w:type="dxa"/>
            <w:vAlign w:val="bottom"/>
            <w:gridSpan w:val="2"/>
            <w:shd w:val="clear" w:color="auto" w:fill="E5E5E5"/>
          </w:tcPr>
          <w:p>
            <w:pPr>
              <w:jc w:val="right"/>
              <w:ind w:right="180"/>
              <w:spacing w:after="0" w:line="202" w:lineRule="exact"/>
              <w:rPr>
                <w:sz w:val="20"/>
                <w:szCs w:val="20"/>
                <w:color w:val="auto"/>
              </w:rPr>
            </w:pPr>
            <w:r>
              <w:rPr>
                <w:rFonts w:ascii="Arial" w:cs="Arial" w:eastAsia="Arial" w:hAnsi="Arial"/>
                <w:sz w:val="18"/>
                <w:szCs w:val="18"/>
                <w:b w:val="1"/>
                <w:bCs w:val="1"/>
                <w:color w:val="auto"/>
              </w:rPr>
              <w:t>4,052</w:t>
            </w:r>
          </w:p>
        </w:tc>
        <w:tc>
          <w:tcPr>
            <w:tcW w:w="300" w:type="dxa"/>
            <w:vAlign w:val="bottom"/>
            <w:shd w:val="clear" w:color="auto" w:fill="E5E5E5"/>
          </w:tcPr>
          <w:p>
            <w:pPr>
              <w:jc w:val="right"/>
              <w:ind w:right="110"/>
              <w:spacing w:after="0" w:line="202" w:lineRule="exact"/>
              <w:rPr>
                <w:sz w:val="20"/>
                <w:szCs w:val="20"/>
                <w:color w:val="auto"/>
              </w:rPr>
            </w:pPr>
            <w:r>
              <w:rPr>
                <w:rFonts w:ascii="Arial" w:cs="Arial" w:eastAsia="Arial" w:hAnsi="Arial"/>
                <w:sz w:val="18"/>
                <w:szCs w:val="18"/>
                <w:b w:val="1"/>
                <w:bCs w:val="1"/>
                <w:color w:val="auto"/>
                <w:w w:val="79"/>
              </w:rPr>
              <w:t>$</w:t>
            </w:r>
          </w:p>
        </w:tc>
        <w:tc>
          <w:tcPr>
            <w:tcW w:w="74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0</w:t>
            </w:r>
          </w:p>
        </w:tc>
        <w:tc>
          <w:tcPr>
            <w:tcW w:w="120" w:type="dxa"/>
            <w:vAlign w:val="bottom"/>
            <w:shd w:val="clear" w:color="auto" w:fill="E5E5E5"/>
          </w:tcPr>
          <w:p>
            <w:pPr>
              <w:spacing w:after="0"/>
              <w:rPr>
                <w:sz w:val="17"/>
                <w:szCs w:val="17"/>
                <w:color w:val="auto"/>
              </w:rPr>
            </w:pPr>
          </w:p>
        </w:tc>
        <w:tc>
          <w:tcPr>
            <w:tcW w:w="380" w:type="dxa"/>
            <w:vAlign w:val="bottom"/>
            <w:gridSpan w:val="2"/>
            <w:shd w:val="clear" w:color="auto" w:fill="E5E5E5"/>
          </w:tcPr>
          <w:p>
            <w:pPr>
              <w:jc w:val="right"/>
              <w:ind w:right="180"/>
              <w:spacing w:after="0" w:line="202" w:lineRule="exact"/>
              <w:rPr>
                <w:sz w:val="20"/>
                <w:szCs w:val="20"/>
                <w:color w:val="auto"/>
              </w:rPr>
            </w:pPr>
            <w:r>
              <w:rPr>
                <w:rFonts w:ascii="Arial" w:cs="Arial" w:eastAsia="Arial" w:hAnsi="Arial"/>
                <w:sz w:val="18"/>
                <w:szCs w:val="18"/>
                <w:b w:val="1"/>
                <w:bCs w:val="1"/>
                <w:color w:val="auto"/>
              </w:rPr>
              <w:t>$</w:t>
            </w:r>
          </w:p>
        </w:tc>
        <w:tc>
          <w:tcPr>
            <w:tcW w:w="860" w:type="dxa"/>
            <w:vAlign w:val="bottom"/>
            <w:gridSpan w:val="2"/>
            <w:shd w:val="clear" w:color="auto" w:fill="E5E5E5"/>
          </w:tcPr>
          <w:p>
            <w:pPr>
              <w:jc w:val="right"/>
              <w:ind w:right="120"/>
              <w:spacing w:after="0" w:line="202" w:lineRule="exact"/>
              <w:rPr>
                <w:sz w:val="20"/>
                <w:szCs w:val="20"/>
                <w:color w:val="auto"/>
              </w:rPr>
            </w:pPr>
            <w:r>
              <w:rPr>
                <w:rFonts w:ascii="Arial" w:cs="Arial" w:eastAsia="Arial" w:hAnsi="Arial"/>
                <w:sz w:val="18"/>
                <w:szCs w:val="18"/>
                <w:b w:val="1"/>
                <w:bCs w:val="1"/>
                <w:color w:val="auto"/>
              </w:rPr>
              <w:t>0</w:t>
            </w:r>
          </w:p>
        </w:tc>
        <w:tc>
          <w:tcPr>
            <w:tcW w:w="300" w:type="dxa"/>
            <w:vAlign w:val="bottom"/>
            <w:gridSpan w:val="3"/>
            <w:shd w:val="clear" w:color="auto" w:fill="E5E5E5"/>
          </w:tcPr>
          <w:p>
            <w:pPr>
              <w:jc w:val="right"/>
              <w:ind w:right="140"/>
              <w:spacing w:after="0" w:line="202" w:lineRule="exact"/>
              <w:rPr>
                <w:sz w:val="20"/>
                <w:szCs w:val="20"/>
                <w:color w:val="auto"/>
              </w:rPr>
            </w:pPr>
            <w:r>
              <w:rPr>
                <w:rFonts w:ascii="Arial" w:cs="Arial" w:eastAsia="Arial" w:hAnsi="Arial"/>
                <w:sz w:val="18"/>
                <w:szCs w:val="18"/>
                <w:b w:val="1"/>
                <w:bCs w:val="1"/>
                <w:color w:val="auto"/>
              </w:rPr>
              <w:t>$</w:t>
            </w:r>
          </w:p>
        </w:tc>
        <w:tc>
          <w:tcPr>
            <w:tcW w:w="980" w:type="dxa"/>
            <w:vAlign w:val="bottom"/>
            <w:gridSpan w:val="2"/>
            <w:shd w:val="clear" w:color="auto" w:fill="E5E5E5"/>
          </w:tcPr>
          <w:p>
            <w:pPr>
              <w:jc w:val="right"/>
              <w:ind w:right="200"/>
              <w:spacing w:after="0" w:line="202" w:lineRule="exact"/>
              <w:rPr>
                <w:sz w:val="20"/>
                <w:szCs w:val="20"/>
                <w:color w:val="auto"/>
              </w:rPr>
            </w:pPr>
            <w:r>
              <w:rPr>
                <w:rFonts w:ascii="Arial" w:cs="Arial" w:eastAsia="Arial" w:hAnsi="Arial"/>
                <w:sz w:val="18"/>
                <w:szCs w:val="18"/>
                <w:b w:val="1"/>
                <w:bCs w:val="1"/>
                <w:color w:val="auto"/>
              </w:rPr>
              <w:t>4,052</w:t>
            </w:r>
          </w:p>
        </w:tc>
        <w:tc>
          <w:tcPr>
            <w:tcW w:w="12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w w:val="79"/>
              </w:rPr>
              <w:t>$</w:t>
            </w:r>
          </w:p>
        </w:tc>
        <w:tc>
          <w:tcPr>
            <w:tcW w:w="980" w:type="dxa"/>
            <w:vAlign w:val="bottom"/>
            <w:gridSpan w:val="3"/>
            <w:shd w:val="clear" w:color="auto" w:fill="E5E5E5"/>
          </w:tcPr>
          <w:p>
            <w:pPr>
              <w:jc w:val="right"/>
              <w:ind w:right="200"/>
              <w:spacing w:after="0" w:line="202" w:lineRule="exact"/>
              <w:rPr>
                <w:sz w:val="20"/>
                <w:szCs w:val="20"/>
                <w:color w:val="auto"/>
              </w:rPr>
            </w:pPr>
            <w:r>
              <w:rPr>
                <w:rFonts w:ascii="Arial" w:cs="Arial" w:eastAsia="Arial" w:hAnsi="Arial"/>
                <w:sz w:val="18"/>
                <w:szCs w:val="18"/>
                <w:b w:val="1"/>
                <w:bCs w:val="1"/>
                <w:color w:val="auto"/>
              </w:rPr>
              <w:t>4,052</w:t>
            </w:r>
          </w:p>
        </w:tc>
        <w:tc>
          <w:tcPr>
            <w:tcW w:w="16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w w:val="79"/>
              </w:rPr>
              <w:t>$</w:t>
            </w:r>
          </w:p>
        </w:tc>
        <w:tc>
          <w:tcPr>
            <w:tcW w:w="900" w:type="dxa"/>
            <w:vAlign w:val="bottom"/>
            <w:gridSpan w:val="3"/>
            <w:shd w:val="clear" w:color="auto" w:fill="E5E5E5"/>
          </w:tcPr>
          <w:p>
            <w:pPr>
              <w:jc w:val="right"/>
              <w:ind w:right="40"/>
              <w:spacing w:after="0" w:line="202" w:lineRule="exact"/>
              <w:rPr>
                <w:sz w:val="20"/>
                <w:szCs w:val="20"/>
                <w:color w:val="auto"/>
              </w:rPr>
            </w:pPr>
            <w:r>
              <w:rPr>
                <w:rFonts w:ascii="Arial" w:cs="Arial" w:eastAsia="Arial" w:hAnsi="Arial"/>
                <w:sz w:val="18"/>
                <w:szCs w:val="18"/>
                <w:b w:val="1"/>
                <w:bCs w:val="1"/>
                <w:color w:val="auto"/>
              </w:rPr>
              <w:t>0</w:t>
            </w:r>
          </w:p>
        </w:tc>
        <w:tc>
          <w:tcPr>
            <w:tcW w:w="320" w:type="dxa"/>
            <w:vAlign w:val="bottom"/>
            <w:gridSpan w:val="3"/>
            <w:shd w:val="clear" w:color="auto" w:fill="E5E5E5"/>
          </w:tcPr>
          <w:p>
            <w:pPr>
              <w:jc w:val="right"/>
              <w:ind w:right="60"/>
              <w:spacing w:after="0" w:line="202" w:lineRule="exact"/>
              <w:rPr>
                <w:sz w:val="20"/>
                <w:szCs w:val="20"/>
                <w:color w:val="auto"/>
              </w:rPr>
            </w:pPr>
            <w:r>
              <w:rPr>
                <w:rFonts w:ascii="Arial" w:cs="Arial" w:eastAsia="Arial" w:hAnsi="Arial"/>
                <w:sz w:val="18"/>
                <w:szCs w:val="18"/>
                <w:b w:val="1"/>
                <w:bCs w:val="1"/>
                <w:color w:val="auto"/>
              </w:rPr>
              <w:t>$</w:t>
            </w:r>
          </w:p>
        </w:tc>
        <w:tc>
          <w:tcPr>
            <w:tcW w:w="86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0</w:t>
            </w:r>
          </w:p>
        </w:tc>
        <w:tc>
          <w:tcPr>
            <w:tcW w:w="100" w:type="dxa"/>
            <w:vAlign w:val="bottom"/>
            <w:shd w:val="clear" w:color="auto" w:fill="E5E5E5"/>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20" w:type="dxa"/>
            <w:vAlign w:val="bottom"/>
          </w:tcPr>
          <w:p>
            <w:pPr>
              <w:spacing w:after="0" w:line="202" w:lineRule="exact"/>
              <w:rPr>
                <w:sz w:val="20"/>
                <w:szCs w:val="20"/>
                <w:color w:val="auto"/>
              </w:rPr>
            </w:pPr>
            <w:r>
              <w:rPr>
                <w:rFonts w:ascii="Arial" w:cs="Arial" w:eastAsia="Arial" w:hAnsi="Arial"/>
                <w:sz w:val="18"/>
                <w:szCs w:val="18"/>
                <w:color w:val="auto"/>
              </w:rPr>
              <w:t>Mutual funds</w:t>
            </w:r>
          </w:p>
        </w:tc>
        <w:tc>
          <w:tcPr>
            <w:tcW w:w="240" w:type="dxa"/>
            <w:vAlign w:val="bottom"/>
          </w:tcPr>
          <w:p>
            <w:pPr>
              <w:spacing w:after="0"/>
              <w:rPr>
                <w:sz w:val="17"/>
                <w:szCs w:val="17"/>
                <w:color w:val="auto"/>
              </w:rPr>
            </w:pPr>
          </w:p>
        </w:tc>
        <w:tc>
          <w:tcPr>
            <w:tcW w:w="1020" w:type="dxa"/>
            <w:vAlign w:val="bottom"/>
            <w:gridSpan w:val="2"/>
          </w:tcPr>
          <w:p>
            <w:pPr>
              <w:jc w:val="right"/>
              <w:ind w:right="180"/>
              <w:spacing w:after="0" w:line="202" w:lineRule="exact"/>
              <w:rPr>
                <w:sz w:val="20"/>
                <w:szCs w:val="20"/>
                <w:color w:val="auto"/>
              </w:rPr>
            </w:pPr>
            <w:r>
              <w:rPr>
                <w:rFonts w:ascii="Arial" w:cs="Arial" w:eastAsia="Arial" w:hAnsi="Arial"/>
                <w:sz w:val="18"/>
                <w:szCs w:val="18"/>
                <w:b w:val="1"/>
                <w:bCs w:val="1"/>
                <w:color w:val="auto"/>
              </w:rPr>
              <w:t>1,040</w:t>
            </w:r>
          </w:p>
        </w:tc>
        <w:tc>
          <w:tcPr>
            <w:tcW w:w="30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gridSpan w:val="2"/>
          </w:tcPr>
          <w:p>
            <w:pPr>
              <w:jc w:val="right"/>
              <w:ind w:right="120"/>
              <w:spacing w:after="0" w:line="202" w:lineRule="exact"/>
              <w:rPr>
                <w:sz w:val="20"/>
                <w:szCs w:val="20"/>
                <w:color w:val="auto"/>
              </w:rPr>
            </w:pPr>
            <w:r>
              <w:rPr>
                <w:rFonts w:ascii="Arial" w:cs="Arial" w:eastAsia="Arial" w:hAnsi="Arial"/>
                <w:sz w:val="18"/>
                <w:szCs w:val="18"/>
                <w:b w:val="1"/>
                <w:bCs w:val="1"/>
                <w:color w:val="auto"/>
              </w:rPr>
              <w:t>0</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gridSpan w:val="2"/>
          </w:tcPr>
          <w:p>
            <w:pPr>
              <w:jc w:val="right"/>
              <w:ind w:right="200"/>
              <w:spacing w:after="0" w:line="202" w:lineRule="exact"/>
              <w:rPr>
                <w:sz w:val="20"/>
                <w:szCs w:val="20"/>
                <w:color w:val="auto"/>
              </w:rPr>
            </w:pPr>
            <w:r>
              <w:rPr>
                <w:rFonts w:ascii="Arial" w:cs="Arial" w:eastAsia="Arial" w:hAnsi="Arial"/>
                <w:sz w:val="18"/>
                <w:szCs w:val="18"/>
                <w:b w:val="1"/>
                <w:bCs w:val="1"/>
                <w:color w:val="auto"/>
              </w:rPr>
              <w:t>1,040</w:t>
            </w:r>
          </w:p>
        </w:tc>
        <w:tc>
          <w:tcPr>
            <w:tcW w:w="120" w:type="dxa"/>
            <w:vAlign w:val="bottom"/>
          </w:tcPr>
          <w:p>
            <w:pPr>
              <w:spacing w:after="0"/>
              <w:rPr>
                <w:sz w:val="17"/>
                <w:szCs w:val="17"/>
                <w:color w:val="auto"/>
              </w:rPr>
            </w:pPr>
          </w:p>
        </w:tc>
        <w:tc>
          <w:tcPr>
            <w:tcW w:w="980" w:type="dxa"/>
            <w:vAlign w:val="bottom"/>
            <w:gridSpan w:val="3"/>
          </w:tcPr>
          <w:p>
            <w:pPr>
              <w:jc w:val="right"/>
              <w:ind w:right="200"/>
              <w:spacing w:after="0" w:line="202" w:lineRule="exact"/>
              <w:rPr>
                <w:sz w:val="20"/>
                <w:szCs w:val="20"/>
                <w:color w:val="auto"/>
              </w:rPr>
            </w:pPr>
            <w:r>
              <w:rPr>
                <w:rFonts w:ascii="Arial" w:cs="Arial" w:eastAsia="Arial" w:hAnsi="Arial"/>
                <w:sz w:val="18"/>
                <w:szCs w:val="18"/>
                <w:b w:val="1"/>
                <w:bCs w:val="1"/>
                <w:color w:val="auto"/>
              </w:rPr>
              <w:t>1,040</w:t>
            </w:r>
          </w:p>
        </w:tc>
        <w:tc>
          <w:tcPr>
            <w:tcW w:w="160" w:type="dxa"/>
            <w:vAlign w:val="bottom"/>
          </w:tcPr>
          <w:p>
            <w:pPr>
              <w:spacing w:after="0"/>
              <w:rPr>
                <w:sz w:val="17"/>
                <w:szCs w:val="17"/>
                <w:color w:val="auto"/>
              </w:rPr>
            </w:pPr>
          </w:p>
        </w:tc>
        <w:tc>
          <w:tcPr>
            <w:tcW w:w="900" w:type="dxa"/>
            <w:vAlign w:val="bottom"/>
            <w:gridSpan w:val="3"/>
          </w:tcPr>
          <w:p>
            <w:pPr>
              <w:jc w:val="right"/>
              <w:ind w:right="40"/>
              <w:spacing w:after="0" w:line="202" w:lineRule="exact"/>
              <w:rPr>
                <w:sz w:val="20"/>
                <w:szCs w:val="20"/>
                <w:color w:val="auto"/>
              </w:rPr>
            </w:pPr>
            <w:r>
              <w:rPr>
                <w:rFonts w:ascii="Arial" w:cs="Arial" w:eastAsia="Arial" w:hAnsi="Arial"/>
                <w:sz w:val="18"/>
                <w:szCs w:val="18"/>
                <w:b w:val="1"/>
                <w:bCs w:val="1"/>
                <w:color w:val="auto"/>
              </w:rPr>
              <w:t>0</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0</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2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Commercial paper</w:t>
            </w:r>
          </w:p>
        </w:tc>
        <w:tc>
          <w:tcPr>
            <w:tcW w:w="240" w:type="dxa"/>
            <w:vAlign w:val="bottom"/>
            <w:shd w:val="clear" w:color="auto" w:fill="E5E5E5"/>
          </w:tcPr>
          <w:p>
            <w:pPr>
              <w:spacing w:after="0"/>
              <w:rPr>
                <w:sz w:val="17"/>
                <w:szCs w:val="17"/>
                <w:color w:val="auto"/>
              </w:rPr>
            </w:pPr>
          </w:p>
        </w:tc>
        <w:tc>
          <w:tcPr>
            <w:tcW w:w="84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833</w:t>
            </w:r>
          </w:p>
        </w:tc>
        <w:tc>
          <w:tcPr>
            <w:tcW w:w="180" w:type="dxa"/>
            <w:vAlign w:val="bottom"/>
            <w:shd w:val="clear" w:color="auto" w:fill="E5E5E5"/>
          </w:tcPr>
          <w:p>
            <w:pPr>
              <w:spacing w:after="0"/>
              <w:rPr>
                <w:sz w:val="17"/>
                <w:szCs w:val="17"/>
                <w:color w:val="auto"/>
              </w:rPr>
            </w:pPr>
          </w:p>
        </w:tc>
        <w:tc>
          <w:tcPr>
            <w:tcW w:w="300" w:type="dxa"/>
            <w:vAlign w:val="bottom"/>
            <w:shd w:val="clear" w:color="auto" w:fill="E5E5E5"/>
          </w:tcPr>
          <w:p>
            <w:pPr>
              <w:spacing w:after="0"/>
              <w:rPr>
                <w:sz w:val="17"/>
                <w:szCs w:val="17"/>
                <w:color w:val="auto"/>
              </w:rPr>
            </w:pPr>
          </w:p>
        </w:tc>
        <w:tc>
          <w:tcPr>
            <w:tcW w:w="74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0</w:t>
            </w:r>
          </w:p>
        </w:tc>
        <w:tc>
          <w:tcPr>
            <w:tcW w:w="12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280" w:type="dxa"/>
            <w:vAlign w:val="bottom"/>
            <w:shd w:val="clear" w:color="auto" w:fill="E5E5E5"/>
          </w:tcPr>
          <w:p>
            <w:pPr>
              <w:spacing w:after="0"/>
              <w:rPr>
                <w:sz w:val="17"/>
                <w:szCs w:val="17"/>
                <w:color w:val="auto"/>
              </w:rPr>
            </w:pPr>
          </w:p>
        </w:tc>
        <w:tc>
          <w:tcPr>
            <w:tcW w:w="860" w:type="dxa"/>
            <w:vAlign w:val="bottom"/>
            <w:gridSpan w:val="2"/>
            <w:shd w:val="clear" w:color="auto" w:fill="E5E5E5"/>
          </w:tcPr>
          <w:p>
            <w:pPr>
              <w:jc w:val="right"/>
              <w:ind w:right="120"/>
              <w:spacing w:after="0" w:line="202" w:lineRule="exact"/>
              <w:rPr>
                <w:sz w:val="20"/>
                <w:szCs w:val="20"/>
                <w:color w:val="auto"/>
              </w:rPr>
            </w:pPr>
            <w:r>
              <w:rPr>
                <w:rFonts w:ascii="Arial" w:cs="Arial" w:eastAsia="Arial" w:hAnsi="Arial"/>
                <w:sz w:val="18"/>
                <w:szCs w:val="18"/>
                <w:b w:val="1"/>
                <w:bCs w:val="1"/>
                <w:color w:val="auto"/>
              </w:rPr>
              <w:t>0</w:t>
            </w:r>
          </w:p>
        </w:tc>
        <w:tc>
          <w:tcPr>
            <w:tcW w:w="60" w:type="dxa"/>
            <w:vAlign w:val="bottom"/>
            <w:shd w:val="clear" w:color="auto" w:fill="E5E5E5"/>
          </w:tcPr>
          <w:p>
            <w:pPr>
              <w:spacing w:after="0"/>
              <w:rPr>
                <w:sz w:val="17"/>
                <w:szCs w:val="17"/>
                <w:color w:val="auto"/>
              </w:rPr>
            </w:pPr>
          </w:p>
        </w:tc>
        <w:tc>
          <w:tcPr>
            <w:tcW w:w="60" w:type="dxa"/>
            <w:vAlign w:val="bottom"/>
            <w:shd w:val="clear" w:color="auto" w:fill="E5E5E5"/>
          </w:tcPr>
          <w:p>
            <w:pPr>
              <w:spacing w:after="0"/>
              <w:rPr>
                <w:sz w:val="17"/>
                <w:szCs w:val="17"/>
                <w:color w:val="auto"/>
              </w:rPr>
            </w:pPr>
          </w:p>
        </w:tc>
        <w:tc>
          <w:tcPr>
            <w:tcW w:w="180" w:type="dxa"/>
            <w:vAlign w:val="bottom"/>
            <w:shd w:val="clear" w:color="auto" w:fill="E5E5E5"/>
          </w:tcPr>
          <w:p>
            <w:pPr>
              <w:spacing w:after="0"/>
              <w:rPr>
                <w:sz w:val="17"/>
                <w:szCs w:val="17"/>
                <w:color w:val="auto"/>
              </w:rPr>
            </w:pPr>
          </w:p>
        </w:tc>
        <w:tc>
          <w:tcPr>
            <w:tcW w:w="980" w:type="dxa"/>
            <w:vAlign w:val="bottom"/>
            <w:gridSpan w:val="2"/>
            <w:shd w:val="clear" w:color="auto" w:fill="E5E5E5"/>
          </w:tcPr>
          <w:p>
            <w:pPr>
              <w:jc w:val="right"/>
              <w:ind w:right="200"/>
              <w:spacing w:after="0" w:line="202" w:lineRule="exact"/>
              <w:rPr>
                <w:sz w:val="20"/>
                <w:szCs w:val="20"/>
                <w:color w:val="auto"/>
              </w:rPr>
            </w:pPr>
            <w:r>
              <w:rPr>
                <w:rFonts w:ascii="Arial" w:cs="Arial" w:eastAsia="Arial" w:hAnsi="Arial"/>
                <w:sz w:val="18"/>
                <w:szCs w:val="18"/>
                <w:b w:val="1"/>
                <w:bCs w:val="1"/>
                <w:color w:val="auto"/>
              </w:rPr>
              <w:t>833</w:t>
            </w:r>
          </w:p>
        </w:tc>
        <w:tc>
          <w:tcPr>
            <w:tcW w:w="120" w:type="dxa"/>
            <w:vAlign w:val="bottom"/>
            <w:shd w:val="clear" w:color="auto" w:fill="E5E5E5"/>
          </w:tcPr>
          <w:p>
            <w:pPr>
              <w:spacing w:after="0"/>
              <w:rPr>
                <w:sz w:val="17"/>
                <w:szCs w:val="17"/>
                <w:color w:val="auto"/>
              </w:rPr>
            </w:pPr>
          </w:p>
        </w:tc>
        <w:tc>
          <w:tcPr>
            <w:tcW w:w="980" w:type="dxa"/>
            <w:vAlign w:val="bottom"/>
            <w:gridSpan w:val="3"/>
            <w:shd w:val="clear" w:color="auto" w:fill="E5E5E5"/>
          </w:tcPr>
          <w:p>
            <w:pPr>
              <w:jc w:val="right"/>
              <w:ind w:right="200"/>
              <w:spacing w:after="0" w:line="202" w:lineRule="exact"/>
              <w:rPr>
                <w:sz w:val="20"/>
                <w:szCs w:val="20"/>
                <w:color w:val="auto"/>
              </w:rPr>
            </w:pPr>
            <w:r>
              <w:rPr>
                <w:rFonts w:ascii="Arial" w:cs="Arial" w:eastAsia="Arial" w:hAnsi="Arial"/>
                <w:sz w:val="18"/>
                <w:szCs w:val="18"/>
                <w:b w:val="1"/>
                <w:bCs w:val="1"/>
                <w:color w:val="auto"/>
              </w:rPr>
              <w:t>384</w:t>
            </w:r>
          </w:p>
        </w:tc>
        <w:tc>
          <w:tcPr>
            <w:tcW w:w="160" w:type="dxa"/>
            <w:vAlign w:val="bottom"/>
            <w:shd w:val="clear" w:color="auto" w:fill="E5E5E5"/>
          </w:tcPr>
          <w:p>
            <w:pPr>
              <w:spacing w:after="0"/>
              <w:rPr>
                <w:sz w:val="17"/>
                <w:szCs w:val="17"/>
                <w:color w:val="auto"/>
              </w:rPr>
            </w:pPr>
          </w:p>
        </w:tc>
        <w:tc>
          <w:tcPr>
            <w:tcW w:w="860" w:type="dxa"/>
            <w:vAlign w:val="bottom"/>
            <w:gridSpan w:val="2"/>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449</w:t>
            </w:r>
          </w:p>
        </w:tc>
        <w:tc>
          <w:tcPr>
            <w:tcW w:w="40" w:type="dxa"/>
            <w:vAlign w:val="bottom"/>
            <w:shd w:val="clear" w:color="auto" w:fill="E5E5E5"/>
          </w:tcPr>
          <w:p>
            <w:pPr>
              <w:spacing w:after="0"/>
              <w:rPr>
                <w:sz w:val="17"/>
                <w:szCs w:val="17"/>
                <w:color w:val="auto"/>
              </w:rPr>
            </w:pPr>
          </w:p>
        </w:tc>
        <w:tc>
          <w:tcPr>
            <w:tcW w:w="4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86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0</w:t>
            </w:r>
          </w:p>
        </w:tc>
        <w:tc>
          <w:tcPr>
            <w:tcW w:w="100" w:type="dxa"/>
            <w:vAlign w:val="bottom"/>
            <w:shd w:val="clear" w:color="auto" w:fill="E5E5E5"/>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20" w:type="dxa"/>
            <w:vAlign w:val="bottom"/>
          </w:tcPr>
          <w:p>
            <w:pPr>
              <w:spacing w:after="0" w:line="202" w:lineRule="exact"/>
              <w:rPr>
                <w:sz w:val="20"/>
                <w:szCs w:val="20"/>
                <w:color w:val="auto"/>
              </w:rPr>
            </w:pPr>
            <w:r>
              <w:rPr>
                <w:rFonts w:ascii="Arial" w:cs="Arial" w:eastAsia="Arial" w:hAnsi="Arial"/>
                <w:sz w:val="18"/>
                <w:szCs w:val="18"/>
                <w:color w:val="auto"/>
              </w:rPr>
              <w:t>Certificates of deposit</w:t>
            </w:r>
          </w:p>
        </w:tc>
        <w:tc>
          <w:tcPr>
            <w:tcW w:w="240" w:type="dxa"/>
            <w:vAlign w:val="bottom"/>
          </w:tcPr>
          <w:p>
            <w:pPr>
              <w:spacing w:after="0"/>
              <w:rPr>
                <w:sz w:val="17"/>
                <w:szCs w:val="17"/>
                <w:color w:val="auto"/>
              </w:rPr>
            </w:pPr>
          </w:p>
        </w:tc>
        <w:tc>
          <w:tcPr>
            <w:tcW w:w="1020" w:type="dxa"/>
            <w:vAlign w:val="bottom"/>
            <w:gridSpan w:val="2"/>
          </w:tcPr>
          <w:p>
            <w:pPr>
              <w:jc w:val="right"/>
              <w:ind w:right="180"/>
              <w:spacing w:after="0" w:line="202" w:lineRule="exact"/>
              <w:rPr>
                <w:sz w:val="20"/>
                <w:szCs w:val="20"/>
                <w:color w:val="auto"/>
              </w:rPr>
            </w:pPr>
            <w:r>
              <w:rPr>
                <w:rFonts w:ascii="Arial" w:cs="Arial" w:eastAsia="Arial" w:hAnsi="Arial"/>
                <w:sz w:val="18"/>
                <w:szCs w:val="18"/>
                <w:b w:val="1"/>
                <w:bCs w:val="1"/>
                <w:color w:val="auto"/>
              </w:rPr>
              <w:t>1,430</w:t>
            </w:r>
          </w:p>
        </w:tc>
        <w:tc>
          <w:tcPr>
            <w:tcW w:w="30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gridSpan w:val="2"/>
          </w:tcPr>
          <w:p>
            <w:pPr>
              <w:jc w:val="right"/>
              <w:ind w:right="120"/>
              <w:spacing w:after="0" w:line="202" w:lineRule="exact"/>
              <w:rPr>
                <w:sz w:val="20"/>
                <w:szCs w:val="20"/>
                <w:color w:val="auto"/>
              </w:rPr>
            </w:pPr>
            <w:r>
              <w:rPr>
                <w:rFonts w:ascii="Arial" w:cs="Arial" w:eastAsia="Arial" w:hAnsi="Arial"/>
                <w:sz w:val="18"/>
                <w:szCs w:val="18"/>
                <w:b w:val="1"/>
                <w:bCs w:val="1"/>
                <w:color w:val="auto"/>
              </w:rPr>
              <w:t>0</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gridSpan w:val="2"/>
          </w:tcPr>
          <w:p>
            <w:pPr>
              <w:jc w:val="right"/>
              <w:ind w:right="200"/>
              <w:spacing w:after="0" w:line="202" w:lineRule="exact"/>
              <w:rPr>
                <w:sz w:val="20"/>
                <w:szCs w:val="20"/>
                <w:color w:val="auto"/>
              </w:rPr>
            </w:pPr>
            <w:r>
              <w:rPr>
                <w:rFonts w:ascii="Arial" w:cs="Arial" w:eastAsia="Arial" w:hAnsi="Arial"/>
                <w:sz w:val="18"/>
                <w:szCs w:val="18"/>
                <w:b w:val="1"/>
                <w:bCs w:val="1"/>
                <w:color w:val="auto"/>
              </w:rPr>
              <w:t>1,430</w:t>
            </w:r>
          </w:p>
        </w:tc>
        <w:tc>
          <w:tcPr>
            <w:tcW w:w="120" w:type="dxa"/>
            <w:vAlign w:val="bottom"/>
          </w:tcPr>
          <w:p>
            <w:pPr>
              <w:spacing w:after="0"/>
              <w:rPr>
                <w:sz w:val="17"/>
                <w:szCs w:val="17"/>
                <w:color w:val="auto"/>
              </w:rPr>
            </w:pPr>
          </w:p>
        </w:tc>
        <w:tc>
          <w:tcPr>
            <w:tcW w:w="980" w:type="dxa"/>
            <w:vAlign w:val="bottom"/>
            <w:gridSpan w:val="3"/>
          </w:tcPr>
          <w:p>
            <w:pPr>
              <w:jc w:val="right"/>
              <w:ind w:right="200"/>
              <w:spacing w:after="0" w:line="202" w:lineRule="exact"/>
              <w:rPr>
                <w:sz w:val="20"/>
                <w:szCs w:val="20"/>
                <w:color w:val="auto"/>
              </w:rPr>
            </w:pPr>
            <w:r>
              <w:rPr>
                <w:rFonts w:ascii="Arial" w:cs="Arial" w:eastAsia="Arial" w:hAnsi="Arial"/>
                <w:sz w:val="18"/>
                <w:szCs w:val="18"/>
                <w:b w:val="1"/>
                <w:bCs w:val="1"/>
                <w:color w:val="auto"/>
              </w:rPr>
              <w:t>1,252</w:t>
            </w:r>
          </w:p>
        </w:tc>
        <w:tc>
          <w:tcPr>
            <w:tcW w:w="160" w:type="dxa"/>
            <w:vAlign w:val="bottom"/>
          </w:tcPr>
          <w:p>
            <w:pPr>
              <w:spacing w:after="0"/>
              <w:rPr>
                <w:sz w:val="17"/>
                <w:szCs w:val="17"/>
                <w:color w:val="auto"/>
              </w:rPr>
            </w:pPr>
          </w:p>
        </w:tc>
        <w:tc>
          <w:tcPr>
            <w:tcW w:w="860" w:type="dxa"/>
            <w:vAlign w:val="bottom"/>
            <w:gridSpan w:val="2"/>
          </w:tcPr>
          <w:p>
            <w:pPr>
              <w:jc w:val="right"/>
              <w:spacing w:after="0" w:line="202" w:lineRule="exact"/>
              <w:rPr>
                <w:sz w:val="20"/>
                <w:szCs w:val="20"/>
                <w:color w:val="auto"/>
              </w:rPr>
            </w:pPr>
            <w:r>
              <w:rPr>
                <w:rFonts w:ascii="Arial" w:cs="Arial" w:eastAsia="Arial" w:hAnsi="Arial"/>
                <w:sz w:val="18"/>
                <w:szCs w:val="18"/>
                <w:b w:val="1"/>
                <w:bCs w:val="1"/>
                <w:color w:val="auto"/>
              </w:rPr>
              <w:t>178</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0</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020" w:type="dxa"/>
            <w:vAlign w:val="bottom"/>
            <w:shd w:val="clear" w:color="auto" w:fill="E5E5E5"/>
          </w:tcPr>
          <w:p>
            <w:pPr>
              <w:spacing w:after="0" w:line="180" w:lineRule="exact"/>
              <w:rPr>
                <w:sz w:val="20"/>
                <w:szCs w:val="20"/>
                <w:color w:val="auto"/>
              </w:rPr>
            </w:pPr>
            <w:r>
              <w:rPr>
                <w:rFonts w:ascii="Arial" w:cs="Arial" w:eastAsia="Arial" w:hAnsi="Arial"/>
                <w:sz w:val="18"/>
                <w:szCs w:val="18"/>
                <w:color w:val="auto"/>
              </w:rPr>
              <w:t>U.S. government and</w:t>
            </w:r>
          </w:p>
        </w:tc>
        <w:tc>
          <w:tcPr>
            <w:tcW w:w="240" w:type="dxa"/>
            <w:vAlign w:val="bottom"/>
            <w:shd w:val="clear" w:color="auto" w:fill="E5E5E5"/>
          </w:tcPr>
          <w:p>
            <w:pPr>
              <w:spacing w:after="0"/>
              <w:rPr>
                <w:sz w:val="15"/>
                <w:szCs w:val="15"/>
                <w:color w:val="auto"/>
              </w:rPr>
            </w:pPr>
          </w:p>
        </w:tc>
        <w:tc>
          <w:tcPr>
            <w:tcW w:w="840" w:type="dxa"/>
            <w:vAlign w:val="bottom"/>
            <w:vMerge w:val="restart"/>
            <w:shd w:val="clear" w:color="auto" w:fill="E5E5E5"/>
          </w:tcPr>
          <w:p>
            <w:pPr>
              <w:jc w:val="right"/>
              <w:spacing w:after="0"/>
              <w:rPr>
                <w:sz w:val="20"/>
                <w:szCs w:val="20"/>
                <w:color w:val="auto"/>
              </w:rPr>
            </w:pPr>
            <w:r>
              <w:rPr>
                <w:rFonts w:ascii="Arial" w:cs="Arial" w:eastAsia="Arial" w:hAnsi="Arial"/>
                <w:sz w:val="18"/>
                <w:szCs w:val="18"/>
                <w:b w:val="1"/>
                <w:bCs w:val="1"/>
                <w:color w:val="auto"/>
              </w:rPr>
              <w:t>117,222</w:t>
            </w:r>
          </w:p>
        </w:tc>
        <w:tc>
          <w:tcPr>
            <w:tcW w:w="180" w:type="dxa"/>
            <w:vAlign w:val="bottom"/>
            <w:shd w:val="clear" w:color="auto" w:fill="E5E5E5"/>
          </w:tcPr>
          <w:p>
            <w:pPr>
              <w:spacing w:after="0"/>
              <w:rPr>
                <w:sz w:val="15"/>
                <w:szCs w:val="15"/>
                <w:color w:val="auto"/>
              </w:rPr>
            </w:pPr>
          </w:p>
        </w:tc>
        <w:tc>
          <w:tcPr>
            <w:tcW w:w="300" w:type="dxa"/>
            <w:vAlign w:val="bottom"/>
            <w:shd w:val="clear" w:color="auto" w:fill="E5E5E5"/>
          </w:tcPr>
          <w:p>
            <w:pPr>
              <w:spacing w:after="0"/>
              <w:rPr>
                <w:sz w:val="15"/>
                <w:szCs w:val="15"/>
                <w:color w:val="auto"/>
              </w:rPr>
            </w:pPr>
          </w:p>
        </w:tc>
        <w:tc>
          <w:tcPr>
            <w:tcW w:w="860" w:type="dxa"/>
            <w:vAlign w:val="bottom"/>
            <w:gridSpan w:val="2"/>
            <w:vMerge w:val="restart"/>
            <w:shd w:val="clear" w:color="auto" w:fill="E5E5E5"/>
          </w:tcPr>
          <w:p>
            <w:pPr>
              <w:jc w:val="right"/>
              <w:ind w:right="120"/>
              <w:spacing w:after="0"/>
              <w:rPr>
                <w:sz w:val="20"/>
                <w:szCs w:val="20"/>
                <w:color w:val="auto"/>
              </w:rPr>
            </w:pPr>
            <w:r>
              <w:rPr>
                <w:rFonts w:ascii="Arial" w:cs="Arial" w:eastAsia="Arial" w:hAnsi="Arial"/>
                <w:sz w:val="18"/>
                <w:szCs w:val="18"/>
                <w:b w:val="1"/>
                <w:bCs w:val="1"/>
                <w:color w:val="auto"/>
              </w:rPr>
              <w:t>66</w:t>
            </w:r>
          </w:p>
        </w:tc>
        <w:tc>
          <w:tcPr>
            <w:tcW w:w="100" w:type="dxa"/>
            <w:vAlign w:val="bottom"/>
            <w:shd w:val="clear" w:color="auto" w:fill="E5E5E5"/>
          </w:tcPr>
          <w:p>
            <w:pPr>
              <w:spacing w:after="0"/>
              <w:rPr>
                <w:sz w:val="15"/>
                <w:szCs w:val="15"/>
                <w:color w:val="auto"/>
              </w:rPr>
            </w:pPr>
          </w:p>
        </w:tc>
        <w:tc>
          <w:tcPr>
            <w:tcW w:w="280" w:type="dxa"/>
            <w:vAlign w:val="bottom"/>
            <w:shd w:val="clear" w:color="auto" w:fill="E5E5E5"/>
          </w:tcPr>
          <w:p>
            <w:pPr>
              <w:spacing w:after="0"/>
              <w:rPr>
                <w:sz w:val="15"/>
                <w:szCs w:val="15"/>
                <w:color w:val="auto"/>
              </w:rPr>
            </w:pPr>
          </w:p>
        </w:tc>
        <w:tc>
          <w:tcPr>
            <w:tcW w:w="860" w:type="dxa"/>
            <w:vAlign w:val="bottom"/>
            <w:gridSpan w:val="2"/>
            <w:vMerge w:val="restart"/>
            <w:shd w:val="clear" w:color="auto" w:fill="E5E5E5"/>
          </w:tcPr>
          <w:p>
            <w:pPr>
              <w:jc w:val="right"/>
              <w:ind w:right="60"/>
              <w:spacing w:after="0"/>
              <w:rPr>
                <w:sz w:val="20"/>
                <w:szCs w:val="20"/>
                <w:color w:val="auto"/>
              </w:rPr>
            </w:pPr>
            <w:r>
              <w:rPr>
                <w:rFonts w:ascii="Arial" w:cs="Arial" w:eastAsia="Arial" w:hAnsi="Arial"/>
                <w:sz w:val="18"/>
                <w:szCs w:val="18"/>
                <w:b w:val="1"/>
                <w:bCs w:val="1"/>
                <w:color w:val="auto"/>
              </w:rPr>
              <w:t>(344)</w:t>
            </w:r>
          </w:p>
        </w:tc>
        <w:tc>
          <w:tcPr>
            <w:tcW w:w="60" w:type="dxa"/>
            <w:vAlign w:val="bottom"/>
            <w:shd w:val="clear" w:color="auto" w:fill="E5E5E5"/>
          </w:tcPr>
          <w:p>
            <w:pPr>
              <w:spacing w:after="0"/>
              <w:rPr>
                <w:sz w:val="15"/>
                <w:szCs w:val="15"/>
                <w:color w:val="auto"/>
              </w:rPr>
            </w:pPr>
          </w:p>
        </w:tc>
        <w:tc>
          <w:tcPr>
            <w:tcW w:w="60" w:type="dxa"/>
            <w:vAlign w:val="bottom"/>
            <w:shd w:val="clear" w:color="auto" w:fill="E5E5E5"/>
          </w:tcPr>
          <w:p>
            <w:pPr>
              <w:spacing w:after="0"/>
              <w:rPr>
                <w:sz w:val="15"/>
                <w:szCs w:val="15"/>
                <w:color w:val="auto"/>
              </w:rPr>
            </w:pPr>
          </w:p>
        </w:tc>
        <w:tc>
          <w:tcPr>
            <w:tcW w:w="180" w:type="dxa"/>
            <w:vAlign w:val="bottom"/>
            <w:shd w:val="clear" w:color="auto" w:fill="E5E5E5"/>
          </w:tcPr>
          <w:p>
            <w:pPr>
              <w:spacing w:after="0"/>
              <w:rPr>
                <w:sz w:val="15"/>
                <w:szCs w:val="15"/>
                <w:color w:val="auto"/>
              </w:rPr>
            </w:pPr>
          </w:p>
        </w:tc>
        <w:tc>
          <w:tcPr>
            <w:tcW w:w="980" w:type="dxa"/>
            <w:vAlign w:val="bottom"/>
            <w:gridSpan w:val="2"/>
            <w:vMerge w:val="restart"/>
            <w:shd w:val="clear" w:color="auto" w:fill="E5E5E5"/>
          </w:tcPr>
          <w:p>
            <w:pPr>
              <w:jc w:val="right"/>
              <w:ind w:right="200"/>
              <w:spacing w:after="0"/>
              <w:rPr>
                <w:sz w:val="20"/>
                <w:szCs w:val="20"/>
                <w:color w:val="auto"/>
              </w:rPr>
            </w:pPr>
            <w:r>
              <w:rPr>
                <w:rFonts w:ascii="Arial" w:cs="Arial" w:eastAsia="Arial" w:hAnsi="Arial"/>
                <w:sz w:val="18"/>
                <w:szCs w:val="18"/>
                <w:b w:val="1"/>
                <w:bCs w:val="1"/>
                <w:color w:val="auto"/>
              </w:rPr>
              <w:t>116,944</w:t>
            </w:r>
          </w:p>
        </w:tc>
        <w:tc>
          <w:tcPr>
            <w:tcW w:w="120" w:type="dxa"/>
            <w:vAlign w:val="bottom"/>
            <w:shd w:val="clear" w:color="auto" w:fill="E5E5E5"/>
          </w:tcPr>
          <w:p>
            <w:pPr>
              <w:spacing w:after="0"/>
              <w:rPr>
                <w:sz w:val="15"/>
                <w:szCs w:val="15"/>
                <w:color w:val="auto"/>
              </w:rPr>
            </w:pPr>
          </w:p>
        </w:tc>
        <w:tc>
          <w:tcPr>
            <w:tcW w:w="980" w:type="dxa"/>
            <w:vAlign w:val="bottom"/>
            <w:gridSpan w:val="3"/>
            <w:vMerge w:val="restart"/>
            <w:shd w:val="clear" w:color="auto" w:fill="E5E5E5"/>
          </w:tcPr>
          <w:p>
            <w:pPr>
              <w:jc w:val="right"/>
              <w:ind w:right="200"/>
              <w:spacing w:after="0"/>
              <w:rPr>
                <w:sz w:val="20"/>
                <w:szCs w:val="20"/>
                <w:color w:val="auto"/>
              </w:rPr>
            </w:pPr>
            <w:r>
              <w:rPr>
                <w:rFonts w:ascii="Arial" w:cs="Arial" w:eastAsia="Arial" w:hAnsi="Arial"/>
                <w:sz w:val="18"/>
                <w:szCs w:val="18"/>
                <w:b w:val="1"/>
                <w:bCs w:val="1"/>
                <w:color w:val="auto"/>
              </w:rPr>
              <w:t>155</w:t>
            </w:r>
          </w:p>
        </w:tc>
        <w:tc>
          <w:tcPr>
            <w:tcW w:w="160" w:type="dxa"/>
            <w:vAlign w:val="bottom"/>
            <w:shd w:val="clear" w:color="auto" w:fill="E5E5E5"/>
          </w:tcPr>
          <w:p>
            <w:pPr>
              <w:spacing w:after="0"/>
              <w:rPr>
                <w:sz w:val="15"/>
                <w:szCs w:val="15"/>
                <w:color w:val="auto"/>
              </w:rPr>
            </w:pPr>
          </w:p>
        </w:tc>
        <w:tc>
          <w:tcPr>
            <w:tcW w:w="860" w:type="dxa"/>
            <w:vAlign w:val="bottom"/>
            <w:gridSpan w:val="2"/>
            <w:vMerge w:val="restart"/>
            <w:shd w:val="clear" w:color="auto" w:fill="E5E5E5"/>
          </w:tcPr>
          <w:p>
            <w:pPr>
              <w:jc w:val="right"/>
              <w:spacing w:after="0"/>
              <w:rPr>
                <w:sz w:val="20"/>
                <w:szCs w:val="20"/>
                <w:color w:val="auto"/>
              </w:rPr>
            </w:pPr>
            <w:r>
              <w:rPr>
                <w:rFonts w:ascii="Arial" w:cs="Arial" w:eastAsia="Arial" w:hAnsi="Arial"/>
                <w:sz w:val="18"/>
                <w:szCs w:val="18"/>
                <w:b w:val="1"/>
                <w:bCs w:val="1"/>
                <w:color w:val="auto"/>
              </w:rPr>
              <w:t>116,789</w:t>
            </w:r>
          </w:p>
        </w:tc>
        <w:tc>
          <w:tcPr>
            <w:tcW w:w="40" w:type="dxa"/>
            <w:vAlign w:val="bottom"/>
            <w:shd w:val="clear" w:color="auto" w:fill="E5E5E5"/>
          </w:tcPr>
          <w:p>
            <w:pPr>
              <w:spacing w:after="0"/>
              <w:rPr>
                <w:sz w:val="15"/>
                <w:szCs w:val="15"/>
                <w:color w:val="auto"/>
              </w:rPr>
            </w:pPr>
          </w:p>
        </w:tc>
        <w:tc>
          <w:tcPr>
            <w:tcW w:w="40" w:type="dxa"/>
            <w:vAlign w:val="bottom"/>
            <w:shd w:val="clear" w:color="auto" w:fill="E5E5E5"/>
          </w:tcPr>
          <w:p>
            <w:pPr>
              <w:spacing w:after="0"/>
              <w:rPr>
                <w:sz w:val="15"/>
                <w:szCs w:val="15"/>
                <w:color w:val="auto"/>
              </w:rPr>
            </w:pPr>
          </w:p>
        </w:tc>
        <w:tc>
          <w:tcPr>
            <w:tcW w:w="120" w:type="dxa"/>
            <w:vAlign w:val="bottom"/>
            <w:shd w:val="clear" w:color="auto" w:fill="E5E5E5"/>
          </w:tcPr>
          <w:p>
            <w:pPr>
              <w:spacing w:after="0"/>
              <w:rPr>
                <w:sz w:val="15"/>
                <w:szCs w:val="15"/>
                <w:color w:val="auto"/>
              </w:rPr>
            </w:pPr>
          </w:p>
        </w:tc>
        <w:tc>
          <w:tcPr>
            <w:tcW w:w="160" w:type="dxa"/>
            <w:vAlign w:val="bottom"/>
            <w:shd w:val="clear" w:color="auto" w:fill="E5E5E5"/>
          </w:tcPr>
          <w:p>
            <w:pPr>
              <w:spacing w:after="0"/>
              <w:rPr>
                <w:sz w:val="15"/>
                <w:szCs w:val="15"/>
                <w:color w:val="auto"/>
              </w:rPr>
            </w:pPr>
          </w:p>
        </w:tc>
        <w:tc>
          <w:tcPr>
            <w:tcW w:w="860" w:type="dxa"/>
            <w:vAlign w:val="bottom"/>
            <w:vMerge w:val="restart"/>
            <w:shd w:val="clear" w:color="auto" w:fill="E5E5E5"/>
          </w:tcPr>
          <w:p>
            <w:pPr>
              <w:jc w:val="right"/>
              <w:spacing w:after="0"/>
              <w:rPr>
                <w:sz w:val="20"/>
                <w:szCs w:val="20"/>
                <w:color w:val="auto"/>
              </w:rPr>
            </w:pPr>
            <w:r>
              <w:rPr>
                <w:rFonts w:ascii="Arial" w:cs="Arial" w:eastAsia="Arial" w:hAnsi="Arial"/>
                <w:sz w:val="18"/>
                <w:szCs w:val="18"/>
                <w:b w:val="1"/>
                <w:bCs w:val="1"/>
                <w:color w:val="auto"/>
              </w:rPr>
              <w:t>0</w:t>
            </w:r>
          </w:p>
        </w:tc>
        <w:tc>
          <w:tcPr>
            <w:tcW w:w="100" w:type="dxa"/>
            <w:vAlign w:val="bottom"/>
            <w:shd w:val="clear" w:color="auto" w:fill="E5E5E5"/>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3020" w:type="dxa"/>
            <w:vAlign w:val="bottom"/>
            <w:shd w:val="clear" w:color="auto" w:fill="E5E5E5"/>
          </w:tcPr>
          <w:p>
            <w:pPr>
              <w:ind w:left="200"/>
              <w:spacing w:after="0"/>
              <w:rPr>
                <w:sz w:val="20"/>
                <w:szCs w:val="20"/>
                <w:color w:val="auto"/>
              </w:rPr>
            </w:pPr>
            <w:r>
              <w:rPr>
                <w:rFonts w:ascii="Arial" w:cs="Arial" w:eastAsia="Arial" w:hAnsi="Arial"/>
                <w:sz w:val="18"/>
                <w:szCs w:val="18"/>
                <w:color w:val="auto"/>
              </w:rPr>
              <w:t>agency securities</w:t>
            </w:r>
          </w:p>
        </w:tc>
        <w:tc>
          <w:tcPr>
            <w:tcW w:w="240" w:type="dxa"/>
            <w:vAlign w:val="bottom"/>
            <w:shd w:val="clear" w:color="auto" w:fill="E5E5E5"/>
          </w:tcPr>
          <w:p>
            <w:pPr>
              <w:spacing w:after="0"/>
              <w:rPr>
                <w:sz w:val="19"/>
                <w:szCs w:val="19"/>
                <w:color w:val="auto"/>
              </w:rPr>
            </w:pPr>
          </w:p>
        </w:tc>
        <w:tc>
          <w:tcPr>
            <w:tcW w:w="840" w:type="dxa"/>
            <w:vAlign w:val="bottom"/>
            <w:vMerge w:val="continue"/>
            <w:shd w:val="clear" w:color="auto" w:fill="E5E5E5"/>
          </w:tcPr>
          <w:p>
            <w:pPr>
              <w:spacing w:after="0"/>
              <w:rPr>
                <w:sz w:val="19"/>
                <w:szCs w:val="19"/>
                <w:color w:val="auto"/>
              </w:rPr>
            </w:pPr>
          </w:p>
        </w:tc>
        <w:tc>
          <w:tcPr>
            <w:tcW w:w="180" w:type="dxa"/>
            <w:vAlign w:val="bottom"/>
            <w:shd w:val="clear" w:color="auto" w:fill="E5E5E5"/>
          </w:tcPr>
          <w:p>
            <w:pPr>
              <w:spacing w:after="0"/>
              <w:rPr>
                <w:sz w:val="19"/>
                <w:szCs w:val="19"/>
                <w:color w:val="auto"/>
              </w:rPr>
            </w:pPr>
          </w:p>
        </w:tc>
        <w:tc>
          <w:tcPr>
            <w:tcW w:w="300" w:type="dxa"/>
            <w:vAlign w:val="bottom"/>
            <w:shd w:val="clear" w:color="auto" w:fill="E5E5E5"/>
          </w:tcPr>
          <w:p>
            <w:pPr>
              <w:spacing w:after="0"/>
              <w:rPr>
                <w:sz w:val="19"/>
                <w:szCs w:val="19"/>
                <w:color w:val="auto"/>
              </w:rPr>
            </w:pPr>
          </w:p>
        </w:tc>
        <w:tc>
          <w:tcPr>
            <w:tcW w:w="860" w:type="dxa"/>
            <w:vAlign w:val="bottom"/>
            <w:gridSpan w:val="2"/>
            <w:vMerge w:val="continue"/>
            <w:shd w:val="clear" w:color="auto" w:fill="E5E5E5"/>
          </w:tcPr>
          <w:p>
            <w:pPr>
              <w:spacing w:after="0"/>
              <w:rPr>
                <w:sz w:val="19"/>
                <w:szCs w:val="19"/>
                <w:color w:val="auto"/>
              </w:rPr>
            </w:pPr>
          </w:p>
        </w:tc>
        <w:tc>
          <w:tcPr>
            <w:tcW w:w="100" w:type="dxa"/>
            <w:vAlign w:val="bottom"/>
            <w:shd w:val="clear" w:color="auto" w:fill="E5E5E5"/>
          </w:tcPr>
          <w:p>
            <w:pPr>
              <w:spacing w:after="0"/>
              <w:rPr>
                <w:sz w:val="19"/>
                <w:szCs w:val="19"/>
                <w:color w:val="auto"/>
              </w:rPr>
            </w:pPr>
          </w:p>
        </w:tc>
        <w:tc>
          <w:tcPr>
            <w:tcW w:w="280" w:type="dxa"/>
            <w:vAlign w:val="bottom"/>
            <w:shd w:val="clear" w:color="auto" w:fill="E5E5E5"/>
          </w:tcPr>
          <w:p>
            <w:pPr>
              <w:spacing w:after="0"/>
              <w:rPr>
                <w:sz w:val="19"/>
                <w:szCs w:val="19"/>
                <w:color w:val="auto"/>
              </w:rPr>
            </w:pPr>
          </w:p>
        </w:tc>
        <w:tc>
          <w:tcPr>
            <w:tcW w:w="860" w:type="dxa"/>
            <w:vAlign w:val="bottom"/>
            <w:gridSpan w:val="2"/>
            <w:vMerge w:val="continue"/>
            <w:shd w:val="clear" w:color="auto" w:fill="E5E5E5"/>
          </w:tcPr>
          <w:p>
            <w:pPr>
              <w:spacing w:after="0"/>
              <w:rPr>
                <w:sz w:val="19"/>
                <w:szCs w:val="19"/>
                <w:color w:val="auto"/>
              </w:rPr>
            </w:pPr>
          </w:p>
        </w:tc>
        <w:tc>
          <w:tcPr>
            <w:tcW w:w="60" w:type="dxa"/>
            <w:vAlign w:val="bottom"/>
            <w:shd w:val="clear" w:color="auto" w:fill="E5E5E5"/>
          </w:tcPr>
          <w:p>
            <w:pPr>
              <w:spacing w:after="0"/>
              <w:rPr>
                <w:sz w:val="19"/>
                <w:szCs w:val="19"/>
                <w:color w:val="auto"/>
              </w:rPr>
            </w:pPr>
          </w:p>
        </w:tc>
        <w:tc>
          <w:tcPr>
            <w:tcW w:w="60" w:type="dxa"/>
            <w:vAlign w:val="bottom"/>
            <w:shd w:val="clear" w:color="auto" w:fill="E5E5E5"/>
          </w:tcPr>
          <w:p>
            <w:pPr>
              <w:spacing w:after="0"/>
              <w:rPr>
                <w:sz w:val="19"/>
                <w:szCs w:val="19"/>
                <w:color w:val="auto"/>
              </w:rPr>
            </w:pPr>
          </w:p>
        </w:tc>
        <w:tc>
          <w:tcPr>
            <w:tcW w:w="180" w:type="dxa"/>
            <w:vAlign w:val="bottom"/>
            <w:shd w:val="clear" w:color="auto" w:fill="E5E5E5"/>
          </w:tcPr>
          <w:p>
            <w:pPr>
              <w:spacing w:after="0"/>
              <w:rPr>
                <w:sz w:val="19"/>
                <w:szCs w:val="19"/>
                <w:color w:val="auto"/>
              </w:rPr>
            </w:pPr>
          </w:p>
        </w:tc>
        <w:tc>
          <w:tcPr>
            <w:tcW w:w="980" w:type="dxa"/>
            <w:vAlign w:val="bottom"/>
            <w:gridSpan w:val="2"/>
            <w:vMerge w:val="continue"/>
            <w:shd w:val="clear" w:color="auto" w:fill="E5E5E5"/>
          </w:tcPr>
          <w:p>
            <w:pPr>
              <w:spacing w:after="0"/>
              <w:rPr>
                <w:sz w:val="19"/>
                <w:szCs w:val="19"/>
                <w:color w:val="auto"/>
              </w:rPr>
            </w:pPr>
          </w:p>
        </w:tc>
        <w:tc>
          <w:tcPr>
            <w:tcW w:w="120" w:type="dxa"/>
            <w:vAlign w:val="bottom"/>
            <w:shd w:val="clear" w:color="auto" w:fill="E5E5E5"/>
          </w:tcPr>
          <w:p>
            <w:pPr>
              <w:spacing w:after="0"/>
              <w:rPr>
                <w:sz w:val="19"/>
                <w:szCs w:val="19"/>
                <w:color w:val="auto"/>
              </w:rPr>
            </w:pPr>
          </w:p>
        </w:tc>
        <w:tc>
          <w:tcPr>
            <w:tcW w:w="980" w:type="dxa"/>
            <w:vAlign w:val="bottom"/>
            <w:gridSpan w:val="3"/>
            <w:vMerge w:val="continue"/>
            <w:shd w:val="clear" w:color="auto" w:fill="E5E5E5"/>
          </w:tcPr>
          <w:p>
            <w:pPr>
              <w:spacing w:after="0"/>
              <w:rPr>
                <w:sz w:val="19"/>
                <w:szCs w:val="19"/>
                <w:color w:val="auto"/>
              </w:rPr>
            </w:pPr>
          </w:p>
        </w:tc>
        <w:tc>
          <w:tcPr>
            <w:tcW w:w="160" w:type="dxa"/>
            <w:vAlign w:val="bottom"/>
            <w:shd w:val="clear" w:color="auto" w:fill="E5E5E5"/>
          </w:tcPr>
          <w:p>
            <w:pPr>
              <w:spacing w:after="0"/>
              <w:rPr>
                <w:sz w:val="19"/>
                <w:szCs w:val="19"/>
                <w:color w:val="auto"/>
              </w:rPr>
            </w:pPr>
          </w:p>
        </w:tc>
        <w:tc>
          <w:tcPr>
            <w:tcW w:w="860" w:type="dxa"/>
            <w:vAlign w:val="bottom"/>
            <w:gridSpan w:val="2"/>
            <w:vMerge w:val="continue"/>
            <w:shd w:val="clear" w:color="auto" w:fill="E5E5E5"/>
          </w:tcPr>
          <w:p>
            <w:pPr>
              <w:spacing w:after="0"/>
              <w:rPr>
                <w:sz w:val="19"/>
                <w:szCs w:val="19"/>
                <w:color w:val="auto"/>
              </w:rPr>
            </w:pPr>
          </w:p>
        </w:tc>
        <w:tc>
          <w:tcPr>
            <w:tcW w:w="40" w:type="dxa"/>
            <w:vAlign w:val="bottom"/>
            <w:shd w:val="clear" w:color="auto" w:fill="E5E5E5"/>
          </w:tcPr>
          <w:p>
            <w:pPr>
              <w:spacing w:after="0"/>
              <w:rPr>
                <w:sz w:val="19"/>
                <w:szCs w:val="19"/>
                <w:color w:val="auto"/>
              </w:rPr>
            </w:pPr>
          </w:p>
        </w:tc>
        <w:tc>
          <w:tcPr>
            <w:tcW w:w="40" w:type="dxa"/>
            <w:vAlign w:val="bottom"/>
            <w:shd w:val="clear" w:color="auto" w:fill="E5E5E5"/>
          </w:tcPr>
          <w:p>
            <w:pPr>
              <w:spacing w:after="0"/>
              <w:rPr>
                <w:sz w:val="19"/>
                <w:szCs w:val="19"/>
                <w:color w:val="auto"/>
              </w:rPr>
            </w:pPr>
          </w:p>
        </w:tc>
        <w:tc>
          <w:tcPr>
            <w:tcW w:w="120" w:type="dxa"/>
            <w:vAlign w:val="bottom"/>
            <w:shd w:val="clear" w:color="auto" w:fill="E5E5E5"/>
          </w:tcPr>
          <w:p>
            <w:pPr>
              <w:spacing w:after="0"/>
              <w:rPr>
                <w:sz w:val="19"/>
                <w:szCs w:val="19"/>
                <w:color w:val="auto"/>
              </w:rPr>
            </w:pPr>
          </w:p>
        </w:tc>
        <w:tc>
          <w:tcPr>
            <w:tcW w:w="160" w:type="dxa"/>
            <w:vAlign w:val="bottom"/>
            <w:shd w:val="clear" w:color="auto" w:fill="E5E5E5"/>
          </w:tcPr>
          <w:p>
            <w:pPr>
              <w:spacing w:after="0"/>
              <w:rPr>
                <w:sz w:val="19"/>
                <w:szCs w:val="19"/>
                <w:color w:val="auto"/>
              </w:rPr>
            </w:pPr>
          </w:p>
        </w:tc>
        <w:tc>
          <w:tcPr>
            <w:tcW w:w="860" w:type="dxa"/>
            <w:vAlign w:val="bottom"/>
            <w:vMerge w:val="continue"/>
            <w:shd w:val="clear" w:color="auto" w:fill="E5E5E5"/>
          </w:tcPr>
          <w:p>
            <w:pPr>
              <w:spacing w:after="0"/>
              <w:rPr>
                <w:sz w:val="19"/>
                <w:szCs w:val="19"/>
                <w:color w:val="auto"/>
              </w:rPr>
            </w:pPr>
          </w:p>
        </w:tc>
        <w:tc>
          <w:tcPr>
            <w:tcW w:w="100" w:type="dxa"/>
            <w:vAlign w:val="bottom"/>
            <w:shd w:val="clear" w:color="auto" w:fill="E5E5E5"/>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20" w:type="dxa"/>
            <w:vAlign w:val="bottom"/>
          </w:tcPr>
          <w:p>
            <w:pPr>
              <w:spacing w:after="0" w:line="202" w:lineRule="exact"/>
              <w:rPr>
                <w:sz w:val="20"/>
                <w:szCs w:val="20"/>
                <w:color w:val="auto"/>
              </w:rPr>
            </w:pPr>
            <w:r>
              <w:rPr>
                <w:rFonts w:ascii="Arial" w:cs="Arial" w:eastAsia="Arial" w:hAnsi="Arial"/>
                <w:sz w:val="18"/>
                <w:szCs w:val="18"/>
                <w:color w:val="auto"/>
              </w:rPr>
              <w:t>Foreign government bonds</w:t>
            </w:r>
          </w:p>
        </w:tc>
        <w:tc>
          <w:tcPr>
            <w:tcW w:w="240" w:type="dxa"/>
            <w:vAlign w:val="bottom"/>
          </w:tcPr>
          <w:p>
            <w:pPr>
              <w:spacing w:after="0"/>
              <w:rPr>
                <w:sz w:val="17"/>
                <w:szCs w:val="17"/>
                <w:color w:val="auto"/>
              </w:rPr>
            </w:pPr>
          </w:p>
        </w:tc>
        <w:tc>
          <w:tcPr>
            <w:tcW w:w="1020" w:type="dxa"/>
            <w:vAlign w:val="bottom"/>
            <w:gridSpan w:val="2"/>
          </w:tcPr>
          <w:p>
            <w:pPr>
              <w:jc w:val="right"/>
              <w:ind w:right="180"/>
              <w:spacing w:after="0" w:line="202" w:lineRule="exact"/>
              <w:rPr>
                <w:sz w:val="20"/>
                <w:szCs w:val="20"/>
                <w:color w:val="auto"/>
              </w:rPr>
            </w:pPr>
            <w:r>
              <w:rPr>
                <w:rFonts w:ascii="Arial" w:cs="Arial" w:eastAsia="Arial" w:hAnsi="Arial"/>
                <w:sz w:val="18"/>
                <w:szCs w:val="18"/>
                <w:b w:val="1"/>
                <w:bCs w:val="1"/>
                <w:color w:val="auto"/>
              </w:rPr>
              <w:t>5,150</w:t>
            </w:r>
          </w:p>
        </w:tc>
        <w:tc>
          <w:tcPr>
            <w:tcW w:w="30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2</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gridSpan w:val="2"/>
          </w:tcPr>
          <w:p>
            <w:pPr>
              <w:jc w:val="right"/>
              <w:ind w:right="60"/>
              <w:spacing w:after="0" w:line="202" w:lineRule="exact"/>
              <w:rPr>
                <w:sz w:val="20"/>
                <w:szCs w:val="20"/>
                <w:color w:val="auto"/>
              </w:rPr>
            </w:pPr>
            <w:r>
              <w:rPr>
                <w:rFonts w:ascii="Arial" w:cs="Arial" w:eastAsia="Arial" w:hAnsi="Arial"/>
                <w:sz w:val="18"/>
                <w:szCs w:val="18"/>
                <w:b w:val="1"/>
                <w:bCs w:val="1"/>
                <w:color w:val="auto"/>
              </w:rPr>
              <w:t>(12)</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gridSpan w:val="2"/>
          </w:tcPr>
          <w:p>
            <w:pPr>
              <w:jc w:val="right"/>
              <w:ind w:right="200"/>
              <w:spacing w:after="0" w:line="202" w:lineRule="exact"/>
              <w:rPr>
                <w:sz w:val="20"/>
                <w:szCs w:val="20"/>
                <w:color w:val="auto"/>
              </w:rPr>
            </w:pPr>
            <w:r>
              <w:rPr>
                <w:rFonts w:ascii="Arial" w:cs="Arial" w:eastAsia="Arial" w:hAnsi="Arial"/>
                <w:sz w:val="18"/>
                <w:szCs w:val="18"/>
                <w:b w:val="1"/>
                <w:bCs w:val="1"/>
                <w:color w:val="auto"/>
              </w:rPr>
              <w:t>5,140</w:t>
            </w:r>
          </w:p>
        </w:tc>
        <w:tc>
          <w:tcPr>
            <w:tcW w:w="120" w:type="dxa"/>
            <w:vAlign w:val="bottom"/>
          </w:tcPr>
          <w:p>
            <w:pPr>
              <w:spacing w:after="0"/>
              <w:rPr>
                <w:sz w:val="17"/>
                <w:szCs w:val="17"/>
                <w:color w:val="auto"/>
              </w:rPr>
            </w:pPr>
          </w:p>
        </w:tc>
        <w:tc>
          <w:tcPr>
            <w:tcW w:w="980" w:type="dxa"/>
            <w:vAlign w:val="bottom"/>
            <w:gridSpan w:val="3"/>
          </w:tcPr>
          <w:p>
            <w:pPr>
              <w:jc w:val="right"/>
              <w:ind w:right="200"/>
              <w:spacing w:after="0" w:line="202" w:lineRule="exact"/>
              <w:rPr>
                <w:sz w:val="20"/>
                <w:szCs w:val="20"/>
                <w:color w:val="auto"/>
              </w:rPr>
            </w:pPr>
            <w:r>
              <w:rPr>
                <w:rFonts w:ascii="Arial" w:cs="Arial" w:eastAsia="Arial" w:hAnsi="Arial"/>
                <w:sz w:val="18"/>
                <w:szCs w:val="18"/>
                <w:b w:val="1"/>
                <w:bCs w:val="1"/>
                <w:color w:val="auto"/>
              </w:rPr>
              <w:t>1</w:t>
            </w:r>
          </w:p>
        </w:tc>
        <w:tc>
          <w:tcPr>
            <w:tcW w:w="160" w:type="dxa"/>
            <w:vAlign w:val="bottom"/>
          </w:tcPr>
          <w:p>
            <w:pPr>
              <w:spacing w:after="0"/>
              <w:rPr>
                <w:sz w:val="17"/>
                <w:szCs w:val="17"/>
                <w:color w:val="auto"/>
              </w:rPr>
            </w:pPr>
          </w:p>
        </w:tc>
        <w:tc>
          <w:tcPr>
            <w:tcW w:w="900" w:type="dxa"/>
            <w:vAlign w:val="bottom"/>
            <w:gridSpan w:val="3"/>
          </w:tcPr>
          <w:p>
            <w:pPr>
              <w:jc w:val="right"/>
              <w:ind w:right="40"/>
              <w:spacing w:after="0" w:line="202" w:lineRule="exact"/>
              <w:rPr>
                <w:sz w:val="20"/>
                <w:szCs w:val="20"/>
                <w:color w:val="auto"/>
              </w:rPr>
            </w:pPr>
            <w:r>
              <w:rPr>
                <w:rFonts w:ascii="Arial" w:cs="Arial" w:eastAsia="Arial" w:hAnsi="Arial"/>
                <w:sz w:val="18"/>
                <w:szCs w:val="18"/>
                <w:b w:val="1"/>
                <w:bCs w:val="1"/>
                <w:color w:val="auto"/>
              </w:rPr>
              <w:t>5,139</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0</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020" w:type="dxa"/>
            <w:vAlign w:val="bottom"/>
            <w:shd w:val="clear" w:color="auto" w:fill="E5E5E5"/>
          </w:tcPr>
          <w:p>
            <w:pPr>
              <w:spacing w:after="0" w:line="180" w:lineRule="exact"/>
              <w:rPr>
                <w:sz w:val="20"/>
                <w:szCs w:val="20"/>
                <w:color w:val="auto"/>
              </w:rPr>
            </w:pPr>
            <w:r>
              <w:rPr>
                <w:rFonts w:ascii="Arial" w:cs="Arial" w:eastAsia="Arial" w:hAnsi="Arial"/>
                <w:sz w:val="18"/>
                <w:szCs w:val="18"/>
                <w:color w:val="auto"/>
              </w:rPr>
              <w:t>Mortgage- and asset-backed</w:t>
            </w:r>
          </w:p>
        </w:tc>
        <w:tc>
          <w:tcPr>
            <w:tcW w:w="240" w:type="dxa"/>
            <w:vAlign w:val="bottom"/>
            <w:shd w:val="clear" w:color="auto" w:fill="E5E5E5"/>
          </w:tcPr>
          <w:p>
            <w:pPr>
              <w:spacing w:after="0"/>
              <w:rPr>
                <w:sz w:val="15"/>
                <w:szCs w:val="15"/>
                <w:color w:val="auto"/>
              </w:rPr>
            </w:pPr>
          </w:p>
        </w:tc>
        <w:tc>
          <w:tcPr>
            <w:tcW w:w="1020" w:type="dxa"/>
            <w:vAlign w:val="bottom"/>
            <w:gridSpan w:val="2"/>
            <w:vMerge w:val="restart"/>
            <w:shd w:val="clear" w:color="auto" w:fill="E5E5E5"/>
          </w:tcPr>
          <w:p>
            <w:pPr>
              <w:jc w:val="right"/>
              <w:ind w:right="180"/>
              <w:spacing w:after="0"/>
              <w:rPr>
                <w:sz w:val="20"/>
                <w:szCs w:val="20"/>
                <w:color w:val="auto"/>
              </w:rPr>
            </w:pPr>
            <w:r>
              <w:rPr>
                <w:rFonts w:ascii="Arial" w:cs="Arial" w:eastAsia="Arial" w:hAnsi="Arial"/>
                <w:sz w:val="18"/>
                <w:szCs w:val="18"/>
                <w:b w:val="1"/>
                <w:bCs w:val="1"/>
                <w:color w:val="auto"/>
              </w:rPr>
              <w:t>3,771</w:t>
            </w:r>
          </w:p>
        </w:tc>
        <w:tc>
          <w:tcPr>
            <w:tcW w:w="300" w:type="dxa"/>
            <w:vAlign w:val="bottom"/>
            <w:shd w:val="clear" w:color="auto" w:fill="E5E5E5"/>
          </w:tcPr>
          <w:p>
            <w:pPr>
              <w:spacing w:after="0"/>
              <w:rPr>
                <w:sz w:val="15"/>
                <w:szCs w:val="15"/>
                <w:color w:val="auto"/>
              </w:rPr>
            </w:pPr>
          </w:p>
        </w:tc>
        <w:tc>
          <w:tcPr>
            <w:tcW w:w="860" w:type="dxa"/>
            <w:vAlign w:val="bottom"/>
            <w:gridSpan w:val="2"/>
            <w:vMerge w:val="restart"/>
            <w:shd w:val="clear" w:color="auto" w:fill="E5E5E5"/>
          </w:tcPr>
          <w:p>
            <w:pPr>
              <w:jc w:val="right"/>
              <w:ind w:right="120"/>
              <w:spacing w:after="0"/>
              <w:rPr>
                <w:sz w:val="20"/>
                <w:szCs w:val="20"/>
                <w:color w:val="auto"/>
              </w:rPr>
            </w:pPr>
            <w:r>
              <w:rPr>
                <w:rFonts w:ascii="Arial" w:cs="Arial" w:eastAsia="Arial" w:hAnsi="Arial"/>
                <w:sz w:val="18"/>
                <w:szCs w:val="18"/>
                <w:b w:val="1"/>
                <w:bCs w:val="1"/>
                <w:color w:val="auto"/>
              </w:rPr>
              <w:t>10</w:t>
            </w:r>
          </w:p>
        </w:tc>
        <w:tc>
          <w:tcPr>
            <w:tcW w:w="100" w:type="dxa"/>
            <w:vAlign w:val="bottom"/>
            <w:shd w:val="clear" w:color="auto" w:fill="E5E5E5"/>
          </w:tcPr>
          <w:p>
            <w:pPr>
              <w:spacing w:after="0"/>
              <w:rPr>
                <w:sz w:val="15"/>
                <w:szCs w:val="15"/>
                <w:color w:val="auto"/>
              </w:rPr>
            </w:pPr>
          </w:p>
        </w:tc>
        <w:tc>
          <w:tcPr>
            <w:tcW w:w="280" w:type="dxa"/>
            <w:vAlign w:val="bottom"/>
            <w:shd w:val="clear" w:color="auto" w:fill="E5E5E5"/>
          </w:tcPr>
          <w:p>
            <w:pPr>
              <w:spacing w:after="0"/>
              <w:rPr>
                <w:sz w:val="15"/>
                <w:szCs w:val="15"/>
                <w:color w:val="auto"/>
              </w:rPr>
            </w:pPr>
          </w:p>
        </w:tc>
        <w:tc>
          <w:tcPr>
            <w:tcW w:w="860" w:type="dxa"/>
            <w:vAlign w:val="bottom"/>
            <w:gridSpan w:val="2"/>
            <w:vMerge w:val="restart"/>
            <w:shd w:val="clear" w:color="auto" w:fill="E5E5E5"/>
          </w:tcPr>
          <w:p>
            <w:pPr>
              <w:jc w:val="right"/>
              <w:ind w:right="60"/>
              <w:spacing w:after="0"/>
              <w:rPr>
                <w:sz w:val="20"/>
                <w:szCs w:val="20"/>
                <w:color w:val="auto"/>
              </w:rPr>
            </w:pPr>
            <w:r>
              <w:rPr>
                <w:rFonts w:ascii="Arial" w:cs="Arial" w:eastAsia="Arial" w:hAnsi="Arial"/>
                <w:sz w:val="18"/>
                <w:szCs w:val="18"/>
                <w:b w:val="1"/>
                <w:bCs w:val="1"/>
                <w:color w:val="auto"/>
              </w:rPr>
              <w:t>(4)</w:t>
            </w:r>
          </w:p>
        </w:tc>
        <w:tc>
          <w:tcPr>
            <w:tcW w:w="60" w:type="dxa"/>
            <w:vAlign w:val="bottom"/>
            <w:shd w:val="clear" w:color="auto" w:fill="E5E5E5"/>
          </w:tcPr>
          <w:p>
            <w:pPr>
              <w:spacing w:after="0"/>
              <w:rPr>
                <w:sz w:val="15"/>
                <w:szCs w:val="15"/>
                <w:color w:val="auto"/>
              </w:rPr>
            </w:pPr>
          </w:p>
        </w:tc>
        <w:tc>
          <w:tcPr>
            <w:tcW w:w="60" w:type="dxa"/>
            <w:vAlign w:val="bottom"/>
            <w:shd w:val="clear" w:color="auto" w:fill="E5E5E5"/>
          </w:tcPr>
          <w:p>
            <w:pPr>
              <w:spacing w:after="0"/>
              <w:rPr>
                <w:sz w:val="15"/>
                <w:szCs w:val="15"/>
                <w:color w:val="auto"/>
              </w:rPr>
            </w:pPr>
          </w:p>
        </w:tc>
        <w:tc>
          <w:tcPr>
            <w:tcW w:w="180" w:type="dxa"/>
            <w:vAlign w:val="bottom"/>
            <w:shd w:val="clear" w:color="auto" w:fill="E5E5E5"/>
          </w:tcPr>
          <w:p>
            <w:pPr>
              <w:spacing w:after="0"/>
              <w:rPr>
                <w:sz w:val="15"/>
                <w:szCs w:val="15"/>
                <w:color w:val="auto"/>
              </w:rPr>
            </w:pPr>
          </w:p>
        </w:tc>
        <w:tc>
          <w:tcPr>
            <w:tcW w:w="980" w:type="dxa"/>
            <w:vAlign w:val="bottom"/>
            <w:gridSpan w:val="2"/>
            <w:vMerge w:val="restart"/>
            <w:shd w:val="clear" w:color="auto" w:fill="E5E5E5"/>
          </w:tcPr>
          <w:p>
            <w:pPr>
              <w:jc w:val="right"/>
              <w:ind w:right="200"/>
              <w:spacing w:after="0"/>
              <w:rPr>
                <w:sz w:val="20"/>
                <w:szCs w:val="20"/>
                <w:color w:val="auto"/>
              </w:rPr>
            </w:pPr>
            <w:r>
              <w:rPr>
                <w:rFonts w:ascii="Arial" w:cs="Arial" w:eastAsia="Arial" w:hAnsi="Arial"/>
                <w:sz w:val="18"/>
                <w:szCs w:val="18"/>
                <w:b w:val="1"/>
                <w:bCs w:val="1"/>
                <w:color w:val="auto"/>
              </w:rPr>
              <w:t>3,777</w:t>
            </w:r>
          </w:p>
        </w:tc>
        <w:tc>
          <w:tcPr>
            <w:tcW w:w="120" w:type="dxa"/>
            <w:vAlign w:val="bottom"/>
            <w:shd w:val="clear" w:color="auto" w:fill="E5E5E5"/>
          </w:tcPr>
          <w:p>
            <w:pPr>
              <w:spacing w:after="0"/>
              <w:rPr>
                <w:sz w:val="15"/>
                <w:szCs w:val="15"/>
                <w:color w:val="auto"/>
              </w:rPr>
            </w:pPr>
          </w:p>
        </w:tc>
        <w:tc>
          <w:tcPr>
            <w:tcW w:w="780" w:type="dxa"/>
            <w:vAlign w:val="bottom"/>
            <w:gridSpan w:val="2"/>
            <w:vMerge w:val="restart"/>
            <w:shd w:val="clear" w:color="auto" w:fill="E5E5E5"/>
          </w:tcPr>
          <w:p>
            <w:pPr>
              <w:jc w:val="right"/>
              <w:spacing w:after="0"/>
              <w:rPr>
                <w:sz w:val="20"/>
                <w:szCs w:val="20"/>
                <w:color w:val="auto"/>
              </w:rPr>
            </w:pPr>
            <w:r>
              <w:rPr>
                <w:rFonts w:ascii="Arial" w:cs="Arial" w:eastAsia="Arial" w:hAnsi="Arial"/>
                <w:sz w:val="18"/>
                <w:szCs w:val="18"/>
                <w:b w:val="1"/>
                <w:bCs w:val="1"/>
                <w:color w:val="auto"/>
              </w:rPr>
              <w:t>0</w:t>
            </w:r>
          </w:p>
        </w:tc>
        <w:tc>
          <w:tcPr>
            <w:tcW w:w="200" w:type="dxa"/>
            <w:vAlign w:val="bottom"/>
            <w:shd w:val="clear" w:color="auto" w:fill="E5E5E5"/>
          </w:tcPr>
          <w:p>
            <w:pPr>
              <w:spacing w:after="0"/>
              <w:rPr>
                <w:sz w:val="15"/>
                <w:szCs w:val="15"/>
                <w:color w:val="auto"/>
              </w:rPr>
            </w:pPr>
          </w:p>
        </w:tc>
        <w:tc>
          <w:tcPr>
            <w:tcW w:w="160" w:type="dxa"/>
            <w:vAlign w:val="bottom"/>
            <w:shd w:val="clear" w:color="auto" w:fill="E5E5E5"/>
          </w:tcPr>
          <w:p>
            <w:pPr>
              <w:spacing w:after="0"/>
              <w:rPr>
                <w:sz w:val="15"/>
                <w:szCs w:val="15"/>
                <w:color w:val="auto"/>
              </w:rPr>
            </w:pPr>
          </w:p>
        </w:tc>
        <w:tc>
          <w:tcPr>
            <w:tcW w:w="900" w:type="dxa"/>
            <w:vAlign w:val="bottom"/>
            <w:gridSpan w:val="3"/>
            <w:vMerge w:val="restart"/>
            <w:shd w:val="clear" w:color="auto" w:fill="E5E5E5"/>
          </w:tcPr>
          <w:p>
            <w:pPr>
              <w:jc w:val="right"/>
              <w:ind w:right="40"/>
              <w:spacing w:after="0"/>
              <w:rPr>
                <w:sz w:val="20"/>
                <w:szCs w:val="20"/>
                <w:color w:val="auto"/>
              </w:rPr>
            </w:pPr>
            <w:r>
              <w:rPr>
                <w:rFonts w:ascii="Arial" w:cs="Arial" w:eastAsia="Arial" w:hAnsi="Arial"/>
                <w:sz w:val="18"/>
                <w:szCs w:val="18"/>
                <w:b w:val="1"/>
                <w:bCs w:val="1"/>
                <w:color w:val="auto"/>
              </w:rPr>
              <w:t>3,777</w:t>
            </w:r>
          </w:p>
        </w:tc>
        <w:tc>
          <w:tcPr>
            <w:tcW w:w="40" w:type="dxa"/>
            <w:vAlign w:val="bottom"/>
            <w:shd w:val="clear" w:color="auto" w:fill="E5E5E5"/>
          </w:tcPr>
          <w:p>
            <w:pPr>
              <w:spacing w:after="0"/>
              <w:rPr>
                <w:sz w:val="15"/>
                <w:szCs w:val="15"/>
                <w:color w:val="auto"/>
              </w:rPr>
            </w:pPr>
          </w:p>
        </w:tc>
        <w:tc>
          <w:tcPr>
            <w:tcW w:w="120" w:type="dxa"/>
            <w:vAlign w:val="bottom"/>
            <w:shd w:val="clear" w:color="auto" w:fill="E5E5E5"/>
          </w:tcPr>
          <w:p>
            <w:pPr>
              <w:spacing w:after="0"/>
              <w:rPr>
                <w:sz w:val="15"/>
                <w:szCs w:val="15"/>
                <w:color w:val="auto"/>
              </w:rPr>
            </w:pPr>
          </w:p>
        </w:tc>
        <w:tc>
          <w:tcPr>
            <w:tcW w:w="160" w:type="dxa"/>
            <w:vAlign w:val="bottom"/>
            <w:shd w:val="clear" w:color="auto" w:fill="E5E5E5"/>
          </w:tcPr>
          <w:p>
            <w:pPr>
              <w:spacing w:after="0"/>
              <w:rPr>
                <w:sz w:val="15"/>
                <w:szCs w:val="15"/>
                <w:color w:val="auto"/>
              </w:rPr>
            </w:pPr>
          </w:p>
        </w:tc>
        <w:tc>
          <w:tcPr>
            <w:tcW w:w="860" w:type="dxa"/>
            <w:vAlign w:val="bottom"/>
            <w:vMerge w:val="restart"/>
            <w:shd w:val="clear" w:color="auto" w:fill="E5E5E5"/>
          </w:tcPr>
          <w:p>
            <w:pPr>
              <w:jc w:val="right"/>
              <w:spacing w:after="0"/>
              <w:rPr>
                <w:sz w:val="20"/>
                <w:szCs w:val="20"/>
                <w:color w:val="auto"/>
              </w:rPr>
            </w:pPr>
            <w:r>
              <w:rPr>
                <w:rFonts w:ascii="Arial" w:cs="Arial" w:eastAsia="Arial" w:hAnsi="Arial"/>
                <w:sz w:val="18"/>
                <w:szCs w:val="18"/>
                <w:b w:val="1"/>
                <w:bCs w:val="1"/>
                <w:color w:val="auto"/>
              </w:rPr>
              <w:t>0</w:t>
            </w:r>
          </w:p>
        </w:tc>
        <w:tc>
          <w:tcPr>
            <w:tcW w:w="100" w:type="dxa"/>
            <w:vAlign w:val="bottom"/>
            <w:shd w:val="clear" w:color="auto" w:fill="E5E5E5"/>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3020" w:type="dxa"/>
            <w:vAlign w:val="bottom"/>
            <w:shd w:val="clear" w:color="auto" w:fill="E5E5E5"/>
          </w:tcPr>
          <w:p>
            <w:pPr>
              <w:ind w:left="200"/>
              <w:spacing w:after="0"/>
              <w:rPr>
                <w:sz w:val="20"/>
                <w:szCs w:val="20"/>
                <w:color w:val="auto"/>
              </w:rPr>
            </w:pPr>
            <w:r>
              <w:rPr>
                <w:rFonts w:ascii="Arial" w:cs="Arial" w:eastAsia="Arial" w:hAnsi="Arial"/>
                <w:sz w:val="18"/>
                <w:szCs w:val="18"/>
                <w:color w:val="auto"/>
              </w:rPr>
              <w:t>securities</w:t>
            </w:r>
          </w:p>
        </w:tc>
        <w:tc>
          <w:tcPr>
            <w:tcW w:w="240" w:type="dxa"/>
            <w:vAlign w:val="bottom"/>
            <w:shd w:val="clear" w:color="auto" w:fill="E5E5E5"/>
          </w:tcPr>
          <w:p>
            <w:pPr>
              <w:spacing w:after="0"/>
              <w:rPr>
                <w:sz w:val="19"/>
                <w:szCs w:val="19"/>
                <w:color w:val="auto"/>
              </w:rPr>
            </w:pPr>
          </w:p>
        </w:tc>
        <w:tc>
          <w:tcPr>
            <w:tcW w:w="1020" w:type="dxa"/>
            <w:vAlign w:val="bottom"/>
            <w:gridSpan w:val="2"/>
            <w:vMerge w:val="continue"/>
            <w:shd w:val="clear" w:color="auto" w:fill="E5E5E5"/>
          </w:tcPr>
          <w:p>
            <w:pPr>
              <w:spacing w:after="0"/>
              <w:rPr>
                <w:sz w:val="19"/>
                <w:szCs w:val="19"/>
                <w:color w:val="auto"/>
              </w:rPr>
            </w:pPr>
          </w:p>
        </w:tc>
        <w:tc>
          <w:tcPr>
            <w:tcW w:w="300" w:type="dxa"/>
            <w:vAlign w:val="bottom"/>
            <w:shd w:val="clear" w:color="auto" w:fill="E5E5E5"/>
          </w:tcPr>
          <w:p>
            <w:pPr>
              <w:spacing w:after="0"/>
              <w:rPr>
                <w:sz w:val="19"/>
                <w:szCs w:val="19"/>
                <w:color w:val="auto"/>
              </w:rPr>
            </w:pPr>
          </w:p>
        </w:tc>
        <w:tc>
          <w:tcPr>
            <w:tcW w:w="860" w:type="dxa"/>
            <w:vAlign w:val="bottom"/>
            <w:gridSpan w:val="2"/>
            <w:vMerge w:val="continue"/>
            <w:shd w:val="clear" w:color="auto" w:fill="E5E5E5"/>
          </w:tcPr>
          <w:p>
            <w:pPr>
              <w:spacing w:after="0"/>
              <w:rPr>
                <w:sz w:val="19"/>
                <w:szCs w:val="19"/>
                <w:color w:val="auto"/>
              </w:rPr>
            </w:pPr>
          </w:p>
        </w:tc>
        <w:tc>
          <w:tcPr>
            <w:tcW w:w="100" w:type="dxa"/>
            <w:vAlign w:val="bottom"/>
            <w:shd w:val="clear" w:color="auto" w:fill="E5E5E5"/>
          </w:tcPr>
          <w:p>
            <w:pPr>
              <w:spacing w:after="0"/>
              <w:rPr>
                <w:sz w:val="19"/>
                <w:szCs w:val="19"/>
                <w:color w:val="auto"/>
              </w:rPr>
            </w:pPr>
          </w:p>
        </w:tc>
        <w:tc>
          <w:tcPr>
            <w:tcW w:w="280" w:type="dxa"/>
            <w:vAlign w:val="bottom"/>
            <w:shd w:val="clear" w:color="auto" w:fill="E5E5E5"/>
          </w:tcPr>
          <w:p>
            <w:pPr>
              <w:spacing w:after="0"/>
              <w:rPr>
                <w:sz w:val="19"/>
                <w:szCs w:val="19"/>
                <w:color w:val="auto"/>
              </w:rPr>
            </w:pPr>
          </w:p>
        </w:tc>
        <w:tc>
          <w:tcPr>
            <w:tcW w:w="860" w:type="dxa"/>
            <w:vAlign w:val="bottom"/>
            <w:gridSpan w:val="2"/>
            <w:vMerge w:val="continue"/>
            <w:shd w:val="clear" w:color="auto" w:fill="E5E5E5"/>
          </w:tcPr>
          <w:p>
            <w:pPr>
              <w:spacing w:after="0"/>
              <w:rPr>
                <w:sz w:val="19"/>
                <w:szCs w:val="19"/>
                <w:color w:val="auto"/>
              </w:rPr>
            </w:pPr>
          </w:p>
        </w:tc>
        <w:tc>
          <w:tcPr>
            <w:tcW w:w="60" w:type="dxa"/>
            <w:vAlign w:val="bottom"/>
            <w:shd w:val="clear" w:color="auto" w:fill="E5E5E5"/>
          </w:tcPr>
          <w:p>
            <w:pPr>
              <w:spacing w:after="0"/>
              <w:rPr>
                <w:sz w:val="19"/>
                <w:szCs w:val="19"/>
                <w:color w:val="auto"/>
              </w:rPr>
            </w:pPr>
          </w:p>
        </w:tc>
        <w:tc>
          <w:tcPr>
            <w:tcW w:w="60" w:type="dxa"/>
            <w:vAlign w:val="bottom"/>
            <w:shd w:val="clear" w:color="auto" w:fill="E5E5E5"/>
          </w:tcPr>
          <w:p>
            <w:pPr>
              <w:spacing w:after="0"/>
              <w:rPr>
                <w:sz w:val="19"/>
                <w:szCs w:val="19"/>
                <w:color w:val="auto"/>
              </w:rPr>
            </w:pPr>
          </w:p>
        </w:tc>
        <w:tc>
          <w:tcPr>
            <w:tcW w:w="180" w:type="dxa"/>
            <w:vAlign w:val="bottom"/>
            <w:shd w:val="clear" w:color="auto" w:fill="E5E5E5"/>
          </w:tcPr>
          <w:p>
            <w:pPr>
              <w:spacing w:after="0"/>
              <w:rPr>
                <w:sz w:val="19"/>
                <w:szCs w:val="19"/>
                <w:color w:val="auto"/>
              </w:rPr>
            </w:pPr>
          </w:p>
        </w:tc>
        <w:tc>
          <w:tcPr>
            <w:tcW w:w="980" w:type="dxa"/>
            <w:vAlign w:val="bottom"/>
            <w:gridSpan w:val="2"/>
            <w:vMerge w:val="continue"/>
            <w:shd w:val="clear" w:color="auto" w:fill="E5E5E5"/>
          </w:tcPr>
          <w:p>
            <w:pPr>
              <w:spacing w:after="0"/>
              <w:rPr>
                <w:sz w:val="19"/>
                <w:szCs w:val="19"/>
                <w:color w:val="auto"/>
              </w:rPr>
            </w:pPr>
          </w:p>
        </w:tc>
        <w:tc>
          <w:tcPr>
            <w:tcW w:w="120" w:type="dxa"/>
            <w:vAlign w:val="bottom"/>
            <w:shd w:val="clear" w:color="auto" w:fill="E5E5E5"/>
          </w:tcPr>
          <w:p>
            <w:pPr>
              <w:spacing w:after="0"/>
              <w:rPr>
                <w:sz w:val="19"/>
                <w:szCs w:val="19"/>
                <w:color w:val="auto"/>
              </w:rPr>
            </w:pPr>
          </w:p>
        </w:tc>
        <w:tc>
          <w:tcPr>
            <w:tcW w:w="780" w:type="dxa"/>
            <w:vAlign w:val="bottom"/>
            <w:gridSpan w:val="2"/>
            <w:vMerge w:val="continue"/>
            <w:shd w:val="clear" w:color="auto" w:fill="E5E5E5"/>
          </w:tcPr>
          <w:p>
            <w:pPr>
              <w:spacing w:after="0"/>
              <w:rPr>
                <w:sz w:val="19"/>
                <w:szCs w:val="19"/>
                <w:color w:val="auto"/>
              </w:rPr>
            </w:pPr>
          </w:p>
        </w:tc>
        <w:tc>
          <w:tcPr>
            <w:tcW w:w="200" w:type="dxa"/>
            <w:vAlign w:val="bottom"/>
            <w:shd w:val="clear" w:color="auto" w:fill="E5E5E5"/>
          </w:tcPr>
          <w:p>
            <w:pPr>
              <w:spacing w:after="0"/>
              <w:rPr>
                <w:sz w:val="19"/>
                <w:szCs w:val="19"/>
                <w:color w:val="auto"/>
              </w:rPr>
            </w:pPr>
          </w:p>
        </w:tc>
        <w:tc>
          <w:tcPr>
            <w:tcW w:w="160" w:type="dxa"/>
            <w:vAlign w:val="bottom"/>
            <w:shd w:val="clear" w:color="auto" w:fill="E5E5E5"/>
          </w:tcPr>
          <w:p>
            <w:pPr>
              <w:spacing w:after="0"/>
              <w:rPr>
                <w:sz w:val="19"/>
                <w:szCs w:val="19"/>
                <w:color w:val="auto"/>
              </w:rPr>
            </w:pPr>
          </w:p>
        </w:tc>
        <w:tc>
          <w:tcPr>
            <w:tcW w:w="900" w:type="dxa"/>
            <w:vAlign w:val="bottom"/>
            <w:gridSpan w:val="3"/>
            <w:vMerge w:val="continue"/>
            <w:shd w:val="clear" w:color="auto" w:fill="E5E5E5"/>
          </w:tcPr>
          <w:p>
            <w:pPr>
              <w:spacing w:after="0"/>
              <w:rPr>
                <w:sz w:val="19"/>
                <w:szCs w:val="19"/>
                <w:color w:val="auto"/>
              </w:rPr>
            </w:pPr>
          </w:p>
        </w:tc>
        <w:tc>
          <w:tcPr>
            <w:tcW w:w="40" w:type="dxa"/>
            <w:vAlign w:val="bottom"/>
            <w:shd w:val="clear" w:color="auto" w:fill="E5E5E5"/>
          </w:tcPr>
          <w:p>
            <w:pPr>
              <w:spacing w:after="0"/>
              <w:rPr>
                <w:sz w:val="19"/>
                <w:szCs w:val="19"/>
                <w:color w:val="auto"/>
              </w:rPr>
            </w:pPr>
          </w:p>
        </w:tc>
        <w:tc>
          <w:tcPr>
            <w:tcW w:w="120" w:type="dxa"/>
            <w:vAlign w:val="bottom"/>
            <w:shd w:val="clear" w:color="auto" w:fill="E5E5E5"/>
          </w:tcPr>
          <w:p>
            <w:pPr>
              <w:spacing w:after="0"/>
              <w:rPr>
                <w:sz w:val="19"/>
                <w:szCs w:val="19"/>
                <w:color w:val="auto"/>
              </w:rPr>
            </w:pPr>
          </w:p>
        </w:tc>
        <w:tc>
          <w:tcPr>
            <w:tcW w:w="160" w:type="dxa"/>
            <w:vAlign w:val="bottom"/>
            <w:shd w:val="clear" w:color="auto" w:fill="E5E5E5"/>
          </w:tcPr>
          <w:p>
            <w:pPr>
              <w:spacing w:after="0"/>
              <w:rPr>
                <w:sz w:val="19"/>
                <w:szCs w:val="19"/>
                <w:color w:val="auto"/>
              </w:rPr>
            </w:pPr>
          </w:p>
        </w:tc>
        <w:tc>
          <w:tcPr>
            <w:tcW w:w="860" w:type="dxa"/>
            <w:vAlign w:val="bottom"/>
            <w:vMerge w:val="continue"/>
            <w:shd w:val="clear" w:color="auto" w:fill="E5E5E5"/>
          </w:tcPr>
          <w:p>
            <w:pPr>
              <w:spacing w:after="0"/>
              <w:rPr>
                <w:sz w:val="19"/>
                <w:szCs w:val="19"/>
                <w:color w:val="auto"/>
              </w:rPr>
            </w:pPr>
          </w:p>
        </w:tc>
        <w:tc>
          <w:tcPr>
            <w:tcW w:w="100" w:type="dxa"/>
            <w:vAlign w:val="bottom"/>
            <w:shd w:val="clear" w:color="auto" w:fill="E5E5E5"/>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20" w:type="dxa"/>
            <w:vAlign w:val="bottom"/>
          </w:tcPr>
          <w:p>
            <w:pPr>
              <w:spacing w:after="0" w:line="202" w:lineRule="exact"/>
              <w:rPr>
                <w:sz w:val="20"/>
                <w:szCs w:val="20"/>
                <w:color w:val="auto"/>
              </w:rPr>
            </w:pPr>
            <w:r>
              <w:rPr>
                <w:rFonts w:ascii="Arial" w:cs="Arial" w:eastAsia="Arial" w:hAnsi="Arial"/>
                <w:sz w:val="18"/>
                <w:szCs w:val="18"/>
                <w:color w:val="auto"/>
              </w:rPr>
              <w:t>Corporate notes and bonds</w:t>
            </w:r>
          </w:p>
        </w:tc>
        <w:tc>
          <w:tcPr>
            <w:tcW w:w="240" w:type="dxa"/>
            <w:vAlign w:val="bottom"/>
          </w:tcPr>
          <w:p>
            <w:pPr>
              <w:spacing w:after="0"/>
              <w:rPr>
                <w:sz w:val="17"/>
                <w:szCs w:val="17"/>
                <w:color w:val="auto"/>
              </w:rPr>
            </w:pPr>
          </w:p>
        </w:tc>
        <w:tc>
          <w:tcPr>
            <w:tcW w:w="1020" w:type="dxa"/>
            <w:vAlign w:val="bottom"/>
            <w:gridSpan w:val="2"/>
          </w:tcPr>
          <w:p>
            <w:pPr>
              <w:jc w:val="right"/>
              <w:ind w:right="180"/>
              <w:spacing w:after="0" w:line="202" w:lineRule="exact"/>
              <w:rPr>
                <w:sz w:val="20"/>
                <w:szCs w:val="20"/>
                <w:color w:val="auto"/>
              </w:rPr>
            </w:pPr>
            <w:r>
              <w:rPr>
                <w:rFonts w:ascii="Arial" w:cs="Arial" w:eastAsia="Arial" w:hAnsi="Arial"/>
                <w:sz w:val="18"/>
                <w:szCs w:val="18"/>
                <w:b w:val="1"/>
                <w:bCs w:val="1"/>
                <w:color w:val="auto"/>
              </w:rPr>
              <w:t>4,872</w:t>
            </w:r>
          </w:p>
        </w:tc>
        <w:tc>
          <w:tcPr>
            <w:tcW w:w="300" w:type="dxa"/>
            <w:vAlign w:val="bottom"/>
          </w:tcPr>
          <w:p>
            <w:pPr>
              <w:spacing w:after="0"/>
              <w:rPr>
                <w:sz w:val="17"/>
                <w:szCs w:val="17"/>
                <w:color w:val="auto"/>
              </w:rPr>
            </w:pPr>
          </w:p>
        </w:tc>
        <w:tc>
          <w:tcPr>
            <w:tcW w:w="860" w:type="dxa"/>
            <w:vAlign w:val="bottom"/>
            <w:gridSpan w:val="2"/>
          </w:tcPr>
          <w:p>
            <w:pPr>
              <w:jc w:val="right"/>
              <w:ind w:right="120"/>
              <w:spacing w:after="0" w:line="202" w:lineRule="exact"/>
              <w:rPr>
                <w:sz w:val="20"/>
                <w:szCs w:val="20"/>
                <w:color w:val="auto"/>
              </w:rPr>
            </w:pPr>
            <w:r>
              <w:rPr>
                <w:rFonts w:ascii="Arial" w:cs="Arial" w:eastAsia="Arial" w:hAnsi="Arial"/>
                <w:sz w:val="18"/>
                <w:szCs w:val="18"/>
                <w:b w:val="1"/>
                <w:bCs w:val="1"/>
                <w:color w:val="auto"/>
              </w:rPr>
              <w:t>62</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gridSpan w:val="2"/>
          </w:tcPr>
          <w:p>
            <w:pPr>
              <w:jc w:val="right"/>
              <w:ind w:right="60"/>
              <w:spacing w:after="0" w:line="202" w:lineRule="exact"/>
              <w:rPr>
                <w:sz w:val="20"/>
                <w:szCs w:val="20"/>
                <w:color w:val="auto"/>
              </w:rPr>
            </w:pPr>
            <w:r>
              <w:rPr>
                <w:rFonts w:ascii="Arial" w:cs="Arial" w:eastAsia="Arial" w:hAnsi="Arial"/>
                <w:sz w:val="18"/>
                <w:szCs w:val="18"/>
                <w:b w:val="1"/>
                <w:bCs w:val="1"/>
                <w:color w:val="auto"/>
              </w:rPr>
              <w:t>(9)</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gridSpan w:val="2"/>
          </w:tcPr>
          <w:p>
            <w:pPr>
              <w:jc w:val="right"/>
              <w:ind w:right="200"/>
              <w:spacing w:after="0" w:line="202" w:lineRule="exact"/>
              <w:rPr>
                <w:sz w:val="20"/>
                <w:szCs w:val="20"/>
                <w:color w:val="auto"/>
              </w:rPr>
            </w:pPr>
            <w:r>
              <w:rPr>
                <w:rFonts w:ascii="Arial" w:cs="Arial" w:eastAsia="Arial" w:hAnsi="Arial"/>
                <w:sz w:val="18"/>
                <w:szCs w:val="18"/>
                <w:b w:val="1"/>
                <w:bCs w:val="1"/>
                <w:color w:val="auto"/>
              </w:rPr>
              <w:t>4,925</w:t>
            </w:r>
          </w:p>
        </w:tc>
        <w:tc>
          <w:tcPr>
            <w:tcW w:w="120" w:type="dxa"/>
            <w:vAlign w:val="bottom"/>
          </w:tcPr>
          <w:p>
            <w:pPr>
              <w:spacing w:after="0"/>
              <w:rPr>
                <w:sz w:val="17"/>
                <w:szCs w:val="17"/>
                <w:color w:val="auto"/>
              </w:rPr>
            </w:pPr>
          </w:p>
        </w:tc>
        <w:tc>
          <w:tcPr>
            <w:tcW w:w="780" w:type="dxa"/>
            <w:vAlign w:val="bottom"/>
            <w:gridSpan w:val="2"/>
          </w:tcPr>
          <w:p>
            <w:pPr>
              <w:jc w:val="right"/>
              <w:spacing w:after="0" w:line="202" w:lineRule="exact"/>
              <w:rPr>
                <w:sz w:val="20"/>
                <w:szCs w:val="20"/>
                <w:color w:val="auto"/>
              </w:rPr>
            </w:pPr>
            <w:r>
              <w:rPr>
                <w:rFonts w:ascii="Arial" w:cs="Arial" w:eastAsia="Arial" w:hAnsi="Arial"/>
                <w:sz w:val="18"/>
                <w:szCs w:val="18"/>
                <w:b w:val="1"/>
                <w:bCs w:val="1"/>
                <w:color w:val="auto"/>
              </w:rPr>
              <w:t>0</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gridSpan w:val="3"/>
          </w:tcPr>
          <w:p>
            <w:pPr>
              <w:jc w:val="right"/>
              <w:ind w:right="40"/>
              <w:spacing w:after="0" w:line="202" w:lineRule="exact"/>
              <w:rPr>
                <w:sz w:val="20"/>
                <w:szCs w:val="20"/>
                <w:color w:val="auto"/>
              </w:rPr>
            </w:pPr>
            <w:r>
              <w:rPr>
                <w:rFonts w:ascii="Arial" w:cs="Arial" w:eastAsia="Arial" w:hAnsi="Arial"/>
                <w:sz w:val="18"/>
                <w:szCs w:val="18"/>
                <w:b w:val="1"/>
                <w:bCs w:val="1"/>
                <w:color w:val="auto"/>
              </w:rPr>
              <w:t>4,925</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0</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2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Municipal securities</w:t>
            </w:r>
          </w:p>
        </w:tc>
        <w:tc>
          <w:tcPr>
            <w:tcW w:w="240" w:type="dxa"/>
            <w:vAlign w:val="bottom"/>
            <w:shd w:val="clear" w:color="auto" w:fill="E5E5E5"/>
          </w:tcPr>
          <w:p>
            <w:pPr>
              <w:spacing w:after="0"/>
              <w:rPr>
                <w:sz w:val="17"/>
                <w:szCs w:val="17"/>
                <w:color w:val="auto"/>
              </w:rPr>
            </w:pPr>
          </w:p>
        </w:tc>
        <w:tc>
          <w:tcPr>
            <w:tcW w:w="84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284</w:t>
            </w:r>
          </w:p>
        </w:tc>
        <w:tc>
          <w:tcPr>
            <w:tcW w:w="180" w:type="dxa"/>
            <w:vAlign w:val="bottom"/>
            <w:shd w:val="clear" w:color="auto" w:fill="E5E5E5"/>
          </w:tcPr>
          <w:p>
            <w:pPr>
              <w:spacing w:after="0"/>
              <w:rPr>
                <w:sz w:val="17"/>
                <w:szCs w:val="17"/>
                <w:color w:val="auto"/>
              </w:rPr>
            </w:pPr>
          </w:p>
        </w:tc>
        <w:tc>
          <w:tcPr>
            <w:tcW w:w="300" w:type="dxa"/>
            <w:vAlign w:val="bottom"/>
            <w:shd w:val="clear" w:color="auto" w:fill="E5E5E5"/>
          </w:tcPr>
          <w:p>
            <w:pPr>
              <w:spacing w:after="0"/>
              <w:rPr>
                <w:sz w:val="17"/>
                <w:szCs w:val="17"/>
                <w:color w:val="auto"/>
              </w:rPr>
            </w:pPr>
          </w:p>
        </w:tc>
        <w:tc>
          <w:tcPr>
            <w:tcW w:w="860" w:type="dxa"/>
            <w:vAlign w:val="bottom"/>
            <w:gridSpan w:val="2"/>
            <w:shd w:val="clear" w:color="auto" w:fill="E5E5E5"/>
          </w:tcPr>
          <w:p>
            <w:pPr>
              <w:jc w:val="right"/>
              <w:ind w:right="120"/>
              <w:spacing w:after="0" w:line="202" w:lineRule="exact"/>
              <w:rPr>
                <w:sz w:val="20"/>
                <w:szCs w:val="20"/>
                <w:color w:val="auto"/>
              </w:rPr>
            </w:pPr>
            <w:r>
              <w:rPr>
                <w:rFonts w:ascii="Arial" w:cs="Arial" w:eastAsia="Arial" w:hAnsi="Arial"/>
                <w:sz w:val="18"/>
                <w:szCs w:val="18"/>
                <w:b w:val="1"/>
                <w:bCs w:val="1"/>
                <w:color w:val="auto"/>
              </w:rPr>
              <w:t>46</w:t>
            </w:r>
          </w:p>
        </w:tc>
        <w:tc>
          <w:tcPr>
            <w:tcW w:w="100" w:type="dxa"/>
            <w:vAlign w:val="bottom"/>
            <w:shd w:val="clear" w:color="auto" w:fill="E5E5E5"/>
          </w:tcPr>
          <w:p>
            <w:pPr>
              <w:spacing w:after="0"/>
              <w:rPr>
                <w:sz w:val="17"/>
                <w:szCs w:val="17"/>
                <w:color w:val="auto"/>
              </w:rPr>
            </w:pPr>
          </w:p>
        </w:tc>
        <w:tc>
          <w:tcPr>
            <w:tcW w:w="280" w:type="dxa"/>
            <w:vAlign w:val="bottom"/>
            <w:shd w:val="clear" w:color="auto" w:fill="E5E5E5"/>
          </w:tcPr>
          <w:p>
            <w:pPr>
              <w:spacing w:after="0"/>
              <w:rPr>
                <w:sz w:val="17"/>
                <w:szCs w:val="17"/>
                <w:color w:val="auto"/>
              </w:rPr>
            </w:pPr>
          </w:p>
        </w:tc>
        <w:tc>
          <w:tcPr>
            <w:tcW w:w="860" w:type="dxa"/>
            <w:vAlign w:val="bottom"/>
            <w:gridSpan w:val="2"/>
            <w:shd w:val="clear" w:color="auto" w:fill="E5E5E5"/>
          </w:tcPr>
          <w:p>
            <w:pPr>
              <w:jc w:val="right"/>
              <w:ind w:right="120"/>
              <w:spacing w:after="0" w:line="202" w:lineRule="exact"/>
              <w:rPr>
                <w:sz w:val="20"/>
                <w:szCs w:val="20"/>
                <w:color w:val="auto"/>
              </w:rPr>
            </w:pPr>
            <w:r>
              <w:rPr>
                <w:rFonts w:ascii="Arial" w:cs="Arial" w:eastAsia="Arial" w:hAnsi="Arial"/>
                <w:sz w:val="18"/>
                <w:szCs w:val="18"/>
                <w:b w:val="1"/>
                <w:bCs w:val="1"/>
                <w:color w:val="auto"/>
              </w:rPr>
              <w:t>0</w:t>
            </w:r>
          </w:p>
        </w:tc>
        <w:tc>
          <w:tcPr>
            <w:tcW w:w="60" w:type="dxa"/>
            <w:vAlign w:val="bottom"/>
            <w:shd w:val="clear" w:color="auto" w:fill="E5E5E5"/>
          </w:tcPr>
          <w:p>
            <w:pPr>
              <w:spacing w:after="0"/>
              <w:rPr>
                <w:sz w:val="17"/>
                <w:szCs w:val="17"/>
                <w:color w:val="auto"/>
              </w:rPr>
            </w:pPr>
          </w:p>
        </w:tc>
        <w:tc>
          <w:tcPr>
            <w:tcW w:w="60" w:type="dxa"/>
            <w:vAlign w:val="bottom"/>
            <w:shd w:val="clear" w:color="auto" w:fill="E5E5E5"/>
          </w:tcPr>
          <w:p>
            <w:pPr>
              <w:spacing w:after="0"/>
              <w:rPr>
                <w:sz w:val="17"/>
                <w:szCs w:val="17"/>
                <w:color w:val="auto"/>
              </w:rPr>
            </w:pPr>
          </w:p>
        </w:tc>
        <w:tc>
          <w:tcPr>
            <w:tcW w:w="180" w:type="dxa"/>
            <w:vAlign w:val="bottom"/>
            <w:shd w:val="clear" w:color="auto" w:fill="E5E5E5"/>
          </w:tcPr>
          <w:p>
            <w:pPr>
              <w:spacing w:after="0"/>
              <w:rPr>
                <w:sz w:val="17"/>
                <w:szCs w:val="17"/>
                <w:color w:val="auto"/>
              </w:rPr>
            </w:pPr>
          </w:p>
        </w:tc>
        <w:tc>
          <w:tcPr>
            <w:tcW w:w="980" w:type="dxa"/>
            <w:vAlign w:val="bottom"/>
            <w:gridSpan w:val="2"/>
            <w:shd w:val="clear" w:color="auto" w:fill="E5E5E5"/>
          </w:tcPr>
          <w:p>
            <w:pPr>
              <w:jc w:val="right"/>
              <w:ind w:right="200"/>
              <w:spacing w:after="0" w:line="202" w:lineRule="exact"/>
              <w:rPr>
                <w:sz w:val="20"/>
                <w:szCs w:val="20"/>
                <w:color w:val="auto"/>
              </w:rPr>
            </w:pPr>
            <w:r>
              <w:rPr>
                <w:rFonts w:ascii="Arial" w:cs="Arial" w:eastAsia="Arial" w:hAnsi="Arial"/>
                <w:sz w:val="18"/>
                <w:szCs w:val="18"/>
                <w:b w:val="1"/>
                <w:bCs w:val="1"/>
                <w:color w:val="auto"/>
              </w:rPr>
              <w:t>330</w:t>
            </w:r>
          </w:p>
        </w:tc>
        <w:tc>
          <w:tcPr>
            <w:tcW w:w="120" w:type="dxa"/>
            <w:vAlign w:val="bottom"/>
            <w:shd w:val="clear" w:color="auto" w:fill="E5E5E5"/>
          </w:tcPr>
          <w:p>
            <w:pPr>
              <w:spacing w:after="0"/>
              <w:rPr>
                <w:sz w:val="17"/>
                <w:szCs w:val="17"/>
                <w:color w:val="auto"/>
              </w:rPr>
            </w:pPr>
          </w:p>
        </w:tc>
        <w:tc>
          <w:tcPr>
            <w:tcW w:w="780" w:type="dxa"/>
            <w:vAlign w:val="bottom"/>
            <w:gridSpan w:val="2"/>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0</w:t>
            </w:r>
          </w:p>
        </w:tc>
        <w:tc>
          <w:tcPr>
            <w:tcW w:w="20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860" w:type="dxa"/>
            <w:vAlign w:val="bottom"/>
            <w:gridSpan w:val="2"/>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330</w:t>
            </w:r>
          </w:p>
        </w:tc>
        <w:tc>
          <w:tcPr>
            <w:tcW w:w="40" w:type="dxa"/>
            <w:vAlign w:val="bottom"/>
            <w:shd w:val="clear" w:color="auto" w:fill="E5E5E5"/>
          </w:tcPr>
          <w:p>
            <w:pPr>
              <w:spacing w:after="0"/>
              <w:rPr>
                <w:sz w:val="17"/>
                <w:szCs w:val="17"/>
                <w:color w:val="auto"/>
              </w:rPr>
            </w:pPr>
          </w:p>
        </w:tc>
        <w:tc>
          <w:tcPr>
            <w:tcW w:w="4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86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0</w:t>
            </w:r>
          </w:p>
        </w:tc>
        <w:tc>
          <w:tcPr>
            <w:tcW w:w="100" w:type="dxa"/>
            <w:vAlign w:val="bottom"/>
            <w:shd w:val="clear" w:color="auto" w:fill="E5E5E5"/>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20" w:type="dxa"/>
            <w:vAlign w:val="bottom"/>
          </w:tcPr>
          <w:p>
            <w:pPr>
              <w:spacing w:after="0" w:line="202" w:lineRule="exact"/>
              <w:rPr>
                <w:sz w:val="20"/>
                <w:szCs w:val="20"/>
                <w:color w:val="auto"/>
              </w:rPr>
            </w:pPr>
            <w:r>
              <w:rPr>
                <w:rFonts w:ascii="Arial" w:cs="Arial" w:eastAsia="Arial" w:hAnsi="Arial"/>
                <w:sz w:val="18"/>
                <w:szCs w:val="18"/>
                <w:color w:val="auto"/>
              </w:rPr>
              <w:t>Common and preferred stock</w:t>
            </w:r>
          </w:p>
        </w:tc>
        <w:tc>
          <w:tcPr>
            <w:tcW w:w="240" w:type="dxa"/>
            <w:vAlign w:val="bottom"/>
          </w:tcPr>
          <w:p>
            <w:pPr>
              <w:spacing w:after="0"/>
              <w:rPr>
                <w:sz w:val="17"/>
                <w:szCs w:val="17"/>
                <w:color w:val="auto"/>
              </w:rPr>
            </w:pPr>
          </w:p>
        </w:tc>
        <w:tc>
          <w:tcPr>
            <w:tcW w:w="1020" w:type="dxa"/>
            <w:vAlign w:val="bottom"/>
            <w:gridSpan w:val="2"/>
          </w:tcPr>
          <w:p>
            <w:pPr>
              <w:jc w:val="right"/>
              <w:ind w:right="180"/>
              <w:spacing w:after="0" w:line="202" w:lineRule="exact"/>
              <w:rPr>
                <w:sz w:val="20"/>
                <w:szCs w:val="20"/>
                <w:color w:val="auto"/>
              </w:rPr>
            </w:pPr>
            <w:r>
              <w:rPr>
                <w:rFonts w:ascii="Arial" w:cs="Arial" w:eastAsia="Arial" w:hAnsi="Arial"/>
                <w:sz w:val="18"/>
                <w:szCs w:val="18"/>
                <w:b w:val="1"/>
                <w:bCs w:val="1"/>
                <w:color w:val="auto"/>
              </w:rPr>
              <w:t>2,220</w:t>
            </w:r>
          </w:p>
        </w:tc>
        <w:tc>
          <w:tcPr>
            <w:tcW w:w="300" w:type="dxa"/>
            <w:vAlign w:val="bottom"/>
          </w:tcPr>
          <w:p>
            <w:pPr>
              <w:spacing w:after="0"/>
              <w:rPr>
                <w:sz w:val="17"/>
                <w:szCs w:val="17"/>
                <w:color w:val="auto"/>
              </w:rPr>
            </w:pPr>
          </w:p>
        </w:tc>
        <w:tc>
          <w:tcPr>
            <w:tcW w:w="860" w:type="dxa"/>
            <w:vAlign w:val="bottom"/>
            <w:gridSpan w:val="2"/>
          </w:tcPr>
          <w:p>
            <w:pPr>
              <w:jc w:val="right"/>
              <w:ind w:right="120"/>
              <w:spacing w:after="0" w:line="202" w:lineRule="exact"/>
              <w:rPr>
                <w:sz w:val="20"/>
                <w:szCs w:val="20"/>
                <w:color w:val="auto"/>
              </w:rPr>
            </w:pPr>
            <w:r>
              <w:rPr>
                <w:rFonts w:ascii="Arial" w:cs="Arial" w:eastAsia="Arial" w:hAnsi="Arial"/>
                <w:sz w:val="18"/>
                <w:szCs w:val="18"/>
                <w:b w:val="1"/>
                <w:bCs w:val="1"/>
                <w:color w:val="auto"/>
              </w:rPr>
              <w:t>2,604</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gridSpan w:val="2"/>
          </w:tcPr>
          <w:p>
            <w:pPr>
              <w:jc w:val="right"/>
              <w:ind w:right="60"/>
              <w:spacing w:after="0" w:line="202" w:lineRule="exact"/>
              <w:rPr>
                <w:sz w:val="20"/>
                <w:szCs w:val="20"/>
                <w:color w:val="auto"/>
              </w:rPr>
            </w:pPr>
            <w:r>
              <w:rPr>
                <w:rFonts w:ascii="Arial" w:cs="Arial" w:eastAsia="Arial" w:hAnsi="Arial"/>
                <w:sz w:val="18"/>
                <w:szCs w:val="18"/>
                <w:b w:val="1"/>
                <w:bCs w:val="1"/>
                <w:color w:val="auto"/>
              </w:rPr>
              <w:t>(9)</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gridSpan w:val="2"/>
          </w:tcPr>
          <w:p>
            <w:pPr>
              <w:jc w:val="right"/>
              <w:ind w:right="200"/>
              <w:spacing w:after="0" w:line="202" w:lineRule="exact"/>
              <w:rPr>
                <w:sz w:val="20"/>
                <w:szCs w:val="20"/>
                <w:color w:val="auto"/>
              </w:rPr>
            </w:pPr>
            <w:r>
              <w:rPr>
                <w:rFonts w:ascii="Arial" w:cs="Arial" w:eastAsia="Arial" w:hAnsi="Arial"/>
                <w:sz w:val="18"/>
                <w:szCs w:val="18"/>
                <w:b w:val="1"/>
                <w:bCs w:val="1"/>
                <w:color w:val="auto"/>
              </w:rPr>
              <w:t>4,815</w:t>
            </w:r>
          </w:p>
        </w:tc>
        <w:tc>
          <w:tcPr>
            <w:tcW w:w="120" w:type="dxa"/>
            <w:vAlign w:val="bottom"/>
          </w:tcPr>
          <w:p>
            <w:pPr>
              <w:spacing w:after="0"/>
              <w:rPr>
                <w:sz w:val="17"/>
                <w:szCs w:val="17"/>
                <w:color w:val="auto"/>
              </w:rPr>
            </w:pPr>
          </w:p>
        </w:tc>
        <w:tc>
          <w:tcPr>
            <w:tcW w:w="780" w:type="dxa"/>
            <w:vAlign w:val="bottom"/>
            <w:gridSpan w:val="2"/>
          </w:tcPr>
          <w:p>
            <w:pPr>
              <w:jc w:val="right"/>
              <w:spacing w:after="0" w:line="202" w:lineRule="exact"/>
              <w:rPr>
                <w:sz w:val="20"/>
                <w:szCs w:val="20"/>
                <w:color w:val="auto"/>
              </w:rPr>
            </w:pPr>
            <w:r>
              <w:rPr>
                <w:rFonts w:ascii="Arial" w:cs="Arial" w:eastAsia="Arial" w:hAnsi="Arial"/>
                <w:sz w:val="18"/>
                <w:szCs w:val="18"/>
                <w:b w:val="1"/>
                <w:bCs w:val="1"/>
                <w:color w:val="auto"/>
              </w:rPr>
              <w:t>0</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gridSpan w:val="3"/>
          </w:tcPr>
          <w:p>
            <w:pPr>
              <w:jc w:val="right"/>
              <w:ind w:right="40"/>
              <w:spacing w:after="0" w:line="202" w:lineRule="exact"/>
              <w:rPr>
                <w:sz w:val="20"/>
                <w:szCs w:val="20"/>
                <w:color w:val="auto"/>
              </w:rPr>
            </w:pPr>
            <w:r>
              <w:rPr>
                <w:rFonts w:ascii="Arial" w:cs="Arial" w:eastAsia="Arial" w:hAnsi="Arial"/>
                <w:sz w:val="18"/>
                <w:szCs w:val="18"/>
                <w:b w:val="1"/>
                <w:bCs w:val="1"/>
                <w:color w:val="auto"/>
              </w:rPr>
              <w:t>0</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gridSpan w:val="2"/>
          </w:tcPr>
          <w:p>
            <w:pPr>
              <w:jc w:val="right"/>
              <w:ind w:right="100"/>
              <w:spacing w:after="0" w:line="202" w:lineRule="exact"/>
              <w:rPr>
                <w:sz w:val="20"/>
                <w:szCs w:val="20"/>
                <w:color w:val="auto"/>
              </w:rPr>
            </w:pPr>
            <w:r>
              <w:rPr>
                <w:rFonts w:ascii="Arial" w:cs="Arial" w:eastAsia="Arial" w:hAnsi="Arial"/>
                <w:sz w:val="18"/>
                <w:szCs w:val="18"/>
                <w:b w:val="1"/>
                <w:bCs w:val="1"/>
                <w:color w:val="auto"/>
              </w:rPr>
              <w:t>4,815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2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Other investments</w:t>
            </w:r>
          </w:p>
        </w:tc>
        <w:tc>
          <w:tcPr>
            <w:tcW w:w="240" w:type="dxa"/>
            <w:vAlign w:val="bottom"/>
            <w:shd w:val="clear" w:color="auto" w:fill="E5E5E5"/>
          </w:tcPr>
          <w:p>
            <w:pPr>
              <w:spacing w:after="0"/>
              <w:rPr>
                <w:sz w:val="17"/>
                <w:szCs w:val="17"/>
                <w:color w:val="auto"/>
              </w:rPr>
            </w:pPr>
          </w:p>
        </w:tc>
        <w:tc>
          <w:tcPr>
            <w:tcW w:w="84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528</w:t>
            </w:r>
          </w:p>
        </w:tc>
        <w:tc>
          <w:tcPr>
            <w:tcW w:w="180" w:type="dxa"/>
            <w:vAlign w:val="bottom"/>
            <w:shd w:val="clear" w:color="auto" w:fill="E5E5E5"/>
          </w:tcPr>
          <w:p>
            <w:pPr>
              <w:spacing w:after="0"/>
              <w:rPr>
                <w:sz w:val="17"/>
                <w:szCs w:val="17"/>
                <w:color w:val="auto"/>
              </w:rPr>
            </w:pPr>
          </w:p>
        </w:tc>
        <w:tc>
          <w:tcPr>
            <w:tcW w:w="300" w:type="dxa"/>
            <w:vAlign w:val="bottom"/>
            <w:shd w:val="clear" w:color="auto" w:fill="E5E5E5"/>
          </w:tcPr>
          <w:p>
            <w:pPr>
              <w:spacing w:after="0"/>
              <w:rPr>
                <w:sz w:val="17"/>
                <w:szCs w:val="17"/>
                <w:color w:val="auto"/>
              </w:rPr>
            </w:pPr>
          </w:p>
        </w:tc>
        <w:tc>
          <w:tcPr>
            <w:tcW w:w="74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0</w:t>
            </w:r>
          </w:p>
        </w:tc>
        <w:tc>
          <w:tcPr>
            <w:tcW w:w="12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280" w:type="dxa"/>
            <w:vAlign w:val="bottom"/>
            <w:shd w:val="clear" w:color="auto" w:fill="E5E5E5"/>
          </w:tcPr>
          <w:p>
            <w:pPr>
              <w:spacing w:after="0"/>
              <w:rPr>
                <w:sz w:val="17"/>
                <w:szCs w:val="17"/>
                <w:color w:val="auto"/>
              </w:rPr>
            </w:pPr>
          </w:p>
        </w:tc>
        <w:tc>
          <w:tcPr>
            <w:tcW w:w="74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0</w:t>
            </w:r>
          </w:p>
        </w:tc>
        <w:tc>
          <w:tcPr>
            <w:tcW w:w="120" w:type="dxa"/>
            <w:vAlign w:val="bottom"/>
            <w:shd w:val="clear" w:color="auto" w:fill="E5E5E5"/>
          </w:tcPr>
          <w:p>
            <w:pPr>
              <w:spacing w:after="0"/>
              <w:rPr>
                <w:sz w:val="17"/>
                <w:szCs w:val="17"/>
                <w:color w:val="auto"/>
              </w:rPr>
            </w:pPr>
          </w:p>
        </w:tc>
        <w:tc>
          <w:tcPr>
            <w:tcW w:w="60" w:type="dxa"/>
            <w:vAlign w:val="bottom"/>
            <w:shd w:val="clear" w:color="auto" w:fill="E5E5E5"/>
          </w:tcPr>
          <w:p>
            <w:pPr>
              <w:spacing w:after="0"/>
              <w:rPr>
                <w:sz w:val="17"/>
                <w:szCs w:val="17"/>
                <w:color w:val="auto"/>
              </w:rPr>
            </w:pPr>
          </w:p>
        </w:tc>
        <w:tc>
          <w:tcPr>
            <w:tcW w:w="60" w:type="dxa"/>
            <w:vAlign w:val="bottom"/>
            <w:shd w:val="clear" w:color="auto" w:fill="E5E5E5"/>
          </w:tcPr>
          <w:p>
            <w:pPr>
              <w:spacing w:after="0"/>
              <w:rPr>
                <w:sz w:val="17"/>
                <w:szCs w:val="17"/>
                <w:color w:val="auto"/>
              </w:rPr>
            </w:pPr>
          </w:p>
        </w:tc>
        <w:tc>
          <w:tcPr>
            <w:tcW w:w="180" w:type="dxa"/>
            <w:vAlign w:val="bottom"/>
            <w:shd w:val="clear" w:color="auto" w:fill="E5E5E5"/>
          </w:tcPr>
          <w:p>
            <w:pPr>
              <w:spacing w:after="0"/>
              <w:rPr>
                <w:sz w:val="17"/>
                <w:szCs w:val="17"/>
                <w:color w:val="auto"/>
              </w:rPr>
            </w:pPr>
          </w:p>
        </w:tc>
        <w:tc>
          <w:tcPr>
            <w:tcW w:w="980" w:type="dxa"/>
            <w:vAlign w:val="bottom"/>
            <w:gridSpan w:val="2"/>
            <w:shd w:val="clear" w:color="auto" w:fill="E5E5E5"/>
          </w:tcPr>
          <w:p>
            <w:pPr>
              <w:jc w:val="right"/>
              <w:ind w:right="200"/>
              <w:spacing w:after="0" w:line="202" w:lineRule="exact"/>
              <w:rPr>
                <w:sz w:val="20"/>
                <w:szCs w:val="20"/>
                <w:color w:val="auto"/>
              </w:rPr>
            </w:pPr>
            <w:r>
              <w:rPr>
                <w:rFonts w:ascii="Arial" w:cs="Arial" w:eastAsia="Arial" w:hAnsi="Arial"/>
                <w:sz w:val="18"/>
                <w:szCs w:val="18"/>
                <w:b w:val="1"/>
                <w:bCs w:val="1"/>
                <w:color w:val="auto"/>
              </w:rPr>
              <w:t>528</w:t>
            </w:r>
          </w:p>
        </w:tc>
        <w:tc>
          <w:tcPr>
            <w:tcW w:w="120" w:type="dxa"/>
            <w:vAlign w:val="bottom"/>
            <w:shd w:val="clear" w:color="auto" w:fill="E5E5E5"/>
          </w:tcPr>
          <w:p>
            <w:pPr>
              <w:spacing w:after="0"/>
              <w:rPr>
                <w:sz w:val="17"/>
                <w:szCs w:val="17"/>
                <w:color w:val="auto"/>
              </w:rPr>
            </w:pPr>
          </w:p>
        </w:tc>
        <w:tc>
          <w:tcPr>
            <w:tcW w:w="780" w:type="dxa"/>
            <w:vAlign w:val="bottom"/>
            <w:gridSpan w:val="2"/>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0</w:t>
            </w:r>
          </w:p>
        </w:tc>
        <w:tc>
          <w:tcPr>
            <w:tcW w:w="20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900" w:type="dxa"/>
            <w:vAlign w:val="bottom"/>
            <w:gridSpan w:val="3"/>
            <w:shd w:val="clear" w:color="auto" w:fill="E5E5E5"/>
          </w:tcPr>
          <w:p>
            <w:pPr>
              <w:jc w:val="right"/>
              <w:ind w:right="40"/>
              <w:spacing w:after="0" w:line="202" w:lineRule="exact"/>
              <w:rPr>
                <w:sz w:val="20"/>
                <w:szCs w:val="20"/>
                <w:color w:val="auto"/>
              </w:rPr>
            </w:pPr>
            <w:r>
              <w:rPr>
                <w:rFonts w:ascii="Arial" w:cs="Arial" w:eastAsia="Arial" w:hAnsi="Arial"/>
                <w:sz w:val="18"/>
                <w:szCs w:val="18"/>
                <w:b w:val="1"/>
                <w:bCs w:val="1"/>
                <w:color w:val="auto"/>
              </w:rPr>
              <w:t>0</w:t>
            </w:r>
          </w:p>
        </w:tc>
        <w:tc>
          <w:tcPr>
            <w:tcW w:w="4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96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b w:val="1"/>
                <w:bCs w:val="1"/>
                <w:color w:val="auto"/>
              </w:rPr>
              <w:t>528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3020" w:type="dxa"/>
            <w:vAlign w:val="bottom"/>
          </w:tcPr>
          <w:p>
            <w:pPr>
              <w:spacing w:after="0"/>
              <w:rPr>
                <w:sz w:val="5"/>
                <w:szCs w:val="5"/>
                <w:color w:val="auto"/>
              </w:rPr>
            </w:pPr>
          </w:p>
        </w:tc>
        <w:tc>
          <w:tcPr>
            <w:tcW w:w="240" w:type="dxa"/>
            <w:vAlign w:val="bottom"/>
          </w:tcPr>
          <w:p>
            <w:pPr>
              <w:spacing w:after="0"/>
              <w:rPr>
                <w:sz w:val="5"/>
                <w:szCs w:val="5"/>
                <w:color w:val="auto"/>
              </w:rPr>
            </w:pPr>
          </w:p>
        </w:tc>
        <w:tc>
          <w:tcPr>
            <w:tcW w:w="840" w:type="dxa"/>
            <w:vAlign w:val="bottom"/>
          </w:tcPr>
          <w:p>
            <w:pPr>
              <w:spacing w:after="0"/>
              <w:rPr>
                <w:sz w:val="5"/>
                <w:szCs w:val="5"/>
                <w:color w:val="auto"/>
              </w:rPr>
            </w:pPr>
          </w:p>
        </w:tc>
        <w:tc>
          <w:tcPr>
            <w:tcW w:w="180" w:type="dxa"/>
            <w:vAlign w:val="bottom"/>
          </w:tcPr>
          <w:p>
            <w:pPr>
              <w:spacing w:after="0"/>
              <w:rPr>
                <w:sz w:val="5"/>
                <w:szCs w:val="5"/>
                <w:color w:val="auto"/>
              </w:rPr>
            </w:pPr>
          </w:p>
        </w:tc>
        <w:tc>
          <w:tcPr>
            <w:tcW w:w="300" w:type="dxa"/>
            <w:vAlign w:val="bottom"/>
          </w:tcPr>
          <w:p>
            <w:pPr>
              <w:spacing w:after="0"/>
              <w:rPr>
                <w:sz w:val="5"/>
                <w:szCs w:val="5"/>
                <w:color w:val="auto"/>
              </w:rPr>
            </w:pPr>
          </w:p>
        </w:tc>
        <w:tc>
          <w:tcPr>
            <w:tcW w:w="7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7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 w:type="dxa"/>
            <w:vAlign w:val="bottom"/>
          </w:tcPr>
          <w:p>
            <w:pPr>
              <w:spacing w:after="0"/>
              <w:rPr>
                <w:sz w:val="5"/>
                <w:szCs w:val="5"/>
                <w:color w:val="auto"/>
              </w:rPr>
            </w:pPr>
          </w:p>
        </w:tc>
        <w:tc>
          <w:tcPr>
            <w:tcW w:w="780" w:type="dxa"/>
            <w:vAlign w:val="bottom"/>
            <w:gridSpan w:val="2"/>
          </w:tcPr>
          <w:p>
            <w:pPr>
              <w:spacing w:after="0"/>
              <w:rPr>
                <w:sz w:val="5"/>
                <w:szCs w:val="5"/>
                <w:color w:val="auto"/>
              </w:rPr>
            </w:pPr>
          </w:p>
        </w:tc>
        <w:tc>
          <w:tcPr>
            <w:tcW w:w="200" w:type="dxa"/>
            <w:vAlign w:val="bottom"/>
          </w:tcPr>
          <w:p>
            <w:pPr>
              <w:spacing w:after="0"/>
              <w:rPr>
                <w:sz w:val="5"/>
                <w:szCs w:val="5"/>
                <w:color w:val="auto"/>
              </w:rPr>
            </w:pPr>
          </w:p>
        </w:tc>
        <w:tc>
          <w:tcPr>
            <w:tcW w:w="160" w:type="dxa"/>
            <w:vAlign w:val="bottom"/>
          </w:tcPr>
          <w:p>
            <w:pPr>
              <w:spacing w:after="0"/>
              <w:rPr>
                <w:sz w:val="5"/>
                <w:szCs w:val="5"/>
                <w:color w:val="auto"/>
              </w:rPr>
            </w:pPr>
          </w:p>
        </w:tc>
        <w:tc>
          <w:tcPr>
            <w:tcW w:w="860" w:type="dxa"/>
            <w:vAlign w:val="bottom"/>
            <w:gridSpan w:val="2"/>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gridSpan w:val="2"/>
          </w:tcPr>
          <w:p>
            <w:pPr>
              <w:spacing w:after="0"/>
              <w:rPr>
                <w:sz w:val="5"/>
                <w:szCs w:val="5"/>
                <w:color w:val="auto"/>
              </w:rPr>
            </w:pPr>
          </w:p>
        </w:tc>
        <w:tc>
          <w:tcPr>
            <w:tcW w:w="160" w:type="dxa"/>
            <w:vAlign w:val="bottom"/>
          </w:tcPr>
          <w:p>
            <w:pPr>
              <w:spacing w:after="0"/>
              <w:rPr>
                <w:sz w:val="5"/>
                <w:szCs w:val="5"/>
                <w:color w:val="auto"/>
              </w:rPr>
            </w:pPr>
          </w:p>
        </w:tc>
        <w:tc>
          <w:tcPr>
            <w:tcW w:w="960" w:type="dxa"/>
            <w:vAlign w:val="bottom"/>
            <w:gridSpan w:val="2"/>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020" w:type="dxa"/>
            <w:vAlign w:val="bottom"/>
            <w:tcBorders>
              <w:top w:val="single" w:sz="8" w:color="auto"/>
            </w:tcBorders>
          </w:tcPr>
          <w:p>
            <w:pPr>
              <w:spacing w:after="0"/>
              <w:rPr>
                <w:sz w:val="5"/>
                <w:szCs w:val="5"/>
                <w:color w:val="auto"/>
              </w:rPr>
            </w:pPr>
          </w:p>
        </w:tc>
        <w:tc>
          <w:tcPr>
            <w:tcW w:w="240" w:type="dxa"/>
            <w:vAlign w:val="bottom"/>
            <w:tcBorders>
              <w:top w:val="single" w:sz="8" w:color="auto"/>
            </w:tcBorders>
          </w:tcPr>
          <w:p>
            <w:pPr>
              <w:spacing w:after="0"/>
              <w:rPr>
                <w:sz w:val="5"/>
                <w:szCs w:val="5"/>
                <w:color w:val="auto"/>
              </w:rPr>
            </w:pPr>
          </w:p>
        </w:tc>
        <w:tc>
          <w:tcPr>
            <w:tcW w:w="840" w:type="dxa"/>
            <w:vAlign w:val="bottom"/>
            <w:tcBorders>
              <w:top w:val="single" w:sz="8" w:color="auto"/>
            </w:tcBorders>
          </w:tcPr>
          <w:p>
            <w:pPr>
              <w:spacing w:after="0"/>
              <w:rPr>
                <w:sz w:val="5"/>
                <w:szCs w:val="5"/>
                <w:color w:val="auto"/>
              </w:rPr>
            </w:pPr>
          </w:p>
        </w:tc>
        <w:tc>
          <w:tcPr>
            <w:tcW w:w="180" w:type="dxa"/>
            <w:vAlign w:val="bottom"/>
          </w:tcPr>
          <w:p>
            <w:pPr>
              <w:spacing w:after="0"/>
              <w:rPr>
                <w:sz w:val="5"/>
                <w:szCs w:val="5"/>
                <w:color w:val="auto"/>
              </w:rPr>
            </w:pPr>
          </w:p>
        </w:tc>
        <w:tc>
          <w:tcPr>
            <w:tcW w:w="300" w:type="dxa"/>
            <w:vAlign w:val="bottom"/>
            <w:tcBorders>
              <w:top w:val="single" w:sz="8" w:color="auto"/>
            </w:tcBorders>
          </w:tcPr>
          <w:p>
            <w:pPr>
              <w:spacing w:after="0"/>
              <w:rPr>
                <w:sz w:val="5"/>
                <w:szCs w:val="5"/>
                <w:color w:val="auto"/>
              </w:rPr>
            </w:pPr>
          </w:p>
        </w:tc>
        <w:tc>
          <w:tcPr>
            <w:tcW w:w="740" w:type="dxa"/>
            <w:vAlign w:val="bottom"/>
            <w:tcBorders>
              <w:top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Borders>
              <w:top w:val="single" w:sz="8" w:color="auto"/>
            </w:tcBorders>
          </w:tcPr>
          <w:p>
            <w:pPr>
              <w:spacing w:after="0"/>
              <w:rPr>
                <w:sz w:val="5"/>
                <w:szCs w:val="5"/>
                <w:color w:val="auto"/>
              </w:rPr>
            </w:pPr>
          </w:p>
        </w:tc>
        <w:tc>
          <w:tcPr>
            <w:tcW w:w="740" w:type="dxa"/>
            <w:vAlign w:val="bottom"/>
            <w:tcBorders>
              <w:top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Borders>
              <w:top w:val="single" w:sz="8" w:color="auto"/>
            </w:tcBorders>
          </w:tcPr>
          <w:p>
            <w:pPr>
              <w:spacing w:after="0"/>
              <w:rPr>
                <w:sz w:val="5"/>
                <w:szCs w:val="5"/>
                <w:color w:val="auto"/>
              </w:rPr>
            </w:pPr>
          </w:p>
        </w:tc>
        <w:tc>
          <w:tcPr>
            <w:tcW w:w="180" w:type="dxa"/>
            <w:vAlign w:val="bottom"/>
            <w:tcBorders>
              <w:top w:val="single" w:sz="8" w:color="auto"/>
            </w:tcBorders>
          </w:tcPr>
          <w:p>
            <w:pPr>
              <w:spacing w:after="0"/>
              <w:rPr>
                <w:sz w:val="5"/>
                <w:szCs w:val="5"/>
                <w:color w:val="auto"/>
              </w:rPr>
            </w:pPr>
          </w:p>
        </w:tc>
        <w:tc>
          <w:tcPr>
            <w:tcW w:w="780" w:type="dxa"/>
            <w:vAlign w:val="bottom"/>
            <w:tcBorders>
              <w:top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720" w:type="dxa"/>
            <w:vAlign w:val="bottom"/>
            <w:tcBorders>
              <w:top w:val="single" w:sz="8" w:color="auto"/>
            </w:tcBorders>
          </w:tcPr>
          <w:p>
            <w:pPr>
              <w:spacing w:after="0"/>
              <w:rPr>
                <w:sz w:val="5"/>
                <w:szCs w:val="5"/>
                <w:color w:val="auto"/>
              </w:rPr>
            </w:pPr>
          </w:p>
        </w:tc>
        <w:tc>
          <w:tcPr>
            <w:tcW w:w="60" w:type="dxa"/>
            <w:vAlign w:val="bottom"/>
            <w:tcBorders>
              <w:top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160" w:type="dxa"/>
            <w:vAlign w:val="bottom"/>
            <w:tcBorders>
              <w:top w:val="single" w:sz="8" w:color="auto"/>
            </w:tcBorders>
          </w:tcPr>
          <w:p>
            <w:pPr>
              <w:spacing w:after="0"/>
              <w:rPr>
                <w:sz w:val="5"/>
                <w:szCs w:val="5"/>
                <w:color w:val="auto"/>
              </w:rPr>
            </w:pPr>
          </w:p>
        </w:tc>
        <w:tc>
          <w:tcPr>
            <w:tcW w:w="720" w:type="dxa"/>
            <w:vAlign w:val="bottom"/>
            <w:tcBorders>
              <w:top w:val="single" w:sz="8" w:color="auto"/>
            </w:tcBorders>
          </w:tcPr>
          <w:p>
            <w:pPr>
              <w:spacing w:after="0"/>
              <w:rPr>
                <w:sz w:val="5"/>
                <w:szCs w:val="5"/>
                <w:color w:val="auto"/>
              </w:rPr>
            </w:pPr>
          </w:p>
        </w:tc>
        <w:tc>
          <w:tcPr>
            <w:tcW w:w="140" w:type="dxa"/>
            <w:vAlign w:val="bottom"/>
            <w:tcBorders>
              <w:top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Borders>
              <w:top w:val="single" w:sz="8" w:color="auto"/>
            </w:tcBorders>
          </w:tcPr>
          <w:p>
            <w:pPr>
              <w:spacing w:after="0"/>
              <w:rPr>
                <w:sz w:val="5"/>
                <w:szCs w:val="5"/>
                <w:color w:val="auto"/>
              </w:rPr>
            </w:pPr>
          </w:p>
        </w:tc>
        <w:tc>
          <w:tcPr>
            <w:tcW w:w="86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20" w:type="dxa"/>
            <w:vAlign w:val="bottom"/>
            <w:shd w:val="clear" w:color="auto" w:fill="E5E5E5"/>
          </w:tcPr>
          <w:p>
            <w:pPr>
              <w:ind w:left="200"/>
              <w:spacing w:after="0" w:line="202" w:lineRule="exact"/>
              <w:rPr>
                <w:sz w:val="20"/>
                <w:szCs w:val="20"/>
                <w:color w:val="auto"/>
              </w:rPr>
            </w:pPr>
            <w:r>
              <w:rPr>
                <w:rFonts w:ascii="Arial" w:cs="Arial" w:eastAsia="Arial" w:hAnsi="Arial"/>
                <w:sz w:val="18"/>
                <w:szCs w:val="18"/>
                <w:color w:val="auto"/>
              </w:rPr>
              <w:t>Total</w:t>
            </w:r>
          </w:p>
        </w:tc>
        <w:tc>
          <w:tcPr>
            <w:tcW w:w="240" w:type="dxa"/>
            <w:vAlign w:val="bottom"/>
            <w:shd w:val="clear" w:color="auto" w:fill="E5E5E5"/>
          </w:tcPr>
          <w:p>
            <w:pPr>
              <w:jc w:val="right"/>
              <w:ind w:right="50"/>
              <w:spacing w:after="0" w:line="202" w:lineRule="exact"/>
              <w:rPr>
                <w:sz w:val="20"/>
                <w:szCs w:val="20"/>
                <w:color w:val="auto"/>
              </w:rPr>
            </w:pPr>
            <w:r>
              <w:rPr>
                <w:rFonts w:ascii="Arial" w:cs="Arial" w:eastAsia="Arial" w:hAnsi="Arial"/>
                <w:sz w:val="18"/>
                <w:szCs w:val="18"/>
                <w:b w:val="1"/>
                <w:bCs w:val="1"/>
                <w:color w:val="auto"/>
                <w:w w:val="79"/>
              </w:rPr>
              <w:t>$</w:t>
            </w:r>
          </w:p>
        </w:tc>
        <w:tc>
          <w:tcPr>
            <w:tcW w:w="84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141,402</w:t>
            </w:r>
          </w:p>
        </w:tc>
        <w:tc>
          <w:tcPr>
            <w:tcW w:w="180" w:type="dxa"/>
            <w:vAlign w:val="bottom"/>
            <w:shd w:val="clear" w:color="auto" w:fill="E5E5E5"/>
          </w:tcPr>
          <w:p>
            <w:pPr>
              <w:spacing w:after="0"/>
              <w:rPr>
                <w:sz w:val="17"/>
                <w:szCs w:val="17"/>
                <w:color w:val="auto"/>
              </w:rPr>
            </w:pPr>
          </w:p>
        </w:tc>
        <w:tc>
          <w:tcPr>
            <w:tcW w:w="300" w:type="dxa"/>
            <w:vAlign w:val="bottom"/>
            <w:shd w:val="clear" w:color="auto" w:fill="E5E5E5"/>
          </w:tcPr>
          <w:p>
            <w:pPr>
              <w:jc w:val="right"/>
              <w:ind w:right="90"/>
              <w:spacing w:after="0" w:line="202" w:lineRule="exact"/>
              <w:rPr>
                <w:sz w:val="20"/>
                <w:szCs w:val="20"/>
                <w:color w:val="auto"/>
              </w:rPr>
            </w:pPr>
            <w:r>
              <w:rPr>
                <w:rFonts w:ascii="Arial" w:cs="Arial" w:eastAsia="Arial" w:hAnsi="Arial"/>
                <w:sz w:val="18"/>
                <w:szCs w:val="18"/>
                <w:b w:val="1"/>
                <w:bCs w:val="1"/>
                <w:color w:val="auto"/>
                <w:w w:val="99"/>
              </w:rPr>
              <w:t>$</w:t>
            </w:r>
          </w:p>
        </w:tc>
        <w:tc>
          <w:tcPr>
            <w:tcW w:w="860" w:type="dxa"/>
            <w:vAlign w:val="bottom"/>
            <w:gridSpan w:val="2"/>
            <w:shd w:val="clear" w:color="auto" w:fill="E5E5E5"/>
          </w:tcPr>
          <w:p>
            <w:pPr>
              <w:jc w:val="right"/>
              <w:ind w:right="120"/>
              <w:spacing w:after="0" w:line="202" w:lineRule="exact"/>
              <w:rPr>
                <w:sz w:val="20"/>
                <w:szCs w:val="20"/>
                <w:color w:val="auto"/>
              </w:rPr>
            </w:pPr>
            <w:r>
              <w:rPr>
                <w:rFonts w:ascii="Arial" w:cs="Arial" w:eastAsia="Arial" w:hAnsi="Arial"/>
                <w:sz w:val="18"/>
                <w:szCs w:val="18"/>
                <w:b w:val="1"/>
                <w:bCs w:val="1"/>
                <w:color w:val="auto"/>
              </w:rPr>
              <w:t>2,790</w:t>
            </w:r>
          </w:p>
        </w:tc>
        <w:tc>
          <w:tcPr>
            <w:tcW w:w="380" w:type="dxa"/>
            <w:vAlign w:val="bottom"/>
            <w:gridSpan w:val="2"/>
            <w:shd w:val="clear" w:color="auto" w:fill="E5E5E5"/>
          </w:tcPr>
          <w:p>
            <w:pPr>
              <w:jc w:val="right"/>
              <w:ind w:right="180"/>
              <w:spacing w:after="0" w:line="202" w:lineRule="exact"/>
              <w:rPr>
                <w:sz w:val="20"/>
                <w:szCs w:val="20"/>
                <w:color w:val="auto"/>
              </w:rPr>
            </w:pPr>
            <w:r>
              <w:rPr>
                <w:rFonts w:ascii="Arial" w:cs="Arial" w:eastAsia="Arial" w:hAnsi="Arial"/>
                <w:sz w:val="18"/>
                <w:szCs w:val="18"/>
                <w:b w:val="1"/>
                <w:bCs w:val="1"/>
                <w:color w:val="auto"/>
              </w:rPr>
              <w:t>$</w:t>
            </w:r>
          </w:p>
        </w:tc>
        <w:tc>
          <w:tcPr>
            <w:tcW w:w="860" w:type="dxa"/>
            <w:vAlign w:val="bottom"/>
            <w:gridSpan w:val="2"/>
            <w:shd w:val="clear" w:color="auto" w:fill="E5E5E5"/>
          </w:tcPr>
          <w:p>
            <w:pPr>
              <w:jc w:val="right"/>
              <w:ind w:right="60"/>
              <w:spacing w:after="0" w:line="202" w:lineRule="exact"/>
              <w:rPr>
                <w:sz w:val="20"/>
                <w:szCs w:val="20"/>
                <w:color w:val="auto"/>
              </w:rPr>
            </w:pPr>
            <w:r>
              <w:rPr>
                <w:rFonts w:ascii="Arial" w:cs="Arial" w:eastAsia="Arial" w:hAnsi="Arial"/>
                <w:sz w:val="18"/>
                <w:szCs w:val="18"/>
                <w:b w:val="1"/>
                <w:bCs w:val="1"/>
                <w:color w:val="auto"/>
              </w:rPr>
              <w:t>(378)</w:t>
            </w:r>
          </w:p>
        </w:tc>
        <w:tc>
          <w:tcPr>
            <w:tcW w:w="300" w:type="dxa"/>
            <w:vAlign w:val="bottom"/>
            <w:gridSpan w:val="3"/>
            <w:shd w:val="clear" w:color="auto" w:fill="E5E5E5"/>
          </w:tcPr>
          <w:p>
            <w:pPr>
              <w:jc w:val="right"/>
              <w:ind w:right="140"/>
              <w:spacing w:after="0" w:line="202" w:lineRule="exact"/>
              <w:rPr>
                <w:sz w:val="20"/>
                <w:szCs w:val="20"/>
                <w:color w:val="auto"/>
              </w:rPr>
            </w:pPr>
            <w:r>
              <w:rPr>
                <w:rFonts w:ascii="Arial" w:cs="Arial" w:eastAsia="Arial" w:hAnsi="Arial"/>
                <w:sz w:val="18"/>
                <w:szCs w:val="18"/>
                <w:b w:val="1"/>
                <w:bCs w:val="1"/>
                <w:color w:val="auto"/>
              </w:rPr>
              <w:t>$</w:t>
            </w:r>
          </w:p>
        </w:tc>
        <w:tc>
          <w:tcPr>
            <w:tcW w:w="980" w:type="dxa"/>
            <w:vAlign w:val="bottom"/>
            <w:gridSpan w:val="2"/>
            <w:shd w:val="clear" w:color="auto" w:fill="E5E5E5"/>
          </w:tcPr>
          <w:p>
            <w:pPr>
              <w:jc w:val="right"/>
              <w:ind w:right="200"/>
              <w:spacing w:after="0" w:line="202" w:lineRule="exact"/>
              <w:rPr>
                <w:sz w:val="20"/>
                <w:szCs w:val="20"/>
                <w:color w:val="auto"/>
              </w:rPr>
            </w:pPr>
            <w:r>
              <w:rPr>
                <w:rFonts w:ascii="Arial" w:cs="Arial" w:eastAsia="Arial" w:hAnsi="Arial"/>
                <w:sz w:val="18"/>
                <w:szCs w:val="18"/>
                <w:b w:val="1"/>
                <w:bCs w:val="1"/>
                <w:color w:val="auto"/>
              </w:rPr>
              <w:t>143,814</w:t>
            </w:r>
          </w:p>
        </w:tc>
        <w:tc>
          <w:tcPr>
            <w:tcW w:w="12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w w:val="79"/>
              </w:rPr>
              <w:t>$</w:t>
            </w:r>
          </w:p>
        </w:tc>
        <w:tc>
          <w:tcPr>
            <w:tcW w:w="980" w:type="dxa"/>
            <w:vAlign w:val="bottom"/>
            <w:gridSpan w:val="3"/>
            <w:shd w:val="clear" w:color="auto" w:fill="E5E5E5"/>
          </w:tcPr>
          <w:p>
            <w:pPr>
              <w:jc w:val="right"/>
              <w:ind w:right="200"/>
              <w:spacing w:after="0" w:line="202" w:lineRule="exact"/>
              <w:rPr>
                <w:sz w:val="20"/>
                <w:szCs w:val="20"/>
                <w:color w:val="auto"/>
              </w:rPr>
            </w:pPr>
            <w:r>
              <w:rPr>
                <w:rFonts w:ascii="Arial" w:cs="Arial" w:eastAsia="Arial" w:hAnsi="Arial"/>
                <w:sz w:val="18"/>
                <w:szCs w:val="18"/>
                <w:b w:val="1"/>
                <w:bCs w:val="1"/>
                <w:color w:val="auto"/>
              </w:rPr>
              <w:t>6,884</w:t>
            </w:r>
          </w:p>
        </w:tc>
        <w:tc>
          <w:tcPr>
            <w:tcW w:w="16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w w:val="79"/>
              </w:rPr>
              <w:t>$</w:t>
            </w:r>
          </w:p>
        </w:tc>
        <w:tc>
          <w:tcPr>
            <w:tcW w:w="900" w:type="dxa"/>
            <w:vAlign w:val="bottom"/>
            <w:gridSpan w:val="3"/>
            <w:shd w:val="clear" w:color="auto" w:fill="E5E5E5"/>
          </w:tcPr>
          <w:p>
            <w:pPr>
              <w:jc w:val="right"/>
              <w:ind w:right="40"/>
              <w:spacing w:after="0" w:line="202" w:lineRule="exact"/>
              <w:rPr>
                <w:sz w:val="20"/>
                <w:szCs w:val="20"/>
                <w:color w:val="auto"/>
              </w:rPr>
            </w:pPr>
            <w:r>
              <w:rPr>
                <w:rFonts w:ascii="Arial" w:cs="Arial" w:eastAsia="Arial" w:hAnsi="Arial"/>
                <w:sz w:val="18"/>
                <w:szCs w:val="18"/>
                <w:b w:val="1"/>
                <w:bCs w:val="1"/>
                <w:color w:val="auto"/>
              </w:rPr>
              <w:t>131,587</w:t>
            </w:r>
          </w:p>
        </w:tc>
        <w:tc>
          <w:tcPr>
            <w:tcW w:w="320" w:type="dxa"/>
            <w:vAlign w:val="bottom"/>
            <w:gridSpan w:val="3"/>
            <w:shd w:val="clear" w:color="auto" w:fill="E5E5E5"/>
          </w:tcPr>
          <w:p>
            <w:pPr>
              <w:jc w:val="right"/>
              <w:ind w:right="60"/>
              <w:spacing w:after="0" w:line="202" w:lineRule="exact"/>
              <w:rPr>
                <w:sz w:val="20"/>
                <w:szCs w:val="20"/>
                <w:color w:val="auto"/>
              </w:rPr>
            </w:pPr>
            <w:r>
              <w:rPr>
                <w:rFonts w:ascii="Arial" w:cs="Arial" w:eastAsia="Arial" w:hAnsi="Arial"/>
                <w:sz w:val="18"/>
                <w:szCs w:val="18"/>
                <w:b w:val="1"/>
                <w:bCs w:val="1"/>
                <w:color w:val="auto"/>
              </w:rPr>
              <w:t>$</w:t>
            </w:r>
          </w:p>
        </w:tc>
        <w:tc>
          <w:tcPr>
            <w:tcW w:w="96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b w:val="1"/>
                <w:bCs w:val="1"/>
                <w:color w:val="auto"/>
              </w:rPr>
              <w:t>5,343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3020" w:type="dxa"/>
            <w:vAlign w:val="bottom"/>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180" w:type="dxa"/>
            <w:vAlign w:val="bottom"/>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86"/>
        </w:trPr>
        <w:tc>
          <w:tcPr>
            <w:tcW w:w="2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gridSpan w:val="2"/>
          </w:tcPr>
          <w:p>
            <w:pPr>
              <w:jc w:val="right"/>
              <w:ind w:right="40"/>
              <w:spacing w:after="0"/>
              <w:rPr>
                <w:sz w:val="20"/>
                <w:szCs w:val="20"/>
                <w:color w:val="auto"/>
              </w:rPr>
            </w:pPr>
            <w:r>
              <w:rPr>
                <w:rFonts w:ascii="Arial" w:cs="Arial" w:eastAsia="Arial" w:hAnsi="Arial"/>
                <w:sz w:val="14"/>
                <w:szCs w:val="14"/>
                <w:color w:val="auto"/>
              </w:rPr>
              <w:t>15</w:t>
            </w: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302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84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74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74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78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72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72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8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2" w:right="219" w:bottom="1440" w:gutter="0" w:footer="0" w:header="0"/>
        </w:sectPr>
      </w:pPr>
    </w:p>
    <w:bookmarkStart w:id="15" w:name="page16"/>
    <w:bookmarkEnd w:id="15"/>
    <w:p>
      <w:pPr>
        <w:ind w:left="5500"/>
        <w:spacing w:after="0"/>
        <w:rPr>
          <w:sz w:val="20"/>
          <w:szCs w:val="20"/>
          <w:color w:val="auto"/>
        </w:rPr>
      </w:pPr>
      <w:r>
        <w:rPr>
          <w:rFonts w:ascii="Arial" w:cs="Arial" w:eastAsia="Arial" w:hAnsi="Arial"/>
          <w:sz w:val="14"/>
          <w:szCs w:val="14"/>
          <w:u w:val="single" w:color="auto"/>
          <w:color w:val="auto"/>
        </w:rPr>
        <w:t>PART I</w:t>
      </w:r>
    </w:p>
    <w:p>
      <w:pPr>
        <w:spacing w:after="0" w:line="5" w:lineRule="exact"/>
        <w:rPr>
          <w:sz w:val="20"/>
          <w:szCs w:val="20"/>
          <w:color w:val="auto"/>
        </w:rPr>
      </w:pPr>
    </w:p>
    <w:p>
      <w:pPr>
        <w:ind w:left="5520"/>
        <w:spacing w:after="0"/>
        <w:rPr>
          <w:sz w:val="20"/>
          <w:szCs w:val="20"/>
          <w:color w:val="auto"/>
        </w:rPr>
      </w:pPr>
      <w:r>
        <w:rPr>
          <w:rFonts w:ascii="Arial" w:cs="Arial" w:eastAsia="Arial" w:hAnsi="Arial"/>
          <w:sz w:val="14"/>
          <w:szCs w:val="14"/>
          <w:color w:val="auto"/>
        </w:rPr>
        <w:t>Item 1</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gridSpan w:val="2"/>
            <w:vMerge w:val="restart"/>
          </w:tcPr>
          <w:p>
            <w:pPr>
              <w:jc w:val="right"/>
              <w:ind w:right="120"/>
              <w:spacing w:after="0"/>
              <w:rPr>
                <w:sz w:val="20"/>
                <w:szCs w:val="20"/>
                <w:color w:val="auto"/>
              </w:rPr>
            </w:pPr>
            <w:r>
              <w:rPr>
                <w:rFonts w:ascii="Arial" w:cs="Arial" w:eastAsia="Arial" w:hAnsi="Arial"/>
                <w:sz w:val="14"/>
                <w:szCs w:val="14"/>
                <w:b w:val="1"/>
                <w:bCs w:val="1"/>
                <w:color w:val="auto"/>
              </w:rPr>
              <w:t>Unrealized</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2"/>
            <w:vMerge w:val="restart"/>
          </w:tcPr>
          <w:p>
            <w:pPr>
              <w:jc w:val="right"/>
              <w:ind w:right="140"/>
              <w:spacing w:after="0"/>
              <w:rPr>
                <w:sz w:val="20"/>
                <w:szCs w:val="20"/>
                <w:color w:val="auto"/>
              </w:rPr>
            </w:pPr>
            <w:r>
              <w:rPr>
                <w:rFonts w:ascii="Arial" w:cs="Arial" w:eastAsia="Arial" w:hAnsi="Arial"/>
                <w:sz w:val="14"/>
                <w:szCs w:val="14"/>
                <w:b w:val="1"/>
                <w:bCs w:val="1"/>
                <w:color w:val="auto"/>
              </w:rPr>
              <w:t>Unrealized</w:t>
            </w: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Recorded</w:t>
            </w:r>
          </w:p>
        </w:tc>
        <w:tc>
          <w:tcPr>
            <w:tcW w:w="120" w:type="dxa"/>
            <w:vAlign w:val="bottom"/>
          </w:tcPr>
          <w:p>
            <w:pPr>
              <w:spacing w:after="0"/>
              <w:rPr>
                <w:sz w:val="14"/>
                <w:szCs w:val="14"/>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Cash</w:t>
            </w:r>
          </w:p>
        </w:tc>
        <w:tc>
          <w:tcPr>
            <w:tcW w:w="160" w:type="dxa"/>
            <w:vAlign w:val="bottom"/>
          </w:tcPr>
          <w:p>
            <w:pPr>
              <w:spacing w:after="0"/>
              <w:rPr>
                <w:sz w:val="14"/>
                <w:szCs w:val="14"/>
                <w:color w:val="auto"/>
              </w:rPr>
            </w:pPr>
          </w:p>
        </w:tc>
        <w:tc>
          <w:tcPr>
            <w:tcW w:w="960" w:type="dxa"/>
            <w:vAlign w:val="bottom"/>
            <w:gridSpan w:val="2"/>
            <w:vMerge w:val="restart"/>
          </w:tcPr>
          <w:p>
            <w:pPr>
              <w:jc w:val="right"/>
              <w:ind w:right="120"/>
              <w:spacing w:after="0"/>
              <w:rPr>
                <w:sz w:val="20"/>
                <w:szCs w:val="20"/>
                <w:color w:val="auto"/>
              </w:rPr>
            </w:pPr>
            <w:r>
              <w:rPr>
                <w:rFonts w:ascii="Arial" w:cs="Arial" w:eastAsia="Arial" w:hAnsi="Arial"/>
                <w:sz w:val="14"/>
                <w:szCs w:val="14"/>
                <w:b w:val="1"/>
                <w:bCs w:val="1"/>
                <w:color w:val="auto"/>
              </w:rPr>
              <w:t>Short-term</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49"/>
        </w:trPr>
        <w:tc>
          <w:tcPr>
            <w:tcW w:w="30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w:t>
            </w:r>
          </w:p>
        </w:tc>
        <w:tc>
          <w:tcPr>
            <w:tcW w:w="240" w:type="dxa"/>
            <w:vAlign w:val="bottom"/>
          </w:tcPr>
          <w:p>
            <w:pPr>
              <w:spacing w:after="0"/>
              <w:rPr>
                <w:sz w:val="12"/>
                <w:szCs w:val="12"/>
                <w:color w:val="auto"/>
              </w:rPr>
            </w:pPr>
          </w:p>
        </w:tc>
        <w:tc>
          <w:tcPr>
            <w:tcW w:w="10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Cost Basis</w:t>
            </w:r>
          </w:p>
        </w:tc>
        <w:tc>
          <w:tcPr>
            <w:tcW w:w="22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and Cash</w:t>
            </w:r>
          </w:p>
        </w:tc>
        <w:tc>
          <w:tcPr>
            <w:tcW w:w="16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and Other</w:t>
            </w:r>
          </w:p>
        </w:tc>
        <w:tc>
          <w:tcPr>
            <w:tcW w:w="0" w:type="dxa"/>
            <w:vAlign w:val="bottom"/>
          </w:tcPr>
          <w:p>
            <w:pPr>
              <w:spacing w:after="0"/>
              <w:rPr>
                <w:sz w:val="1"/>
                <w:szCs w:val="1"/>
                <w:color w:val="auto"/>
              </w:rPr>
            </w:pPr>
          </w:p>
        </w:tc>
      </w:tr>
      <w:tr>
        <w:trPr>
          <w:trHeight w:val="190"/>
        </w:trPr>
        <w:tc>
          <w:tcPr>
            <w:tcW w:w="304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Gains</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Losses</w:t>
            </w: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Basis</w:t>
            </w:r>
          </w:p>
        </w:tc>
        <w:tc>
          <w:tcPr>
            <w:tcW w:w="120" w:type="dxa"/>
            <w:vAlign w:val="bottom"/>
          </w:tcPr>
          <w:p>
            <w:pPr>
              <w:spacing w:after="0"/>
              <w:rPr>
                <w:sz w:val="16"/>
                <w:szCs w:val="16"/>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6"/>
              </w:rPr>
              <w:t>Equivalents</w:t>
            </w:r>
          </w:p>
        </w:tc>
        <w:tc>
          <w:tcPr>
            <w:tcW w:w="160" w:type="dxa"/>
            <w:vAlign w:val="bottom"/>
          </w:tcPr>
          <w:p>
            <w:pPr>
              <w:spacing w:after="0"/>
              <w:rPr>
                <w:sz w:val="16"/>
                <w:szCs w:val="16"/>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Investments</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Investments</w:t>
            </w:r>
          </w:p>
        </w:tc>
        <w:tc>
          <w:tcPr>
            <w:tcW w:w="0" w:type="dxa"/>
            <w:vAlign w:val="bottom"/>
          </w:tcPr>
          <w:p>
            <w:pPr>
              <w:spacing w:after="0"/>
              <w:rPr>
                <w:sz w:val="1"/>
                <w:szCs w:val="1"/>
                <w:color w:val="auto"/>
              </w:rPr>
            </w:pPr>
          </w:p>
        </w:tc>
      </w:tr>
      <w:tr>
        <w:trPr>
          <w:trHeight w:val="45"/>
        </w:trPr>
        <w:tc>
          <w:tcPr>
            <w:tcW w:w="3040" w:type="dxa"/>
            <w:vAlign w:val="bottom"/>
            <w:tcBorders>
              <w:bottom w:val="single" w:sz="8" w:color="auto"/>
            </w:tcBorders>
            <w:gridSpan w:val="2"/>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3"/>
        </w:trPr>
        <w:tc>
          <w:tcPr>
            <w:tcW w:w="3040" w:type="dxa"/>
            <w:vAlign w:val="bottom"/>
            <w:gridSpan w:val="2"/>
          </w:tcPr>
          <w:p>
            <w:pPr>
              <w:spacing w:after="0"/>
              <w:rPr>
                <w:sz w:val="20"/>
                <w:szCs w:val="20"/>
                <w:color w:val="auto"/>
              </w:rPr>
            </w:pPr>
            <w:r>
              <w:rPr>
                <w:rFonts w:ascii="Arial" w:cs="Arial" w:eastAsia="Arial" w:hAnsi="Arial"/>
                <w:sz w:val="14"/>
                <w:szCs w:val="14"/>
                <w:b w:val="1"/>
                <w:bCs w:val="1"/>
                <w:color w:val="auto"/>
              </w:rPr>
              <w:t>June 30, 2017</w:t>
            </w: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
        </w:trPr>
        <w:tc>
          <w:tcPr>
            <w:tcW w:w="20" w:type="dxa"/>
            <w:vAlign w:val="bottom"/>
            <w:vMerge w:val="restart"/>
          </w:tcPr>
          <w:p>
            <w:pPr>
              <w:spacing w:after="0"/>
              <w:rPr>
                <w:sz w:val="3"/>
                <w:szCs w:val="3"/>
                <w:color w:val="auto"/>
              </w:rPr>
            </w:pPr>
          </w:p>
        </w:tc>
        <w:tc>
          <w:tcPr>
            <w:tcW w:w="3020" w:type="dxa"/>
            <w:vAlign w:val="bottom"/>
          </w:tcPr>
          <w:p>
            <w:pPr>
              <w:spacing w:after="0"/>
              <w:rPr>
                <w:sz w:val="3"/>
                <w:szCs w:val="3"/>
                <w:color w:val="auto"/>
              </w:rPr>
            </w:pPr>
          </w:p>
        </w:tc>
        <w:tc>
          <w:tcPr>
            <w:tcW w:w="2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80" w:type="dxa"/>
            <w:vAlign w:val="bottom"/>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 w:type="dxa"/>
            <w:vAlign w:val="bottom"/>
          </w:tcPr>
          <w:p>
            <w:pPr>
              <w:spacing w:after="0"/>
              <w:rPr>
                <w:sz w:val="3"/>
                <w:szCs w:val="3"/>
                <w:color w:val="auto"/>
              </w:rPr>
            </w:pPr>
          </w:p>
        </w:tc>
        <w:tc>
          <w:tcPr>
            <w:tcW w:w="240" w:type="dxa"/>
            <w:vAlign w:val="bottom"/>
          </w:tcPr>
          <w:p>
            <w:pPr>
              <w:spacing w:after="0"/>
              <w:rPr>
                <w:sz w:val="3"/>
                <w:szCs w:val="3"/>
                <w:color w:val="auto"/>
              </w:rPr>
            </w:pPr>
          </w:p>
        </w:tc>
        <w:tc>
          <w:tcPr>
            <w:tcW w:w="7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7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02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Cash</w:t>
            </w:r>
          </w:p>
        </w:tc>
        <w:tc>
          <w:tcPr>
            <w:tcW w:w="240" w:type="dxa"/>
            <w:vAlign w:val="bottom"/>
            <w:shd w:val="clear" w:color="auto" w:fill="E5E5E5"/>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E5E5E5"/>
          </w:tcPr>
          <w:p>
            <w:pPr>
              <w:jc w:val="right"/>
              <w:ind w:right="180"/>
              <w:spacing w:after="0" w:line="202" w:lineRule="exact"/>
              <w:rPr>
                <w:sz w:val="20"/>
                <w:szCs w:val="20"/>
                <w:color w:val="auto"/>
              </w:rPr>
            </w:pPr>
            <w:r>
              <w:rPr>
                <w:rFonts w:ascii="Arial" w:cs="Arial" w:eastAsia="Arial" w:hAnsi="Arial"/>
                <w:sz w:val="18"/>
                <w:szCs w:val="18"/>
                <w:color w:val="auto"/>
              </w:rPr>
              <w:t>3,624</w:t>
            </w:r>
          </w:p>
        </w:tc>
        <w:tc>
          <w:tcPr>
            <w:tcW w:w="220" w:type="dxa"/>
            <w:vAlign w:val="bottom"/>
            <w:shd w:val="clear" w:color="auto" w:fill="E5E5E5"/>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82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0</w:t>
            </w:r>
          </w:p>
        </w:tc>
        <w:tc>
          <w:tcPr>
            <w:tcW w:w="120" w:type="dxa"/>
            <w:vAlign w:val="bottom"/>
            <w:shd w:val="clear" w:color="auto" w:fill="E5E5E5"/>
          </w:tcPr>
          <w:p>
            <w:pPr>
              <w:spacing w:after="0"/>
              <w:rPr>
                <w:sz w:val="17"/>
                <w:szCs w:val="17"/>
                <w:color w:val="auto"/>
              </w:rPr>
            </w:pPr>
          </w:p>
        </w:tc>
        <w:tc>
          <w:tcPr>
            <w:tcW w:w="30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940" w:type="dxa"/>
            <w:vAlign w:val="bottom"/>
            <w:gridSpan w:val="2"/>
            <w:shd w:val="clear" w:color="auto" w:fill="E5E5E5"/>
          </w:tcPr>
          <w:p>
            <w:pPr>
              <w:jc w:val="right"/>
              <w:ind w:right="120"/>
              <w:spacing w:after="0" w:line="202" w:lineRule="exact"/>
              <w:rPr>
                <w:sz w:val="20"/>
                <w:szCs w:val="20"/>
                <w:color w:val="auto"/>
              </w:rPr>
            </w:pPr>
            <w:r>
              <w:rPr>
                <w:rFonts w:ascii="Arial" w:cs="Arial" w:eastAsia="Arial" w:hAnsi="Arial"/>
                <w:sz w:val="18"/>
                <w:szCs w:val="18"/>
                <w:color w:val="auto"/>
              </w:rPr>
              <w:t>0</w:t>
            </w:r>
          </w:p>
        </w:tc>
        <w:tc>
          <w:tcPr>
            <w:tcW w:w="300" w:type="dxa"/>
            <w:vAlign w:val="bottom"/>
            <w:gridSpan w:val="2"/>
            <w:shd w:val="clear" w:color="auto" w:fill="E5E5E5"/>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980" w:type="dxa"/>
            <w:vAlign w:val="bottom"/>
            <w:gridSpan w:val="2"/>
            <w:shd w:val="clear" w:color="auto" w:fill="E5E5E5"/>
          </w:tcPr>
          <w:p>
            <w:pPr>
              <w:jc w:val="right"/>
              <w:ind w:right="200"/>
              <w:spacing w:after="0" w:line="202" w:lineRule="exact"/>
              <w:rPr>
                <w:sz w:val="20"/>
                <w:szCs w:val="20"/>
                <w:color w:val="auto"/>
              </w:rPr>
            </w:pPr>
            <w:r>
              <w:rPr>
                <w:rFonts w:ascii="Arial" w:cs="Arial" w:eastAsia="Arial" w:hAnsi="Arial"/>
                <w:sz w:val="18"/>
                <w:szCs w:val="18"/>
                <w:color w:val="auto"/>
              </w:rPr>
              <w:t>3,624</w:t>
            </w:r>
          </w:p>
        </w:tc>
        <w:tc>
          <w:tcPr>
            <w:tcW w:w="12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E5E5E5"/>
          </w:tcPr>
          <w:p>
            <w:pPr>
              <w:jc w:val="right"/>
              <w:ind w:right="200"/>
              <w:spacing w:after="0" w:line="202" w:lineRule="exact"/>
              <w:rPr>
                <w:sz w:val="20"/>
                <w:szCs w:val="20"/>
                <w:color w:val="auto"/>
              </w:rPr>
            </w:pPr>
            <w:r>
              <w:rPr>
                <w:rFonts w:ascii="Arial" w:cs="Arial" w:eastAsia="Arial" w:hAnsi="Arial"/>
                <w:sz w:val="18"/>
                <w:szCs w:val="18"/>
                <w:color w:val="auto"/>
              </w:rPr>
              <w:t>3,624</w:t>
            </w:r>
          </w:p>
        </w:tc>
        <w:tc>
          <w:tcPr>
            <w:tcW w:w="16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0</w:t>
            </w:r>
          </w:p>
        </w:tc>
        <w:tc>
          <w:tcPr>
            <w:tcW w:w="260" w:type="dxa"/>
            <w:vAlign w:val="bottom"/>
            <w:gridSpan w:val="2"/>
            <w:shd w:val="clear" w:color="auto" w:fill="E5E5E5"/>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86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0</w:t>
            </w:r>
          </w:p>
        </w:tc>
        <w:tc>
          <w:tcPr>
            <w:tcW w:w="10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20" w:type="dxa"/>
            <w:vAlign w:val="bottom"/>
          </w:tcPr>
          <w:p>
            <w:pPr>
              <w:spacing w:after="0" w:line="202" w:lineRule="exact"/>
              <w:rPr>
                <w:sz w:val="20"/>
                <w:szCs w:val="20"/>
                <w:color w:val="auto"/>
              </w:rPr>
            </w:pPr>
            <w:r>
              <w:rPr>
                <w:rFonts w:ascii="Arial" w:cs="Arial" w:eastAsia="Arial" w:hAnsi="Arial"/>
                <w:sz w:val="18"/>
                <w:szCs w:val="18"/>
                <w:color w:val="auto"/>
              </w:rPr>
              <w:t>Mutual funds</w:t>
            </w:r>
          </w:p>
        </w:tc>
        <w:tc>
          <w:tcPr>
            <w:tcW w:w="240" w:type="dxa"/>
            <w:vAlign w:val="bottom"/>
          </w:tcPr>
          <w:p>
            <w:pPr>
              <w:spacing w:after="0"/>
              <w:rPr>
                <w:sz w:val="17"/>
                <w:szCs w:val="17"/>
                <w:color w:val="auto"/>
              </w:rPr>
            </w:pPr>
          </w:p>
        </w:tc>
        <w:tc>
          <w:tcPr>
            <w:tcW w:w="102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1,478</w:t>
            </w:r>
          </w:p>
        </w:tc>
        <w:tc>
          <w:tcPr>
            <w:tcW w:w="22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0</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1,478</w:t>
            </w:r>
          </w:p>
        </w:tc>
        <w:tc>
          <w:tcPr>
            <w:tcW w:w="120" w:type="dxa"/>
            <w:vAlign w:val="bottom"/>
          </w:tcPr>
          <w:p>
            <w:pPr>
              <w:spacing w:after="0"/>
              <w:rPr>
                <w:sz w:val="17"/>
                <w:szCs w:val="17"/>
                <w:color w:val="auto"/>
              </w:rPr>
            </w:pPr>
          </w:p>
        </w:tc>
        <w:tc>
          <w:tcPr>
            <w:tcW w:w="98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1,478</w:t>
            </w:r>
          </w:p>
        </w:tc>
        <w:tc>
          <w:tcPr>
            <w:tcW w:w="160" w:type="dxa"/>
            <w:vAlign w:val="bottom"/>
          </w:tcPr>
          <w:p>
            <w:pPr>
              <w:spacing w:after="0"/>
              <w:rPr>
                <w:sz w:val="17"/>
                <w:szCs w:val="17"/>
                <w:color w:val="auto"/>
              </w:rPr>
            </w:pPr>
          </w:p>
        </w:tc>
        <w:tc>
          <w:tcPr>
            <w:tcW w:w="9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2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Commercial paper</w:t>
            </w:r>
          </w:p>
        </w:tc>
        <w:tc>
          <w:tcPr>
            <w:tcW w:w="240" w:type="dxa"/>
            <w:vAlign w:val="bottom"/>
            <w:shd w:val="clear" w:color="auto" w:fill="E5E5E5"/>
          </w:tcPr>
          <w:p>
            <w:pPr>
              <w:spacing w:after="0"/>
              <w:rPr>
                <w:sz w:val="17"/>
                <w:szCs w:val="17"/>
                <w:color w:val="auto"/>
              </w:rPr>
            </w:pPr>
          </w:p>
        </w:tc>
        <w:tc>
          <w:tcPr>
            <w:tcW w:w="84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319</w:t>
            </w:r>
          </w:p>
        </w:tc>
        <w:tc>
          <w:tcPr>
            <w:tcW w:w="180" w:type="dxa"/>
            <w:vAlign w:val="bottom"/>
            <w:shd w:val="clear" w:color="auto" w:fill="E5E5E5"/>
          </w:tcPr>
          <w:p>
            <w:pPr>
              <w:spacing w:after="0"/>
              <w:rPr>
                <w:sz w:val="17"/>
                <w:szCs w:val="17"/>
                <w:color w:val="auto"/>
              </w:rPr>
            </w:pPr>
          </w:p>
        </w:tc>
        <w:tc>
          <w:tcPr>
            <w:tcW w:w="220" w:type="dxa"/>
            <w:vAlign w:val="bottom"/>
            <w:shd w:val="clear" w:color="auto" w:fill="E5E5E5"/>
          </w:tcPr>
          <w:p>
            <w:pPr>
              <w:spacing w:after="0"/>
              <w:rPr>
                <w:sz w:val="17"/>
                <w:szCs w:val="17"/>
                <w:color w:val="auto"/>
              </w:rPr>
            </w:pPr>
          </w:p>
        </w:tc>
        <w:tc>
          <w:tcPr>
            <w:tcW w:w="82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0</w:t>
            </w:r>
          </w:p>
        </w:tc>
        <w:tc>
          <w:tcPr>
            <w:tcW w:w="12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200" w:type="dxa"/>
            <w:vAlign w:val="bottom"/>
            <w:shd w:val="clear" w:color="auto" w:fill="E5E5E5"/>
          </w:tcPr>
          <w:p>
            <w:pPr>
              <w:spacing w:after="0"/>
              <w:rPr>
                <w:sz w:val="17"/>
                <w:szCs w:val="17"/>
                <w:color w:val="auto"/>
              </w:rPr>
            </w:pPr>
          </w:p>
        </w:tc>
        <w:tc>
          <w:tcPr>
            <w:tcW w:w="940" w:type="dxa"/>
            <w:vAlign w:val="bottom"/>
            <w:gridSpan w:val="2"/>
            <w:shd w:val="clear" w:color="auto" w:fill="E5E5E5"/>
          </w:tcPr>
          <w:p>
            <w:pPr>
              <w:jc w:val="right"/>
              <w:ind w:right="120"/>
              <w:spacing w:after="0" w:line="202" w:lineRule="exact"/>
              <w:rPr>
                <w:sz w:val="20"/>
                <w:szCs w:val="20"/>
                <w:color w:val="auto"/>
              </w:rPr>
            </w:pPr>
            <w:r>
              <w:rPr>
                <w:rFonts w:ascii="Arial" w:cs="Arial" w:eastAsia="Arial" w:hAnsi="Arial"/>
                <w:sz w:val="18"/>
                <w:szCs w:val="18"/>
                <w:color w:val="auto"/>
              </w:rPr>
              <w:t>0</w:t>
            </w:r>
          </w:p>
        </w:tc>
        <w:tc>
          <w:tcPr>
            <w:tcW w:w="60" w:type="dxa"/>
            <w:vAlign w:val="bottom"/>
            <w:shd w:val="clear" w:color="auto" w:fill="E5E5E5"/>
          </w:tcPr>
          <w:p>
            <w:pPr>
              <w:spacing w:after="0"/>
              <w:rPr>
                <w:sz w:val="17"/>
                <w:szCs w:val="17"/>
                <w:color w:val="auto"/>
              </w:rPr>
            </w:pPr>
          </w:p>
        </w:tc>
        <w:tc>
          <w:tcPr>
            <w:tcW w:w="240" w:type="dxa"/>
            <w:vAlign w:val="bottom"/>
            <w:shd w:val="clear" w:color="auto" w:fill="E5E5E5"/>
          </w:tcPr>
          <w:p>
            <w:pPr>
              <w:spacing w:after="0"/>
              <w:rPr>
                <w:sz w:val="17"/>
                <w:szCs w:val="17"/>
                <w:color w:val="auto"/>
              </w:rPr>
            </w:pPr>
          </w:p>
        </w:tc>
        <w:tc>
          <w:tcPr>
            <w:tcW w:w="980" w:type="dxa"/>
            <w:vAlign w:val="bottom"/>
            <w:gridSpan w:val="2"/>
            <w:shd w:val="clear" w:color="auto" w:fill="E5E5E5"/>
          </w:tcPr>
          <w:p>
            <w:pPr>
              <w:jc w:val="right"/>
              <w:ind w:right="200"/>
              <w:spacing w:after="0" w:line="202" w:lineRule="exact"/>
              <w:rPr>
                <w:sz w:val="20"/>
                <w:szCs w:val="20"/>
                <w:color w:val="auto"/>
              </w:rPr>
            </w:pPr>
            <w:r>
              <w:rPr>
                <w:rFonts w:ascii="Arial" w:cs="Arial" w:eastAsia="Arial" w:hAnsi="Arial"/>
                <w:sz w:val="18"/>
                <w:szCs w:val="18"/>
                <w:color w:val="auto"/>
              </w:rPr>
              <w:t>319</w:t>
            </w:r>
          </w:p>
        </w:tc>
        <w:tc>
          <w:tcPr>
            <w:tcW w:w="120" w:type="dxa"/>
            <w:vAlign w:val="bottom"/>
            <w:shd w:val="clear" w:color="auto" w:fill="E5E5E5"/>
          </w:tcPr>
          <w:p>
            <w:pPr>
              <w:spacing w:after="0"/>
              <w:rPr>
                <w:sz w:val="17"/>
                <w:szCs w:val="17"/>
                <w:color w:val="auto"/>
              </w:rPr>
            </w:pPr>
          </w:p>
        </w:tc>
        <w:tc>
          <w:tcPr>
            <w:tcW w:w="980" w:type="dxa"/>
            <w:vAlign w:val="bottom"/>
            <w:gridSpan w:val="2"/>
            <w:shd w:val="clear" w:color="auto" w:fill="E5E5E5"/>
          </w:tcPr>
          <w:p>
            <w:pPr>
              <w:jc w:val="right"/>
              <w:ind w:right="200"/>
              <w:spacing w:after="0" w:line="202" w:lineRule="exact"/>
              <w:rPr>
                <w:sz w:val="20"/>
                <w:szCs w:val="20"/>
                <w:color w:val="auto"/>
              </w:rPr>
            </w:pPr>
            <w:r>
              <w:rPr>
                <w:rFonts w:ascii="Arial" w:cs="Arial" w:eastAsia="Arial" w:hAnsi="Arial"/>
                <w:sz w:val="18"/>
                <w:szCs w:val="18"/>
                <w:color w:val="auto"/>
              </w:rPr>
              <w:t>69</w:t>
            </w:r>
          </w:p>
        </w:tc>
        <w:tc>
          <w:tcPr>
            <w:tcW w:w="160" w:type="dxa"/>
            <w:vAlign w:val="bottom"/>
            <w:shd w:val="clear" w:color="auto" w:fill="E5E5E5"/>
          </w:tcPr>
          <w:p>
            <w:pPr>
              <w:spacing w:after="0"/>
              <w:rPr>
                <w:sz w:val="17"/>
                <w:szCs w:val="17"/>
                <w:color w:val="auto"/>
              </w:rPr>
            </w:pPr>
          </w:p>
        </w:tc>
        <w:tc>
          <w:tcPr>
            <w:tcW w:w="86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250</w:t>
            </w:r>
          </w:p>
        </w:tc>
        <w:tc>
          <w:tcPr>
            <w:tcW w:w="10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86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0</w:t>
            </w:r>
          </w:p>
        </w:tc>
        <w:tc>
          <w:tcPr>
            <w:tcW w:w="10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20" w:type="dxa"/>
            <w:vAlign w:val="bottom"/>
          </w:tcPr>
          <w:p>
            <w:pPr>
              <w:spacing w:after="0" w:line="202" w:lineRule="exact"/>
              <w:rPr>
                <w:sz w:val="20"/>
                <w:szCs w:val="20"/>
                <w:color w:val="auto"/>
              </w:rPr>
            </w:pPr>
            <w:r>
              <w:rPr>
                <w:rFonts w:ascii="Arial" w:cs="Arial" w:eastAsia="Arial" w:hAnsi="Arial"/>
                <w:sz w:val="18"/>
                <w:szCs w:val="18"/>
                <w:color w:val="auto"/>
              </w:rPr>
              <w:t>Certificates of deposit</w:t>
            </w:r>
          </w:p>
        </w:tc>
        <w:tc>
          <w:tcPr>
            <w:tcW w:w="240" w:type="dxa"/>
            <w:vAlign w:val="bottom"/>
          </w:tcPr>
          <w:p>
            <w:pPr>
              <w:spacing w:after="0"/>
              <w:rPr>
                <w:sz w:val="17"/>
                <w:szCs w:val="17"/>
                <w:color w:val="auto"/>
              </w:rPr>
            </w:pPr>
          </w:p>
        </w:tc>
        <w:tc>
          <w:tcPr>
            <w:tcW w:w="102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1,358</w:t>
            </w:r>
          </w:p>
        </w:tc>
        <w:tc>
          <w:tcPr>
            <w:tcW w:w="22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0</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1,358</w:t>
            </w:r>
          </w:p>
        </w:tc>
        <w:tc>
          <w:tcPr>
            <w:tcW w:w="120" w:type="dxa"/>
            <w:vAlign w:val="bottom"/>
          </w:tcPr>
          <w:p>
            <w:pPr>
              <w:spacing w:after="0"/>
              <w:rPr>
                <w:sz w:val="17"/>
                <w:szCs w:val="17"/>
                <w:color w:val="auto"/>
              </w:rPr>
            </w:pPr>
          </w:p>
        </w:tc>
        <w:tc>
          <w:tcPr>
            <w:tcW w:w="98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972</w:t>
            </w:r>
          </w:p>
        </w:tc>
        <w:tc>
          <w:tcPr>
            <w:tcW w:w="16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386</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020" w:type="dxa"/>
            <w:vAlign w:val="bottom"/>
            <w:shd w:val="clear" w:color="auto" w:fill="E5E5E5"/>
          </w:tcPr>
          <w:p>
            <w:pPr>
              <w:spacing w:after="0" w:line="180" w:lineRule="exact"/>
              <w:rPr>
                <w:sz w:val="20"/>
                <w:szCs w:val="20"/>
                <w:color w:val="auto"/>
              </w:rPr>
            </w:pPr>
            <w:r>
              <w:rPr>
                <w:rFonts w:ascii="Arial" w:cs="Arial" w:eastAsia="Arial" w:hAnsi="Arial"/>
                <w:sz w:val="18"/>
                <w:szCs w:val="18"/>
                <w:color w:val="auto"/>
              </w:rPr>
              <w:t>U.S. government and</w:t>
            </w:r>
          </w:p>
        </w:tc>
        <w:tc>
          <w:tcPr>
            <w:tcW w:w="240" w:type="dxa"/>
            <w:vAlign w:val="bottom"/>
            <w:shd w:val="clear" w:color="auto" w:fill="E5E5E5"/>
          </w:tcPr>
          <w:p>
            <w:pPr>
              <w:spacing w:after="0"/>
              <w:rPr>
                <w:sz w:val="15"/>
                <w:szCs w:val="15"/>
                <w:color w:val="auto"/>
              </w:rPr>
            </w:pPr>
          </w:p>
        </w:tc>
        <w:tc>
          <w:tcPr>
            <w:tcW w:w="840" w:type="dxa"/>
            <w:vAlign w:val="bottom"/>
            <w:shd w:val="clear" w:color="auto" w:fill="E5E5E5"/>
          </w:tcPr>
          <w:p>
            <w:pPr>
              <w:spacing w:after="0"/>
              <w:rPr>
                <w:sz w:val="15"/>
                <w:szCs w:val="15"/>
                <w:color w:val="auto"/>
              </w:rPr>
            </w:pPr>
          </w:p>
        </w:tc>
        <w:tc>
          <w:tcPr>
            <w:tcW w:w="180" w:type="dxa"/>
            <w:vAlign w:val="bottom"/>
            <w:shd w:val="clear" w:color="auto" w:fill="E5E5E5"/>
          </w:tcPr>
          <w:p>
            <w:pPr>
              <w:spacing w:after="0"/>
              <w:rPr>
                <w:sz w:val="15"/>
                <w:szCs w:val="15"/>
                <w:color w:val="auto"/>
              </w:rPr>
            </w:pPr>
          </w:p>
        </w:tc>
        <w:tc>
          <w:tcPr>
            <w:tcW w:w="220" w:type="dxa"/>
            <w:vAlign w:val="bottom"/>
            <w:shd w:val="clear" w:color="auto" w:fill="E5E5E5"/>
          </w:tcPr>
          <w:p>
            <w:pPr>
              <w:spacing w:after="0"/>
              <w:rPr>
                <w:sz w:val="15"/>
                <w:szCs w:val="15"/>
                <w:color w:val="auto"/>
              </w:rPr>
            </w:pPr>
          </w:p>
        </w:tc>
        <w:tc>
          <w:tcPr>
            <w:tcW w:w="820" w:type="dxa"/>
            <w:vAlign w:val="bottom"/>
            <w:shd w:val="clear" w:color="auto" w:fill="E5E5E5"/>
          </w:tcPr>
          <w:p>
            <w:pPr>
              <w:spacing w:after="0"/>
              <w:rPr>
                <w:sz w:val="15"/>
                <w:szCs w:val="15"/>
                <w:color w:val="auto"/>
              </w:rPr>
            </w:pPr>
          </w:p>
        </w:tc>
        <w:tc>
          <w:tcPr>
            <w:tcW w:w="120" w:type="dxa"/>
            <w:vAlign w:val="bottom"/>
            <w:shd w:val="clear" w:color="auto" w:fill="E5E5E5"/>
          </w:tcPr>
          <w:p>
            <w:pPr>
              <w:spacing w:after="0"/>
              <w:rPr>
                <w:sz w:val="15"/>
                <w:szCs w:val="15"/>
                <w:color w:val="auto"/>
              </w:rPr>
            </w:pPr>
          </w:p>
        </w:tc>
        <w:tc>
          <w:tcPr>
            <w:tcW w:w="100" w:type="dxa"/>
            <w:vAlign w:val="bottom"/>
            <w:shd w:val="clear" w:color="auto" w:fill="E5E5E5"/>
          </w:tcPr>
          <w:p>
            <w:pPr>
              <w:spacing w:after="0"/>
              <w:rPr>
                <w:sz w:val="15"/>
                <w:szCs w:val="15"/>
                <w:color w:val="auto"/>
              </w:rPr>
            </w:pPr>
          </w:p>
        </w:tc>
        <w:tc>
          <w:tcPr>
            <w:tcW w:w="200" w:type="dxa"/>
            <w:vAlign w:val="bottom"/>
            <w:shd w:val="clear" w:color="auto" w:fill="E5E5E5"/>
          </w:tcPr>
          <w:p>
            <w:pPr>
              <w:spacing w:after="0"/>
              <w:rPr>
                <w:sz w:val="15"/>
                <w:szCs w:val="15"/>
                <w:color w:val="auto"/>
              </w:rPr>
            </w:pPr>
          </w:p>
        </w:tc>
        <w:tc>
          <w:tcPr>
            <w:tcW w:w="820" w:type="dxa"/>
            <w:vAlign w:val="bottom"/>
            <w:shd w:val="clear" w:color="auto" w:fill="E5E5E5"/>
          </w:tcPr>
          <w:p>
            <w:pPr>
              <w:spacing w:after="0"/>
              <w:rPr>
                <w:sz w:val="15"/>
                <w:szCs w:val="15"/>
                <w:color w:val="auto"/>
              </w:rPr>
            </w:pPr>
          </w:p>
        </w:tc>
        <w:tc>
          <w:tcPr>
            <w:tcW w:w="120" w:type="dxa"/>
            <w:vAlign w:val="bottom"/>
            <w:shd w:val="clear" w:color="auto" w:fill="E5E5E5"/>
          </w:tcPr>
          <w:p>
            <w:pPr>
              <w:spacing w:after="0"/>
              <w:rPr>
                <w:sz w:val="15"/>
                <w:szCs w:val="15"/>
                <w:color w:val="auto"/>
              </w:rPr>
            </w:pPr>
          </w:p>
        </w:tc>
        <w:tc>
          <w:tcPr>
            <w:tcW w:w="60" w:type="dxa"/>
            <w:vAlign w:val="bottom"/>
            <w:shd w:val="clear" w:color="auto" w:fill="E5E5E5"/>
          </w:tcPr>
          <w:p>
            <w:pPr>
              <w:spacing w:after="0"/>
              <w:rPr>
                <w:sz w:val="15"/>
                <w:szCs w:val="15"/>
                <w:color w:val="auto"/>
              </w:rPr>
            </w:pPr>
          </w:p>
        </w:tc>
        <w:tc>
          <w:tcPr>
            <w:tcW w:w="240" w:type="dxa"/>
            <w:vAlign w:val="bottom"/>
            <w:shd w:val="clear" w:color="auto" w:fill="E5E5E5"/>
          </w:tcPr>
          <w:p>
            <w:pPr>
              <w:spacing w:after="0"/>
              <w:rPr>
                <w:sz w:val="15"/>
                <w:szCs w:val="15"/>
                <w:color w:val="auto"/>
              </w:rPr>
            </w:pPr>
          </w:p>
        </w:tc>
        <w:tc>
          <w:tcPr>
            <w:tcW w:w="780" w:type="dxa"/>
            <w:vAlign w:val="bottom"/>
            <w:shd w:val="clear" w:color="auto" w:fill="E5E5E5"/>
          </w:tcPr>
          <w:p>
            <w:pPr>
              <w:spacing w:after="0"/>
              <w:rPr>
                <w:sz w:val="15"/>
                <w:szCs w:val="15"/>
                <w:color w:val="auto"/>
              </w:rPr>
            </w:pPr>
          </w:p>
        </w:tc>
        <w:tc>
          <w:tcPr>
            <w:tcW w:w="200" w:type="dxa"/>
            <w:vAlign w:val="bottom"/>
            <w:shd w:val="clear" w:color="auto" w:fill="E5E5E5"/>
          </w:tcPr>
          <w:p>
            <w:pPr>
              <w:spacing w:after="0"/>
              <w:rPr>
                <w:sz w:val="15"/>
                <w:szCs w:val="15"/>
                <w:color w:val="auto"/>
              </w:rPr>
            </w:pPr>
          </w:p>
        </w:tc>
        <w:tc>
          <w:tcPr>
            <w:tcW w:w="120" w:type="dxa"/>
            <w:vAlign w:val="bottom"/>
            <w:shd w:val="clear" w:color="auto" w:fill="E5E5E5"/>
          </w:tcPr>
          <w:p>
            <w:pPr>
              <w:spacing w:after="0"/>
              <w:rPr>
                <w:sz w:val="15"/>
                <w:szCs w:val="15"/>
                <w:color w:val="auto"/>
              </w:rPr>
            </w:pPr>
          </w:p>
        </w:tc>
        <w:tc>
          <w:tcPr>
            <w:tcW w:w="780" w:type="dxa"/>
            <w:vAlign w:val="bottom"/>
            <w:shd w:val="clear" w:color="auto" w:fill="E5E5E5"/>
          </w:tcPr>
          <w:p>
            <w:pPr>
              <w:spacing w:after="0"/>
              <w:rPr>
                <w:sz w:val="15"/>
                <w:szCs w:val="15"/>
                <w:color w:val="auto"/>
              </w:rPr>
            </w:pPr>
          </w:p>
        </w:tc>
        <w:tc>
          <w:tcPr>
            <w:tcW w:w="200" w:type="dxa"/>
            <w:vAlign w:val="bottom"/>
            <w:shd w:val="clear" w:color="auto" w:fill="E5E5E5"/>
          </w:tcPr>
          <w:p>
            <w:pPr>
              <w:spacing w:after="0"/>
              <w:rPr>
                <w:sz w:val="15"/>
                <w:szCs w:val="15"/>
                <w:color w:val="auto"/>
              </w:rPr>
            </w:pPr>
          </w:p>
        </w:tc>
        <w:tc>
          <w:tcPr>
            <w:tcW w:w="160" w:type="dxa"/>
            <w:vAlign w:val="bottom"/>
            <w:shd w:val="clear" w:color="auto" w:fill="E5E5E5"/>
          </w:tcPr>
          <w:p>
            <w:pPr>
              <w:spacing w:after="0"/>
              <w:rPr>
                <w:sz w:val="15"/>
                <w:szCs w:val="15"/>
                <w:color w:val="auto"/>
              </w:rPr>
            </w:pPr>
          </w:p>
        </w:tc>
        <w:tc>
          <w:tcPr>
            <w:tcW w:w="860" w:type="dxa"/>
            <w:vAlign w:val="bottom"/>
            <w:shd w:val="clear" w:color="auto" w:fill="E5E5E5"/>
          </w:tcPr>
          <w:p>
            <w:pPr>
              <w:spacing w:after="0"/>
              <w:rPr>
                <w:sz w:val="15"/>
                <w:szCs w:val="15"/>
                <w:color w:val="auto"/>
              </w:rPr>
            </w:pPr>
          </w:p>
        </w:tc>
        <w:tc>
          <w:tcPr>
            <w:tcW w:w="100" w:type="dxa"/>
            <w:vAlign w:val="bottom"/>
            <w:shd w:val="clear" w:color="auto" w:fill="E5E5E5"/>
          </w:tcPr>
          <w:p>
            <w:pPr>
              <w:spacing w:after="0"/>
              <w:rPr>
                <w:sz w:val="15"/>
                <w:szCs w:val="15"/>
                <w:color w:val="auto"/>
              </w:rPr>
            </w:pPr>
          </w:p>
        </w:tc>
        <w:tc>
          <w:tcPr>
            <w:tcW w:w="100" w:type="dxa"/>
            <w:vAlign w:val="bottom"/>
            <w:shd w:val="clear" w:color="auto" w:fill="E5E5E5"/>
          </w:tcPr>
          <w:p>
            <w:pPr>
              <w:spacing w:after="0"/>
              <w:rPr>
                <w:sz w:val="15"/>
                <w:szCs w:val="15"/>
                <w:color w:val="auto"/>
              </w:rPr>
            </w:pPr>
          </w:p>
        </w:tc>
        <w:tc>
          <w:tcPr>
            <w:tcW w:w="160" w:type="dxa"/>
            <w:vAlign w:val="bottom"/>
            <w:shd w:val="clear" w:color="auto" w:fill="E5E5E5"/>
          </w:tcPr>
          <w:p>
            <w:pPr>
              <w:spacing w:after="0"/>
              <w:rPr>
                <w:sz w:val="15"/>
                <w:szCs w:val="15"/>
                <w:color w:val="auto"/>
              </w:rPr>
            </w:pPr>
          </w:p>
        </w:tc>
        <w:tc>
          <w:tcPr>
            <w:tcW w:w="860" w:type="dxa"/>
            <w:vAlign w:val="bottom"/>
            <w:shd w:val="clear" w:color="auto" w:fill="E5E5E5"/>
          </w:tcPr>
          <w:p>
            <w:pPr>
              <w:spacing w:after="0"/>
              <w:rPr>
                <w:sz w:val="15"/>
                <w:szCs w:val="15"/>
                <w:color w:val="auto"/>
              </w:rPr>
            </w:pPr>
          </w:p>
        </w:tc>
        <w:tc>
          <w:tcPr>
            <w:tcW w:w="100" w:type="dxa"/>
            <w:vAlign w:val="bottom"/>
            <w:shd w:val="clear" w:color="auto" w:fill="E5E5E5"/>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3020" w:type="dxa"/>
            <w:vAlign w:val="bottom"/>
            <w:shd w:val="clear" w:color="auto" w:fill="E5E5E5"/>
          </w:tcPr>
          <w:p>
            <w:pPr>
              <w:ind w:left="200"/>
              <w:spacing w:after="0"/>
              <w:rPr>
                <w:sz w:val="20"/>
                <w:szCs w:val="20"/>
                <w:color w:val="auto"/>
              </w:rPr>
            </w:pPr>
            <w:r>
              <w:rPr>
                <w:rFonts w:ascii="Arial" w:cs="Arial" w:eastAsia="Arial" w:hAnsi="Arial"/>
                <w:sz w:val="18"/>
                <w:szCs w:val="18"/>
                <w:color w:val="auto"/>
              </w:rPr>
              <w:t>agency securities</w:t>
            </w:r>
          </w:p>
        </w:tc>
        <w:tc>
          <w:tcPr>
            <w:tcW w:w="240" w:type="dxa"/>
            <w:vAlign w:val="bottom"/>
            <w:shd w:val="clear" w:color="auto" w:fill="E5E5E5"/>
          </w:tcPr>
          <w:p>
            <w:pPr>
              <w:spacing w:after="0"/>
              <w:rPr>
                <w:sz w:val="19"/>
                <w:szCs w:val="19"/>
                <w:color w:val="auto"/>
              </w:rPr>
            </w:pPr>
          </w:p>
        </w:tc>
        <w:tc>
          <w:tcPr>
            <w:tcW w:w="1020" w:type="dxa"/>
            <w:vAlign w:val="bottom"/>
            <w:gridSpan w:val="2"/>
            <w:shd w:val="clear" w:color="auto" w:fill="E5E5E5"/>
          </w:tcPr>
          <w:p>
            <w:pPr>
              <w:jc w:val="right"/>
              <w:ind w:right="180"/>
              <w:spacing w:after="0"/>
              <w:rPr>
                <w:sz w:val="20"/>
                <w:szCs w:val="20"/>
                <w:color w:val="auto"/>
              </w:rPr>
            </w:pPr>
            <w:r>
              <w:rPr>
                <w:rFonts w:ascii="Arial" w:cs="Arial" w:eastAsia="Arial" w:hAnsi="Arial"/>
                <w:sz w:val="18"/>
                <w:szCs w:val="18"/>
                <w:color w:val="auto"/>
              </w:rPr>
              <w:t>112,119</w:t>
            </w:r>
          </w:p>
        </w:tc>
        <w:tc>
          <w:tcPr>
            <w:tcW w:w="220" w:type="dxa"/>
            <w:vAlign w:val="bottom"/>
            <w:shd w:val="clear" w:color="auto" w:fill="E5E5E5"/>
          </w:tcPr>
          <w:p>
            <w:pPr>
              <w:spacing w:after="0"/>
              <w:rPr>
                <w:sz w:val="19"/>
                <w:szCs w:val="19"/>
                <w:color w:val="auto"/>
              </w:rPr>
            </w:pPr>
          </w:p>
        </w:tc>
        <w:tc>
          <w:tcPr>
            <w:tcW w:w="940" w:type="dxa"/>
            <w:vAlign w:val="bottom"/>
            <w:gridSpan w:val="2"/>
            <w:shd w:val="clear" w:color="auto" w:fill="E5E5E5"/>
          </w:tcPr>
          <w:p>
            <w:pPr>
              <w:jc w:val="right"/>
              <w:ind w:right="120"/>
              <w:spacing w:after="0"/>
              <w:rPr>
                <w:sz w:val="20"/>
                <w:szCs w:val="20"/>
                <w:color w:val="auto"/>
              </w:rPr>
            </w:pPr>
            <w:r>
              <w:rPr>
                <w:rFonts w:ascii="Arial" w:cs="Arial" w:eastAsia="Arial" w:hAnsi="Arial"/>
                <w:sz w:val="18"/>
                <w:szCs w:val="18"/>
                <w:color w:val="auto"/>
              </w:rPr>
              <w:t>85</w:t>
            </w:r>
          </w:p>
        </w:tc>
        <w:tc>
          <w:tcPr>
            <w:tcW w:w="100" w:type="dxa"/>
            <w:vAlign w:val="bottom"/>
            <w:shd w:val="clear" w:color="auto" w:fill="E5E5E5"/>
          </w:tcPr>
          <w:p>
            <w:pPr>
              <w:spacing w:after="0"/>
              <w:rPr>
                <w:sz w:val="19"/>
                <w:szCs w:val="19"/>
                <w:color w:val="auto"/>
              </w:rPr>
            </w:pPr>
          </w:p>
        </w:tc>
        <w:tc>
          <w:tcPr>
            <w:tcW w:w="200" w:type="dxa"/>
            <w:vAlign w:val="bottom"/>
            <w:shd w:val="clear" w:color="auto" w:fill="E5E5E5"/>
          </w:tcPr>
          <w:p>
            <w:pPr>
              <w:spacing w:after="0"/>
              <w:rPr>
                <w:sz w:val="19"/>
                <w:szCs w:val="19"/>
                <w:color w:val="auto"/>
              </w:rPr>
            </w:pPr>
          </w:p>
        </w:tc>
        <w:tc>
          <w:tcPr>
            <w:tcW w:w="940" w:type="dxa"/>
            <w:vAlign w:val="bottom"/>
            <w:gridSpan w:val="2"/>
            <w:shd w:val="clear" w:color="auto" w:fill="E5E5E5"/>
          </w:tcPr>
          <w:p>
            <w:pPr>
              <w:jc w:val="right"/>
              <w:ind w:right="60"/>
              <w:spacing w:after="0"/>
              <w:rPr>
                <w:sz w:val="20"/>
                <w:szCs w:val="20"/>
                <w:color w:val="auto"/>
              </w:rPr>
            </w:pPr>
            <w:r>
              <w:rPr>
                <w:rFonts w:ascii="Arial" w:cs="Arial" w:eastAsia="Arial" w:hAnsi="Arial"/>
                <w:sz w:val="18"/>
                <w:szCs w:val="18"/>
                <w:color w:val="auto"/>
              </w:rPr>
              <w:t>(360)</w:t>
            </w:r>
          </w:p>
        </w:tc>
        <w:tc>
          <w:tcPr>
            <w:tcW w:w="60" w:type="dxa"/>
            <w:vAlign w:val="bottom"/>
            <w:shd w:val="clear" w:color="auto" w:fill="E5E5E5"/>
          </w:tcPr>
          <w:p>
            <w:pPr>
              <w:spacing w:after="0"/>
              <w:rPr>
                <w:sz w:val="19"/>
                <w:szCs w:val="19"/>
                <w:color w:val="auto"/>
              </w:rPr>
            </w:pPr>
          </w:p>
        </w:tc>
        <w:tc>
          <w:tcPr>
            <w:tcW w:w="240" w:type="dxa"/>
            <w:vAlign w:val="bottom"/>
            <w:shd w:val="clear" w:color="auto" w:fill="E5E5E5"/>
          </w:tcPr>
          <w:p>
            <w:pPr>
              <w:spacing w:after="0"/>
              <w:rPr>
                <w:sz w:val="19"/>
                <w:szCs w:val="19"/>
                <w:color w:val="auto"/>
              </w:rPr>
            </w:pPr>
          </w:p>
        </w:tc>
        <w:tc>
          <w:tcPr>
            <w:tcW w:w="980" w:type="dxa"/>
            <w:vAlign w:val="bottom"/>
            <w:gridSpan w:val="2"/>
            <w:shd w:val="clear" w:color="auto" w:fill="E5E5E5"/>
          </w:tcPr>
          <w:p>
            <w:pPr>
              <w:jc w:val="right"/>
              <w:ind w:right="200"/>
              <w:spacing w:after="0"/>
              <w:rPr>
                <w:sz w:val="20"/>
                <w:szCs w:val="20"/>
                <w:color w:val="auto"/>
              </w:rPr>
            </w:pPr>
            <w:r>
              <w:rPr>
                <w:rFonts w:ascii="Arial" w:cs="Arial" w:eastAsia="Arial" w:hAnsi="Arial"/>
                <w:sz w:val="18"/>
                <w:szCs w:val="18"/>
                <w:color w:val="auto"/>
              </w:rPr>
              <w:t>111,844</w:t>
            </w:r>
          </w:p>
        </w:tc>
        <w:tc>
          <w:tcPr>
            <w:tcW w:w="120" w:type="dxa"/>
            <w:vAlign w:val="bottom"/>
            <w:shd w:val="clear" w:color="auto" w:fill="E5E5E5"/>
          </w:tcPr>
          <w:p>
            <w:pPr>
              <w:spacing w:after="0"/>
              <w:rPr>
                <w:sz w:val="19"/>
                <w:szCs w:val="19"/>
                <w:color w:val="auto"/>
              </w:rPr>
            </w:pPr>
          </w:p>
        </w:tc>
        <w:tc>
          <w:tcPr>
            <w:tcW w:w="980" w:type="dxa"/>
            <w:vAlign w:val="bottom"/>
            <w:gridSpan w:val="2"/>
            <w:shd w:val="clear" w:color="auto" w:fill="E5E5E5"/>
          </w:tcPr>
          <w:p>
            <w:pPr>
              <w:jc w:val="right"/>
              <w:ind w:right="200"/>
              <w:spacing w:after="0"/>
              <w:rPr>
                <w:sz w:val="20"/>
                <w:szCs w:val="20"/>
                <w:color w:val="auto"/>
              </w:rPr>
            </w:pPr>
            <w:r>
              <w:rPr>
                <w:rFonts w:ascii="Arial" w:cs="Arial" w:eastAsia="Arial" w:hAnsi="Arial"/>
                <w:sz w:val="18"/>
                <w:szCs w:val="18"/>
                <w:color w:val="auto"/>
              </w:rPr>
              <w:t>16</w:t>
            </w:r>
          </w:p>
        </w:tc>
        <w:tc>
          <w:tcPr>
            <w:tcW w:w="160" w:type="dxa"/>
            <w:vAlign w:val="bottom"/>
            <w:shd w:val="clear" w:color="auto" w:fill="E5E5E5"/>
          </w:tcPr>
          <w:p>
            <w:pPr>
              <w:spacing w:after="0"/>
              <w:rPr>
                <w:sz w:val="19"/>
                <w:szCs w:val="19"/>
                <w:color w:val="auto"/>
              </w:rPr>
            </w:pPr>
          </w:p>
        </w:tc>
        <w:tc>
          <w:tcPr>
            <w:tcW w:w="960" w:type="dxa"/>
            <w:vAlign w:val="bottom"/>
            <w:gridSpan w:val="2"/>
            <w:shd w:val="clear" w:color="auto" w:fill="E5E5E5"/>
          </w:tcPr>
          <w:p>
            <w:pPr>
              <w:jc w:val="right"/>
              <w:ind w:right="100"/>
              <w:spacing w:after="0"/>
              <w:rPr>
                <w:sz w:val="20"/>
                <w:szCs w:val="20"/>
                <w:color w:val="auto"/>
              </w:rPr>
            </w:pPr>
            <w:r>
              <w:rPr>
                <w:rFonts w:ascii="Arial" w:cs="Arial" w:eastAsia="Arial" w:hAnsi="Arial"/>
                <w:sz w:val="18"/>
                <w:szCs w:val="18"/>
                <w:color w:val="auto"/>
              </w:rPr>
              <w:t>111,828</w:t>
            </w:r>
          </w:p>
        </w:tc>
        <w:tc>
          <w:tcPr>
            <w:tcW w:w="100" w:type="dxa"/>
            <w:vAlign w:val="bottom"/>
            <w:shd w:val="clear" w:color="auto" w:fill="E5E5E5"/>
          </w:tcPr>
          <w:p>
            <w:pPr>
              <w:spacing w:after="0"/>
              <w:rPr>
                <w:sz w:val="19"/>
                <w:szCs w:val="19"/>
                <w:color w:val="auto"/>
              </w:rPr>
            </w:pPr>
          </w:p>
        </w:tc>
        <w:tc>
          <w:tcPr>
            <w:tcW w:w="160" w:type="dxa"/>
            <w:vAlign w:val="bottom"/>
            <w:shd w:val="clear" w:color="auto" w:fill="E5E5E5"/>
          </w:tcPr>
          <w:p>
            <w:pPr>
              <w:spacing w:after="0"/>
              <w:rPr>
                <w:sz w:val="19"/>
                <w:szCs w:val="19"/>
                <w:color w:val="auto"/>
              </w:rPr>
            </w:pPr>
          </w:p>
        </w:tc>
        <w:tc>
          <w:tcPr>
            <w:tcW w:w="8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0</w:t>
            </w:r>
          </w:p>
        </w:tc>
        <w:tc>
          <w:tcPr>
            <w:tcW w:w="100" w:type="dxa"/>
            <w:vAlign w:val="bottom"/>
            <w:shd w:val="clear" w:color="auto" w:fill="E5E5E5"/>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20" w:type="dxa"/>
            <w:vAlign w:val="bottom"/>
          </w:tcPr>
          <w:p>
            <w:pPr>
              <w:spacing w:after="0" w:line="202" w:lineRule="exact"/>
              <w:rPr>
                <w:sz w:val="20"/>
                <w:szCs w:val="20"/>
                <w:color w:val="auto"/>
              </w:rPr>
            </w:pPr>
            <w:r>
              <w:rPr>
                <w:rFonts w:ascii="Arial" w:cs="Arial" w:eastAsia="Arial" w:hAnsi="Arial"/>
                <w:sz w:val="18"/>
                <w:szCs w:val="18"/>
                <w:color w:val="auto"/>
              </w:rPr>
              <w:t>Foreign government bonds</w:t>
            </w:r>
          </w:p>
        </w:tc>
        <w:tc>
          <w:tcPr>
            <w:tcW w:w="240" w:type="dxa"/>
            <w:vAlign w:val="bottom"/>
          </w:tcPr>
          <w:p>
            <w:pPr>
              <w:spacing w:after="0"/>
              <w:rPr>
                <w:sz w:val="17"/>
                <w:szCs w:val="17"/>
                <w:color w:val="auto"/>
              </w:rPr>
            </w:pPr>
          </w:p>
        </w:tc>
        <w:tc>
          <w:tcPr>
            <w:tcW w:w="102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5,276</w:t>
            </w:r>
          </w:p>
        </w:tc>
        <w:tc>
          <w:tcPr>
            <w:tcW w:w="22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2</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(13)</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5,265</w:t>
            </w:r>
          </w:p>
        </w:tc>
        <w:tc>
          <w:tcPr>
            <w:tcW w:w="120" w:type="dxa"/>
            <w:vAlign w:val="bottom"/>
          </w:tcPr>
          <w:p>
            <w:pPr>
              <w:spacing w:after="0"/>
              <w:rPr>
                <w:sz w:val="17"/>
                <w:szCs w:val="17"/>
                <w:color w:val="auto"/>
              </w:rPr>
            </w:pPr>
          </w:p>
        </w:tc>
        <w:tc>
          <w:tcPr>
            <w:tcW w:w="98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1,504</w:t>
            </w:r>
          </w:p>
        </w:tc>
        <w:tc>
          <w:tcPr>
            <w:tcW w:w="160" w:type="dxa"/>
            <w:vAlign w:val="bottom"/>
          </w:tcPr>
          <w:p>
            <w:pPr>
              <w:spacing w:after="0"/>
              <w:rPr>
                <w:sz w:val="17"/>
                <w:szCs w:val="17"/>
                <w:color w:val="auto"/>
              </w:rPr>
            </w:pPr>
          </w:p>
        </w:tc>
        <w:tc>
          <w:tcPr>
            <w:tcW w:w="9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3,761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020" w:type="dxa"/>
            <w:vAlign w:val="bottom"/>
            <w:shd w:val="clear" w:color="auto" w:fill="E5E5E5"/>
          </w:tcPr>
          <w:p>
            <w:pPr>
              <w:spacing w:after="0" w:line="180" w:lineRule="exact"/>
              <w:rPr>
                <w:sz w:val="20"/>
                <w:szCs w:val="20"/>
                <w:color w:val="auto"/>
              </w:rPr>
            </w:pPr>
            <w:r>
              <w:rPr>
                <w:rFonts w:ascii="Arial" w:cs="Arial" w:eastAsia="Arial" w:hAnsi="Arial"/>
                <w:sz w:val="18"/>
                <w:szCs w:val="18"/>
                <w:color w:val="auto"/>
              </w:rPr>
              <w:t>Mortgage- and asset-backed</w:t>
            </w:r>
          </w:p>
        </w:tc>
        <w:tc>
          <w:tcPr>
            <w:tcW w:w="240" w:type="dxa"/>
            <w:vAlign w:val="bottom"/>
            <w:shd w:val="clear" w:color="auto" w:fill="E5E5E5"/>
          </w:tcPr>
          <w:p>
            <w:pPr>
              <w:spacing w:after="0"/>
              <w:rPr>
                <w:sz w:val="15"/>
                <w:szCs w:val="15"/>
                <w:color w:val="auto"/>
              </w:rPr>
            </w:pPr>
          </w:p>
        </w:tc>
        <w:tc>
          <w:tcPr>
            <w:tcW w:w="840" w:type="dxa"/>
            <w:vAlign w:val="bottom"/>
            <w:shd w:val="clear" w:color="auto" w:fill="E5E5E5"/>
          </w:tcPr>
          <w:p>
            <w:pPr>
              <w:spacing w:after="0"/>
              <w:rPr>
                <w:sz w:val="15"/>
                <w:szCs w:val="15"/>
                <w:color w:val="auto"/>
              </w:rPr>
            </w:pPr>
          </w:p>
        </w:tc>
        <w:tc>
          <w:tcPr>
            <w:tcW w:w="180" w:type="dxa"/>
            <w:vAlign w:val="bottom"/>
            <w:shd w:val="clear" w:color="auto" w:fill="E5E5E5"/>
          </w:tcPr>
          <w:p>
            <w:pPr>
              <w:spacing w:after="0"/>
              <w:rPr>
                <w:sz w:val="15"/>
                <w:szCs w:val="15"/>
                <w:color w:val="auto"/>
              </w:rPr>
            </w:pPr>
          </w:p>
        </w:tc>
        <w:tc>
          <w:tcPr>
            <w:tcW w:w="220" w:type="dxa"/>
            <w:vAlign w:val="bottom"/>
            <w:shd w:val="clear" w:color="auto" w:fill="E5E5E5"/>
          </w:tcPr>
          <w:p>
            <w:pPr>
              <w:spacing w:after="0"/>
              <w:rPr>
                <w:sz w:val="15"/>
                <w:szCs w:val="15"/>
                <w:color w:val="auto"/>
              </w:rPr>
            </w:pPr>
          </w:p>
        </w:tc>
        <w:tc>
          <w:tcPr>
            <w:tcW w:w="820" w:type="dxa"/>
            <w:vAlign w:val="bottom"/>
            <w:shd w:val="clear" w:color="auto" w:fill="E5E5E5"/>
          </w:tcPr>
          <w:p>
            <w:pPr>
              <w:spacing w:after="0"/>
              <w:rPr>
                <w:sz w:val="15"/>
                <w:szCs w:val="15"/>
                <w:color w:val="auto"/>
              </w:rPr>
            </w:pPr>
          </w:p>
        </w:tc>
        <w:tc>
          <w:tcPr>
            <w:tcW w:w="120" w:type="dxa"/>
            <w:vAlign w:val="bottom"/>
            <w:shd w:val="clear" w:color="auto" w:fill="E5E5E5"/>
          </w:tcPr>
          <w:p>
            <w:pPr>
              <w:spacing w:after="0"/>
              <w:rPr>
                <w:sz w:val="15"/>
                <w:szCs w:val="15"/>
                <w:color w:val="auto"/>
              </w:rPr>
            </w:pPr>
          </w:p>
        </w:tc>
        <w:tc>
          <w:tcPr>
            <w:tcW w:w="100" w:type="dxa"/>
            <w:vAlign w:val="bottom"/>
            <w:shd w:val="clear" w:color="auto" w:fill="E5E5E5"/>
          </w:tcPr>
          <w:p>
            <w:pPr>
              <w:spacing w:after="0"/>
              <w:rPr>
                <w:sz w:val="15"/>
                <w:szCs w:val="15"/>
                <w:color w:val="auto"/>
              </w:rPr>
            </w:pPr>
          </w:p>
        </w:tc>
        <w:tc>
          <w:tcPr>
            <w:tcW w:w="200" w:type="dxa"/>
            <w:vAlign w:val="bottom"/>
            <w:shd w:val="clear" w:color="auto" w:fill="E5E5E5"/>
          </w:tcPr>
          <w:p>
            <w:pPr>
              <w:spacing w:after="0"/>
              <w:rPr>
                <w:sz w:val="15"/>
                <w:szCs w:val="15"/>
                <w:color w:val="auto"/>
              </w:rPr>
            </w:pPr>
          </w:p>
        </w:tc>
        <w:tc>
          <w:tcPr>
            <w:tcW w:w="820" w:type="dxa"/>
            <w:vAlign w:val="bottom"/>
            <w:shd w:val="clear" w:color="auto" w:fill="E5E5E5"/>
          </w:tcPr>
          <w:p>
            <w:pPr>
              <w:spacing w:after="0"/>
              <w:rPr>
                <w:sz w:val="15"/>
                <w:szCs w:val="15"/>
                <w:color w:val="auto"/>
              </w:rPr>
            </w:pPr>
          </w:p>
        </w:tc>
        <w:tc>
          <w:tcPr>
            <w:tcW w:w="120" w:type="dxa"/>
            <w:vAlign w:val="bottom"/>
            <w:shd w:val="clear" w:color="auto" w:fill="E5E5E5"/>
          </w:tcPr>
          <w:p>
            <w:pPr>
              <w:spacing w:after="0"/>
              <w:rPr>
                <w:sz w:val="15"/>
                <w:szCs w:val="15"/>
                <w:color w:val="auto"/>
              </w:rPr>
            </w:pPr>
          </w:p>
        </w:tc>
        <w:tc>
          <w:tcPr>
            <w:tcW w:w="60" w:type="dxa"/>
            <w:vAlign w:val="bottom"/>
            <w:shd w:val="clear" w:color="auto" w:fill="E5E5E5"/>
          </w:tcPr>
          <w:p>
            <w:pPr>
              <w:spacing w:after="0"/>
              <w:rPr>
                <w:sz w:val="15"/>
                <w:szCs w:val="15"/>
                <w:color w:val="auto"/>
              </w:rPr>
            </w:pPr>
          </w:p>
        </w:tc>
        <w:tc>
          <w:tcPr>
            <w:tcW w:w="240" w:type="dxa"/>
            <w:vAlign w:val="bottom"/>
            <w:shd w:val="clear" w:color="auto" w:fill="E5E5E5"/>
          </w:tcPr>
          <w:p>
            <w:pPr>
              <w:spacing w:after="0"/>
              <w:rPr>
                <w:sz w:val="15"/>
                <w:szCs w:val="15"/>
                <w:color w:val="auto"/>
              </w:rPr>
            </w:pPr>
          </w:p>
        </w:tc>
        <w:tc>
          <w:tcPr>
            <w:tcW w:w="780" w:type="dxa"/>
            <w:vAlign w:val="bottom"/>
            <w:shd w:val="clear" w:color="auto" w:fill="E5E5E5"/>
          </w:tcPr>
          <w:p>
            <w:pPr>
              <w:spacing w:after="0"/>
              <w:rPr>
                <w:sz w:val="15"/>
                <w:szCs w:val="15"/>
                <w:color w:val="auto"/>
              </w:rPr>
            </w:pPr>
          </w:p>
        </w:tc>
        <w:tc>
          <w:tcPr>
            <w:tcW w:w="200" w:type="dxa"/>
            <w:vAlign w:val="bottom"/>
            <w:shd w:val="clear" w:color="auto" w:fill="E5E5E5"/>
          </w:tcPr>
          <w:p>
            <w:pPr>
              <w:spacing w:after="0"/>
              <w:rPr>
                <w:sz w:val="15"/>
                <w:szCs w:val="15"/>
                <w:color w:val="auto"/>
              </w:rPr>
            </w:pPr>
          </w:p>
        </w:tc>
        <w:tc>
          <w:tcPr>
            <w:tcW w:w="120" w:type="dxa"/>
            <w:vAlign w:val="bottom"/>
            <w:shd w:val="clear" w:color="auto" w:fill="E5E5E5"/>
          </w:tcPr>
          <w:p>
            <w:pPr>
              <w:spacing w:after="0"/>
              <w:rPr>
                <w:sz w:val="15"/>
                <w:szCs w:val="15"/>
                <w:color w:val="auto"/>
              </w:rPr>
            </w:pPr>
          </w:p>
        </w:tc>
        <w:tc>
          <w:tcPr>
            <w:tcW w:w="780" w:type="dxa"/>
            <w:vAlign w:val="bottom"/>
            <w:shd w:val="clear" w:color="auto" w:fill="E5E5E5"/>
          </w:tcPr>
          <w:p>
            <w:pPr>
              <w:spacing w:after="0"/>
              <w:rPr>
                <w:sz w:val="15"/>
                <w:szCs w:val="15"/>
                <w:color w:val="auto"/>
              </w:rPr>
            </w:pPr>
          </w:p>
        </w:tc>
        <w:tc>
          <w:tcPr>
            <w:tcW w:w="200" w:type="dxa"/>
            <w:vAlign w:val="bottom"/>
            <w:shd w:val="clear" w:color="auto" w:fill="E5E5E5"/>
          </w:tcPr>
          <w:p>
            <w:pPr>
              <w:spacing w:after="0"/>
              <w:rPr>
                <w:sz w:val="15"/>
                <w:szCs w:val="15"/>
                <w:color w:val="auto"/>
              </w:rPr>
            </w:pPr>
          </w:p>
        </w:tc>
        <w:tc>
          <w:tcPr>
            <w:tcW w:w="160" w:type="dxa"/>
            <w:vAlign w:val="bottom"/>
            <w:shd w:val="clear" w:color="auto" w:fill="E5E5E5"/>
          </w:tcPr>
          <w:p>
            <w:pPr>
              <w:spacing w:after="0"/>
              <w:rPr>
                <w:sz w:val="15"/>
                <w:szCs w:val="15"/>
                <w:color w:val="auto"/>
              </w:rPr>
            </w:pPr>
          </w:p>
        </w:tc>
        <w:tc>
          <w:tcPr>
            <w:tcW w:w="860" w:type="dxa"/>
            <w:vAlign w:val="bottom"/>
            <w:shd w:val="clear" w:color="auto" w:fill="E5E5E5"/>
          </w:tcPr>
          <w:p>
            <w:pPr>
              <w:spacing w:after="0"/>
              <w:rPr>
                <w:sz w:val="15"/>
                <w:szCs w:val="15"/>
                <w:color w:val="auto"/>
              </w:rPr>
            </w:pPr>
          </w:p>
        </w:tc>
        <w:tc>
          <w:tcPr>
            <w:tcW w:w="100" w:type="dxa"/>
            <w:vAlign w:val="bottom"/>
            <w:shd w:val="clear" w:color="auto" w:fill="E5E5E5"/>
          </w:tcPr>
          <w:p>
            <w:pPr>
              <w:spacing w:after="0"/>
              <w:rPr>
                <w:sz w:val="15"/>
                <w:szCs w:val="15"/>
                <w:color w:val="auto"/>
              </w:rPr>
            </w:pPr>
          </w:p>
        </w:tc>
        <w:tc>
          <w:tcPr>
            <w:tcW w:w="100" w:type="dxa"/>
            <w:vAlign w:val="bottom"/>
            <w:shd w:val="clear" w:color="auto" w:fill="E5E5E5"/>
          </w:tcPr>
          <w:p>
            <w:pPr>
              <w:spacing w:after="0"/>
              <w:rPr>
                <w:sz w:val="15"/>
                <w:szCs w:val="15"/>
                <w:color w:val="auto"/>
              </w:rPr>
            </w:pPr>
          </w:p>
        </w:tc>
        <w:tc>
          <w:tcPr>
            <w:tcW w:w="160" w:type="dxa"/>
            <w:vAlign w:val="bottom"/>
            <w:shd w:val="clear" w:color="auto" w:fill="E5E5E5"/>
          </w:tcPr>
          <w:p>
            <w:pPr>
              <w:spacing w:after="0"/>
              <w:rPr>
                <w:sz w:val="15"/>
                <w:szCs w:val="15"/>
                <w:color w:val="auto"/>
              </w:rPr>
            </w:pPr>
          </w:p>
        </w:tc>
        <w:tc>
          <w:tcPr>
            <w:tcW w:w="860" w:type="dxa"/>
            <w:vAlign w:val="bottom"/>
            <w:shd w:val="clear" w:color="auto" w:fill="E5E5E5"/>
          </w:tcPr>
          <w:p>
            <w:pPr>
              <w:spacing w:after="0"/>
              <w:rPr>
                <w:sz w:val="15"/>
                <w:szCs w:val="15"/>
                <w:color w:val="auto"/>
              </w:rPr>
            </w:pPr>
          </w:p>
        </w:tc>
        <w:tc>
          <w:tcPr>
            <w:tcW w:w="100" w:type="dxa"/>
            <w:vAlign w:val="bottom"/>
            <w:shd w:val="clear" w:color="auto" w:fill="E5E5E5"/>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3020" w:type="dxa"/>
            <w:vAlign w:val="bottom"/>
            <w:shd w:val="clear" w:color="auto" w:fill="E5E5E5"/>
          </w:tcPr>
          <w:p>
            <w:pPr>
              <w:ind w:left="200"/>
              <w:spacing w:after="0"/>
              <w:rPr>
                <w:sz w:val="20"/>
                <w:szCs w:val="20"/>
                <w:color w:val="auto"/>
              </w:rPr>
            </w:pPr>
            <w:r>
              <w:rPr>
                <w:rFonts w:ascii="Arial" w:cs="Arial" w:eastAsia="Arial" w:hAnsi="Arial"/>
                <w:sz w:val="18"/>
                <w:szCs w:val="18"/>
                <w:color w:val="auto"/>
              </w:rPr>
              <w:t>securities</w:t>
            </w:r>
          </w:p>
        </w:tc>
        <w:tc>
          <w:tcPr>
            <w:tcW w:w="240" w:type="dxa"/>
            <w:vAlign w:val="bottom"/>
            <w:shd w:val="clear" w:color="auto" w:fill="E5E5E5"/>
          </w:tcPr>
          <w:p>
            <w:pPr>
              <w:spacing w:after="0"/>
              <w:rPr>
                <w:sz w:val="19"/>
                <w:szCs w:val="19"/>
                <w:color w:val="auto"/>
              </w:rPr>
            </w:pPr>
          </w:p>
        </w:tc>
        <w:tc>
          <w:tcPr>
            <w:tcW w:w="1020" w:type="dxa"/>
            <w:vAlign w:val="bottom"/>
            <w:gridSpan w:val="2"/>
            <w:shd w:val="clear" w:color="auto" w:fill="E5E5E5"/>
          </w:tcPr>
          <w:p>
            <w:pPr>
              <w:jc w:val="right"/>
              <w:ind w:right="180"/>
              <w:spacing w:after="0"/>
              <w:rPr>
                <w:sz w:val="20"/>
                <w:szCs w:val="20"/>
                <w:color w:val="auto"/>
              </w:rPr>
            </w:pPr>
            <w:r>
              <w:rPr>
                <w:rFonts w:ascii="Arial" w:cs="Arial" w:eastAsia="Arial" w:hAnsi="Arial"/>
                <w:sz w:val="18"/>
                <w:szCs w:val="18"/>
                <w:color w:val="auto"/>
              </w:rPr>
              <w:t>3,921</w:t>
            </w:r>
          </w:p>
        </w:tc>
        <w:tc>
          <w:tcPr>
            <w:tcW w:w="220" w:type="dxa"/>
            <w:vAlign w:val="bottom"/>
            <w:shd w:val="clear" w:color="auto" w:fill="E5E5E5"/>
          </w:tcPr>
          <w:p>
            <w:pPr>
              <w:spacing w:after="0"/>
              <w:rPr>
                <w:sz w:val="19"/>
                <w:szCs w:val="19"/>
                <w:color w:val="auto"/>
              </w:rPr>
            </w:pPr>
          </w:p>
        </w:tc>
        <w:tc>
          <w:tcPr>
            <w:tcW w:w="940" w:type="dxa"/>
            <w:vAlign w:val="bottom"/>
            <w:gridSpan w:val="2"/>
            <w:shd w:val="clear" w:color="auto" w:fill="E5E5E5"/>
          </w:tcPr>
          <w:p>
            <w:pPr>
              <w:jc w:val="right"/>
              <w:ind w:right="120"/>
              <w:spacing w:after="0"/>
              <w:rPr>
                <w:sz w:val="20"/>
                <w:szCs w:val="20"/>
                <w:color w:val="auto"/>
              </w:rPr>
            </w:pPr>
            <w:r>
              <w:rPr>
                <w:rFonts w:ascii="Arial" w:cs="Arial" w:eastAsia="Arial" w:hAnsi="Arial"/>
                <w:sz w:val="18"/>
                <w:szCs w:val="18"/>
                <w:color w:val="auto"/>
              </w:rPr>
              <w:t>14</w:t>
            </w:r>
          </w:p>
        </w:tc>
        <w:tc>
          <w:tcPr>
            <w:tcW w:w="100" w:type="dxa"/>
            <w:vAlign w:val="bottom"/>
            <w:shd w:val="clear" w:color="auto" w:fill="E5E5E5"/>
          </w:tcPr>
          <w:p>
            <w:pPr>
              <w:spacing w:after="0"/>
              <w:rPr>
                <w:sz w:val="19"/>
                <w:szCs w:val="19"/>
                <w:color w:val="auto"/>
              </w:rPr>
            </w:pPr>
          </w:p>
        </w:tc>
        <w:tc>
          <w:tcPr>
            <w:tcW w:w="200" w:type="dxa"/>
            <w:vAlign w:val="bottom"/>
            <w:shd w:val="clear" w:color="auto" w:fill="E5E5E5"/>
          </w:tcPr>
          <w:p>
            <w:pPr>
              <w:spacing w:after="0"/>
              <w:rPr>
                <w:sz w:val="19"/>
                <w:szCs w:val="19"/>
                <w:color w:val="auto"/>
              </w:rPr>
            </w:pPr>
          </w:p>
        </w:tc>
        <w:tc>
          <w:tcPr>
            <w:tcW w:w="940" w:type="dxa"/>
            <w:vAlign w:val="bottom"/>
            <w:gridSpan w:val="2"/>
            <w:shd w:val="clear" w:color="auto" w:fill="E5E5E5"/>
          </w:tcPr>
          <w:p>
            <w:pPr>
              <w:jc w:val="right"/>
              <w:ind w:right="60"/>
              <w:spacing w:after="0"/>
              <w:rPr>
                <w:sz w:val="20"/>
                <w:szCs w:val="20"/>
                <w:color w:val="auto"/>
              </w:rPr>
            </w:pPr>
            <w:r>
              <w:rPr>
                <w:rFonts w:ascii="Arial" w:cs="Arial" w:eastAsia="Arial" w:hAnsi="Arial"/>
                <w:sz w:val="18"/>
                <w:szCs w:val="18"/>
                <w:color w:val="auto"/>
              </w:rPr>
              <w:t>(4)</w:t>
            </w:r>
          </w:p>
        </w:tc>
        <w:tc>
          <w:tcPr>
            <w:tcW w:w="60" w:type="dxa"/>
            <w:vAlign w:val="bottom"/>
            <w:shd w:val="clear" w:color="auto" w:fill="E5E5E5"/>
          </w:tcPr>
          <w:p>
            <w:pPr>
              <w:spacing w:after="0"/>
              <w:rPr>
                <w:sz w:val="19"/>
                <w:szCs w:val="19"/>
                <w:color w:val="auto"/>
              </w:rPr>
            </w:pPr>
          </w:p>
        </w:tc>
        <w:tc>
          <w:tcPr>
            <w:tcW w:w="240" w:type="dxa"/>
            <w:vAlign w:val="bottom"/>
            <w:shd w:val="clear" w:color="auto" w:fill="E5E5E5"/>
          </w:tcPr>
          <w:p>
            <w:pPr>
              <w:spacing w:after="0"/>
              <w:rPr>
                <w:sz w:val="19"/>
                <w:szCs w:val="19"/>
                <w:color w:val="auto"/>
              </w:rPr>
            </w:pPr>
          </w:p>
        </w:tc>
        <w:tc>
          <w:tcPr>
            <w:tcW w:w="980" w:type="dxa"/>
            <w:vAlign w:val="bottom"/>
            <w:gridSpan w:val="2"/>
            <w:shd w:val="clear" w:color="auto" w:fill="E5E5E5"/>
          </w:tcPr>
          <w:p>
            <w:pPr>
              <w:jc w:val="right"/>
              <w:ind w:right="200"/>
              <w:spacing w:after="0"/>
              <w:rPr>
                <w:sz w:val="20"/>
                <w:szCs w:val="20"/>
                <w:color w:val="auto"/>
              </w:rPr>
            </w:pPr>
            <w:r>
              <w:rPr>
                <w:rFonts w:ascii="Arial" w:cs="Arial" w:eastAsia="Arial" w:hAnsi="Arial"/>
                <w:sz w:val="18"/>
                <w:szCs w:val="18"/>
                <w:color w:val="auto"/>
              </w:rPr>
              <w:t>3,931</w:t>
            </w:r>
          </w:p>
        </w:tc>
        <w:tc>
          <w:tcPr>
            <w:tcW w:w="120" w:type="dxa"/>
            <w:vAlign w:val="bottom"/>
            <w:shd w:val="clear" w:color="auto" w:fill="E5E5E5"/>
          </w:tcPr>
          <w:p>
            <w:pPr>
              <w:spacing w:after="0"/>
              <w:rPr>
                <w:sz w:val="19"/>
                <w:szCs w:val="19"/>
                <w:color w:val="auto"/>
              </w:rPr>
            </w:pPr>
          </w:p>
        </w:tc>
        <w:tc>
          <w:tcPr>
            <w:tcW w:w="980" w:type="dxa"/>
            <w:vAlign w:val="bottom"/>
            <w:gridSpan w:val="2"/>
            <w:shd w:val="clear" w:color="auto" w:fill="E5E5E5"/>
          </w:tcPr>
          <w:p>
            <w:pPr>
              <w:jc w:val="right"/>
              <w:ind w:right="200"/>
              <w:spacing w:after="0"/>
              <w:rPr>
                <w:sz w:val="20"/>
                <w:szCs w:val="20"/>
                <w:color w:val="auto"/>
              </w:rPr>
            </w:pPr>
            <w:r>
              <w:rPr>
                <w:rFonts w:ascii="Arial" w:cs="Arial" w:eastAsia="Arial" w:hAnsi="Arial"/>
                <w:sz w:val="18"/>
                <w:szCs w:val="18"/>
                <w:color w:val="auto"/>
              </w:rPr>
              <w:t>0</w:t>
            </w:r>
          </w:p>
        </w:tc>
        <w:tc>
          <w:tcPr>
            <w:tcW w:w="160" w:type="dxa"/>
            <w:vAlign w:val="bottom"/>
            <w:shd w:val="clear" w:color="auto" w:fill="E5E5E5"/>
          </w:tcPr>
          <w:p>
            <w:pPr>
              <w:spacing w:after="0"/>
              <w:rPr>
                <w:sz w:val="19"/>
                <w:szCs w:val="19"/>
                <w:color w:val="auto"/>
              </w:rPr>
            </w:pPr>
          </w:p>
        </w:tc>
        <w:tc>
          <w:tcPr>
            <w:tcW w:w="960" w:type="dxa"/>
            <w:vAlign w:val="bottom"/>
            <w:gridSpan w:val="2"/>
            <w:shd w:val="clear" w:color="auto" w:fill="E5E5E5"/>
          </w:tcPr>
          <w:p>
            <w:pPr>
              <w:jc w:val="right"/>
              <w:ind w:right="100"/>
              <w:spacing w:after="0"/>
              <w:rPr>
                <w:sz w:val="20"/>
                <w:szCs w:val="20"/>
                <w:color w:val="auto"/>
              </w:rPr>
            </w:pPr>
            <w:r>
              <w:rPr>
                <w:rFonts w:ascii="Arial" w:cs="Arial" w:eastAsia="Arial" w:hAnsi="Arial"/>
                <w:sz w:val="18"/>
                <w:szCs w:val="18"/>
                <w:color w:val="auto"/>
              </w:rPr>
              <w:t>3,931</w:t>
            </w:r>
          </w:p>
        </w:tc>
        <w:tc>
          <w:tcPr>
            <w:tcW w:w="100" w:type="dxa"/>
            <w:vAlign w:val="bottom"/>
            <w:shd w:val="clear" w:color="auto" w:fill="E5E5E5"/>
          </w:tcPr>
          <w:p>
            <w:pPr>
              <w:spacing w:after="0"/>
              <w:rPr>
                <w:sz w:val="19"/>
                <w:szCs w:val="19"/>
                <w:color w:val="auto"/>
              </w:rPr>
            </w:pPr>
          </w:p>
        </w:tc>
        <w:tc>
          <w:tcPr>
            <w:tcW w:w="160" w:type="dxa"/>
            <w:vAlign w:val="bottom"/>
            <w:shd w:val="clear" w:color="auto" w:fill="E5E5E5"/>
          </w:tcPr>
          <w:p>
            <w:pPr>
              <w:spacing w:after="0"/>
              <w:rPr>
                <w:sz w:val="19"/>
                <w:szCs w:val="19"/>
                <w:color w:val="auto"/>
              </w:rPr>
            </w:pPr>
          </w:p>
        </w:tc>
        <w:tc>
          <w:tcPr>
            <w:tcW w:w="8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0</w:t>
            </w:r>
          </w:p>
        </w:tc>
        <w:tc>
          <w:tcPr>
            <w:tcW w:w="100" w:type="dxa"/>
            <w:vAlign w:val="bottom"/>
            <w:shd w:val="clear" w:color="auto" w:fill="E5E5E5"/>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20" w:type="dxa"/>
            <w:vAlign w:val="bottom"/>
          </w:tcPr>
          <w:p>
            <w:pPr>
              <w:spacing w:after="0" w:line="202" w:lineRule="exact"/>
              <w:rPr>
                <w:sz w:val="20"/>
                <w:szCs w:val="20"/>
                <w:color w:val="auto"/>
              </w:rPr>
            </w:pPr>
            <w:r>
              <w:rPr>
                <w:rFonts w:ascii="Arial" w:cs="Arial" w:eastAsia="Arial" w:hAnsi="Arial"/>
                <w:sz w:val="18"/>
                <w:szCs w:val="18"/>
                <w:color w:val="auto"/>
              </w:rPr>
              <w:t>Corporate notes and bonds</w:t>
            </w:r>
          </w:p>
        </w:tc>
        <w:tc>
          <w:tcPr>
            <w:tcW w:w="240" w:type="dxa"/>
            <w:vAlign w:val="bottom"/>
          </w:tcPr>
          <w:p>
            <w:pPr>
              <w:spacing w:after="0"/>
              <w:rPr>
                <w:sz w:val="17"/>
                <w:szCs w:val="17"/>
                <w:color w:val="auto"/>
              </w:rPr>
            </w:pPr>
          </w:p>
        </w:tc>
        <w:tc>
          <w:tcPr>
            <w:tcW w:w="102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4,786</w:t>
            </w:r>
          </w:p>
        </w:tc>
        <w:tc>
          <w:tcPr>
            <w:tcW w:w="220" w:type="dxa"/>
            <w:vAlign w:val="bottom"/>
          </w:tcPr>
          <w:p>
            <w:pPr>
              <w:spacing w:after="0"/>
              <w:rPr>
                <w:sz w:val="17"/>
                <w:szCs w:val="17"/>
                <w:color w:val="auto"/>
              </w:rPr>
            </w:pPr>
          </w:p>
        </w:tc>
        <w:tc>
          <w:tcPr>
            <w:tcW w:w="9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61</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(12)</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4,835</w:t>
            </w:r>
          </w:p>
        </w:tc>
        <w:tc>
          <w:tcPr>
            <w:tcW w:w="120" w:type="dxa"/>
            <w:vAlign w:val="bottom"/>
          </w:tcPr>
          <w:p>
            <w:pPr>
              <w:spacing w:after="0"/>
              <w:rPr>
                <w:sz w:val="17"/>
                <w:szCs w:val="17"/>
                <w:color w:val="auto"/>
              </w:rPr>
            </w:pPr>
          </w:p>
        </w:tc>
        <w:tc>
          <w:tcPr>
            <w:tcW w:w="98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0</w:t>
            </w:r>
          </w:p>
        </w:tc>
        <w:tc>
          <w:tcPr>
            <w:tcW w:w="160" w:type="dxa"/>
            <w:vAlign w:val="bottom"/>
          </w:tcPr>
          <w:p>
            <w:pPr>
              <w:spacing w:after="0"/>
              <w:rPr>
                <w:sz w:val="17"/>
                <w:szCs w:val="17"/>
                <w:color w:val="auto"/>
              </w:rPr>
            </w:pPr>
          </w:p>
        </w:tc>
        <w:tc>
          <w:tcPr>
            <w:tcW w:w="9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4,835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2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Municipal securities</w:t>
            </w:r>
          </w:p>
        </w:tc>
        <w:tc>
          <w:tcPr>
            <w:tcW w:w="240" w:type="dxa"/>
            <w:vAlign w:val="bottom"/>
            <w:shd w:val="clear" w:color="auto" w:fill="E5E5E5"/>
          </w:tcPr>
          <w:p>
            <w:pPr>
              <w:spacing w:after="0"/>
              <w:rPr>
                <w:sz w:val="17"/>
                <w:szCs w:val="17"/>
                <w:color w:val="auto"/>
              </w:rPr>
            </w:pPr>
          </w:p>
        </w:tc>
        <w:tc>
          <w:tcPr>
            <w:tcW w:w="84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284</w:t>
            </w:r>
          </w:p>
        </w:tc>
        <w:tc>
          <w:tcPr>
            <w:tcW w:w="180" w:type="dxa"/>
            <w:vAlign w:val="bottom"/>
            <w:shd w:val="clear" w:color="auto" w:fill="E5E5E5"/>
          </w:tcPr>
          <w:p>
            <w:pPr>
              <w:spacing w:after="0"/>
              <w:rPr>
                <w:sz w:val="17"/>
                <w:szCs w:val="17"/>
                <w:color w:val="auto"/>
              </w:rPr>
            </w:pPr>
          </w:p>
        </w:tc>
        <w:tc>
          <w:tcPr>
            <w:tcW w:w="220" w:type="dxa"/>
            <w:vAlign w:val="bottom"/>
            <w:shd w:val="clear" w:color="auto" w:fill="E5E5E5"/>
          </w:tcPr>
          <w:p>
            <w:pPr>
              <w:spacing w:after="0"/>
              <w:rPr>
                <w:sz w:val="17"/>
                <w:szCs w:val="17"/>
                <w:color w:val="auto"/>
              </w:rPr>
            </w:pPr>
          </w:p>
        </w:tc>
        <w:tc>
          <w:tcPr>
            <w:tcW w:w="940" w:type="dxa"/>
            <w:vAlign w:val="bottom"/>
            <w:gridSpan w:val="2"/>
            <w:shd w:val="clear" w:color="auto" w:fill="E5E5E5"/>
          </w:tcPr>
          <w:p>
            <w:pPr>
              <w:jc w:val="right"/>
              <w:ind w:right="120"/>
              <w:spacing w:after="0" w:line="202" w:lineRule="exact"/>
              <w:rPr>
                <w:sz w:val="20"/>
                <w:szCs w:val="20"/>
                <w:color w:val="auto"/>
              </w:rPr>
            </w:pPr>
            <w:r>
              <w:rPr>
                <w:rFonts w:ascii="Arial" w:cs="Arial" w:eastAsia="Arial" w:hAnsi="Arial"/>
                <w:sz w:val="18"/>
                <w:szCs w:val="18"/>
                <w:color w:val="auto"/>
              </w:rPr>
              <w:t>43</w:t>
            </w:r>
          </w:p>
        </w:tc>
        <w:tc>
          <w:tcPr>
            <w:tcW w:w="100" w:type="dxa"/>
            <w:vAlign w:val="bottom"/>
            <w:shd w:val="clear" w:color="auto" w:fill="E5E5E5"/>
          </w:tcPr>
          <w:p>
            <w:pPr>
              <w:spacing w:after="0"/>
              <w:rPr>
                <w:sz w:val="17"/>
                <w:szCs w:val="17"/>
                <w:color w:val="auto"/>
              </w:rPr>
            </w:pPr>
          </w:p>
        </w:tc>
        <w:tc>
          <w:tcPr>
            <w:tcW w:w="200" w:type="dxa"/>
            <w:vAlign w:val="bottom"/>
            <w:shd w:val="clear" w:color="auto" w:fill="E5E5E5"/>
          </w:tcPr>
          <w:p>
            <w:pPr>
              <w:spacing w:after="0"/>
              <w:rPr>
                <w:sz w:val="17"/>
                <w:szCs w:val="17"/>
                <w:color w:val="auto"/>
              </w:rPr>
            </w:pPr>
          </w:p>
        </w:tc>
        <w:tc>
          <w:tcPr>
            <w:tcW w:w="940" w:type="dxa"/>
            <w:vAlign w:val="bottom"/>
            <w:gridSpan w:val="2"/>
            <w:shd w:val="clear" w:color="auto" w:fill="E5E5E5"/>
          </w:tcPr>
          <w:p>
            <w:pPr>
              <w:jc w:val="right"/>
              <w:ind w:right="120"/>
              <w:spacing w:after="0" w:line="202" w:lineRule="exact"/>
              <w:rPr>
                <w:sz w:val="20"/>
                <w:szCs w:val="20"/>
                <w:color w:val="auto"/>
              </w:rPr>
            </w:pPr>
            <w:r>
              <w:rPr>
                <w:rFonts w:ascii="Arial" w:cs="Arial" w:eastAsia="Arial" w:hAnsi="Arial"/>
                <w:sz w:val="18"/>
                <w:szCs w:val="18"/>
                <w:color w:val="auto"/>
              </w:rPr>
              <w:t>0</w:t>
            </w:r>
          </w:p>
        </w:tc>
        <w:tc>
          <w:tcPr>
            <w:tcW w:w="60" w:type="dxa"/>
            <w:vAlign w:val="bottom"/>
            <w:shd w:val="clear" w:color="auto" w:fill="E5E5E5"/>
          </w:tcPr>
          <w:p>
            <w:pPr>
              <w:spacing w:after="0"/>
              <w:rPr>
                <w:sz w:val="17"/>
                <w:szCs w:val="17"/>
                <w:color w:val="auto"/>
              </w:rPr>
            </w:pPr>
          </w:p>
        </w:tc>
        <w:tc>
          <w:tcPr>
            <w:tcW w:w="240" w:type="dxa"/>
            <w:vAlign w:val="bottom"/>
            <w:shd w:val="clear" w:color="auto" w:fill="E5E5E5"/>
          </w:tcPr>
          <w:p>
            <w:pPr>
              <w:spacing w:after="0"/>
              <w:rPr>
                <w:sz w:val="17"/>
                <w:szCs w:val="17"/>
                <w:color w:val="auto"/>
              </w:rPr>
            </w:pPr>
          </w:p>
        </w:tc>
        <w:tc>
          <w:tcPr>
            <w:tcW w:w="980" w:type="dxa"/>
            <w:vAlign w:val="bottom"/>
            <w:gridSpan w:val="2"/>
            <w:shd w:val="clear" w:color="auto" w:fill="E5E5E5"/>
          </w:tcPr>
          <w:p>
            <w:pPr>
              <w:jc w:val="right"/>
              <w:ind w:right="200"/>
              <w:spacing w:after="0" w:line="202" w:lineRule="exact"/>
              <w:rPr>
                <w:sz w:val="20"/>
                <w:szCs w:val="20"/>
                <w:color w:val="auto"/>
              </w:rPr>
            </w:pPr>
            <w:r>
              <w:rPr>
                <w:rFonts w:ascii="Arial" w:cs="Arial" w:eastAsia="Arial" w:hAnsi="Arial"/>
                <w:sz w:val="18"/>
                <w:szCs w:val="18"/>
                <w:color w:val="auto"/>
              </w:rPr>
              <w:t>327</w:t>
            </w:r>
          </w:p>
        </w:tc>
        <w:tc>
          <w:tcPr>
            <w:tcW w:w="120" w:type="dxa"/>
            <w:vAlign w:val="bottom"/>
            <w:shd w:val="clear" w:color="auto" w:fill="E5E5E5"/>
          </w:tcPr>
          <w:p>
            <w:pPr>
              <w:spacing w:after="0"/>
              <w:rPr>
                <w:sz w:val="17"/>
                <w:szCs w:val="17"/>
                <w:color w:val="auto"/>
              </w:rPr>
            </w:pPr>
          </w:p>
        </w:tc>
        <w:tc>
          <w:tcPr>
            <w:tcW w:w="980" w:type="dxa"/>
            <w:vAlign w:val="bottom"/>
            <w:gridSpan w:val="2"/>
            <w:shd w:val="clear" w:color="auto" w:fill="E5E5E5"/>
          </w:tcPr>
          <w:p>
            <w:pPr>
              <w:jc w:val="right"/>
              <w:ind w:right="200"/>
              <w:spacing w:after="0" w:line="202" w:lineRule="exact"/>
              <w:rPr>
                <w:sz w:val="20"/>
                <w:szCs w:val="20"/>
                <w:color w:val="auto"/>
              </w:rPr>
            </w:pPr>
            <w:r>
              <w:rPr>
                <w:rFonts w:ascii="Arial" w:cs="Arial" w:eastAsia="Arial" w:hAnsi="Arial"/>
                <w:sz w:val="18"/>
                <w:szCs w:val="18"/>
                <w:color w:val="auto"/>
              </w:rPr>
              <w:t>0</w:t>
            </w:r>
          </w:p>
        </w:tc>
        <w:tc>
          <w:tcPr>
            <w:tcW w:w="160" w:type="dxa"/>
            <w:vAlign w:val="bottom"/>
            <w:shd w:val="clear" w:color="auto" w:fill="E5E5E5"/>
          </w:tcPr>
          <w:p>
            <w:pPr>
              <w:spacing w:after="0"/>
              <w:rPr>
                <w:sz w:val="17"/>
                <w:szCs w:val="17"/>
                <w:color w:val="auto"/>
              </w:rPr>
            </w:pPr>
          </w:p>
        </w:tc>
        <w:tc>
          <w:tcPr>
            <w:tcW w:w="86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327</w:t>
            </w:r>
          </w:p>
        </w:tc>
        <w:tc>
          <w:tcPr>
            <w:tcW w:w="10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86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0</w:t>
            </w:r>
          </w:p>
        </w:tc>
        <w:tc>
          <w:tcPr>
            <w:tcW w:w="10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20" w:type="dxa"/>
            <w:vAlign w:val="bottom"/>
          </w:tcPr>
          <w:p>
            <w:pPr>
              <w:spacing w:after="0" w:line="202" w:lineRule="exact"/>
              <w:rPr>
                <w:sz w:val="20"/>
                <w:szCs w:val="20"/>
                <w:color w:val="auto"/>
              </w:rPr>
            </w:pPr>
            <w:r>
              <w:rPr>
                <w:rFonts w:ascii="Arial" w:cs="Arial" w:eastAsia="Arial" w:hAnsi="Arial"/>
                <w:sz w:val="18"/>
                <w:szCs w:val="18"/>
                <w:color w:val="auto"/>
              </w:rPr>
              <w:t>Common and preferred stock</w:t>
            </w:r>
          </w:p>
        </w:tc>
        <w:tc>
          <w:tcPr>
            <w:tcW w:w="240" w:type="dxa"/>
            <w:vAlign w:val="bottom"/>
          </w:tcPr>
          <w:p>
            <w:pPr>
              <w:spacing w:after="0"/>
              <w:rPr>
                <w:sz w:val="17"/>
                <w:szCs w:val="17"/>
                <w:color w:val="auto"/>
              </w:rPr>
            </w:pPr>
          </w:p>
        </w:tc>
        <w:tc>
          <w:tcPr>
            <w:tcW w:w="102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2,472</w:t>
            </w:r>
          </w:p>
        </w:tc>
        <w:tc>
          <w:tcPr>
            <w:tcW w:w="220" w:type="dxa"/>
            <w:vAlign w:val="bottom"/>
          </w:tcPr>
          <w:p>
            <w:pPr>
              <w:spacing w:after="0"/>
              <w:rPr>
                <w:sz w:val="17"/>
                <w:szCs w:val="17"/>
                <w:color w:val="auto"/>
              </w:rPr>
            </w:pPr>
          </w:p>
        </w:tc>
        <w:tc>
          <w:tcPr>
            <w:tcW w:w="9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3,062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(34)</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5,500</w:t>
            </w:r>
          </w:p>
        </w:tc>
        <w:tc>
          <w:tcPr>
            <w:tcW w:w="120" w:type="dxa"/>
            <w:vAlign w:val="bottom"/>
          </w:tcPr>
          <w:p>
            <w:pPr>
              <w:spacing w:after="0"/>
              <w:rPr>
                <w:sz w:val="17"/>
                <w:szCs w:val="17"/>
                <w:color w:val="auto"/>
              </w:rPr>
            </w:pPr>
          </w:p>
        </w:tc>
        <w:tc>
          <w:tcPr>
            <w:tcW w:w="98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0</w:t>
            </w:r>
          </w:p>
        </w:tc>
        <w:tc>
          <w:tcPr>
            <w:tcW w:w="160" w:type="dxa"/>
            <w:vAlign w:val="bottom"/>
          </w:tcPr>
          <w:p>
            <w:pPr>
              <w:spacing w:after="0"/>
              <w:rPr>
                <w:sz w:val="17"/>
                <w:szCs w:val="17"/>
                <w:color w:val="auto"/>
              </w:rPr>
            </w:pPr>
          </w:p>
        </w:tc>
        <w:tc>
          <w:tcPr>
            <w:tcW w:w="9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5,500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2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Other investments</w:t>
            </w:r>
          </w:p>
        </w:tc>
        <w:tc>
          <w:tcPr>
            <w:tcW w:w="240" w:type="dxa"/>
            <w:vAlign w:val="bottom"/>
            <w:shd w:val="clear" w:color="auto" w:fill="E5E5E5"/>
          </w:tcPr>
          <w:p>
            <w:pPr>
              <w:spacing w:after="0"/>
              <w:rPr>
                <w:sz w:val="17"/>
                <w:szCs w:val="17"/>
                <w:color w:val="auto"/>
              </w:rPr>
            </w:pPr>
          </w:p>
        </w:tc>
        <w:tc>
          <w:tcPr>
            <w:tcW w:w="84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523</w:t>
            </w:r>
          </w:p>
        </w:tc>
        <w:tc>
          <w:tcPr>
            <w:tcW w:w="180" w:type="dxa"/>
            <w:vAlign w:val="bottom"/>
            <w:shd w:val="clear" w:color="auto" w:fill="E5E5E5"/>
          </w:tcPr>
          <w:p>
            <w:pPr>
              <w:spacing w:after="0"/>
              <w:rPr>
                <w:sz w:val="17"/>
                <w:szCs w:val="17"/>
                <w:color w:val="auto"/>
              </w:rPr>
            </w:pPr>
          </w:p>
        </w:tc>
        <w:tc>
          <w:tcPr>
            <w:tcW w:w="220" w:type="dxa"/>
            <w:vAlign w:val="bottom"/>
            <w:shd w:val="clear" w:color="auto" w:fill="E5E5E5"/>
          </w:tcPr>
          <w:p>
            <w:pPr>
              <w:spacing w:after="0"/>
              <w:rPr>
                <w:sz w:val="17"/>
                <w:szCs w:val="17"/>
                <w:color w:val="auto"/>
              </w:rPr>
            </w:pPr>
          </w:p>
        </w:tc>
        <w:tc>
          <w:tcPr>
            <w:tcW w:w="82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0</w:t>
            </w:r>
          </w:p>
        </w:tc>
        <w:tc>
          <w:tcPr>
            <w:tcW w:w="12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200" w:type="dxa"/>
            <w:vAlign w:val="bottom"/>
            <w:shd w:val="clear" w:color="auto" w:fill="E5E5E5"/>
          </w:tcPr>
          <w:p>
            <w:pPr>
              <w:spacing w:after="0"/>
              <w:rPr>
                <w:sz w:val="17"/>
                <w:szCs w:val="17"/>
                <w:color w:val="auto"/>
              </w:rPr>
            </w:pPr>
          </w:p>
        </w:tc>
        <w:tc>
          <w:tcPr>
            <w:tcW w:w="82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0</w:t>
            </w:r>
          </w:p>
        </w:tc>
        <w:tc>
          <w:tcPr>
            <w:tcW w:w="120" w:type="dxa"/>
            <w:vAlign w:val="bottom"/>
            <w:shd w:val="clear" w:color="auto" w:fill="E5E5E5"/>
          </w:tcPr>
          <w:p>
            <w:pPr>
              <w:spacing w:after="0"/>
              <w:rPr>
                <w:sz w:val="17"/>
                <w:szCs w:val="17"/>
                <w:color w:val="auto"/>
              </w:rPr>
            </w:pPr>
          </w:p>
        </w:tc>
        <w:tc>
          <w:tcPr>
            <w:tcW w:w="60" w:type="dxa"/>
            <w:vAlign w:val="bottom"/>
            <w:shd w:val="clear" w:color="auto" w:fill="E5E5E5"/>
          </w:tcPr>
          <w:p>
            <w:pPr>
              <w:spacing w:after="0"/>
              <w:rPr>
                <w:sz w:val="17"/>
                <w:szCs w:val="17"/>
                <w:color w:val="auto"/>
              </w:rPr>
            </w:pPr>
          </w:p>
        </w:tc>
        <w:tc>
          <w:tcPr>
            <w:tcW w:w="240" w:type="dxa"/>
            <w:vAlign w:val="bottom"/>
            <w:shd w:val="clear" w:color="auto" w:fill="E5E5E5"/>
          </w:tcPr>
          <w:p>
            <w:pPr>
              <w:spacing w:after="0"/>
              <w:rPr>
                <w:sz w:val="17"/>
                <w:szCs w:val="17"/>
                <w:color w:val="auto"/>
              </w:rPr>
            </w:pPr>
          </w:p>
        </w:tc>
        <w:tc>
          <w:tcPr>
            <w:tcW w:w="980" w:type="dxa"/>
            <w:vAlign w:val="bottom"/>
            <w:gridSpan w:val="2"/>
            <w:shd w:val="clear" w:color="auto" w:fill="E5E5E5"/>
          </w:tcPr>
          <w:p>
            <w:pPr>
              <w:jc w:val="right"/>
              <w:ind w:right="200"/>
              <w:spacing w:after="0" w:line="202" w:lineRule="exact"/>
              <w:rPr>
                <w:sz w:val="20"/>
                <w:szCs w:val="20"/>
                <w:color w:val="auto"/>
              </w:rPr>
            </w:pPr>
            <w:r>
              <w:rPr>
                <w:rFonts w:ascii="Arial" w:cs="Arial" w:eastAsia="Arial" w:hAnsi="Arial"/>
                <w:sz w:val="18"/>
                <w:szCs w:val="18"/>
                <w:color w:val="auto"/>
              </w:rPr>
              <w:t>523</w:t>
            </w:r>
          </w:p>
        </w:tc>
        <w:tc>
          <w:tcPr>
            <w:tcW w:w="120" w:type="dxa"/>
            <w:vAlign w:val="bottom"/>
            <w:shd w:val="clear" w:color="auto" w:fill="E5E5E5"/>
          </w:tcPr>
          <w:p>
            <w:pPr>
              <w:spacing w:after="0"/>
              <w:rPr>
                <w:sz w:val="17"/>
                <w:szCs w:val="17"/>
                <w:color w:val="auto"/>
              </w:rPr>
            </w:pPr>
          </w:p>
        </w:tc>
        <w:tc>
          <w:tcPr>
            <w:tcW w:w="980" w:type="dxa"/>
            <w:vAlign w:val="bottom"/>
            <w:gridSpan w:val="2"/>
            <w:shd w:val="clear" w:color="auto" w:fill="E5E5E5"/>
          </w:tcPr>
          <w:p>
            <w:pPr>
              <w:jc w:val="right"/>
              <w:ind w:right="200"/>
              <w:spacing w:after="0" w:line="202" w:lineRule="exact"/>
              <w:rPr>
                <w:sz w:val="20"/>
                <w:szCs w:val="20"/>
                <w:color w:val="auto"/>
              </w:rPr>
            </w:pPr>
            <w:r>
              <w:rPr>
                <w:rFonts w:ascii="Arial" w:cs="Arial" w:eastAsia="Arial" w:hAnsi="Arial"/>
                <w:sz w:val="18"/>
                <w:szCs w:val="18"/>
                <w:color w:val="auto"/>
              </w:rPr>
              <w:t>0</w:t>
            </w:r>
          </w:p>
        </w:tc>
        <w:tc>
          <w:tcPr>
            <w:tcW w:w="160" w:type="dxa"/>
            <w:vAlign w:val="bottom"/>
            <w:shd w:val="clear" w:color="auto" w:fill="E5E5E5"/>
          </w:tcPr>
          <w:p>
            <w:pPr>
              <w:spacing w:after="0"/>
              <w:rPr>
                <w:sz w:val="17"/>
                <w:szCs w:val="17"/>
                <w:color w:val="auto"/>
              </w:rPr>
            </w:pPr>
          </w:p>
        </w:tc>
        <w:tc>
          <w:tcPr>
            <w:tcW w:w="96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0</w:t>
            </w:r>
          </w:p>
        </w:tc>
        <w:tc>
          <w:tcPr>
            <w:tcW w:w="10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96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523</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302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180" w:type="dxa"/>
            <w:vAlign w:val="bottom"/>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020" w:type="dxa"/>
            <w:vAlign w:val="bottom"/>
          </w:tcPr>
          <w:p>
            <w:pPr>
              <w:spacing w:after="0"/>
              <w:rPr>
                <w:sz w:val="5"/>
                <w:szCs w:val="5"/>
                <w:color w:val="auto"/>
              </w:rPr>
            </w:pPr>
          </w:p>
        </w:tc>
        <w:tc>
          <w:tcPr>
            <w:tcW w:w="240" w:type="dxa"/>
            <w:vAlign w:val="bottom"/>
          </w:tcPr>
          <w:p>
            <w:pPr>
              <w:spacing w:after="0"/>
              <w:rPr>
                <w:sz w:val="5"/>
                <w:szCs w:val="5"/>
                <w:color w:val="auto"/>
              </w:rPr>
            </w:pPr>
          </w:p>
        </w:tc>
        <w:tc>
          <w:tcPr>
            <w:tcW w:w="840" w:type="dxa"/>
            <w:vAlign w:val="bottom"/>
          </w:tcPr>
          <w:p>
            <w:pPr>
              <w:spacing w:after="0"/>
              <w:rPr>
                <w:sz w:val="5"/>
                <w:szCs w:val="5"/>
                <w:color w:val="auto"/>
              </w:rPr>
            </w:pPr>
          </w:p>
        </w:tc>
        <w:tc>
          <w:tcPr>
            <w:tcW w:w="180" w:type="dxa"/>
            <w:vAlign w:val="bottom"/>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24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6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20" w:type="dxa"/>
            <w:vAlign w:val="bottom"/>
            <w:shd w:val="clear" w:color="auto" w:fill="E5E5E5"/>
          </w:tcPr>
          <w:p>
            <w:pPr>
              <w:ind w:left="200"/>
              <w:spacing w:after="0" w:line="202" w:lineRule="exact"/>
              <w:rPr>
                <w:sz w:val="20"/>
                <w:szCs w:val="20"/>
                <w:color w:val="auto"/>
              </w:rPr>
            </w:pPr>
            <w:r>
              <w:rPr>
                <w:rFonts w:ascii="Arial" w:cs="Arial" w:eastAsia="Arial" w:hAnsi="Arial"/>
                <w:sz w:val="18"/>
                <w:szCs w:val="18"/>
                <w:color w:val="auto"/>
              </w:rPr>
              <w:t>Total</w:t>
            </w:r>
          </w:p>
        </w:tc>
        <w:tc>
          <w:tcPr>
            <w:tcW w:w="240" w:type="dxa"/>
            <w:vAlign w:val="bottom"/>
            <w:shd w:val="clear" w:color="auto" w:fill="E5E5E5"/>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84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136,160</w:t>
            </w:r>
          </w:p>
        </w:tc>
        <w:tc>
          <w:tcPr>
            <w:tcW w:w="180" w:type="dxa"/>
            <w:vAlign w:val="bottom"/>
            <w:shd w:val="clear" w:color="auto" w:fill="E5E5E5"/>
          </w:tcPr>
          <w:p>
            <w:pPr>
              <w:spacing w:after="0"/>
              <w:rPr>
                <w:sz w:val="17"/>
                <w:szCs w:val="17"/>
                <w:color w:val="auto"/>
              </w:rPr>
            </w:pPr>
          </w:p>
        </w:tc>
        <w:tc>
          <w:tcPr>
            <w:tcW w:w="220" w:type="dxa"/>
            <w:vAlign w:val="bottom"/>
            <w:shd w:val="clear" w:color="auto" w:fill="E5E5E5"/>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E5E5E5"/>
          </w:tcPr>
          <w:p>
            <w:pPr>
              <w:jc w:val="right"/>
              <w:ind w:right="120"/>
              <w:spacing w:after="0" w:line="202" w:lineRule="exact"/>
              <w:rPr>
                <w:sz w:val="20"/>
                <w:szCs w:val="20"/>
                <w:color w:val="auto"/>
              </w:rPr>
            </w:pPr>
            <w:r>
              <w:rPr>
                <w:rFonts w:ascii="Arial" w:cs="Arial" w:eastAsia="Arial" w:hAnsi="Arial"/>
                <w:sz w:val="18"/>
                <w:szCs w:val="18"/>
                <w:color w:val="auto"/>
              </w:rPr>
              <w:t>3,267</w:t>
            </w:r>
          </w:p>
        </w:tc>
        <w:tc>
          <w:tcPr>
            <w:tcW w:w="30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940" w:type="dxa"/>
            <w:vAlign w:val="bottom"/>
            <w:gridSpan w:val="2"/>
            <w:shd w:val="clear" w:color="auto" w:fill="E5E5E5"/>
          </w:tcPr>
          <w:p>
            <w:pPr>
              <w:jc w:val="right"/>
              <w:ind w:right="60"/>
              <w:spacing w:after="0" w:line="202" w:lineRule="exact"/>
              <w:rPr>
                <w:sz w:val="20"/>
                <w:szCs w:val="20"/>
                <w:color w:val="auto"/>
              </w:rPr>
            </w:pPr>
            <w:r>
              <w:rPr>
                <w:rFonts w:ascii="Arial" w:cs="Arial" w:eastAsia="Arial" w:hAnsi="Arial"/>
                <w:sz w:val="18"/>
                <w:szCs w:val="18"/>
                <w:color w:val="auto"/>
              </w:rPr>
              <w:t>(423)</w:t>
            </w:r>
          </w:p>
        </w:tc>
        <w:tc>
          <w:tcPr>
            <w:tcW w:w="300" w:type="dxa"/>
            <w:vAlign w:val="bottom"/>
            <w:gridSpan w:val="2"/>
            <w:shd w:val="clear" w:color="auto" w:fill="E5E5E5"/>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980" w:type="dxa"/>
            <w:vAlign w:val="bottom"/>
            <w:gridSpan w:val="2"/>
            <w:shd w:val="clear" w:color="auto" w:fill="E5E5E5"/>
          </w:tcPr>
          <w:p>
            <w:pPr>
              <w:jc w:val="right"/>
              <w:ind w:right="200"/>
              <w:spacing w:after="0" w:line="202" w:lineRule="exact"/>
              <w:rPr>
                <w:sz w:val="20"/>
                <w:szCs w:val="20"/>
                <w:color w:val="auto"/>
              </w:rPr>
            </w:pPr>
            <w:r>
              <w:rPr>
                <w:rFonts w:ascii="Arial" w:cs="Arial" w:eastAsia="Arial" w:hAnsi="Arial"/>
                <w:sz w:val="18"/>
                <w:szCs w:val="18"/>
                <w:color w:val="auto"/>
              </w:rPr>
              <w:t>139,004</w:t>
            </w:r>
          </w:p>
        </w:tc>
        <w:tc>
          <w:tcPr>
            <w:tcW w:w="12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E5E5E5"/>
          </w:tcPr>
          <w:p>
            <w:pPr>
              <w:jc w:val="right"/>
              <w:ind w:right="200"/>
              <w:spacing w:after="0" w:line="202" w:lineRule="exact"/>
              <w:rPr>
                <w:sz w:val="20"/>
                <w:szCs w:val="20"/>
                <w:color w:val="auto"/>
              </w:rPr>
            </w:pPr>
            <w:r>
              <w:rPr>
                <w:rFonts w:ascii="Arial" w:cs="Arial" w:eastAsia="Arial" w:hAnsi="Arial"/>
                <w:sz w:val="18"/>
                <w:szCs w:val="18"/>
                <w:color w:val="auto"/>
              </w:rPr>
              <w:t>7,663</w:t>
            </w:r>
          </w:p>
        </w:tc>
        <w:tc>
          <w:tcPr>
            <w:tcW w:w="16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125,318</w:t>
            </w:r>
          </w:p>
        </w:tc>
        <w:tc>
          <w:tcPr>
            <w:tcW w:w="260" w:type="dxa"/>
            <w:vAlign w:val="bottom"/>
            <w:gridSpan w:val="2"/>
            <w:shd w:val="clear" w:color="auto" w:fill="E5E5E5"/>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96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6,023</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3020" w:type="dxa"/>
            <w:vAlign w:val="bottom"/>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180" w:type="dxa"/>
            <w:vAlign w:val="bottom"/>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60" w:type="dxa"/>
            <w:vAlign w:val="bottom"/>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139"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As of September 30, 2017 and June 30, 2017, the recorded bases of common and preferred stock that are restricted for more than one year or are not publicly traded were $1.0 billion and $1.1 billion, respectively. These investments are carried at cost and are reviewed quarterly for indicators of other-than-temporary impairment. It is not practicable for us to reliably estimate the fair value of these investments.</w:t>
      </w:r>
    </w:p>
    <w:p>
      <w:pPr>
        <w:spacing w:after="0" w:line="110" w:lineRule="exact"/>
        <w:rPr>
          <w:sz w:val="20"/>
          <w:szCs w:val="20"/>
          <w:color w:val="auto"/>
        </w:rPr>
      </w:pPr>
    </w:p>
    <w:p>
      <w:pPr>
        <w:jc w:val="both"/>
        <w:ind w:right="20"/>
        <w:spacing w:after="0" w:line="243" w:lineRule="auto"/>
        <w:rPr>
          <w:sz w:val="20"/>
          <w:szCs w:val="20"/>
          <w:color w:val="auto"/>
        </w:rPr>
      </w:pPr>
      <w:r>
        <w:rPr>
          <w:rFonts w:ascii="Arial" w:cs="Arial" w:eastAsia="Arial" w:hAnsi="Arial"/>
          <w:sz w:val="18"/>
          <w:szCs w:val="18"/>
          <w:color w:val="auto"/>
        </w:rPr>
        <w:t>We lend certain fixed-income and equity securities to increase investment returns. These transactions are accounted for as secured borrowings and the loaned securities continue to be carried as investments on our consolidated balance sheets. Cash and/or security interests are received as collateral for the loaned securities with the amount determined based upon the underlying security lent and the creditworthiness of the borrower. Cash received is recorded as an asset with a corresponding liability. As of September 30, 2017 and June 30, 2017, collateral received under agreements for loaned securities was $4.9 billion and $3.7 billion, respectively, and was primarily comprised of U.S. government and agency securities.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Unrealized Losses on Investments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auto"/>
        </w:rPr>
        <w:t>Investments with continuous unrealized losses for less than 12 months and 12 months or greater and their related fair values were as follows: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80" w:type="dxa"/>
            <w:vAlign w:val="bottom"/>
            <w:gridSpan w:val="4"/>
          </w:tcPr>
          <w:p>
            <w:pPr>
              <w:jc w:val="right"/>
              <w:ind w:right="140"/>
              <w:spacing w:after="0"/>
              <w:rPr>
                <w:sz w:val="20"/>
                <w:szCs w:val="20"/>
                <w:color w:val="auto"/>
              </w:rPr>
            </w:pPr>
            <w:r>
              <w:rPr>
                <w:rFonts w:ascii="Arial" w:cs="Arial" w:eastAsia="Arial" w:hAnsi="Arial"/>
                <w:sz w:val="14"/>
                <w:szCs w:val="14"/>
                <w:b w:val="1"/>
                <w:bCs w:val="1"/>
                <w:color w:val="auto"/>
                <w:w w:val="95"/>
              </w:rPr>
              <w:t>Less than 12 Months</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580" w:type="dxa"/>
            <w:vAlign w:val="bottom"/>
            <w:gridSpan w:val="4"/>
          </w:tcPr>
          <w:p>
            <w:pPr>
              <w:jc w:val="right"/>
              <w:ind w:right="220"/>
              <w:spacing w:after="0"/>
              <w:rPr>
                <w:sz w:val="20"/>
                <w:szCs w:val="20"/>
                <w:color w:val="auto"/>
              </w:rPr>
            </w:pPr>
            <w:r>
              <w:rPr>
                <w:rFonts w:ascii="Arial" w:cs="Arial" w:eastAsia="Arial" w:hAnsi="Arial"/>
                <w:sz w:val="14"/>
                <w:szCs w:val="14"/>
                <w:b w:val="1"/>
                <w:bCs w:val="1"/>
                <w:color w:val="auto"/>
                <w:w w:val="95"/>
              </w:rPr>
              <w:t>12 Months or Greater</w:t>
            </w: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gridSpan w:val="2"/>
            <w:vMerge w:val="restart"/>
          </w:tcPr>
          <w:p>
            <w:pPr>
              <w:jc w:val="right"/>
              <w:ind w:right="120"/>
              <w:spacing w:after="0"/>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3320" w:type="dxa"/>
            <w:vAlign w:val="bottom"/>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300" w:type="dxa"/>
            <w:vAlign w:val="bottom"/>
          </w:tcPr>
          <w:p>
            <w:pPr>
              <w:spacing w:after="0"/>
              <w:rPr>
                <w:sz w:val="5"/>
                <w:szCs w:val="5"/>
                <w:color w:val="auto"/>
              </w:rPr>
            </w:pPr>
          </w:p>
        </w:tc>
        <w:tc>
          <w:tcPr>
            <w:tcW w:w="840" w:type="dxa"/>
            <w:vAlign w:val="bottom"/>
          </w:tcPr>
          <w:p>
            <w:pPr>
              <w:spacing w:after="0"/>
              <w:rPr>
                <w:sz w:val="5"/>
                <w:szCs w:val="5"/>
                <w:color w:val="auto"/>
              </w:rPr>
            </w:pPr>
          </w:p>
        </w:tc>
        <w:tc>
          <w:tcPr>
            <w:tcW w:w="2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00" w:type="dxa"/>
            <w:vAlign w:val="bottom"/>
            <w:gridSpan w:val="2"/>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3320" w:type="dxa"/>
            <w:vAlign w:val="bottom"/>
          </w:tcPr>
          <w:p>
            <w:pPr>
              <w:spacing w:after="0"/>
              <w:rPr>
                <w:sz w:val="4"/>
                <w:szCs w:val="4"/>
                <w:color w:val="auto"/>
              </w:rPr>
            </w:pPr>
          </w:p>
        </w:tc>
        <w:tc>
          <w:tcPr>
            <w:tcW w:w="28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00" w:type="dxa"/>
            <w:vAlign w:val="bottom"/>
            <w:gridSpan w:val="2"/>
            <w:vMerge w:val="restart"/>
          </w:tcPr>
          <w:p>
            <w:pPr>
              <w:jc w:val="right"/>
              <w:ind w:right="140"/>
              <w:spacing w:after="0"/>
              <w:rPr>
                <w:sz w:val="20"/>
                <w:szCs w:val="20"/>
                <w:color w:val="auto"/>
              </w:rPr>
            </w:pPr>
            <w:r>
              <w:rPr>
                <w:rFonts w:ascii="Arial" w:cs="Arial" w:eastAsia="Arial" w:hAnsi="Arial"/>
                <w:sz w:val="14"/>
                <w:szCs w:val="14"/>
                <w:b w:val="1"/>
                <w:bCs w:val="1"/>
                <w:color w:val="auto"/>
              </w:rPr>
              <w:t>Unrealized</w:t>
            </w: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8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Unrealized</w:t>
            </w:r>
          </w:p>
        </w:tc>
        <w:tc>
          <w:tcPr>
            <w:tcW w:w="300" w:type="dxa"/>
            <w:vAlign w:val="bottom"/>
          </w:tcPr>
          <w:p>
            <w:pPr>
              <w:spacing w:after="0"/>
              <w:rPr>
                <w:sz w:val="4"/>
                <w:szCs w:val="4"/>
                <w:color w:val="auto"/>
              </w:rPr>
            </w:pPr>
          </w:p>
        </w:tc>
        <w:tc>
          <w:tcPr>
            <w:tcW w:w="106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Total</w:t>
            </w:r>
          </w:p>
        </w:tc>
        <w:tc>
          <w:tcPr>
            <w:tcW w:w="280" w:type="dxa"/>
            <w:vAlign w:val="bottom"/>
          </w:tcPr>
          <w:p>
            <w:pPr>
              <w:spacing w:after="0"/>
              <w:rPr>
                <w:sz w:val="4"/>
                <w:szCs w:val="4"/>
                <w:color w:val="auto"/>
              </w:rPr>
            </w:pPr>
          </w:p>
        </w:tc>
        <w:tc>
          <w:tcPr>
            <w:tcW w:w="1000" w:type="dxa"/>
            <w:vAlign w:val="bottom"/>
            <w:gridSpan w:val="2"/>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33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Pr>
          <w:p>
            <w:pPr>
              <w:spacing w:after="0"/>
              <w:rPr>
                <w:sz w:val="12"/>
                <w:szCs w:val="12"/>
                <w:color w:val="auto"/>
              </w:rPr>
            </w:pPr>
          </w:p>
        </w:tc>
        <w:tc>
          <w:tcPr>
            <w:tcW w:w="860" w:type="dxa"/>
            <w:vAlign w:val="bottom"/>
            <w:gridSpan w:val="2"/>
            <w:vMerge w:val="restart"/>
          </w:tcPr>
          <w:p>
            <w:pPr>
              <w:jc w:val="right"/>
              <w:ind w:right="20"/>
              <w:spacing w:after="0"/>
              <w:rPr>
                <w:sz w:val="20"/>
                <w:szCs w:val="20"/>
                <w:color w:val="auto"/>
              </w:rPr>
            </w:pPr>
            <w:r>
              <w:rPr>
                <w:rFonts w:ascii="Arial" w:cs="Arial" w:eastAsia="Arial" w:hAnsi="Arial"/>
                <w:sz w:val="14"/>
                <w:szCs w:val="14"/>
                <w:b w:val="1"/>
                <w:bCs w:val="1"/>
                <w:color w:val="auto"/>
              </w:rPr>
              <w:t>Fair Value</w:t>
            </w: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Fair Value</w:t>
            </w: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Unrealized</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334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Losses</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Losses</w:t>
            </w:r>
          </w:p>
        </w:tc>
        <w:tc>
          <w:tcPr>
            <w:tcW w:w="300" w:type="dxa"/>
            <w:vAlign w:val="bottom"/>
          </w:tcPr>
          <w:p>
            <w:pPr>
              <w:spacing w:after="0"/>
              <w:rPr>
                <w:sz w:val="16"/>
                <w:szCs w:val="16"/>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Fair Value</w:t>
            </w:r>
          </w:p>
        </w:tc>
        <w:tc>
          <w:tcPr>
            <w:tcW w:w="280" w:type="dxa"/>
            <w:vAlign w:val="bottom"/>
          </w:tcPr>
          <w:p>
            <w:pPr>
              <w:spacing w:after="0"/>
              <w:rPr>
                <w:sz w:val="16"/>
                <w:szCs w:val="16"/>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Losses</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8"/>
        </w:trPr>
        <w:tc>
          <w:tcPr>
            <w:tcW w:w="3340" w:type="dxa"/>
            <w:vAlign w:val="bottom"/>
            <w:tcBorders>
              <w:bottom w:val="single" w:sz="8" w:color="auto"/>
            </w:tcBorders>
            <w:gridSpan w:val="2"/>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6"/>
        </w:trPr>
        <w:tc>
          <w:tcPr>
            <w:tcW w:w="3340" w:type="dxa"/>
            <w:vAlign w:val="bottom"/>
            <w:gridSpan w:val="2"/>
          </w:tcPr>
          <w:p>
            <w:pPr>
              <w:spacing w:after="0"/>
              <w:rPr>
                <w:sz w:val="20"/>
                <w:szCs w:val="20"/>
                <w:color w:val="auto"/>
              </w:rPr>
            </w:pPr>
            <w:r>
              <w:rPr>
                <w:rFonts w:ascii="Arial" w:cs="Arial" w:eastAsia="Arial" w:hAnsi="Arial"/>
                <w:sz w:val="14"/>
                <w:szCs w:val="14"/>
                <w:b w:val="1"/>
                <w:bCs w:val="1"/>
                <w:color w:val="auto"/>
              </w:rPr>
              <w:t>September 30, 2017</w:t>
            </w:r>
          </w:p>
        </w:tc>
        <w:tc>
          <w:tcPr>
            <w:tcW w:w="2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8"/>
        </w:trPr>
        <w:tc>
          <w:tcPr>
            <w:tcW w:w="20" w:type="dxa"/>
            <w:vAlign w:val="bottom"/>
            <w:vMerge w:val="restart"/>
          </w:tcPr>
          <w:p>
            <w:pPr>
              <w:spacing w:after="0"/>
              <w:rPr>
                <w:sz w:val="5"/>
                <w:szCs w:val="5"/>
                <w:color w:val="auto"/>
              </w:rPr>
            </w:pPr>
          </w:p>
        </w:tc>
        <w:tc>
          <w:tcPr>
            <w:tcW w:w="3320" w:type="dxa"/>
            <w:vAlign w:val="bottom"/>
          </w:tcPr>
          <w:p>
            <w:pPr>
              <w:spacing w:after="0"/>
              <w:rPr>
                <w:sz w:val="5"/>
                <w:szCs w:val="5"/>
                <w:color w:val="auto"/>
              </w:rPr>
            </w:pPr>
          </w:p>
        </w:tc>
        <w:tc>
          <w:tcPr>
            <w:tcW w:w="280" w:type="dxa"/>
            <w:vAlign w:val="bottom"/>
          </w:tcPr>
          <w:p>
            <w:pPr>
              <w:spacing w:after="0"/>
              <w:rPr>
                <w:sz w:val="5"/>
                <w:szCs w:val="5"/>
                <w:color w:val="auto"/>
              </w:rPr>
            </w:pPr>
          </w:p>
        </w:tc>
        <w:tc>
          <w:tcPr>
            <w:tcW w:w="8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80" w:type="dxa"/>
            <w:vAlign w:val="bottom"/>
          </w:tcPr>
          <w:p>
            <w:pPr>
              <w:spacing w:after="0"/>
              <w:rPr>
                <w:sz w:val="5"/>
                <w:szCs w:val="5"/>
                <w:color w:val="auto"/>
              </w:rPr>
            </w:pPr>
          </w:p>
        </w:tc>
        <w:tc>
          <w:tcPr>
            <w:tcW w:w="86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840" w:type="dxa"/>
            <w:vAlign w:val="bottom"/>
          </w:tcPr>
          <w:p>
            <w:pPr>
              <w:spacing w:after="0"/>
              <w:rPr>
                <w:sz w:val="5"/>
                <w:szCs w:val="5"/>
                <w:color w:val="auto"/>
              </w:rPr>
            </w:pPr>
          </w:p>
        </w:tc>
        <w:tc>
          <w:tcPr>
            <w:tcW w:w="200" w:type="dxa"/>
            <w:vAlign w:val="bottom"/>
          </w:tcPr>
          <w:p>
            <w:pPr>
              <w:spacing w:after="0"/>
              <w:rPr>
                <w:sz w:val="5"/>
                <w:szCs w:val="5"/>
                <w:color w:val="auto"/>
              </w:rPr>
            </w:pPr>
          </w:p>
        </w:tc>
        <w:tc>
          <w:tcPr>
            <w:tcW w:w="300" w:type="dxa"/>
            <w:vAlign w:val="bottom"/>
          </w:tcPr>
          <w:p>
            <w:pPr>
              <w:spacing w:after="0"/>
              <w:rPr>
                <w:sz w:val="5"/>
                <w:szCs w:val="5"/>
                <w:color w:val="auto"/>
              </w:rPr>
            </w:pPr>
          </w:p>
        </w:tc>
        <w:tc>
          <w:tcPr>
            <w:tcW w:w="860" w:type="dxa"/>
            <w:vAlign w:val="bottom"/>
          </w:tcPr>
          <w:p>
            <w:pPr>
              <w:spacing w:after="0"/>
              <w:rPr>
                <w:sz w:val="5"/>
                <w:szCs w:val="5"/>
                <w:color w:val="auto"/>
              </w:rPr>
            </w:pPr>
          </w:p>
        </w:tc>
        <w:tc>
          <w:tcPr>
            <w:tcW w:w="220" w:type="dxa"/>
            <w:vAlign w:val="bottom"/>
          </w:tcPr>
          <w:p>
            <w:pPr>
              <w:spacing w:after="0"/>
              <w:rPr>
                <w:sz w:val="5"/>
                <w:szCs w:val="5"/>
                <w:color w:val="auto"/>
              </w:rPr>
            </w:pPr>
          </w:p>
        </w:tc>
        <w:tc>
          <w:tcPr>
            <w:tcW w:w="300" w:type="dxa"/>
            <w:vAlign w:val="bottom"/>
          </w:tcPr>
          <w:p>
            <w:pPr>
              <w:spacing w:after="0"/>
              <w:rPr>
                <w:sz w:val="5"/>
                <w:szCs w:val="5"/>
                <w:color w:val="auto"/>
              </w:rPr>
            </w:pPr>
          </w:p>
        </w:tc>
        <w:tc>
          <w:tcPr>
            <w:tcW w:w="840" w:type="dxa"/>
            <w:vAlign w:val="bottom"/>
          </w:tcPr>
          <w:p>
            <w:pPr>
              <w:spacing w:after="0"/>
              <w:rPr>
                <w:sz w:val="5"/>
                <w:szCs w:val="5"/>
                <w:color w:val="auto"/>
              </w:rPr>
            </w:pPr>
          </w:p>
        </w:tc>
        <w:tc>
          <w:tcPr>
            <w:tcW w:w="220" w:type="dxa"/>
            <w:vAlign w:val="bottom"/>
          </w:tcPr>
          <w:p>
            <w:pPr>
              <w:spacing w:after="0"/>
              <w:rPr>
                <w:sz w:val="5"/>
                <w:szCs w:val="5"/>
                <w:color w:val="auto"/>
              </w:rPr>
            </w:pPr>
          </w:p>
        </w:tc>
        <w:tc>
          <w:tcPr>
            <w:tcW w:w="280" w:type="dxa"/>
            <w:vAlign w:val="bottom"/>
          </w:tcPr>
          <w:p>
            <w:pPr>
              <w:spacing w:after="0"/>
              <w:rPr>
                <w:sz w:val="5"/>
                <w:szCs w:val="5"/>
                <w:color w:val="auto"/>
              </w:rPr>
            </w:pPr>
          </w:p>
        </w:tc>
        <w:tc>
          <w:tcPr>
            <w:tcW w:w="8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32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U.S. government and agency securities</w:t>
            </w:r>
          </w:p>
        </w:tc>
        <w:tc>
          <w:tcPr>
            <w:tcW w:w="280" w:type="dxa"/>
            <w:vAlign w:val="bottom"/>
            <w:shd w:val="clear" w:color="auto" w:fill="E5E5E5"/>
          </w:tcPr>
          <w:p>
            <w:pPr>
              <w:jc w:val="right"/>
              <w:ind w:right="90"/>
              <w:spacing w:after="0" w:line="202" w:lineRule="exact"/>
              <w:rPr>
                <w:sz w:val="20"/>
                <w:szCs w:val="20"/>
                <w:color w:val="auto"/>
              </w:rPr>
            </w:pPr>
            <w:r>
              <w:rPr>
                <w:rFonts w:ascii="Arial" w:cs="Arial" w:eastAsia="Arial" w:hAnsi="Arial"/>
                <w:sz w:val="18"/>
                <w:szCs w:val="18"/>
                <w:b w:val="1"/>
                <w:bCs w:val="1"/>
                <w:color w:val="auto"/>
                <w:w w:val="79"/>
              </w:rPr>
              <w:t>$</w:t>
            </w:r>
          </w:p>
        </w:tc>
        <w:tc>
          <w:tcPr>
            <w:tcW w:w="860" w:type="dxa"/>
            <w:vAlign w:val="bottom"/>
            <w:gridSpan w:val="2"/>
            <w:shd w:val="clear" w:color="auto" w:fill="E5E5E5"/>
          </w:tcPr>
          <w:p>
            <w:pPr>
              <w:jc w:val="right"/>
              <w:ind w:right="20"/>
              <w:spacing w:after="0" w:line="202" w:lineRule="exact"/>
              <w:rPr>
                <w:sz w:val="20"/>
                <w:szCs w:val="20"/>
                <w:color w:val="auto"/>
              </w:rPr>
            </w:pPr>
            <w:r>
              <w:rPr>
                <w:rFonts w:ascii="Arial" w:cs="Arial" w:eastAsia="Arial" w:hAnsi="Arial"/>
                <w:sz w:val="18"/>
                <w:szCs w:val="18"/>
                <w:b w:val="1"/>
                <w:bCs w:val="1"/>
                <w:color w:val="auto"/>
              </w:rPr>
              <w:t>98,245</w:t>
            </w:r>
          </w:p>
        </w:tc>
        <w:tc>
          <w:tcPr>
            <w:tcW w:w="480" w:type="dxa"/>
            <w:vAlign w:val="bottom"/>
            <w:gridSpan w:val="2"/>
            <w:shd w:val="clear" w:color="auto" w:fill="E5E5E5"/>
          </w:tcPr>
          <w:p>
            <w:pPr>
              <w:jc w:val="right"/>
              <w:ind w:right="180"/>
              <w:spacing w:after="0" w:line="202" w:lineRule="exact"/>
              <w:rPr>
                <w:sz w:val="20"/>
                <w:szCs w:val="20"/>
                <w:color w:val="auto"/>
              </w:rPr>
            </w:pPr>
            <w:r>
              <w:rPr>
                <w:rFonts w:ascii="Arial" w:cs="Arial" w:eastAsia="Arial" w:hAnsi="Arial"/>
                <w:sz w:val="18"/>
                <w:szCs w:val="18"/>
                <w:b w:val="1"/>
                <w:bCs w:val="1"/>
                <w:color w:val="auto"/>
              </w:rPr>
              <w:t>$</w:t>
            </w:r>
          </w:p>
        </w:tc>
        <w:tc>
          <w:tcPr>
            <w:tcW w:w="1000" w:type="dxa"/>
            <w:vAlign w:val="bottom"/>
            <w:gridSpan w:val="2"/>
            <w:shd w:val="clear" w:color="auto" w:fill="E5E5E5"/>
          </w:tcPr>
          <w:p>
            <w:pPr>
              <w:jc w:val="right"/>
              <w:ind w:right="80"/>
              <w:spacing w:after="0" w:line="202" w:lineRule="exact"/>
              <w:rPr>
                <w:sz w:val="20"/>
                <w:szCs w:val="20"/>
                <w:color w:val="auto"/>
              </w:rPr>
            </w:pPr>
            <w:r>
              <w:rPr>
                <w:rFonts w:ascii="Arial" w:cs="Arial" w:eastAsia="Arial" w:hAnsi="Arial"/>
                <w:sz w:val="18"/>
                <w:szCs w:val="18"/>
                <w:b w:val="1"/>
                <w:bCs w:val="1"/>
                <w:color w:val="auto"/>
              </w:rPr>
              <w:t>(290)</w:t>
            </w:r>
          </w:p>
        </w:tc>
        <w:tc>
          <w:tcPr>
            <w:tcW w:w="400" w:type="dxa"/>
            <w:vAlign w:val="bottom"/>
            <w:gridSpan w:val="2"/>
            <w:shd w:val="clear" w:color="auto" w:fill="E5E5E5"/>
          </w:tcPr>
          <w:p>
            <w:pPr>
              <w:jc w:val="right"/>
              <w:ind w:right="220"/>
              <w:spacing w:after="0" w:line="202" w:lineRule="exact"/>
              <w:rPr>
                <w:sz w:val="20"/>
                <w:szCs w:val="20"/>
                <w:color w:val="auto"/>
              </w:rPr>
            </w:pPr>
            <w:r>
              <w:rPr>
                <w:rFonts w:ascii="Arial" w:cs="Arial" w:eastAsia="Arial" w:hAnsi="Arial"/>
                <w:sz w:val="18"/>
                <w:szCs w:val="18"/>
                <w:b w:val="1"/>
                <w:bCs w:val="1"/>
                <w:color w:val="auto"/>
              </w:rPr>
              <w:t>$</w:t>
            </w:r>
          </w:p>
        </w:tc>
        <w:tc>
          <w:tcPr>
            <w:tcW w:w="84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4,957</w:t>
            </w:r>
          </w:p>
        </w:tc>
        <w:tc>
          <w:tcPr>
            <w:tcW w:w="500" w:type="dxa"/>
            <w:vAlign w:val="bottom"/>
            <w:gridSpan w:val="2"/>
            <w:shd w:val="clear" w:color="auto" w:fill="E5E5E5"/>
          </w:tcPr>
          <w:p>
            <w:pPr>
              <w:jc w:val="right"/>
              <w:ind w:right="200"/>
              <w:spacing w:after="0" w:line="202" w:lineRule="exact"/>
              <w:rPr>
                <w:sz w:val="20"/>
                <w:szCs w:val="20"/>
                <w:color w:val="auto"/>
              </w:rPr>
            </w:pPr>
            <w:r>
              <w:rPr>
                <w:rFonts w:ascii="Arial" w:cs="Arial" w:eastAsia="Arial" w:hAnsi="Arial"/>
                <w:sz w:val="18"/>
                <w:szCs w:val="18"/>
                <w:b w:val="1"/>
                <w:bCs w:val="1"/>
                <w:color w:val="auto"/>
              </w:rPr>
              <w:t>$</w:t>
            </w:r>
          </w:p>
        </w:tc>
        <w:tc>
          <w:tcPr>
            <w:tcW w:w="1080" w:type="dxa"/>
            <w:vAlign w:val="bottom"/>
            <w:gridSpan w:val="2"/>
            <w:shd w:val="clear" w:color="auto" w:fill="E5E5E5"/>
          </w:tcPr>
          <w:p>
            <w:pPr>
              <w:jc w:val="right"/>
              <w:ind w:right="160"/>
              <w:spacing w:after="0" w:line="202" w:lineRule="exact"/>
              <w:rPr>
                <w:sz w:val="20"/>
                <w:szCs w:val="20"/>
                <w:color w:val="auto"/>
              </w:rPr>
            </w:pPr>
            <w:r>
              <w:rPr>
                <w:rFonts w:ascii="Arial" w:cs="Arial" w:eastAsia="Arial" w:hAnsi="Arial"/>
                <w:sz w:val="18"/>
                <w:szCs w:val="18"/>
                <w:b w:val="1"/>
                <w:bCs w:val="1"/>
                <w:color w:val="auto"/>
              </w:rPr>
              <w:t>(54)</w:t>
            </w:r>
          </w:p>
        </w:tc>
        <w:tc>
          <w:tcPr>
            <w:tcW w:w="300" w:type="dxa"/>
            <w:vAlign w:val="bottom"/>
            <w:shd w:val="clear" w:color="auto" w:fill="E5E5E5"/>
          </w:tcPr>
          <w:p>
            <w:pPr>
              <w:jc w:val="right"/>
              <w:ind w:right="110"/>
              <w:spacing w:after="0" w:line="202" w:lineRule="exact"/>
              <w:rPr>
                <w:sz w:val="20"/>
                <w:szCs w:val="20"/>
                <w:color w:val="auto"/>
              </w:rPr>
            </w:pPr>
            <w:r>
              <w:rPr>
                <w:rFonts w:ascii="Arial" w:cs="Arial" w:eastAsia="Arial" w:hAnsi="Arial"/>
                <w:sz w:val="18"/>
                <w:szCs w:val="18"/>
                <w:b w:val="1"/>
                <w:bCs w:val="1"/>
                <w:color w:val="auto"/>
                <w:w w:val="79"/>
              </w:rPr>
              <w:t>$</w:t>
            </w:r>
          </w:p>
        </w:tc>
        <w:tc>
          <w:tcPr>
            <w:tcW w:w="1060" w:type="dxa"/>
            <w:vAlign w:val="bottom"/>
            <w:gridSpan w:val="2"/>
            <w:shd w:val="clear" w:color="auto" w:fill="E5E5E5"/>
          </w:tcPr>
          <w:p>
            <w:pPr>
              <w:jc w:val="right"/>
              <w:ind w:right="220"/>
              <w:spacing w:after="0" w:line="202" w:lineRule="exact"/>
              <w:rPr>
                <w:sz w:val="20"/>
                <w:szCs w:val="20"/>
                <w:color w:val="auto"/>
              </w:rPr>
            </w:pPr>
            <w:r>
              <w:rPr>
                <w:rFonts w:ascii="Arial" w:cs="Arial" w:eastAsia="Arial" w:hAnsi="Arial"/>
                <w:sz w:val="18"/>
                <w:szCs w:val="18"/>
                <w:b w:val="1"/>
                <w:bCs w:val="1"/>
                <w:color w:val="auto"/>
              </w:rPr>
              <w:t>103,202</w:t>
            </w:r>
          </w:p>
        </w:tc>
        <w:tc>
          <w:tcPr>
            <w:tcW w:w="280" w:type="dxa"/>
            <w:vAlign w:val="bottom"/>
            <w:shd w:val="clear" w:color="auto" w:fill="E5E5E5"/>
          </w:tcPr>
          <w:p>
            <w:pPr>
              <w:jc w:val="right"/>
              <w:ind w:right="90"/>
              <w:spacing w:after="0" w:line="202" w:lineRule="exact"/>
              <w:rPr>
                <w:sz w:val="20"/>
                <w:szCs w:val="20"/>
                <w:color w:val="auto"/>
              </w:rPr>
            </w:pPr>
            <w:r>
              <w:rPr>
                <w:rFonts w:ascii="Arial" w:cs="Arial" w:eastAsia="Arial" w:hAnsi="Arial"/>
                <w:sz w:val="18"/>
                <w:szCs w:val="18"/>
                <w:b w:val="1"/>
                <w:bCs w:val="1"/>
                <w:color w:val="auto"/>
                <w:w w:val="79"/>
              </w:rPr>
              <w:t>$</w:t>
            </w:r>
          </w:p>
        </w:tc>
        <w:tc>
          <w:tcPr>
            <w:tcW w:w="1000" w:type="dxa"/>
            <w:vAlign w:val="bottom"/>
            <w:gridSpan w:val="2"/>
            <w:shd w:val="clear" w:color="auto" w:fill="E5E5E5"/>
          </w:tcPr>
          <w:p>
            <w:pPr>
              <w:jc w:val="right"/>
              <w:ind w:right="60"/>
              <w:spacing w:after="0" w:line="202" w:lineRule="exact"/>
              <w:rPr>
                <w:sz w:val="20"/>
                <w:szCs w:val="20"/>
                <w:color w:val="auto"/>
              </w:rPr>
            </w:pPr>
            <w:r>
              <w:rPr>
                <w:rFonts w:ascii="Arial" w:cs="Arial" w:eastAsia="Arial" w:hAnsi="Arial"/>
                <w:sz w:val="18"/>
                <w:szCs w:val="18"/>
                <w:b w:val="1"/>
                <w:bCs w:val="1"/>
                <w:color w:val="auto"/>
              </w:rPr>
              <w:t>(344)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20" w:type="dxa"/>
            <w:vAlign w:val="bottom"/>
          </w:tcPr>
          <w:p>
            <w:pPr>
              <w:spacing w:after="0" w:line="202" w:lineRule="exact"/>
              <w:rPr>
                <w:sz w:val="20"/>
                <w:szCs w:val="20"/>
                <w:color w:val="auto"/>
              </w:rPr>
            </w:pPr>
            <w:r>
              <w:rPr>
                <w:rFonts w:ascii="Arial" w:cs="Arial" w:eastAsia="Arial" w:hAnsi="Arial"/>
                <w:sz w:val="18"/>
                <w:szCs w:val="18"/>
                <w:color w:val="auto"/>
              </w:rPr>
              <w:t>Foreign government bonds</w:t>
            </w:r>
          </w:p>
        </w:tc>
        <w:tc>
          <w:tcPr>
            <w:tcW w:w="280" w:type="dxa"/>
            <w:vAlign w:val="bottom"/>
          </w:tcPr>
          <w:p>
            <w:pPr>
              <w:spacing w:after="0"/>
              <w:rPr>
                <w:sz w:val="17"/>
                <w:szCs w:val="17"/>
                <w:color w:val="auto"/>
              </w:rPr>
            </w:pPr>
          </w:p>
        </w:tc>
        <w:tc>
          <w:tcPr>
            <w:tcW w:w="860" w:type="dxa"/>
            <w:vAlign w:val="bottom"/>
            <w:gridSpan w:val="2"/>
          </w:tcPr>
          <w:p>
            <w:pPr>
              <w:jc w:val="right"/>
              <w:ind w:right="20"/>
              <w:spacing w:after="0" w:line="202" w:lineRule="exact"/>
              <w:rPr>
                <w:sz w:val="20"/>
                <w:szCs w:val="20"/>
                <w:color w:val="auto"/>
              </w:rPr>
            </w:pPr>
            <w:r>
              <w:rPr>
                <w:rFonts w:ascii="Arial" w:cs="Arial" w:eastAsia="Arial" w:hAnsi="Arial"/>
                <w:sz w:val="18"/>
                <w:szCs w:val="18"/>
                <w:b w:val="1"/>
                <w:bCs w:val="1"/>
                <w:color w:val="auto"/>
              </w:rPr>
              <w:t>4,972</w:t>
            </w: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gridSpan w:val="2"/>
          </w:tcPr>
          <w:p>
            <w:pPr>
              <w:jc w:val="right"/>
              <w:ind w:right="80"/>
              <w:spacing w:after="0" w:line="202" w:lineRule="exact"/>
              <w:rPr>
                <w:sz w:val="20"/>
                <w:szCs w:val="20"/>
                <w:color w:val="auto"/>
              </w:rPr>
            </w:pPr>
            <w:r>
              <w:rPr>
                <w:rFonts w:ascii="Arial" w:cs="Arial" w:eastAsia="Arial" w:hAnsi="Arial"/>
                <w:sz w:val="18"/>
                <w:szCs w:val="18"/>
                <w:b w:val="1"/>
                <w:bCs w:val="1"/>
                <w:color w:val="auto"/>
              </w:rPr>
              <w:t>(1)</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24</w:t>
            </w: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gridSpan w:val="2"/>
          </w:tcPr>
          <w:p>
            <w:pPr>
              <w:jc w:val="right"/>
              <w:ind w:right="160"/>
              <w:spacing w:after="0" w:line="202" w:lineRule="exact"/>
              <w:rPr>
                <w:sz w:val="20"/>
                <w:szCs w:val="20"/>
                <w:color w:val="auto"/>
              </w:rPr>
            </w:pPr>
            <w:r>
              <w:rPr>
                <w:rFonts w:ascii="Arial" w:cs="Arial" w:eastAsia="Arial" w:hAnsi="Arial"/>
                <w:sz w:val="18"/>
                <w:szCs w:val="18"/>
                <w:b w:val="1"/>
                <w:bCs w:val="1"/>
                <w:color w:val="auto"/>
              </w:rPr>
              <w:t>(11)</w:t>
            </w:r>
          </w:p>
        </w:tc>
        <w:tc>
          <w:tcPr>
            <w:tcW w:w="300" w:type="dxa"/>
            <w:vAlign w:val="bottom"/>
          </w:tcPr>
          <w:p>
            <w:pPr>
              <w:spacing w:after="0"/>
              <w:rPr>
                <w:sz w:val="17"/>
                <w:szCs w:val="17"/>
                <w:color w:val="auto"/>
              </w:rPr>
            </w:pPr>
          </w:p>
        </w:tc>
        <w:tc>
          <w:tcPr>
            <w:tcW w:w="1060" w:type="dxa"/>
            <w:vAlign w:val="bottom"/>
            <w:gridSpan w:val="2"/>
          </w:tcPr>
          <w:p>
            <w:pPr>
              <w:jc w:val="right"/>
              <w:ind w:right="220"/>
              <w:spacing w:after="0" w:line="202" w:lineRule="exact"/>
              <w:rPr>
                <w:sz w:val="20"/>
                <w:szCs w:val="20"/>
                <w:color w:val="auto"/>
              </w:rPr>
            </w:pPr>
            <w:r>
              <w:rPr>
                <w:rFonts w:ascii="Arial" w:cs="Arial" w:eastAsia="Arial" w:hAnsi="Arial"/>
                <w:sz w:val="18"/>
                <w:szCs w:val="18"/>
                <w:b w:val="1"/>
                <w:bCs w:val="1"/>
                <w:color w:val="auto"/>
              </w:rPr>
              <w:t>4,996</w:t>
            </w:r>
          </w:p>
        </w:tc>
        <w:tc>
          <w:tcPr>
            <w:tcW w:w="280" w:type="dxa"/>
            <w:vAlign w:val="bottom"/>
          </w:tcPr>
          <w:p>
            <w:pPr>
              <w:spacing w:after="0"/>
              <w:rPr>
                <w:sz w:val="17"/>
                <w:szCs w:val="17"/>
                <w:color w:val="auto"/>
              </w:rPr>
            </w:pPr>
          </w:p>
        </w:tc>
        <w:tc>
          <w:tcPr>
            <w:tcW w:w="1000" w:type="dxa"/>
            <w:vAlign w:val="bottom"/>
            <w:gridSpan w:val="2"/>
          </w:tcPr>
          <w:p>
            <w:pPr>
              <w:jc w:val="right"/>
              <w:ind w:right="60"/>
              <w:spacing w:after="0" w:line="202" w:lineRule="exact"/>
              <w:rPr>
                <w:sz w:val="20"/>
                <w:szCs w:val="20"/>
                <w:color w:val="auto"/>
              </w:rPr>
            </w:pPr>
            <w:r>
              <w:rPr>
                <w:rFonts w:ascii="Arial" w:cs="Arial" w:eastAsia="Arial" w:hAnsi="Arial"/>
                <w:sz w:val="18"/>
                <w:szCs w:val="18"/>
                <w:b w:val="1"/>
                <w:bCs w:val="1"/>
                <w:color w:val="auto"/>
              </w:rPr>
              <w:t>(12)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2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Mortgage- and asset-backed securities</w:t>
            </w:r>
          </w:p>
        </w:tc>
        <w:tc>
          <w:tcPr>
            <w:tcW w:w="280" w:type="dxa"/>
            <w:vAlign w:val="bottom"/>
            <w:shd w:val="clear" w:color="auto" w:fill="E5E5E5"/>
          </w:tcPr>
          <w:p>
            <w:pPr>
              <w:spacing w:after="0"/>
              <w:rPr>
                <w:sz w:val="17"/>
                <w:szCs w:val="17"/>
                <w:color w:val="auto"/>
              </w:rPr>
            </w:pPr>
          </w:p>
        </w:tc>
        <w:tc>
          <w:tcPr>
            <w:tcW w:w="860" w:type="dxa"/>
            <w:vAlign w:val="bottom"/>
            <w:gridSpan w:val="2"/>
            <w:shd w:val="clear" w:color="auto" w:fill="E5E5E5"/>
          </w:tcPr>
          <w:p>
            <w:pPr>
              <w:jc w:val="right"/>
              <w:ind w:right="20"/>
              <w:spacing w:after="0" w:line="202" w:lineRule="exact"/>
              <w:rPr>
                <w:sz w:val="20"/>
                <w:szCs w:val="20"/>
                <w:color w:val="auto"/>
              </w:rPr>
            </w:pPr>
            <w:r>
              <w:rPr>
                <w:rFonts w:ascii="Arial" w:cs="Arial" w:eastAsia="Arial" w:hAnsi="Arial"/>
                <w:sz w:val="18"/>
                <w:szCs w:val="18"/>
                <w:b w:val="1"/>
                <w:bCs w:val="1"/>
                <w:color w:val="auto"/>
              </w:rPr>
              <w:t>713</w:t>
            </w:r>
          </w:p>
        </w:tc>
        <w:tc>
          <w:tcPr>
            <w:tcW w:w="200" w:type="dxa"/>
            <w:vAlign w:val="bottom"/>
            <w:shd w:val="clear" w:color="auto" w:fill="E5E5E5"/>
          </w:tcPr>
          <w:p>
            <w:pPr>
              <w:spacing w:after="0"/>
              <w:rPr>
                <w:sz w:val="17"/>
                <w:szCs w:val="17"/>
                <w:color w:val="auto"/>
              </w:rPr>
            </w:pPr>
          </w:p>
        </w:tc>
        <w:tc>
          <w:tcPr>
            <w:tcW w:w="280" w:type="dxa"/>
            <w:vAlign w:val="bottom"/>
            <w:shd w:val="clear" w:color="auto" w:fill="E5E5E5"/>
          </w:tcPr>
          <w:p>
            <w:pPr>
              <w:spacing w:after="0"/>
              <w:rPr>
                <w:sz w:val="17"/>
                <w:szCs w:val="17"/>
                <w:color w:val="auto"/>
              </w:rPr>
            </w:pPr>
          </w:p>
        </w:tc>
        <w:tc>
          <w:tcPr>
            <w:tcW w:w="1000" w:type="dxa"/>
            <w:vAlign w:val="bottom"/>
            <w:gridSpan w:val="2"/>
            <w:shd w:val="clear" w:color="auto" w:fill="E5E5E5"/>
          </w:tcPr>
          <w:p>
            <w:pPr>
              <w:jc w:val="right"/>
              <w:ind w:right="80"/>
              <w:spacing w:after="0" w:line="202" w:lineRule="exact"/>
              <w:rPr>
                <w:sz w:val="20"/>
                <w:szCs w:val="20"/>
                <w:color w:val="auto"/>
              </w:rPr>
            </w:pPr>
            <w:r>
              <w:rPr>
                <w:rFonts w:ascii="Arial" w:cs="Arial" w:eastAsia="Arial" w:hAnsi="Arial"/>
                <w:sz w:val="18"/>
                <w:szCs w:val="18"/>
                <w:b w:val="1"/>
                <w:bCs w:val="1"/>
                <w:color w:val="auto"/>
              </w:rPr>
              <w:t>(2)</w:t>
            </w:r>
          </w:p>
        </w:tc>
        <w:tc>
          <w:tcPr>
            <w:tcW w:w="80" w:type="dxa"/>
            <w:vAlign w:val="bottom"/>
            <w:shd w:val="clear" w:color="auto" w:fill="E5E5E5"/>
          </w:tcPr>
          <w:p>
            <w:pPr>
              <w:spacing w:after="0"/>
              <w:rPr>
                <w:sz w:val="17"/>
                <w:szCs w:val="17"/>
                <w:color w:val="auto"/>
              </w:rPr>
            </w:pPr>
          </w:p>
        </w:tc>
        <w:tc>
          <w:tcPr>
            <w:tcW w:w="320" w:type="dxa"/>
            <w:vAlign w:val="bottom"/>
            <w:shd w:val="clear" w:color="auto" w:fill="E5E5E5"/>
          </w:tcPr>
          <w:p>
            <w:pPr>
              <w:spacing w:after="0"/>
              <w:rPr>
                <w:sz w:val="17"/>
                <w:szCs w:val="17"/>
                <w:color w:val="auto"/>
              </w:rPr>
            </w:pPr>
          </w:p>
        </w:tc>
        <w:tc>
          <w:tcPr>
            <w:tcW w:w="84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236</w:t>
            </w:r>
          </w:p>
        </w:tc>
        <w:tc>
          <w:tcPr>
            <w:tcW w:w="200" w:type="dxa"/>
            <w:vAlign w:val="bottom"/>
            <w:shd w:val="clear" w:color="auto" w:fill="E5E5E5"/>
          </w:tcPr>
          <w:p>
            <w:pPr>
              <w:spacing w:after="0"/>
              <w:rPr>
                <w:sz w:val="17"/>
                <w:szCs w:val="17"/>
                <w:color w:val="auto"/>
              </w:rPr>
            </w:pPr>
          </w:p>
        </w:tc>
        <w:tc>
          <w:tcPr>
            <w:tcW w:w="300" w:type="dxa"/>
            <w:vAlign w:val="bottom"/>
            <w:shd w:val="clear" w:color="auto" w:fill="E5E5E5"/>
          </w:tcPr>
          <w:p>
            <w:pPr>
              <w:spacing w:after="0"/>
              <w:rPr>
                <w:sz w:val="17"/>
                <w:szCs w:val="17"/>
                <w:color w:val="auto"/>
              </w:rPr>
            </w:pPr>
          </w:p>
        </w:tc>
        <w:tc>
          <w:tcPr>
            <w:tcW w:w="1080" w:type="dxa"/>
            <w:vAlign w:val="bottom"/>
            <w:gridSpan w:val="2"/>
            <w:shd w:val="clear" w:color="auto" w:fill="E5E5E5"/>
          </w:tcPr>
          <w:p>
            <w:pPr>
              <w:jc w:val="right"/>
              <w:ind w:right="160"/>
              <w:spacing w:after="0" w:line="202" w:lineRule="exact"/>
              <w:rPr>
                <w:sz w:val="20"/>
                <w:szCs w:val="20"/>
                <w:color w:val="auto"/>
              </w:rPr>
            </w:pPr>
            <w:r>
              <w:rPr>
                <w:rFonts w:ascii="Arial" w:cs="Arial" w:eastAsia="Arial" w:hAnsi="Arial"/>
                <w:sz w:val="18"/>
                <w:szCs w:val="18"/>
                <w:b w:val="1"/>
                <w:bCs w:val="1"/>
                <w:color w:val="auto"/>
              </w:rPr>
              <w:t>(2)</w:t>
            </w:r>
          </w:p>
        </w:tc>
        <w:tc>
          <w:tcPr>
            <w:tcW w:w="300" w:type="dxa"/>
            <w:vAlign w:val="bottom"/>
            <w:shd w:val="clear" w:color="auto" w:fill="E5E5E5"/>
          </w:tcPr>
          <w:p>
            <w:pPr>
              <w:spacing w:after="0"/>
              <w:rPr>
                <w:sz w:val="17"/>
                <w:szCs w:val="17"/>
                <w:color w:val="auto"/>
              </w:rPr>
            </w:pPr>
          </w:p>
        </w:tc>
        <w:tc>
          <w:tcPr>
            <w:tcW w:w="1060" w:type="dxa"/>
            <w:vAlign w:val="bottom"/>
            <w:gridSpan w:val="2"/>
            <w:shd w:val="clear" w:color="auto" w:fill="E5E5E5"/>
          </w:tcPr>
          <w:p>
            <w:pPr>
              <w:jc w:val="right"/>
              <w:ind w:right="220"/>
              <w:spacing w:after="0" w:line="202" w:lineRule="exact"/>
              <w:rPr>
                <w:sz w:val="20"/>
                <w:szCs w:val="20"/>
                <w:color w:val="auto"/>
              </w:rPr>
            </w:pPr>
            <w:r>
              <w:rPr>
                <w:rFonts w:ascii="Arial" w:cs="Arial" w:eastAsia="Arial" w:hAnsi="Arial"/>
                <w:sz w:val="18"/>
                <w:szCs w:val="18"/>
                <w:b w:val="1"/>
                <w:bCs w:val="1"/>
                <w:color w:val="auto"/>
              </w:rPr>
              <w:t>949</w:t>
            </w:r>
          </w:p>
        </w:tc>
        <w:tc>
          <w:tcPr>
            <w:tcW w:w="280" w:type="dxa"/>
            <w:vAlign w:val="bottom"/>
            <w:shd w:val="clear" w:color="auto" w:fill="E5E5E5"/>
          </w:tcPr>
          <w:p>
            <w:pPr>
              <w:spacing w:after="0"/>
              <w:rPr>
                <w:sz w:val="17"/>
                <w:szCs w:val="17"/>
                <w:color w:val="auto"/>
              </w:rPr>
            </w:pPr>
          </w:p>
        </w:tc>
        <w:tc>
          <w:tcPr>
            <w:tcW w:w="1000" w:type="dxa"/>
            <w:vAlign w:val="bottom"/>
            <w:gridSpan w:val="2"/>
            <w:shd w:val="clear" w:color="auto" w:fill="E5E5E5"/>
          </w:tcPr>
          <w:p>
            <w:pPr>
              <w:jc w:val="right"/>
              <w:ind w:right="60"/>
              <w:spacing w:after="0" w:line="202" w:lineRule="exact"/>
              <w:rPr>
                <w:sz w:val="20"/>
                <w:szCs w:val="20"/>
                <w:color w:val="auto"/>
              </w:rPr>
            </w:pPr>
            <w:r>
              <w:rPr>
                <w:rFonts w:ascii="Arial" w:cs="Arial" w:eastAsia="Arial" w:hAnsi="Arial"/>
                <w:sz w:val="18"/>
                <w:szCs w:val="18"/>
                <w:b w:val="1"/>
                <w:bCs w:val="1"/>
                <w:color w:val="auto"/>
              </w:rPr>
              <w:t>(4)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20" w:type="dxa"/>
            <w:vAlign w:val="bottom"/>
          </w:tcPr>
          <w:p>
            <w:pPr>
              <w:spacing w:after="0" w:line="202" w:lineRule="exact"/>
              <w:rPr>
                <w:sz w:val="20"/>
                <w:szCs w:val="20"/>
                <w:color w:val="auto"/>
              </w:rPr>
            </w:pPr>
            <w:r>
              <w:rPr>
                <w:rFonts w:ascii="Arial" w:cs="Arial" w:eastAsia="Arial" w:hAnsi="Arial"/>
                <w:sz w:val="18"/>
                <w:szCs w:val="18"/>
                <w:color w:val="auto"/>
              </w:rPr>
              <w:t>Corporate notes and bonds</w:t>
            </w:r>
          </w:p>
        </w:tc>
        <w:tc>
          <w:tcPr>
            <w:tcW w:w="280" w:type="dxa"/>
            <w:vAlign w:val="bottom"/>
          </w:tcPr>
          <w:p>
            <w:pPr>
              <w:spacing w:after="0"/>
              <w:rPr>
                <w:sz w:val="17"/>
                <w:szCs w:val="17"/>
                <w:color w:val="auto"/>
              </w:rPr>
            </w:pPr>
          </w:p>
        </w:tc>
        <w:tc>
          <w:tcPr>
            <w:tcW w:w="860" w:type="dxa"/>
            <w:vAlign w:val="bottom"/>
            <w:gridSpan w:val="2"/>
          </w:tcPr>
          <w:p>
            <w:pPr>
              <w:jc w:val="right"/>
              <w:ind w:right="20"/>
              <w:spacing w:after="0" w:line="202" w:lineRule="exact"/>
              <w:rPr>
                <w:sz w:val="20"/>
                <w:szCs w:val="20"/>
                <w:color w:val="auto"/>
              </w:rPr>
            </w:pPr>
            <w:r>
              <w:rPr>
                <w:rFonts w:ascii="Arial" w:cs="Arial" w:eastAsia="Arial" w:hAnsi="Arial"/>
                <w:sz w:val="18"/>
                <w:szCs w:val="18"/>
                <w:b w:val="1"/>
                <w:bCs w:val="1"/>
                <w:color w:val="auto"/>
              </w:rPr>
              <w:t>502</w:t>
            </w: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gridSpan w:val="2"/>
          </w:tcPr>
          <w:p>
            <w:pPr>
              <w:jc w:val="right"/>
              <w:ind w:right="80"/>
              <w:spacing w:after="0" w:line="202" w:lineRule="exact"/>
              <w:rPr>
                <w:sz w:val="20"/>
                <w:szCs w:val="20"/>
                <w:color w:val="auto"/>
              </w:rPr>
            </w:pPr>
            <w:r>
              <w:rPr>
                <w:rFonts w:ascii="Arial" w:cs="Arial" w:eastAsia="Arial" w:hAnsi="Arial"/>
                <w:sz w:val="18"/>
                <w:szCs w:val="18"/>
                <w:b w:val="1"/>
                <w:bCs w:val="1"/>
                <w:color w:val="auto"/>
              </w:rPr>
              <w:t>(4)</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283</w:t>
            </w: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gridSpan w:val="2"/>
          </w:tcPr>
          <w:p>
            <w:pPr>
              <w:jc w:val="right"/>
              <w:ind w:right="160"/>
              <w:spacing w:after="0" w:line="202" w:lineRule="exact"/>
              <w:rPr>
                <w:sz w:val="20"/>
                <w:szCs w:val="20"/>
                <w:color w:val="auto"/>
              </w:rPr>
            </w:pPr>
            <w:r>
              <w:rPr>
                <w:rFonts w:ascii="Arial" w:cs="Arial" w:eastAsia="Arial" w:hAnsi="Arial"/>
                <w:sz w:val="18"/>
                <w:szCs w:val="18"/>
                <w:b w:val="1"/>
                <w:bCs w:val="1"/>
                <w:color w:val="auto"/>
              </w:rPr>
              <w:t>(5)</w:t>
            </w:r>
          </w:p>
        </w:tc>
        <w:tc>
          <w:tcPr>
            <w:tcW w:w="300" w:type="dxa"/>
            <w:vAlign w:val="bottom"/>
          </w:tcPr>
          <w:p>
            <w:pPr>
              <w:spacing w:after="0"/>
              <w:rPr>
                <w:sz w:val="17"/>
                <w:szCs w:val="17"/>
                <w:color w:val="auto"/>
              </w:rPr>
            </w:pPr>
          </w:p>
        </w:tc>
        <w:tc>
          <w:tcPr>
            <w:tcW w:w="1060" w:type="dxa"/>
            <w:vAlign w:val="bottom"/>
            <w:gridSpan w:val="2"/>
          </w:tcPr>
          <w:p>
            <w:pPr>
              <w:jc w:val="right"/>
              <w:ind w:right="220"/>
              <w:spacing w:after="0" w:line="202" w:lineRule="exact"/>
              <w:rPr>
                <w:sz w:val="20"/>
                <w:szCs w:val="20"/>
                <w:color w:val="auto"/>
              </w:rPr>
            </w:pPr>
            <w:r>
              <w:rPr>
                <w:rFonts w:ascii="Arial" w:cs="Arial" w:eastAsia="Arial" w:hAnsi="Arial"/>
                <w:sz w:val="18"/>
                <w:szCs w:val="18"/>
                <w:b w:val="1"/>
                <w:bCs w:val="1"/>
                <w:color w:val="auto"/>
              </w:rPr>
              <w:t>785</w:t>
            </w:r>
          </w:p>
        </w:tc>
        <w:tc>
          <w:tcPr>
            <w:tcW w:w="280" w:type="dxa"/>
            <w:vAlign w:val="bottom"/>
          </w:tcPr>
          <w:p>
            <w:pPr>
              <w:spacing w:after="0"/>
              <w:rPr>
                <w:sz w:val="17"/>
                <w:szCs w:val="17"/>
                <w:color w:val="auto"/>
              </w:rPr>
            </w:pPr>
          </w:p>
        </w:tc>
        <w:tc>
          <w:tcPr>
            <w:tcW w:w="1000" w:type="dxa"/>
            <w:vAlign w:val="bottom"/>
            <w:gridSpan w:val="2"/>
          </w:tcPr>
          <w:p>
            <w:pPr>
              <w:jc w:val="right"/>
              <w:ind w:right="60"/>
              <w:spacing w:after="0" w:line="202" w:lineRule="exact"/>
              <w:rPr>
                <w:sz w:val="20"/>
                <w:szCs w:val="20"/>
                <w:color w:val="auto"/>
              </w:rPr>
            </w:pPr>
            <w:r>
              <w:rPr>
                <w:rFonts w:ascii="Arial" w:cs="Arial" w:eastAsia="Arial" w:hAnsi="Arial"/>
                <w:sz w:val="18"/>
                <w:szCs w:val="18"/>
                <w:b w:val="1"/>
                <w:bCs w:val="1"/>
                <w:color w:val="auto"/>
              </w:rPr>
              <w:t>(9)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2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Common and preferred stock</w:t>
            </w:r>
          </w:p>
        </w:tc>
        <w:tc>
          <w:tcPr>
            <w:tcW w:w="280" w:type="dxa"/>
            <w:vAlign w:val="bottom"/>
            <w:shd w:val="clear" w:color="auto" w:fill="E5E5E5"/>
          </w:tcPr>
          <w:p>
            <w:pPr>
              <w:spacing w:after="0"/>
              <w:rPr>
                <w:sz w:val="17"/>
                <w:szCs w:val="17"/>
                <w:color w:val="auto"/>
              </w:rPr>
            </w:pPr>
          </w:p>
        </w:tc>
        <w:tc>
          <w:tcPr>
            <w:tcW w:w="860" w:type="dxa"/>
            <w:vAlign w:val="bottom"/>
            <w:gridSpan w:val="2"/>
            <w:shd w:val="clear" w:color="auto" w:fill="E5E5E5"/>
          </w:tcPr>
          <w:p>
            <w:pPr>
              <w:jc w:val="right"/>
              <w:ind w:right="20"/>
              <w:spacing w:after="0" w:line="202" w:lineRule="exact"/>
              <w:rPr>
                <w:sz w:val="20"/>
                <w:szCs w:val="20"/>
                <w:color w:val="auto"/>
              </w:rPr>
            </w:pPr>
            <w:r>
              <w:rPr>
                <w:rFonts w:ascii="Arial" w:cs="Arial" w:eastAsia="Arial" w:hAnsi="Arial"/>
                <w:sz w:val="18"/>
                <w:szCs w:val="18"/>
                <w:b w:val="1"/>
                <w:bCs w:val="1"/>
                <w:color w:val="auto"/>
              </w:rPr>
              <w:t>30</w:t>
            </w:r>
          </w:p>
        </w:tc>
        <w:tc>
          <w:tcPr>
            <w:tcW w:w="200" w:type="dxa"/>
            <w:vAlign w:val="bottom"/>
            <w:shd w:val="clear" w:color="auto" w:fill="E5E5E5"/>
          </w:tcPr>
          <w:p>
            <w:pPr>
              <w:spacing w:after="0"/>
              <w:rPr>
                <w:sz w:val="17"/>
                <w:szCs w:val="17"/>
                <w:color w:val="auto"/>
              </w:rPr>
            </w:pPr>
          </w:p>
        </w:tc>
        <w:tc>
          <w:tcPr>
            <w:tcW w:w="280" w:type="dxa"/>
            <w:vAlign w:val="bottom"/>
            <w:shd w:val="clear" w:color="auto" w:fill="E5E5E5"/>
          </w:tcPr>
          <w:p>
            <w:pPr>
              <w:spacing w:after="0"/>
              <w:rPr>
                <w:sz w:val="17"/>
                <w:szCs w:val="17"/>
                <w:color w:val="auto"/>
              </w:rPr>
            </w:pPr>
          </w:p>
        </w:tc>
        <w:tc>
          <w:tcPr>
            <w:tcW w:w="1000" w:type="dxa"/>
            <w:vAlign w:val="bottom"/>
            <w:gridSpan w:val="2"/>
            <w:shd w:val="clear" w:color="auto" w:fill="E5E5E5"/>
          </w:tcPr>
          <w:p>
            <w:pPr>
              <w:jc w:val="right"/>
              <w:ind w:right="140"/>
              <w:spacing w:after="0" w:line="202" w:lineRule="exact"/>
              <w:rPr>
                <w:sz w:val="20"/>
                <w:szCs w:val="20"/>
                <w:color w:val="auto"/>
              </w:rPr>
            </w:pPr>
            <w:r>
              <w:rPr>
                <w:rFonts w:ascii="Arial" w:cs="Arial" w:eastAsia="Arial" w:hAnsi="Arial"/>
                <w:sz w:val="18"/>
                <w:szCs w:val="18"/>
                <w:b w:val="1"/>
                <w:bCs w:val="1"/>
                <w:color w:val="auto"/>
              </w:rPr>
              <w:t>0</w:t>
            </w:r>
          </w:p>
        </w:tc>
        <w:tc>
          <w:tcPr>
            <w:tcW w:w="80" w:type="dxa"/>
            <w:vAlign w:val="bottom"/>
            <w:shd w:val="clear" w:color="auto" w:fill="E5E5E5"/>
          </w:tcPr>
          <w:p>
            <w:pPr>
              <w:spacing w:after="0"/>
              <w:rPr>
                <w:sz w:val="17"/>
                <w:szCs w:val="17"/>
                <w:color w:val="auto"/>
              </w:rPr>
            </w:pPr>
          </w:p>
        </w:tc>
        <w:tc>
          <w:tcPr>
            <w:tcW w:w="320" w:type="dxa"/>
            <w:vAlign w:val="bottom"/>
            <w:shd w:val="clear" w:color="auto" w:fill="E5E5E5"/>
          </w:tcPr>
          <w:p>
            <w:pPr>
              <w:spacing w:after="0"/>
              <w:rPr>
                <w:sz w:val="17"/>
                <w:szCs w:val="17"/>
                <w:color w:val="auto"/>
              </w:rPr>
            </w:pPr>
          </w:p>
        </w:tc>
        <w:tc>
          <w:tcPr>
            <w:tcW w:w="84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59</w:t>
            </w:r>
          </w:p>
        </w:tc>
        <w:tc>
          <w:tcPr>
            <w:tcW w:w="200" w:type="dxa"/>
            <w:vAlign w:val="bottom"/>
            <w:shd w:val="clear" w:color="auto" w:fill="E5E5E5"/>
          </w:tcPr>
          <w:p>
            <w:pPr>
              <w:spacing w:after="0"/>
              <w:rPr>
                <w:sz w:val="17"/>
                <w:szCs w:val="17"/>
                <w:color w:val="auto"/>
              </w:rPr>
            </w:pPr>
          </w:p>
        </w:tc>
        <w:tc>
          <w:tcPr>
            <w:tcW w:w="300" w:type="dxa"/>
            <w:vAlign w:val="bottom"/>
            <w:shd w:val="clear" w:color="auto" w:fill="E5E5E5"/>
          </w:tcPr>
          <w:p>
            <w:pPr>
              <w:spacing w:after="0"/>
              <w:rPr>
                <w:sz w:val="17"/>
                <w:szCs w:val="17"/>
                <w:color w:val="auto"/>
              </w:rPr>
            </w:pPr>
          </w:p>
        </w:tc>
        <w:tc>
          <w:tcPr>
            <w:tcW w:w="1080" w:type="dxa"/>
            <w:vAlign w:val="bottom"/>
            <w:gridSpan w:val="2"/>
            <w:shd w:val="clear" w:color="auto" w:fill="E5E5E5"/>
          </w:tcPr>
          <w:p>
            <w:pPr>
              <w:jc w:val="right"/>
              <w:ind w:right="160"/>
              <w:spacing w:after="0" w:line="202" w:lineRule="exact"/>
              <w:rPr>
                <w:sz w:val="20"/>
                <w:szCs w:val="20"/>
                <w:color w:val="auto"/>
              </w:rPr>
            </w:pPr>
            <w:r>
              <w:rPr>
                <w:rFonts w:ascii="Arial" w:cs="Arial" w:eastAsia="Arial" w:hAnsi="Arial"/>
                <w:sz w:val="18"/>
                <w:szCs w:val="18"/>
                <w:b w:val="1"/>
                <w:bCs w:val="1"/>
                <w:color w:val="auto"/>
              </w:rPr>
              <w:t>(9)</w:t>
            </w:r>
          </w:p>
        </w:tc>
        <w:tc>
          <w:tcPr>
            <w:tcW w:w="300" w:type="dxa"/>
            <w:vAlign w:val="bottom"/>
            <w:shd w:val="clear" w:color="auto" w:fill="E5E5E5"/>
          </w:tcPr>
          <w:p>
            <w:pPr>
              <w:spacing w:after="0"/>
              <w:rPr>
                <w:sz w:val="17"/>
                <w:szCs w:val="17"/>
                <w:color w:val="auto"/>
              </w:rPr>
            </w:pPr>
          </w:p>
        </w:tc>
        <w:tc>
          <w:tcPr>
            <w:tcW w:w="1060" w:type="dxa"/>
            <w:vAlign w:val="bottom"/>
            <w:gridSpan w:val="2"/>
            <w:shd w:val="clear" w:color="auto" w:fill="E5E5E5"/>
          </w:tcPr>
          <w:p>
            <w:pPr>
              <w:jc w:val="right"/>
              <w:ind w:right="220"/>
              <w:spacing w:after="0" w:line="202" w:lineRule="exact"/>
              <w:rPr>
                <w:sz w:val="20"/>
                <w:szCs w:val="20"/>
                <w:color w:val="auto"/>
              </w:rPr>
            </w:pPr>
            <w:r>
              <w:rPr>
                <w:rFonts w:ascii="Arial" w:cs="Arial" w:eastAsia="Arial" w:hAnsi="Arial"/>
                <w:sz w:val="18"/>
                <w:szCs w:val="18"/>
                <w:b w:val="1"/>
                <w:bCs w:val="1"/>
                <w:color w:val="auto"/>
              </w:rPr>
              <w:t>89</w:t>
            </w:r>
          </w:p>
        </w:tc>
        <w:tc>
          <w:tcPr>
            <w:tcW w:w="280" w:type="dxa"/>
            <w:vAlign w:val="bottom"/>
            <w:shd w:val="clear" w:color="auto" w:fill="E5E5E5"/>
          </w:tcPr>
          <w:p>
            <w:pPr>
              <w:spacing w:after="0"/>
              <w:rPr>
                <w:sz w:val="17"/>
                <w:szCs w:val="17"/>
                <w:color w:val="auto"/>
              </w:rPr>
            </w:pPr>
          </w:p>
        </w:tc>
        <w:tc>
          <w:tcPr>
            <w:tcW w:w="1000" w:type="dxa"/>
            <w:vAlign w:val="bottom"/>
            <w:gridSpan w:val="2"/>
            <w:shd w:val="clear" w:color="auto" w:fill="E5E5E5"/>
          </w:tcPr>
          <w:p>
            <w:pPr>
              <w:jc w:val="right"/>
              <w:ind w:right="60"/>
              <w:spacing w:after="0" w:line="202" w:lineRule="exact"/>
              <w:rPr>
                <w:sz w:val="20"/>
                <w:szCs w:val="20"/>
                <w:color w:val="auto"/>
              </w:rPr>
            </w:pPr>
            <w:r>
              <w:rPr>
                <w:rFonts w:ascii="Arial" w:cs="Arial" w:eastAsia="Arial" w:hAnsi="Arial"/>
                <w:sz w:val="18"/>
                <w:szCs w:val="18"/>
                <w:b w:val="1"/>
                <w:bCs w:val="1"/>
                <w:color w:val="auto"/>
              </w:rPr>
              <w:t>(9)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332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320" w:type="dxa"/>
            <w:vAlign w:val="bottom"/>
          </w:tcPr>
          <w:p>
            <w:pPr>
              <w:spacing w:after="0"/>
              <w:rPr>
                <w:sz w:val="5"/>
                <w:szCs w:val="5"/>
                <w:color w:val="auto"/>
              </w:rPr>
            </w:pPr>
          </w:p>
        </w:tc>
        <w:tc>
          <w:tcPr>
            <w:tcW w:w="280" w:type="dxa"/>
            <w:vAlign w:val="bottom"/>
          </w:tcPr>
          <w:p>
            <w:pPr>
              <w:spacing w:after="0"/>
              <w:rPr>
                <w:sz w:val="5"/>
                <w:szCs w:val="5"/>
                <w:color w:val="auto"/>
              </w:rPr>
            </w:pPr>
          </w:p>
        </w:tc>
        <w:tc>
          <w:tcPr>
            <w:tcW w:w="8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80" w:type="dxa"/>
            <w:vAlign w:val="bottom"/>
          </w:tcPr>
          <w:p>
            <w:pPr>
              <w:spacing w:after="0"/>
              <w:rPr>
                <w:sz w:val="5"/>
                <w:szCs w:val="5"/>
                <w:color w:val="auto"/>
              </w:rPr>
            </w:pPr>
          </w:p>
        </w:tc>
        <w:tc>
          <w:tcPr>
            <w:tcW w:w="86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840" w:type="dxa"/>
            <w:vAlign w:val="bottom"/>
          </w:tcPr>
          <w:p>
            <w:pPr>
              <w:spacing w:after="0"/>
              <w:rPr>
                <w:sz w:val="5"/>
                <w:szCs w:val="5"/>
                <w:color w:val="auto"/>
              </w:rPr>
            </w:pPr>
          </w:p>
        </w:tc>
        <w:tc>
          <w:tcPr>
            <w:tcW w:w="200" w:type="dxa"/>
            <w:vAlign w:val="bottom"/>
          </w:tcPr>
          <w:p>
            <w:pPr>
              <w:spacing w:after="0"/>
              <w:rPr>
                <w:sz w:val="5"/>
                <w:szCs w:val="5"/>
                <w:color w:val="auto"/>
              </w:rPr>
            </w:pPr>
          </w:p>
        </w:tc>
        <w:tc>
          <w:tcPr>
            <w:tcW w:w="300" w:type="dxa"/>
            <w:vAlign w:val="bottom"/>
          </w:tcPr>
          <w:p>
            <w:pPr>
              <w:spacing w:after="0"/>
              <w:rPr>
                <w:sz w:val="5"/>
                <w:szCs w:val="5"/>
                <w:color w:val="auto"/>
              </w:rPr>
            </w:pPr>
          </w:p>
        </w:tc>
        <w:tc>
          <w:tcPr>
            <w:tcW w:w="860" w:type="dxa"/>
            <w:vAlign w:val="bottom"/>
          </w:tcPr>
          <w:p>
            <w:pPr>
              <w:spacing w:after="0"/>
              <w:rPr>
                <w:sz w:val="5"/>
                <w:szCs w:val="5"/>
                <w:color w:val="auto"/>
              </w:rPr>
            </w:pPr>
          </w:p>
        </w:tc>
        <w:tc>
          <w:tcPr>
            <w:tcW w:w="220" w:type="dxa"/>
            <w:vAlign w:val="bottom"/>
          </w:tcPr>
          <w:p>
            <w:pPr>
              <w:spacing w:after="0"/>
              <w:rPr>
                <w:sz w:val="5"/>
                <w:szCs w:val="5"/>
                <w:color w:val="auto"/>
              </w:rPr>
            </w:pPr>
          </w:p>
        </w:tc>
        <w:tc>
          <w:tcPr>
            <w:tcW w:w="300" w:type="dxa"/>
            <w:vAlign w:val="bottom"/>
          </w:tcPr>
          <w:p>
            <w:pPr>
              <w:spacing w:after="0"/>
              <w:rPr>
                <w:sz w:val="5"/>
                <w:szCs w:val="5"/>
                <w:color w:val="auto"/>
              </w:rPr>
            </w:pPr>
          </w:p>
        </w:tc>
        <w:tc>
          <w:tcPr>
            <w:tcW w:w="840" w:type="dxa"/>
            <w:vAlign w:val="bottom"/>
          </w:tcPr>
          <w:p>
            <w:pPr>
              <w:spacing w:after="0"/>
              <w:rPr>
                <w:sz w:val="5"/>
                <w:szCs w:val="5"/>
                <w:color w:val="auto"/>
              </w:rPr>
            </w:pPr>
          </w:p>
        </w:tc>
        <w:tc>
          <w:tcPr>
            <w:tcW w:w="220" w:type="dxa"/>
            <w:vAlign w:val="bottom"/>
          </w:tcPr>
          <w:p>
            <w:pPr>
              <w:spacing w:after="0"/>
              <w:rPr>
                <w:sz w:val="5"/>
                <w:szCs w:val="5"/>
                <w:color w:val="auto"/>
              </w:rPr>
            </w:pPr>
          </w:p>
        </w:tc>
        <w:tc>
          <w:tcPr>
            <w:tcW w:w="280" w:type="dxa"/>
            <w:vAlign w:val="bottom"/>
          </w:tcPr>
          <w:p>
            <w:pPr>
              <w:spacing w:after="0"/>
              <w:rPr>
                <w:sz w:val="5"/>
                <w:szCs w:val="5"/>
                <w:color w:val="auto"/>
              </w:rPr>
            </w:pPr>
          </w:p>
        </w:tc>
        <w:tc>
          <w:tcPr>
            <w:tcW w:w="8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20" w:type="dxa"/>
            <w:vAlign w:val="bottom"/>
            <w:shd w:val="clear" w:color="auto" w:fill="E5E5E5"/>
          </w:tcPr>
          <w:p>
            <w:pPr>
              <w:ind w:left="200"/>
              <w:spacing w:after="0" w:line="202" w:lineRule="exact"/>
              <w:rPr>
                <w:sz w:val="20"/>
                <w:szCs w:val="20"/>
                <w:color w:val="auto"/>
              </w:rPr>
            </w:pPr>
            <w:r>
              <w:rPr>
                <w:rFonts w:ascii="Arial" w:cs="Arial" w:eastAsia="Arial" w:hAnsi="Arial"/>
                <w:sz w:val="18"/>
                <w:szCs w:val="18"/>
                <w:color w:val="auto"/>
              </w:rPr>
              <w:t>Total</w:t>
            </w:r>
          </w:p>
        </w:tc>
        <w:tc>
          <w:tcPr>
            <w:tcW w:w="280" w:type="dxa"/>
            <w:vAlign w:val="bottom"/>
            <w:shd w:val="clear" w:color="auto" w:fill="E5E5E5"/>
          </w:tcPr>
          <w:p>
            <w:pPr>
              <w:jc w:val="right"/>
              <w:ind w:right="90"/>
              <w:spacing w:after="0" w:line="202" w:lineRule="exact"/>
              <w:rPr>
                <w:sz w:val="20"/>
                <w:szCs w:val="20"/>
                <w:color w:val="auto"/>
              </w:rPr>
            </w:pPr>
            <w:r>
              <w:rPr>
                <w:rFonts w:ascii="Arial" w:cs="Arial" w:eastAsia="Arial" w:hAnsi="Arial"/>
                <w:sz w:val="18"/>
                <w:szCs w:val="18"/>
                <w:b w:val="1"/>
                <w:bCs w:val="1"/>
                <w:color w:val="auto"/>
                <w:w w:val="79"/>
              </w:rPr>
              <w:t>$</w:t>
            </w:r>
          </w:p>
        </w:tc>
        <w:tc>
          <w:tcPr>
            <w:tcW w:w="860" w:type="dxa"/>
            <w:vAlign w:val="bottom"/>
            <w:gridSpan w:val="2"/>
            <w:shd w:val="clear" w:color="auto" w:fill="E5E5E5"/>
          </w:tcPr>
          <w:p>
            <w:pPr>
              <w:jc w:val="right"/>
              <w:ind w:right="20"/>
              <w:spacing w:after="0" w:line="202" w:lineRule="exact"/>
              <w:rPr>
                <w:sz w:val="20"/>
                <w:szCs w:val="20"/>
                <w:color w:val="auto"/>
              </w:rPr>
            </w:pPr>
            <w:r>
              <w:rPr>
                <w:rFonts w:ascii="Arial" w:cs="Arial" w:eastAsia="Arial" w:hAnsi="Arial"/>
                <w:sz w:val="18"/>
                <w:szCs w:val="18"/>
                <w:b w:val="1"/>
                <w:bCs w:val="1"/>
                <w:color w:val="auto"/>
              </w:rPr>
              <w:t>104,462</w:t>
            </w:r>
          </w:p>
        </w:tc>
        <w:tc>
          <w:tcPr>
            <w:tcW w:w="480" w:type="dxa"/>
            <w:vAlign w:val="bottom"/>
            <w:gridSpan w:val="2"/>
            <w:shd w:val="clear" w:color="auto" w:fill="E5E5E5"/>
          </w:tcPr>
          <w:p>
            <w:pPr>
              <w:jc w:val="right"/>
              <w:ind w:right="180"/>
              <w:spacing w:after="0" w:line="202" w:lineRule="exact"/>
              <w:rPr>
                <w:sz w:val="20"/>
                <w:szCs w:val="20"/>
                <w:color w:val="auto"/>
              </w:rPr>
            </w:pPr>
            <w:r>
              <w:rPr>
                <w:rFonts w:ascii="Arial" w:cs="Arial" w:eastAsia="Arial" w:hAnsi="Arial"/>
                <w:sz w:val="18"/>
                <w:szCs w:val="18"/>
                <w:b w:val="1"/>
                <w:bCs w:val="1"/>
                <w:color w:val="auto"/>
              </w:rPr>
              <w:t>$</w:t>
            </w:r>
          </w:p>
        </w:tc>
        <w:tc>
          <w:tcPr>
            <w:tcW w:w="1000" w:type="dxa"/>
            <w:vAlign w:val="bottom"/>
            <w:gridSpan w:val="2"/>
            <w:shd w:val="clear" w:color="auto" w:fill="E5E5E5"/>
          </w:tcPr>
          <w:p>
            <w:pPr>
              <w:jc w:val="right"/>
              <w:ind w:right="80"/>
              <w:spacing w:after="0" w:line="202" w:lineRule="exact"/>
              <w:rPr>
                <w:sz w:val="20"/>
                <w:szCs w:val="20"/>
                <w:color w:val="auto"/>
              </w:rPr>
            </w:pPr>
            <w:r>
              <w:rPr>
                <w:rFonts w:ascii="Arial" w:cs="Arial" w:eastAsia="Arial" w:hAnsi="Arial"/>
                <w:sz w:val="18"/>
                <w:szCs w:val="18"/>
                <w:b w:val="1"/>
                <w:bCs w:val="1"/>
                <w:color w:val="auto"/>
              </w:rPr>
              <w:t>(297)</w:t>
            </w:r>
          </w:p>
        </w:tc>
        <w:tc>
          <w:tcPr>
            <w:tcW w:w="400" w:type="dxa"/>
            <w:vAlign w:val="bottom"/>
            <w:gridSpan w:val="2"/>
            <w:shd w:val="clear" w:color="auto" w:fill="E5E5E5"/>
          </w:tcPr>
          <w:p>
            <w:pPr>
              <w:jc w:val="right"/>
              <w:ind w:right="220"/>
              <w:spacing w:after="0" w:line="202" w:lineRule="exact"/>
              <w:rPr>
                <w:sz w:val="20"/>
                <w:szCs w:val="20"/>
                <w:color w:val="auto"/>
              </w:rPr>
            </w:pPr>
            <w:r>
              <w:rPr>
                <w:rFonts w:ascii="Arial" w:cs="Arial" w:eastAsia="Arial" w:hAnsi="Arial"/>
                <w:sz w:val="18"/>
                <w:szCs w:val="18"/>
                <w:b w:val="1"/>
                <w:bCs w:val="1"/>
                <w:color w:val="auto"/>
              </w:rPr>
              <w:t>$</w:t>
            </w:r>
          </w:p>
        </w:tc>
        <w:tc>
          <w:tcPr>
            <w:tcW w:w="84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5,559</w:t>
            </w:r>
          </w:p>
        </w:tc>
        <w:tc>
          <w:tcPr>
            <w:tcW w:w="500" w:type="dxa"/>
            <w:vAlign w:val="bottom"/>
            <w:gridSpan w:val="2"/>
            <w:shd w:val="clear" w:color="auto" w:fill="E5E5E5"/>
          </w:tcPr>
          <w:p>
            <w:pPr>
              <w:jc w:val="right"/>
              <w:ind w:right="200"/>
              <w:spacing w:after="0" w:line="202" w:lineRule="exact"/>
              <w:rPr>
                <w:sz w:val="20"/>
                <w:szCs w:val="20"/>
                <w:color w:val="auto"/>
              </w:rPr>
            </w:pPr>
            <w:r>
              <w:rPr>
                <w:rFonts w:ascii="Arial" w:cs="Arial" w:eastAsia="Arial" w:hAnsi="Arial"/>
                <w:sz w:val="18"/>
                <w:szCs w:val="18"/>
                <w:b w:val="1"/>
                <w:bCs w:val="1"/>
                <w:color w:val="auto"/>
              </w:rPr>
              <w:t>$</w:t>
            </w:r>
          </w:p>
        </w:tc>
        <w:tc>
          <w:tcPr>
            <w:tcW w:w="1080" w:type="dxa"/>
            <w:vAlign w:val="bottom"/>
            <w:gridSpan w:val="2"/>
            <w:shd w:val="clear" w:color="auto" w:fill="E5E5E5"/>
          </w:tcPr>
          <w:p>
            <w:pPr>
              <w:jc w:val="right"/>
              <w:ind w:right="160"/>
              <w:spacing w:after="0" w:line="202" w:lineRule="exact"/>
              <w:rPr>
                <w:sz w:val="20"/>
                <w:szCs w:val="20"/>
                <w:color w:val="auto"/>
              </w:rPr>
            </w:pPr>
            <w:r>
              <w:rPr>
                <w:rFonts w:ascii="Arial" w:cs="Arial" w:eastAsia="Arial" w:hAnsi="Arial"/>
                <w:sz w:val="18"/>
                <w:szCs w:val="18"/>
                <w:b w:val="1"/>
                <w:bCs w:val="1"/>
                <w:color w:val="auto"/>
              </w:rPr>
              <w:t>(81)</w:t>
            </w:r>
          </w:p>
        </w:tc>
        <w:tc>
          <w:tcPr>
            <w:tcW w:w="300" w:type="dxa"/>
            <w:vAlign w:val="bottom"/>
            <w:shd w:val="clear" w:color="auto" w:fill="E5E5E5"/>
          </w:tcPr>
          <w:p>
            <w:pPr>
              <w:jc w:val="right"/>
              <w:ind w:right="110"/>
              <w:spacing w:after="0" w:line="202" w:lineRule="exact"/>
              <w:rPr>
                <w:sz w:val="20"/>
                <w:szCs w:val="20"/>
                <w:color w:val="auto"/>
              </w:rPr>
            </w:pPr>
            <w:r>
              <w:rPr>
                <w:rFonts w:ascii="Arial" w:cs="Arial" w:eastAsia="Arial" w:hAnsi="Arial"/>
                <w:sz w:val="18"/>
                <w:szCs w:val="18"/>
                <w:b w:val="1"/>
                <w:bCs w:val="1"/>
                <w:color w:val="auto"/>
                <w:w w:val="79"/>
              </w:rPr>
              <w:t>$</w:t>
            </w:r>
          </w:p>
        </w:tc>
        <w:tc>
          <w:tcPr>
            <w:tcW w:w="1060" w:type="dxa"/>
            <w:vAlign w:val="bottom"/>
            <w:gridSpan w:val="2"/>
            <w:shd w:val="clear" w:color="auto" w:fill="E5E5E5"/>
          </w:tcPr>
          <w:p>
            <w:pPr>
              <w:jc w:val="right"/>
              <w:ind w:right="220"/>
              <w:spacing w:after="0" w:line="202" w:lineRule="exact"/>
              <w:rPr>
                <w:sz w:val="20"/>
                <w:szCs w:val="20"/>
                <w:color w:val="auto"/>
              </w:rPr>
            </w:pPr>
            <w:r>
              <w:rPr>
                <w:rFonts w:ascii="Arial" w:cs="Arial" w:eastAsia="Arial" w:hAnsi="Arial"/>
                <w:sz w:val="18"/>
                <w:szCs w:val="18"/>
                <w:b w:val="1"/>
                <w:bCs w:val="1"/>
                <w:color w:val="auto"/>
              </w:rPr>
              <w:t>110,021</w:t>
            </w:r>
          </w:p>
        </w:tc>
        <w:tc>
          <w:tcPr>
            <w:tcW w:w="280" w:type="dxa"/>
            <w:vAlign w:val="bottom"/>
            <w:shd w:val="clear" w:color="auto" w:fill="E5E5E5"/>
          </w:tcPr>
          <w:p>
            <w:pPr>
              <w:jc w:val="right"/>
              <w:ind w:right="90"/>
              <w:spacing w:after="0" w:line="202" w:lineRule="exact"/>
              <w:rPr>
                <w:sz w:val="20"/>
                <w:szCs w:val="20"/>
                <w:color w:val="auto"/>
              </w:rPr>
            </w:pPr>
            <w:r>
              <w:rPr>
                <w:rFonts w:ascii="Arial" w:cs="Arial" w:eastAsia="Arial" w:hAnsi="Arial"/>
                <w:sz w:val="18"/>
                <w:szCs w:val="18"/>
                <w:b w:val="1"/>
                <w:bCs w:val="1"/>
                <w:color w:val="auto"/>
                <w:w w:val="79"/>
              </w:rPr>
              <w:t>$</w:t>
            </w:r>
          </w:p>
        </w:tc>
        <w:tc>
          <w:tcPr>
            <w:tcW w:w="1000" w:type="dxa"/>
            <w:vAlign w:val="bottom"/>
            <w:gridSpan w:val="2"/>
            <w:shd w:val="clear" w:color="auto" w:fill="E5E5E5"/>
          </w:tcPr>
          <w:p>
            <w:pPr>
              <w:jc w:val="right"/>
              <w:ind w:right="60"/>
              <w:spacing w:after="0" w:line="202" w:lineRule="exact"/>
              <w:rPr>
                <w:sz w:val="20"/>
                <w:szCs w:val="20"/>
                <w:color w:val="auto"/>
              </w:rPr>
            </w:pPr>
            <w:r>
              <w:rPr>
                <w:rFonts w:ascii="Arial" w:cs="Arial" w:eastAsia="Arial" w:hAnsi="Arial"/>
                <w:sz w:val="18"/>
                <w:szCs w:val="18"/>
                <w:b w:val="1"/>
                <w:bCs w:val="1"/>
                <w:color w:val="auto"/>
              </w:rPr>
              <w:t>(378)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3320" w:type="dxa"/>
            <w:vAlign w:val="bottom"/>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86"/>
        </w:trPr>
        <w:tc>
          <w:tcPr>
            <w:tcW w:w="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16</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332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8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86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84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86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84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88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2" w:right="219" w:bottom="1440" w:gutter="0" w:footer="0" w:header="0"/>
        </w:sectPr>
      </w:pPr>
    </w:p>
    <w:bookmarkStart w:id="16" w:name="page17"/>
    <w:bookmarkEnd w:id="16"/>
    <w:p>
      <w:pPr>
        <w:ind w:left="5500"/>
        <w:spacing w:after="0"/>
        <w:rPr>
          <w:sz w:val="20"/>
          <w:szCs w:val="20"/>
          <w:color w:val="auto"/>
        </w:rPr>
      </w:pPr>
      <w:r>
        <w:rPr>
          <w:rFonts w:ascii="Arial" w:cs="Arial" w:eastAsia="Arial" w:hAnsi="Arial"/>
          <w:sz w:val="14"/>
          <w:szCs w:val="14"/>
          <w:u w:val="single" w:color="auto"/>
          <w:color w:val="auto"/>
        </w:rPr>
        <w:t>PART I</w:t>
      </w:r>
    </w:p>
    <w:p>
      <w:pPr>
        <w:spacing w:after="0" w:line="5" w:lineRule="exact"/>
        <w:rPr>
          <w:sz w:val="20"/>
          <w:szCs w:val="20"/>
          <w:color w:val="auto"/>
        </w:rPr>
      </w:pPr>
    </w:p>
    <w:p>
      <w:pPr>
        <w:ind w:left="5520"/>
        <w:spacing w:after="0"/>
        <w:rPr>
          <w:sz w:val="20"/>
          <w:szCs w:val="20"/>
          <w:color w:val="auto"/>
        </w:rPr>
      </w:pPr>
      <w:r>
        <w:rPr>
          <w:rFonts w:ascii="Arial" w:cs="Arial" w:eastAsia="Arial" w:hAnsi="Arial"/>
          <w:sz w:val="14"/>
          <w:szCs w:val="14"/>
          <w:color w:val="auto"/>
        </w:rPr>
        <w:t>Item 1</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0" w:type="dxa"/>
            <w:vAlign w:val="bottom"/>
            <w:gridSpan w:val="4"/>
          </w:tcPr>
          <w:p>
            <w:pPr>
              <w:jc w:val="right"/>
              <w:ind w:right="220"/>
              <w:spacing w:after="0"/>
              <w:rPr>
                <w:sz w:val="20"/>
                <w:szCs w:val="20"/>
                <w:color w:val="auto"/>
              </w:rPr>
            </w:pPr>
            <w:r>
              <w:rPr>
                <w:rFonts w:ascii="Arial" w:cs="Arial" w:eastAsia="Arial" w:hAnsi="Arial"/>
                <w:sz w:val="14"/>
                <w:szCs w:val="14"/>
                <w:b w:val="1"/>
                <w:bCs w:val="1"/>
                <w:color w:val="auto"/>
                <w:w w:val="98"/>
              </w:rPr>
              <w:t>Less than 12 Months</w:t>
            </w:r>
          </w:p>
        </w:tc>
        <w:tc>
          <w:tcPr>
            <w:tcW w:w="300" w:type="dxa"/>
            <w:vAlign w:val="bottom"/>
          </w:tcPr>
          <w:p>
            <w:pPr>
              <w:spacing w:after="0"/>
              <w:rPr>
                <w:sz w:val="16"/>
                <w:szCs w:val="16"/>
                <w:color w:val="auto"/>
              </w:rPr>
            </w:pPr>
          </w:p>
        </w:tc>
        <w:tc>
          <w:tcPr>
            <w:tcW w:w="2400" w:type="dxa"/>
            <w:vAlign w:val="bottom"/>
            <w:gridSpan w:val="6"/>
          </w:tcPr>
          <w:p>
            <w:pPr>
              <w:jc w:val="right"/>
              <w:ind w:right="200"/>
              <w:spacing w:after="0"/>
              <w:rPr>
                <w:sz w:val="20"/>
                <w:szCs w:val="20"/>
                <w:color w:val="auto"/>
              </w:rPr>
            </w:pPr>
            <w:r>
              <w:rPr>
                <w:rFonts w:ascii="Arial" w:cs="Arial" w:eastAsia="Arial" w:hAnsi="Arial"/>
                <w:sz w:val="14"/>
                <w:szCs w:val="14"/>
                <w:b w:val="1"/>
                <w:bCs w:val="1"/>
                <w:color w:val="auto"/>
              </w:rPr>
              <w:t>12 Months or Greater</w:t>
            </w: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3320" w:type="dxa"/>
            <w:vAlign w:val="bottom"/>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30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9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3320" w:type="dxa"/>
            <w:vAlign w:val="bottom"/>
          </w:tcPr>
          <w:p>
            <w:pPr>
              <w:spacing w:after="0"/>
              <w:rPr>
                <w:sz w:val="4"/>
                <w:szCs w:val="4"/>
                <w:color w:val="auto"/>
              </w:rPr>
            </w:pPr>
          </w:p>
        </w:tc>
        <w:tc>
          <w:tcPr>
            <w:tcW w:w="300" w:type="dxa"/>
            <w:vAlign w:val="bottom"/>
          </w:tcPr>
          <w:p>
            <w:pPr>
              <w:spacing w:after="0"/>
              <w:rPr>
                <w:sz w:val="4"/>
                <w:szCs w:val="4"/>
                <w:color w:val="auto"/>
              </w:rPr>
            </w:pPr>
          </w:p>
        </w:tc>
        <w:tc>
          <w:tcPr>
            <w:tcW w:w="86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10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Unrealized</w:t>
            </w:r>
          </w:p>
        </w:tc>
        <w:tc>
          <w:tcPr>
            <w:tcW w:w="30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6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rPr>
              <w:t>Unrealized</w:t>
            </w:r>
          </w:p>
        </w:tc>
        <w:tc>
          <w:tcPr>
            <w:tcW w:w="300" w:type="dxa"/>
            <w:vAlign w:val="bottom"/>
          </w:tcPr>
          <w:p>
            <w:pPr>
              <w:spacing w:after="0"/>
              <w:rPr>
                <w:sz w:val="4"/>
                <w:szCs w:val="4"/>
                <w:color w:val="auto"/>
              </w:rPr>
            </w:pPr>
          </w:p>
        </w:tc>
        <w:tc>
          <w:tcPr>
            <w:tcW w:w="94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33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w:t>
            </w:r>
          </w:p>
        </w:tc>
        <w:tc>
          <w:tcPr>
            <w:tcW w:w="300" w:type="dxa"/>
            <w:vAlign w:val="bottom"/>
          </w:tcPr>
          <w:p>
            <w:pPr>
              <w:spacing w:after="0"/>
              <w:rPr>
                <w:sz w:val="12"/>
                <w:szCs w:val="12"/>
                <w:color w:val="auto"/>
              </w:rPr>
            </w:pPr>
          </w:p>
        </w:tc>
        <w:tc>
          <w:tcPr>
            <w:tcW w:w="88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w w:val="95"/>
              </w:rPr>
              <w:t>Fair Value</w:t>
            </w: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rPr>
              <w:t>Fair Value</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Unrealized</w:t>
            </w:r>
          </w:p>
        </w:tc>
        <w:tc>
          <w:tcPr>
            <w:tcW w:w="0" w:type="dxa"/>
            <w:vAlign w:val="bottom"/>
          </w:tcPr>
          <w:p>
            <w:pPr>
              <w:spacing w:after="0"/>
              <w:rPr>
                <w:sz w:val="1"/>
                <w:szCs w:val="1"/>
                <w:color w:val="auto"/>
              </w:rPr>
            </w:pPr>
          </w:p>
        </w:tc>
      </w:tr>
      <w:tr>
        <w:trPr>
          <w:trHeight w:val="190"/>
        </w:trPr>
        <w:tc>
          <w:tcPr>
            <w:tcW w:w="334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Losses</w:t>
            </w:r>
          </w:p>
        </w:tc>
        <w:tc>
          <w:tcPr>
            <w:tcW w:w="30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Losses</w:t>
            </w:r>
          </w:p>
        </w:tc>
        <w:tc>
          <w:tcPr>
            <w:tcW w:w="300" w:type="dxa"/>
            <w:vAlign w:val="bottom"/>
          </w:tcPr>
          <w:p>
            <w:pPr>
              <w:spacing w:after="0"/>
              <w:rPr>
                <w:sz w:val="16"/>
                <w:szCs w:val="16"/>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Fair Value</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Losses</w:t>
            </w:r>
          </w:p>
        </w:tc>
        <w:tc>
          <w:tcPr>
            <w:tcW w:w="0" w:type="dxa"/>
            <w:vAlign w:val="bottom"/>
          </w:tcPr>
          <w:p>
            <w:pPr>
              <w:spacing w:after="0"/>
              <w:rPr>
                <w:sz w:val="1"/>
                <w:szCs w:val="1"/>
                <w:color w:val="auto"/>
              </w:rPr>
            </w:pPr>
          </w:p>
        </w:tc>
      </w:tr>
      <w:tr>
        <w:trPr>
          <w:trHeight w:val="58"/>
        </w:trPr>
        <w:tc>
          <w:tcPr>
            <w:tcW w:w="3340" w:type="dxa"/>
            <w:vAlign w:val="bottom"/>
            <w:tcBorders>
              <w:bottom w:val="single" w:sz="8" w:color="auto"/>
            </w:tcBorders>
            <w:gridSpan w:val="2"/>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46"/>
        </w:trPr>
        <w:tc>
          <w:tcPr>
            <w:tcW w:w="3340" w:type="dxa"/>
            <w:vAlign w:val="bottom"/>
            <w:gridSpan w:val="2"/>
          </w:tcPr>
          <w:p>
            <w:pPr>
              <w:spacing w:after="0"/>
              <w:rPr>
                <w:sz w:val="20"/>
                <w:szCs w:val="20"/>
                <w:color w:val="auto"/>
              </w:rPr>
            </w:pPr>
            <w:r>
              <w:rPr>
                <w:rFonts w:ascii="Arial" w:cs="Arial" w:eastAsia="Arial" w:hAnsi="Arial"/>
                <w:sz w:val="14"/>
                <w:szCs w:val="14"/>
                <w:b w:val="1"/>
                <w:bCs w:val="1"/>
                <w:color w:val="auto"/>
              </w:rPr>
              <w:t>June 30, 2017</w:t>
            </w:r>
          </w:p>
        </w:tc>
        <w:tc>
          <w:tcPr>
            <w:tcW w:w="3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8"/>
        </w:trPr>
        <w:tc>
          <w:tcPr>
            <w:tcW w:w="20" w:type="dxa"/>
            <w:vAlign w:val="bottom"/>
            <w:vMerge w:val="restart"/>
          </w:tcPr>
          <w:p>
            <w:pPr>
              <w:spacing w:after="0"/>
              <w:rPr>
                <w:sz w:val="5"/>
                <w:szCs w:val="5"/>
                <w:color w:val="auto"/>
              </w:rPr>
            </w:pPr>
          </w:p>
        </w:tc>
        <w:tc>
          <w:tcPr>
            <w:tcW w:w="3320" w:type="dxa"/>
            <w:vAlign w:val="bottom"/>
          </w:tcPr>
          <w:p>
            <w:pPr>
              <w:spacing w:after="0"/>
              <w:rPr>
                <w:sz w:val="5"/>
                <w:szCs w:val="5"/>
                <w:color w:val="auto"/>
              </w:rPr>
            </w:pPr>
          </w:p>
        </w:tc>
        <w:tc>
          <w:tcPr>
            <w:tcW w:w="300" w:type="dxa"/>
            <w:vAlign w:val="bottom"/>
          </w:tcPr>
          <w:p>
            <w:pPr>
              <w:spacing w:after="0"/>
              <w:rPr>
                <w:sz w:val="5"/>
                <w:szCs w:val="5"/>
                <w:color w:val="auto"/>
              </w:rPr>
            </w:pPr>
          </w:p>
        </w:tc>
        <w:tc>
          <w:tcPr>
            <w:tcW w:w="860" w:type="dxa"/>
            <w:vAlign w:val="bottom"/>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280" w:type="dxa"/>
            <w:vAlign w:val="bottom"/>
          </w:tcPr>
          <w:p>
            <w:pPr>
              <w:spacing w:after="0"/>
              <w:rPr>
                <w:sz w:val="5"/>
                <w:szCs w:val="5"/>
                <w:color w:val="auto"/>
              </w:rPr>
            </w:pPr>
          </w:p>
        </w:tc>
        <w:tc>
          <w:tcPr>
            <w:tcW w:w="880" w:type="dxa"/>
            <w:vAlign w:val="bottom"/>
          </w:tcPr>
          <w:p>
            <w:pPr>
              <w:spacing w:after="0"/>
              <w:rPr>
                <w:sz w:val="5"/>
                <w:szCs w:val="5"/>
                <w:color w:val="auto"/>
              </w:rPr>
            </w:pPr>
          </w:p>
        </w:tc>
        <w:tc>
          <w:tcPr>
            <w:tcW w:w="220" w:type="dxa"/>
            <w:vAlign w:val="bottom"/>
          </w:tcPr>
          <w:p>
            <w:pPr>
              <w:spacing w:after="0"/>
              <w:rPr>
                <w:sz w:val="5"/>
                <w:szCs w:val="5"/>
                <w:color w:val="auto"/>
              </w:rPr>
            </w:pPr>
          </w:p>
        </w:tc>
        <w:tc>
          <w:tcPr>
            <w:tcW w:w="30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860" w:type="dxa"/>
            <w:vAlign w:val="bottom"/>
          </w:tcPr>
          <w:p>
            <w:pPr>
              <w:spacing w:after="0"/>
              <w:rPr>
                <w:sz w:val="5"/>
                <w:szCs w:val="5"/>
                <w:color w:val="auto"/>
              </w:rPr>
            </w:pPr>
          </w:p>
        </w:tc>
        <w:tc>
          <w:tcPr>
            <w:tcW w:w="200" w:type="dxa"/>
            <w:vAlign w:val="bottom"/>
          </w:tcPr>
          <w:p>
            <w:pPr>
              <w:spacing w:after="0"/>
              <w:rPr>
                <w:sz w:val="5"/>
                <w:szCs w:val="5"/>
                <w:color w:val="auto"/>
              </w:rPr>
            </w:pPr>
          </w:p>
        </w:tc>
        <w:tc>
          <w:tcPr>
            <w:tcW w:w="30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32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U.S. government and agency securities</w:t>
            </w:r>
          </w:p>
        </w:tc>
        <w:tc>
          <w:tcPr>
            <w:tcW w:w="300" w:type="dxa"/>
            <w:vAlign w:val="bottom"/>
            <w:shd w:val="clear" w:color="auto" w:fill="E5E5E5"/>
          </w:tcPr>
          <w:p>
            <w:pPr>
              <w:jc w:val="right"/>
              <w:ind w:right="110"/>
              <w:spacing w:after="0" w:line="202" w:lineRule="exact"/>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E5E5E5"/>
          </w:tcPr>
          <w:p>
            <w:pPr>
              <w:jc w:val="right"/>
              <w:ind w:right="20"/>
              <w:spacing w:after="0" w:line="202" w:lineRule="exact"/>
              <w:rPr>
                <w:sz w:val="20"/>
                <w:szCs w:val="20"/>
                <w:color w:val="auto"/>
              </w:rPr>
            </w:pPr>
            <w:r>
              <w:rPr>
                <w:rFonts w:ascii="Arial" w:cs="Arial" w:eastAsia="Arial" w:hAnsi="Arial"/>
                <w:sz w:val="18"/>
                <w:szCs w:val="18"/>
                <w:color w:val="auto"/>
              </w:rPr>
              <w:t>87,558</w:t>
            </w:r>
          </w:p>
        </w:tc>
        <w:tc>
          <w:tcPr>
            <w:tcW w:w="500" w:type="dxa"/>
            <w:vAlign w:val="bottom"/>
            <w:gridSpan w:val="2"/>
            <w:shd w:val="clear" w:color="auto" w:fill="E5E5E5"/>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100" w:type="dxa"/>
            <w:vAlign w:val="bottom"/>
            <w:gridSpan w:val="2"/>
            <w:shd w:val="clear" w:color="auto" w:fill="E5E5E5"/>
          </w:tcPr>
          <w:p>
            <w:pPr>
              <w:jc w:val="right"/>
              <w:ind w:right="160"/>
              <w:spacing w:after="0" w:line="202" w:lineRule="exact"/>
              <w:rPr>
                <w:sz w:val="20"/>
                <w:szCs w:val="20"/>
                <w:color w:val="auto"/>
              </w:rPr>
            </w:pPr>
            <w:r>
              <w:rPr>
                <w:rFonts w:ascii="Arial" w:cs="Arial" w:eastAsia="Arial" w:hAnsi="Arial"/>
                <w:sz w:val="18"/>
                <w:szCs w:val="18"/>
                <w:color w:val="auto"/>
              </w:rPr>
              <w:t>(348)</w:t>
            </w:r>
          </w:p>
        </w:tc>
        <w:tc>
          <w:tcPr>
            <w:tcW w:w="300" w:type="dxa"/>
            <w:vAlign w:val="bottom"/>
            <w:shd w:val="clear" w:color="auto" w:fill="E5E5E5"/>
          </w:tcPr>
          <w:p>
            <w:pPr>
              <w:jc w:val="right"/>
              <w:ind w:right="110"/>
              <w:spacing w:after="0" w:line="202" w:lineRule="exact"/>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371</w:t>
            </w:r>
          </w:p>
        </w:tc>
        <w:tc>
          <w:tcPr>
            <w:tcW w:w="400" w:type="dxa"/>
            <w:vAlign w:val="bottom"/>
            <w:gridSpan w:val="2"/>
            <w:shd w:val="clear" w:color="auto" w:fill="E5E5E5"/>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060" w:type="dxa"/>
            <w:vAlign w:val="bottom"/>
            <w:gridSpan w:val="2"/>
            <w:shd w:val="clear" w:color="auto" w:fill="E5E5E5"/>
          </w:tcPr>
          <w:p>
            <w:pPr>
              <w:jc w:val="right"/>
              <w:ind w:right="140"/>
              <w:spacing w:after="0" w:line="202" w:lineRule="exact"/>
              <w:rPr>
                <w:sz w:val="20"/>
                <w:szCs w:val="20"/>
                <w:color w:val="auto"/>
              </w:rPr>
            </w:pPr>
            <w:r>
              <w:rPr>
                <w:rFonts w:ascii="Arial" w:cs="Arial" w:eastAsia="Arial" w:hAnsi="Arial"/>
                <w:sz w:val="18"/>
                <w:szCs w:val="18"/>
                <w:color w:val="auto"/>
              </w:rPr>
              <w:t>(12)</w:t>
            </w:r>
          </w:p>
        </w:tc>
        <w:tc>
          <w:tcPr>
            <w:tcW w:w="300" w:type="dxa"/>
            <w:vAlign w:val="bottom"/>
            <w:shd w:val="clear" w:color="auto" w:fill="E5E5E5"/>
          </w:tcPr>
          <w:p>
            <w:pPr>
              <w:jc w:val="right"/>
              <w:ind w:right="110"/>
              <w:spacing w:after="0" w:line="202" w:lineRule="exact"/>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87,929</w:t>
            </w:r>
          </w:p>
        </w:tc>
        <w:tc>
          <w:tcPr>
            <w:tcW w:w="400" w:type="dxa"/>
            <w:vAlign w:val="bottom"/>
            <w:gridSpan w:val="2"/>
            <w:shd w:val="clear" w:color="auto" w:fill="E5E5E5"/>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960" w:type="dxa"/>
            <w:vAlign w:val="bottom"/>
            <w:gridSpan w:val="2"/>
            <w:shd w:val="clear" w:color="auto" w:fill="E5E5E5"/>
          </w:tcPr>
          <w:p>
            <w:pPr>
              <w:jc w:val="right"/>
              <w:ind w:right="40"/>
              <w:spacing w:after="0" w:line="202" w:lineRule="exact"/>
              <w:rPr>
                <w:sz w:val="20"/>
                <w:szCs w:val="20"/>
                <w:color w:val="auto"/>
              </w:rPr>
            </w:pPr>
            <w:r>
              <w:rPr>
                <w:rFonts w:ascii="Arial" w:cs="Arial" w:eastAsia="Arial" w:hAnsi="Arial"/>
                <w:sz w:val="18"/>
                <w:szCs w:val="18"/>
                <w:color w:val="auto"/>
              </w:rPr>
              <w:t>(360)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20" w:type="dxa"/>
            <w:vAlign w:val="bottom"/>
          </w:tcPr>
          <w:p>
            <w:pPr>
              <w:spacing w:after="0" w:line="202" w:lineRule="exact"/>
              <w:rPr>
                <w:sz w:val="20"/>
                <w:szCs w:val="20"/>
                <w:color w:val="auto"/>
              </w:rPr>
            </w:pPr>
            <w:r>
              <w:rPr>
                <w:rFonts w:ascii="Arial" w:cs="Arial" w:eastAsia="Arial" w:hAnsi="Arial"/>
                <w:sz w:val="18"/>
                <w:szCs w:val="18"/>
                <w:color w:val="auto"/>
              </w:rPr>
              <w:t>Foreign government bonds</w:t>
            </w:r>
          </w:p>
        </w:tc>
        <w:tc>
          <w:tcPr>
            <w:tcW w:w="300" w:type="dxa"/>
            <w:vAlign w:val="bottom"/>
          </w:tcPr>
          <w:p>
            <w:pPr>
              <w:spacing w:after="0"/>
              <w:rPr>
                <w:sz w:val="17"/>
                <w:szCs w:val="17"/>
                <w:color w:val="auto"/>
              </w:rPr>
            </w:pPr>
          </w:p>
        </w:tc>
        <w:tc>
          <w:tcPr>
            <w:tcW w:w="8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4,006</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(2)</w:t>
            </w:r>
          </w:p>
        </w:tc>
        <w:tc>
          <w:tcPr>
            <w:tcW w:w="300" w:type="dxa"/>
            <w:vAlign w:val="bottom"/>
          </w:tcPr>
          <w:p>
            <w:pPr>
              <w:spacing w:after="0"/>
              <w:rPr>
                <w:sz w:val="17"/>
                <w:szCs w:val="17"/>
                <w:color w:val="auto"/>
              </w:rPr>
            </w:pPr>
          </w:p>
        </w:tc>
        <w:tc>
          <w:tcPr>
            <w:tcW w:w="9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23</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(11)</w:t>
            </w:r>
          </w:p>
        </w:tc>
        <w:tc>
          <w:tcPr>
            <w:tcW w:w="300" w:type="dxa"/>
            <w:vAlign w:val="bottom"/>
          </w:tcPr>
          <w:p>
            <w:pPr>
              <w:spacing w:after="0"/>
              <w:rPr>
                <w:sz w:val="17"/>
                <w:szCs w:val="17"/>
                <w:color w:val="auto"/>
              </w:rPr>
            </w:pPr>
          </w:p>
        </w:tc>
        <w:tc>
          <w:tcPr>
            <w:tcW w:w="9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4,029</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2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Mortgage- and asset-backed securities</w:t>
            </w:r>
          </w:p>
        </w:tc>
        <w:tc>
          <w:tcPr>
            <w:tcW w:w="300" w:type="dxa"/>
            <w:vAlign w:val="bottom"/>
            <w:shd w:val="clear" w:color="auto" w:fill="E5E5E5"/>
          </w:tcPr>
          <w:p>
            <w:pPr>
              <w:spacing w:after="0"/>
              <w:rPr>
                <w:sz w:val="17"/>
                <w:szCs w:val="17"/>
                <w:color w:val="auto"/>
              </w:rPr>
            </w:pPr>
          </w:p>
        </w:tc>
        <w:tc>
          <w:tcPr>
            <w:tcW w:w="880" w:type="dxa"/>
            <w:vAlign w:val="bottom"/>
            <w:gridSpan w:val="2"/>
            <w:shd w:val="clear" w:color="auto" w:fill="E5E5E5"/>
          </w:tcPr>
          <w:p>
            <w:pPr>
              <w:jc w:val="right"/>
              <w:ind w:right="20"/>
              <w:spacing w:after="0" w:line="202" w:lineRule="exact"/>
              <w:rPr>
                <w:sz w:val="20"/>
                <w:szCs w:val="20"/>
                <w:color w:val="auto"/>
              </w:rPr>
            </w:pPr>
            <w:r>
              <w:rPr>
                <w:rFonts w:ascii="Arial" w:cs="Arial" w:eastAsia="Arial" w:hAnsi="Arial"/>
                <w:sz w:val="18"/>
                <w:szCs w:val="18"/>
                <w:color w:val="auto"/>
              </w:rPr>
              <w:t>1,068</w:t>
            </w:r>
          </w:p>
        </w:tc>
        <w:tc>
          <w:tcPr>
            <w:tcW w:w="220" w:type="dxa"/>
            <w:vAlign w:val="bottom"/>
            <w:shd w:val="clear" w:color="auto" w:fill="E5E5E5"/>
          </w:tcPr>
          <w:p>
            <w:pPr>
              <w:spacing w:after="0"/>
              <w:rPr>
                <w:sz w:val="17"/>
                <w:szCs w:val="17"/>
                <w:color w:val="auto"/>
              </w:rPr>
            </w:pPr>
          </w:p>
        </w:tc>
        <w:tc>
          <w:tcPr>
            <w:tcW w:w="280" w:type="dxa"/>
            <w:vAlign w:val="bottom"/>
            <w:shd w:val="clear" w:color="auto" w:fill="E5E5E5"/>
          </w:tcPr>
          <w:p>
            <w:pPr>
              <w:spacing w:after="0"/>
              <w:rPr>
                <w:sz w:val="17"/>
                <w:szCs w:val="17"/>
                <w:color w:val="auto"/>
              </w:rPr>
            </w:pPr>
          </w:p>
        </w:tc>
        <w:tc>
          <w:tcPr>
            <w:tcW w:w="1100" w:type="dxa"/>
            <w:vAlign w:val="bottom"/>
            <w:gridSpan w:val="2"/>
            <w:shd w:val="clear" w:color="auto" w:fill="E5E5E5"/>
          </w:tcPr>
          <w:p>
            <w:pPr>
              <w:jc w:val="right"/>
              <w:ind w:right="160"/>
              <w:spacing w:after="0" w:line="202" w:lineRule="exact"/>
              <w:rPr>
                <w:sz w:val="20"/>
                <w:szCs w:val="20"/>
                <w:color w:val="auto"/>
              </w:rPr>
            </w:pPr>
            <w:r>
              <w:rPr>
                <w:rFonts w:ascii="Arial" w:cs="Arial" w:eastAsia="Arial" w:hAnsi="Arial"/>
                <w:sz w:val="18"/>
                <w:szCs w:val="18"/>
                <w:color w:val="auto"/>
              </w:rPr>
              <w:t>(3)</w:t>
            </w:r>
          </w:p>
        </w:tc>
        <w:tc>
          <w:tcPr>
            <w:tcW w:w="300" w:type="dxa"/>
            <w:vAlign w:val="bottom"/>
            <w:shd w:val="clear" w:color="auto" w:fill="E5E5E5"/>
          </w:tcPr>
          <w:p>
            <w:pPr>
              <w:spacing w:after="0"/>
              <w:rPr>
                <w:sz w:val="17"/>
                <w:szCs w:val="17"/>
                <w:color w:val="auto"/>
              </w:rPr>
            </w:pPr>
          </w:p>
        </w:tc>
        <w:tc>
          <w:tcPr>
            <w:tcW w:w="94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198</w:t>
            </w:r>
          </w:p>
        </w:tc>
        <w:tc>
          <w:tcPr>
            <w:tcW w:w="120" w:type="dxa"/>
            <w:vAlign w:val="bottom"/>
            <w:shd w:val="clear" w:color="auto" w:fill="E5E5E5"/>
          </w:tcPr>
          <w:p>
            <w:pPr>
              <w:spacing w:after="0"/>
              <w:rPr>
                <w:sz w:val="17"/>
                <w:szCs w:val="17"/>
                <w:color w:val="auto"/>
              </w:rPr>
            </w:pPr>
          </w:p>
        </w:tc>
        <w:tc>
          <w:tcPr>
            <w:tcW w:w="280" w:type="dxa"/>
            <w:vAlign w:val="bottom"/>
            <w:shd w:val="clear" w:color="auto" w:fill="E5E5E5"/>
          </w:tcPr>
          <w:p>
            <w:pPr>
              <w:spacing w:after="0"/>
              <w:rPr>
                <w:sz w:val="17"/>
                <w:szCs w:val="17"/>
                <w:color w:val="auto"/>
              </w:rPr>
            </w:pPr>
          </w:p>
        </w:tc>
        <w:tc>
          <w:tcPr>
            <w:tcW w:w="1060" w:type="dxa"/>
            <w:vAlign w:val="bottom"/>
            <w:gridSpan w:val="2"/>
            <w:shd w:val="clear" w:color="auto" w:fill="E5E5E5"/>
          </w:tcPr>
          <w:p>
            <w:pPr>
              <w:jc w:val="right"/>
              <w:ind w:right="140"/>
              <w:spacing w:after="0" w:line="202" w:lineRule="exact"/>
              <w:rPr>
                <w:sz w:val="20"/>
                <w:szCs w:val="20"/>
                <w:color w:val="auto"/>
              </w:rPr>
            </w:pPr>
            <w:r>
              <w:rPr>
                <w:rFonts w:ascii="Arial" w:cs="Arial" w:eastAsia="Arial" w:hAnsi="Arial"/>
                <w:sz w:val="18"/>
                <w:szCs w:val="18"/>
                <w:color w:val="auto"/>
              </w:rPr>
              <w:t>(1)</w:t>
            </w:r>
          </w:p>
        </w:tc>
        <w:tc>
          <w:tcPr>
            <w:tcW w:w="300" w:type="dxa"/>
            <w:vAlign w:val="bottom"/>
            <w:shd w:val="clear" w:color="auto" w:fill="E5E5E5"/>
          </w:tcPr>
          <w:p>
            <w:pPr>
              <w:spacing w:after="0"/>
              <w:rPr>
                <w:sz w:val="17"/>
                <w:szCs w:val="17"/>
                <w:color w:val="auto"/>
              </w:rPr>
            </w:pPr>
          </w:p>
        </w:tc>
        <w:tc>
          <w:tcPr>
            <w:tcW w:w="94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1,266</w:t>
            </w:r>
          </w:p>
        </w:tc>
        <w:tc>
          <w:tcPr>
            <w:tcW w:w="120" w:type="dxa"/>
            <w:vAlign w:val="bottom"/>
            <w:shd w:val="clear" w:color="auto" w:fill="E5E5E5"/>
          </w:tcPr>
          <w:p>
            <w:pPr>
              <w:spacing w:after="0"/>
              <w:rPr>
                <w:sz w:val="17"/>
                <w:szCs w:val="17"/>
                <w:color w:val="auto"/>
              </w:rPr>
            </w:pPr>
          </w:p>
        </w:tc>
        <w:tc>
          <w:tcPr>
            <w:tcW w:w="280" w:type="dxa"/>
            <w:vAlign w:val="bottom"/>
            <w:shd w:val="clear" w:color="auto" w:fill="E5E5E5"/>
          </w:tcPr>
          <w:p>
            <w:pPr>
              <w:spacing w:after="0"/>
              <w:rPr>
                <w:sz w:val="17"/>
                <w:szCs w:val="17"/>
                <w:color w:val="auto"/>
              </w:rPr>
            </w:pPr>
          </w:p>
        </w:tc>
        <w:tc>
          <w:tcPr>
            <w:tcW w:w="960" w:type="dxa"/>
            <w:vAlign w:val="bottom"/>
            <w:gridSpan w:val="2"/>
            <w:shd w:val="clear" w:color="auto" w:fill="E5E5E5"/>
          </w:tcPr>
          <w:p>
            <w:pPr>
              <w:jc w:val="right"/>
              <w:ind w:right="40"/>
              <w:spacing w:after="0" w:line="202"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20" w:type="dxa"/>
            <w:vAlign w:val="bottom"/>
          </w:tcPr>
          <w:p>
            <w:pPr>
              <w:spacing w:after="0" w:line="202" w:lineRule="exact"/>
              <w:rPr>
                <w:sz w:val="20"/>
                <w:szCs w:val="20"/>
                <w:color w:val="auto"/>
              </w:rPr>
            </w:pPr>
            <w:r>
              <w:rPr>
                <w:rFonts w:ascii="Arial" w:cs="Arial" w:eastAsia="Arial" w:hAnsi="Arial"/>
                <w:sz w:val="18"/>
                <w:szCs w:val="18"/>
                <w:color w:val="auto"/>
              </w:rPr>
              <w:t>Corporate notes and bonds</w:t>
            </w:r>
          </w:p>
        </w:tc>
        <w:tc>
          <w:tcPr>
            <w:tcW w:w="300" w:type="dxa"/>
            <w:vAlign w:val="bottom"/>
          </w:tcPr>
          <w:p>
            <w:pPr>
              <w:spacing w:after="0"/>
              <w:rPr>
                <w:sz w:val="17"/>
                <w:szCs w:val="17"/>
                <w:color w:val="auto"/>
              </w:rPr>
            </w:pPr>
          </w:p>
        </w:tc>
        <w:tc>
          <w:tcPr>
            <w:tcW w:w="8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669</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(8)</w:t>
            </w:r>
          </w:p>
        </w:tc>
        <w:tc>
          <w:tcPr>
            <w:tcW w:w="300" w:type="dxa"/>
            <w:vAlign w:val="bottom"/>
          </w:tcPr>
          <w:p>
            <w:pPr>
              <w:spacing w:after="0"/>
              <w:rPr>
                <w:sz w:val="17"/>
                <w:szCs w:val="17"/>
                <w:color w:val="auto"/>
              </w:rPr>
            </w:pPr>
          </w:p>
        </w:tc>
        <w:tc>
          <w:tcPr>
            <w:tcW w:w="9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177</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(4)</w:t>
            </w:r>
          </w:p>
        </w:tc>
        <w:tc>
          <w:tcPr>
            <w:tcW w:w="300" w:type="dxa"/>
            <w:vAlign w:val="bottom"/>
          </w:tcPr>
          <w:p>
            <w:pPr>
              <w:spacing w:after="0"/>
              <w:rPr>
                <w:sz w:val="17"/>
                <w:szCs w:val="17"/>
                <w:color w:val="auto"/>
              </w:rPr>
            </w:pPr>
          </w:p>
        </w:tc>
        <w:tc>
          <w:tcPr>
            <w:tcW w:w="9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846</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2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Common and preferred stock</w:t>
            </w:r>
          </w:p>
        </w:tc>
        <w:tc>
          <w:tcPr>
            <w:tcW w:w="300" w:type="dxa"/>
            <w:vAlign w:val="bottom"/>
            <w:shd w:val="clear" w:color="auto" w:fill="E5E5E5"/>
          </w:tcPr>
          <w:p>
            <w:pPr>
              <w:spacing w:after="0"/>
              <w:rPr>
                <w:sz w:val="17"/>
                <w:szCs w:val="17"/>
                <w:color w:val="auto"/>
              </w:rPr>
            </w:pPr>
          </w:p>
        </w:tc>
        <w:tc>
          <w:tcPr>
            <w:tcW w:w="880" w:type="dxa"/>
            <w:vAlign w:val="bottom"/>
            <w:gridSpan w:val="2"/>
            <w:shd w:val="clear" w:color="auto" w:fill="E5E5E5"/>
          </w:tcPr>
          <w:p>
            <w:pPr>
              <w:jc w:val="right"/>
              <w:ind w:right="20"/>
              <w:spacing w:after="0" w:line="202" w:lineRule="exact"/>
              <w:rPr>
                <w:sz w:val="20"/>
                <w:szCs w:val="20"/>
                <w:color w:val="auto"/>
              </w:rPr>
            </w:pPr>
            <w:r>
              <w:rPr>
                <w:rFonts w:ascii="Arial" w:cs="Arial" w:eastAsia="Arial" w:hAnsi="Arial"/>
                <w:sz w:val="18"/>
                <w:szCs w:val="18"/>
                <w:color w:val="auto"/>
              </w:rPr>
              <w:t>69</w:t>
            </w:r>
          </w:p>
        </w:tc>
        <w:tc>
          <w:tcPr>
            <w:tcW w:w="220" w:type="dxa"/>
            <w:vAlign w:val="bottom"/>
            <w:shd w:val="clear" w:color="auto" w:fill="E5E5E5"/>
          </w:tcPr>
          <w:p>
            <w:pPr>
              <w:spacing w:after="0"/>
              <w:rPr>
                <w:sz w:val="17"/>
                <w:szCs w:val="17"/>
                <w:color w:val="auto"/>
              </w:rPr>
            </w:pPr>
          </w:p>
        </w:tc>
        <w:tc>
          <w:tcPr>
            <w:tcW w:w="280" w:type="dxa"/>
            <w:vAlign w:val="bottom"/>
            <w:shd w:val="clear" w:color="auto" w:fill="E5E5E5"/>
          </w:tcPr>
          <w:p>
            <w:pPr>
              <w:spacing w:after="0"/>
              <w:rPr>
                <w:sz w:val="17"/>
                <w:szCs w:val="17"/>
                <w:color w:val="auto"/>
              </w:rPr>
            </w:pPr>
          </w:p>
        </w:tc>
        <w:tc>
          <w:tcPr>
            <w:tcW w:w="1100" w:type="dxa"/>
            <w:vAlign w:val="bottom"/>
            <w:gridSpan w:val="2"/>
            <w:shd w:val="clear" w:color="auto" w:fill="E5E5E5"/>
          </w:tcPr>
          <w:p>
            <w:pPr>
              <w:jc w:val="right"/>
              <w:ind w:right="160"/>
              <w:spacing w:after="0" w:line="202" w:lineRule="exact"/>
              <w:rPr>
                <w:sz w:val="20"/>
                <w:szCs w:val="20"/>
                <w:color w:val="auto"/>
              </w:rPr>
            </w:pPr>
            <w:r>
              <w:rPr>
                <w:rFonts w:ascii="Arial" w:cs="Arial" w:eastAsia="Arial" w:hAnsi="Arial"/>
                <w:sz w:val="18"/>
                <w:szCs w:val="18"/>
                <w:color w:val="auto"/>
              </w:rPr>
              <w:t>(6)</w:t>
            </w:r>
          </w:p>
        </w:tc>
        <w:tc>
          <w:tcPr>
            <w:tcW w:w="300" w:type="dxa"/>
            <w:vAlign w:val="bottom"/>
            <w:shd w:val="clear" w:color="auto" w:fill="E5E5E5"/>
          </w:tcPr>
          <w:p>
            <w:pPr>
              <w:spacing w:after="0"/>
              <w:rPr>
                <w:sz w:val="17"/>
                <w:szCs w:val="17"/>
                <w:color w:val="auto"/>
              </w:rPr>
            </w:pPr>
          </w:p>
        </w:tc>
        <w:tc>
          <w:tcPr>
            <w:tcW w:w="94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148</w:t>
            </w:r>
          </w:p>
        </w:tc>
        <w:tc>
          <w:tcPr>
            <w:tcW w:w="120" w:type="dxa"/>
            <w:vAlign w:val="bottom"/>
            <w:shd w:val="clear" w:color="auto" w:fill="E5E5E5"/>
          </w:tcPr>
          <w:p>
            <w:pPr>
              <w:spacing w:after="0"/>
              <w:rPr>
                <w:sz w:val="17"/>
                <w:szCs w:val="17"/>
                <w:color w:val="auto"/>
              </w:rPr>
            </w:pPr>
          </w:p>
        </w:tc>
        <w:tc>
          <w:tcPr>
            <w:tcW w:w="280" w:type="dxa"/>
            <w:vAlign w:val="bottom"/>
            <w:shd w:val="clear" w:color="auto" w:fill="E5E5E5"/>
          </w:tcPr>
          <w:p>
            <w:pPr>
              <w:spacing w:after="0"/>
              <w:rPr>
                <w:sz w:val="17"/>
                <w:szCs w:val="17"/>
                <w:color w:val="auto"/>
              </w:rPr>
            </w:pPr>
          </w:p>
        </w:tc>
        <w:tc>
          <w:tcPr>
            <w:tcW w:w="1060" w:type="dxa"/>
            <w:vAlign w:val="bottom"/>
            <w:gridSpan w:val="2"/>
            <w:shd w:val="clear" w:color="auto" w:fill="E5E5E5"/>
          </w:tcPr>
          <w:p>
            <w:pPr>
              <w:jc w:val="right"/>
              <w:ind w:right="140"/>
              <w:spacing w:after="0" w:line="202" w:lineRule="exact"/>
              <w:rPr>
                <w:sz w:val="20"/>
                <w:szCs w:val="20"/>
                <w:color w:val="auto"/>
              </w:rPr>
            </w:pPr>
            <w:r>
              <w:rPr>
                <w:rFonts w:ascii="Arial" w:cs="Arial" w:eastAsia="Arial" w:hAnsi="Arial"/>
                <w:sz w:val="18"/>
                <w:szCs w:val="18"/>
                <w:color w:val="auto"/>
              </w:rPr>
              <w:t>(28)</w:t>
            </w:r>
          </w:p>
        </w:tc>
        <w:tc>
          <w:tcPr>
            <w:tcW w:w="300" w:type="dxa"/>
            <w:vAlign w:val="bottom"/>
            <w:shd w:val="clear" w:color="auto" w:fill="E5E5E5"/>
          </w:tcPr>
          <w:p>
            <w:pPr>
              <w:spacing w:after="0"/>
              <w:rPr>
                <w:sz w:val="17"/>
                <w:szCs w:val="17"/>
                <w:color w:val="auto"/>
              </w:rPr>
            </w:pPr>
          </w:p>
        </w:tc>
        <w:tc>
          <w:tcPr>
            <w:tcW w:w="94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217</w:t>
            </w:r>
          </w:p>
        </w:tc>
        <w:tc>
          <w:tcPr>
            <w:tcW w:w="120" w:type="dxa"/>
            <w:vAlign w:val="bottom"/>
            <w:shd w:val="clear" w:color="auto" w:fill="E5E5E5"/>
          </w:tcPr>
          <w:p>
            <w:pPr>
              <w:spacing w:after="0"/>
              <w:rPr>
                <w:sz w:val="17"/>
                <w:szCs w:val="17"/>
                <w:color w:val="auto"/>
              </w:rPr>
            </w:pPr>
          </w:p>
        </w:tc>
        <w:tc>
          <w:tcPr>
            <w:tcW w:w="280" w:type="dxa"/>
            <w:vAlign w:val="bottom"/>
            <w:shd w:val="clear" w:color="auto" w:fill="E5E5E5"/>
          </w:tcPr>
          <w:p>
            <w:pPr>
              <w:spacing w:after="0"/>
              <w:rPr>
                <w:sz w:val="17"/>
                <w:szCs w:val="17"/>
                <w:color w:val="auto"/>
              </w:rPr>
            </w:pPr>
          </w:p>
        </w:tc>
        <w:tc>
          <w:tcPr>
            <w:tcW w:w="960" w:type="dxa"/>
            <w:vAlign w:val="bottom"/>
            <w:gridSpan w:val="2"/>
            <w:shd w:val="clear" w:color="auto" w:fill="E5E5E5"/>
          </w:tcPr>
          <w:p>
            <w:pPr>
              <w:jc w:val="right"/>
              <w:ind w:right="40"/>
              <w:spacing w:after="0" w:line="202" w:lineRule="exact"/>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332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320" w:type="dxa"/>
            <w:vAlign w:val="bottom"/>
          </w:tcPr>
          <w:p>
            <w:pPr>
              <w:spacing w:after="0"/>
              <w:rPr>
                <w:sz w:val="5"/>
                <w:szCs w:val="5"/>
                <w:color w:val="auto"/>
              </w:rPr>
            </w:pPr>
          </w:p>
        </w:tc>
        <w:tc>
          <w:tcPr>
            <w:tcW w:w="300" w:type="dxa"/>
            <w:vAlign w:val="bottom"/>
          </w:tcPr>
          <w:p>
            <w:pPr>
              <w:spacing w:after="0"/>
              <w:rPr>
                <w:sz w:val="5"/>
                <w:szCs w:val="5"/>
                <w:color w:val="auto"/>
              </w:rPr>
            </w:pPr>
          </w:p>
        </w:tc>
        <w:tc>
          <w:tcPr>
            <w:tcW w:w="860" w:type="dxa"/>
            <w:vAlign w:val="bottom"/>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280" w:type="dxa"/>
            <w:vAlign w:val="bottom"/>
          </w:tcPr>
          <w:p>
            <w:pPr>
              <w:spacing w:after="0"/>
              <w:rPr>
                <w:sz w:val="5"/>
                <w:szCs w:val="5"/>
                <w:color w:val="auto"/>
              </w:rPr>
            </w:pPr>
          </w:p>
        </w:tc>
        <w:tc>
          <w:tcPr>
            <w:tcW w:w="880" w:type="dxa"/>
            <w:vAlign w:val="bottom"/>
          </w:tcPr>
          <w:p>
            <w:pPr>
              <w:spacing w:after="0"/>
              <w:rPr>
                <w:sz w:val="5"/>
                <w:szCs w:val="5"/>
                <w:color w:val="auto"/>
              </w:rPr>
            </w:pPr>
          </w:p>
        </w:tc>
        <w:tc>
          <w:tcPr>
            <w:tcW w:w="220" w:type="dxa"/>
            <w:vAlign w:val="bottom"/>
          </w:tcPr>
          <w:p>
            <w:pPr>
              <w:spacing w:after="0"/>
              <w:rPr>
                <w:sz w:val="5"/>
                <w:szCs w:val="5"/>
                <w:color w:val="auto"/>
              </w:rPr>
            </w:pPr>
          </w:p>
        </w:tc>
        <w:tc>
          <w:tcPr>
            <w:tcW w:w="30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860" w:type="dxa"/>
            <w:vAlign w:val="bottom"/>
          </w:tcPr>
          <w:p>
            <w:pPr>
              <w:spacing w:after="0"/>
              <w:rPr>
                <w:sz w:val="5"/>
                <w:szCs w:val="5"/>
                <w:color w:val="auto"/>
              </w:rPr>
            </w:pPr>
          </w:p>
        </w:tc>
        <w:tc>
          <w:tcPr>
            <w:tcW w:w="200" w:type="dxa"/>
            <w:vAlign w:val="bottom"/>
          </w:tcPr>
          <w:p>
            <w:pPr>
              <w:spacing w:after="0"/>
              <w:rPr>
                <w:sz w:val="5"/>
                <w:szCs w:val="5"/>
                <w:color w:val="auto"/>
              </w:rPr>
            </w:pPr>
          </w:p>
        </w:tc>
        <w:tc>
          <w:tcPr>
            <w:tcW w:w="30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20" w:type="dxa"/>
            <w:vAlign w:val="bottom"/>
            <w:shd w:val="clear" w:color="auto" w:fill="E5E5E5"/>
          </w:tcPr>
          <w:p>
            <w:pPr>
              <w:ind w:left="200"/>
              <w:spacing w:after="0" w:line="202" w:lineRule="exact"/>
              <w:rPr>
                <w:sz w:val="20"/>
                <w:szCs w:val="20"/>
                <w:color w:val="auto"/>
              </w:rPr>
            </w:pPr>
            <w:r>
              <w:rPr>
                <w:rFonts w:ascii="Arial" w:cs="Arial" w:eastAsia="Arial" w:hAnsi="Arial"/>
                <w:sz w:val="18"/>
                <w:szCs w:val="18"/>
                <w:color w:val="auto"/>
              </w:rPr>
              <w:t>Total</w:t>
            </w:r>
          </w:p>
        </w:tc>
        <w:tc>
          <w:tcPr>
            <w:tcW w:w="300" w:type="dxa"/>
            <w:vAlign w:val="bottom"/>
            <w:shd w:val="clear" w:color="auto" w:fill="E5E5E5"/>
          </w:tcPr>
          <w:p>
            <w:pPr>
              <w:jc w:val="right"/>
              <w:ind w:right="110"/>
              <w:spacing w:after="0" w:line="202" w:lineRule="exact"/>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E5E5E5"/>
          </w:tcPr>
          <w:p>
            <w:pPr>
              <w:jc w:val="right"/>
              <w:ind w:right="20"/>
              <w:spacing w:after="0" w:line="202" w:lineRule="exact"/>
              <w:rPr>
                <w:sz w:val="20"/>
                <w:szCs w:val="20"/>
                <w:color w:val="auto"/>
              </w:rPr>
            </w:pPr>
            <w:r>
              <w:rPr>
                <w:rFonts w:ascii="Arial" w:cs="Arial" w:eastAsia="Arial" w:hAnsi="Arial"/>
                <w:sz w:val="18"/>
                <w:szCs w:val="18"/>
                <w:color w:val="auto"/>
              </w:rPr>
              <w:t>93,370</w:t>
            </w:r>
          </w:p>
        </w:tc>
        <w:tc>
          <w:tcPr>
            <w:tcW w:w="500" w:type="dxa"/>
            <w:vAlign w:val="bottom"/>
            <w:gridSpan w:val="2"/>
            <w:shd w:val="clear" w:color="auto" w:fill="E5E5E5"/>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100" w:type="dxa"/>
            <w:vAlign w:val="bottom"/>
            <w:gridSpan w:val="2"/>
            <w:shd w:val="clear" w:color="auto" w:fill="E5E5E5"/>
          </w:tcPr>
          <w:p>
            <w:pPr>
              <w:jc w:val="right"/>
              <w:ind w:right="160"/>
              <w:spacing w:after="0" w:line="202" w:lineRule="exact"/>
              <w:rPr>
                <w:sz w:val="20"/>
                <w:szCs w:val="20"/>
                <w:color w:val="auto"/>
              </w:rPr>
            </w:pPr>
            <w:r>
              <w:rPr>
                <w:rFonts w:ascii="Arial" w:cs="Arial" w:eastAsia="Arial" w:hAnsi="Arial"/>
                <w:sz w:val="18"/>
                <w:szCs w:val="18"/>
                <w:color w:val="auto"/>
              </w:rPr>
              <w:t>(367)</w:t>
            </w:r>
          </w:p>
        </w:tc>
        <w:tc>
          <w:tcPr>
            <w:tcW w:w="300" w:type="dxa"/>
            <w:vAlign w:val="bottom"/>
            <w:shd w:val="clear" w:color="auto" w:fill="E5E5E5"/>
          </w:tcPr>
          <w:p>
            <w:pPr>
              <w:jc w:val="right"/>
              <w:ind w:right="110"/>
              <w:spacing w:after="0" w:line="202" w:lineRule="exact"/>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917</w:t>
            </w:r>
          </w:p>
        </w:tc>
        <w:tc>
          <w:tcPr>
            <w:tcW w:w="400" w:type="dxa"/>
            <w:vAlign w:val="bottom"/>
            <w:gridSpan w:val="2"/>
            <w:shd w:val="clear" w:color="auto" w:fill="E5E5E5"/>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060" w:type="dxa"/>
            <w:vAlign w:val="bottom"/>
            <w:gridSpan w:val="2"/>
            <w:shd w:val="clear" w:color="auto" w:fill="E5E5E5"/>
          </w:tcPr>
          <w:p>
            <w:pPr>
              <w:jc w:val="right"/>
              <w:ind w:right="140"/>
              <w:spacing w:after="0" w:line="202" w:lineRule="exact"/>
              <w:rPr>
                <w:sz w:val="20"/>
                <w:szCs w:val="20"/>
                <w:color w:val="auto"/>
              </w:rPr>
            </w:pPr>
            <w:r>
              <w:rPr>
                <w:rFonts w:ascii="Arial" w:cs="Arial" w:eastAsia="Arial" w:hAnsi="Arial"/>
                <w:sz w:val="18"/>
                <w:szCs w:val="18"/>
                <w:color w:val="auto"/>
              </w:rPr>
              <w:t>(56)</w:t>
            </w:r>
          </w:p>
        </w:tc>
        <w:tc>
          <w:tcPr>
            <w:tcW w:w="300" w:type="dxa"/>
            <w:vAlign w:val="bottom"/>
            <w:shd w:val="clear" w:color="auto" w:fill="E5E5E5"/>
          </w:tcPr>
          <w:p>
            <w:pPr>
              <w:jc w:val="right"/>
              <w:ind w:right="110"/>
              <w:spacing w:after="0" w:line="202" w:lineRule="exact"/>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94,287</w:t>
            </w:r>
          </w:p>
        </w:tc>
        <w:tc>
          <w:tcPr>
            <w:tcW w:w="400" w:type="dxa"/>
            <w:vAlign w:val="bottom"/>
            <w:gridSpan w:val="2"/>
            <w:shd w:val="clear" w:color="auto" w:fill="E5E5E5"/>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960" w:type="dxa"/>
            <w:vAlign w:val="bottom"/>
            <w:gridSpan w:val="2"/>
            <w:shd w:val="clear" w:color="auto" w:fill="E5E5E5"/>
          </w:tcPr>
          <w:p>
            <w:pPr>
              <w:jc w:val="right"/>
              <w:ind w:right="40"/>
              <w:spacing w:after="0" w:line="202" w:lineRule="exact"/>
              <w:rPr>
                <w:sz w:val="20"/>
                <w:szCs w:val="20"/>
                <w:color w:val="auto"/>
              </w:rPr>
            </w:pPr>
            <w:r>
              <w:rPr>
                <w:rFonts w:ascii="Arial" w:cs="Arial" w:eastAsia="Arial" w:hAnsi="Arial"/>
                <w:sz w:val="18"/>
                <w:szCs w:val="18"/>
                <w:color w:val="auto"/>
              </w:rPr>
              <w:t>(423)</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3320" w:type="dxa"/>
            <w:vAlign w:val="bottom"/>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13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Unrealized losses from fixed-income securities are primarily attributable to changes in interest rates. Unrealized losses from domestic and international equities are due to market price movements. Management does not believe any remaining unrealized losses represent other-than-temporary impairments based on our evaluation of available evidence.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Investment Maturities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w:t>
            </w:r>
          </w:p>
        </w:tc>
        <w:tc>
          <w:tcPr>
            <w:tcW w:w="2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gridSpan w:val="2"/>
            <w:vMerge w:val="restart"/>
          </w:tcPr>
          <w:p>
            <w:pPr>
              <w:jc w:val="right"/>
              <w:ind w:right="120"/>
              <w:spacing w:after="0"/>
              <w:rPr>
                <w:sz w:val="20"/>
                <w:szCs w:val="20"/>
                <w:color w:val="auto"/>
              </w:rPr>
            </w:pPr>
            <w:r>
              <w:rPr>
                <w:rFonts w:ascii="Arial" w:cs="Arial" w:eastAsia="Arial" w:hAnsi="Arial"/>
                <w:sz w:val="14"/>
                <w:szCs w:val="14"/>
                <w:b w:val="1"/>
                <w:bCs w:val="1"/>
                <w:color w:val="auto"/>
              </w:rPr>
              <w:t>Cost Basis</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Estimated</w:t>
            </w:r>
          </w:p>
        </w:tc>
        <w:tc>
          <w:tcPr>
            <w:tcW w:w="0" w:type="dxa"/>
            <w:vAlign w:val="bottom"/>
          </w:tcPr>
          <w:p>
            <w:pPr>
              <w:spacing w:after="0"/>
              <w:rPr>
                <w:sz w:val="1"/>
                <w:szCs w:val="1"/>
                <w:color w:val="auto"/>
              </w:rPr>
            </w:pPr>
          </w:p>
        </w:tc>
      </w:tr>
      <w:tr>
        <w:trPr>
          <w:trHeight w:val="190"/>
        </w:trPr>
        <w:tc>
          <w:tcPr>
            <w:tcW w:w="5900" w:type="dxa"/>
            <w:vAlign w:val="bottom"/>
            <w:gridSpan w:val="2"/>
            <w:vMerge w:val="continue"/>
          </w:tcPr>
          <w:p>
            <w:pPr>
              <w:spacing w:after="0"/>
              <w:rPr>
                <w:sz w:val="16"/>
                <w:szCs w:val="16"/>
                <w:color w:val="auto"/>
              </w:rPr>
            </w:pPr>
          </w:p>
        </w:tc>
        <w:tc>
          <w:tcPr>
            <w:tcW w:w="29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45"/>
        </w:trPr>
        <w:tc>
          <w:tcPr>
            <w:tcW w:w="5900" w:type="dxa"/>
            <w:vAlign w:val="bottom"/>
            <w:tcBorders>
              <w:bottom w:val="single" w:sz="8" w:color="auto"/>
            </w:tcBorders>
            <w:gridSpan w:val="2"/>
          </w:tcPr>
          <w:p>
            <w:pPr>
              <w:spacing w:after="0"/>
              <w:rPr>
                <w:sz w:val="3"/>
                <w:szCs w:val="3"/>
                <w:color w:val="auto"/>
              </w:rPr>
            </w:pPr>
          </w:p>
        </w:tc>
        <w:tc>
          <w:tcPr>
            <w:tcW w:w="292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3"/>
        </w:trPr>
        <w:tc>
          <w:tcPr>
            <w:tcW w:w="5900" w:type="dxa"/>
            <w:vAlign w:val="bottom"/>
            <w:gridSpan w:val="2"/>
          </w:tcPr>
          <w:p>
            <w:pPr>
              <w:spacing w:after="0"/>
              <w:rPr>
                <w:sz w:val="20"/>
                <w:szCs w:val="20"/>
                <w:color w:val="auto"/>
              </w:rPr>
            </w:pPr>
            <w:r>
              <w:rPr>
                <w:rFonts w:ascii="Arial" w:cs="Arial" w:eastAsia="Arial" w:hAnsi="Arial"/>
                <w:sz w:val="14"/>
                <w:szCs w:val="14"/>
                <w:b w:val="1"/>
                <w:bCs w:val="1"/>
                <w:color w:val="auto"/>
              </w:rPr>
              <w:t>September 30, 2017</w:t>
            </w:r>
          </w:p>
        </w:tc>
        <w:tc>
          <w:tcPr>
            <w:tcW w:w="2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
        </w:trPr>
        <w:tc>
          <w:tcPr>
            <w:tcW w:w="20" w:type="dxa"/>
            <w:vAlign w:val="bottom"/>
            <w:vMerge w:val="restart"/>
          </w:tcPr>
          <w:p>
            <w:pPr>
              <w:spacing w:after="0"/>
              <w:rPr>
                <w:sz w:val="3"/>
                <w:szCs w:val="3"/>
                <w:color w:val="auto"/>
              </w:rPr>
            </w:pPr>
          </w:p>
        </w:tc>
        <w:tc>
          <w:tcPr>
            <w:tcW w:w="5880" w:type="dxa"/>
            <w:vAlign w:val="bottom"/>
          </w:tcPr>
          <w:p>
            <w:pPr>
              <w:spacing w:after="0"/>
              <w:rPr>
                <w:sz w:val="3"/>
                <w:szCs w:val="3"/>
                <w:color w:val="auto"/>
              </w:rPr>
            </w:pPr>
          </w:p>
        </w:tc>
        <w:tc>
          <w:tcPr>
            <w:tcW w:w="292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88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Due in one year or less</w:t>
            </w:r>
          </w:p>
        </w:tc>
        <w:tc>
          <w:tcPr>
            <w:tcW w:w="3180" w:type="dxa"/>
            <w:vAlign w:val="bottom"/>
            <w:gridSpan w:val="2"/>
            <w:shd w:val="clear" w:color="auto" w:fill="E5E5E5"/>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98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22,611</w:t>
            </w:r>
          </w:p>
        </w:tc>
        <w:tc>
          <w:tcPr>
            <w:tcW w:w="400" w:type="dxa"/>
            <w:vAlign w:val="bottom"/>
            <w:gridSpan w:val="2"/>
            <w:shd w:val="clear" w:color="auto" w:fill="E5E5E5"/>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96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22,558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80" w:type="dxa"/>
            <w:vAlign w:val="bottom"/>
          </w:tcPr>
          <w:p>
            <w:pPr>
              <w:spacing w:after="0" w:line="202" w:lineRule="exact"/>
              <w:rPr>
                <w:sz w:val="20"/>
                <w:szCs w:val="20"/>
                <w:color w:val="auto"/>
              </w:rPr>
            </w:pPr>
            <w:r>
              <w:rPr>
                <w:rFonts w:ascii="Arial" w:cs="Arial" w:eastAsia="Arial" w:hAnsi="Arial"/>
                <w:sz w:val="18"/>
                <w:szCs w:val="18"/>
                <w:color w:val="auto"/>
              </w:rPr>
              <w:t>Due after one year through five years</w:t>
            </w:r>
          </w:p>
        </w:tc>
        <w:tc>
          <w:tcPr>
            <w:tcW w:w="2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101,909</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101,734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8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Due after five years through 10 years</w:t>
            </w:r>
          </w:p>
        </w:tc>
        <w:tc>
          <w:tcPr>
            <w:tcW w:w="2920" w:type="dxa"/>
            <w:vAlign w:val="bottom"/>
            <w:shd w:val="clear" w:color="auto" w:fill="E5E5E5"/>
          </w:tcPr>
          <w:p>
            <w:pPr>
              <w:spacing w:after="0"/>
              <w:rPr>
                <w:sz w:val="17"/>
                <w:szCs w:val="17"/>
                <w:color w:val="auto"/>
              </w:rPr>
            </w:pPr>
          </w:p>
        </w:tc>
        <w:tc>
          <w:tcPr>
            <w:tcW w:w="260" w:type="dxa"/>
            <w:vAlign w:val="bottom"/>
            <w:shd w:val="clear" w:color="auto" w:fill="E5E5E5"/>
          </w:tcPr>
          <w:p>
            <w:pPr>
              <w:spacing w:after="0"/>
              <w:rPr>
                <w:sz w:val="17"/>
                <w:szCs w:val="17"/>
                <w:color w:val="auto"/>
              </w:rPr>
            </w:pPr>
          </w:p>
        </w:tc>
        <w:tc>
          <w:tcPr>
            <w:tcW w:w="98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8,121</w:t>
            </w:r>
          </w:p>
        </w:tc>
        <w:tc>
          <w:tcPr>
            <w:tcW w:w="120" w:type="dxa"/>
            <w:vAlign w:val="bottom"/>
            <w:shd w:val="clear" w:color="auto" w:fill="E5E5E5"/>
          </w:tcPr>
          <w:p>
            <w:pPr>
              <w:spacing w:after="0"/>
              <w:rPr>
                <w:sz w:val="17"/>
                <w:szCs w:val="17"/>
                <w:color w:val="auto"/>
              </w:rPr>
            </w:pPr>
          </w:p>
        </w:tc>
        <w:tc>
          <w:tcPr>
            <w:tcW w:w="280" w:type="dxa"/>
            <w:vAlign w:val="bottom"/>
            <w:shd w:val="clear" w:color="auto" w:fill="E5E5E5"/>
          </w:tcPr>
          <w:p>
            <w:pPr>
              <w:spacing w:after="0"/>
              <w:rPr>
                <w:sz w:val="17"/>
                <w:szCs w:val="17"/>
                <w:color w:val="auto"/>
              </w:rPr>
            </w:pPr>
          </w:p>
        </w:tc>
        <w:tc>
          <w:tcPr>
            <w:tcW w:w="96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8,145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Due after 10 years</w:t>
            </w:r>
          </w:p>
        </w:tc>
        <w:tc>
          <w:tcPr>
            <w:tcW w:w="29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921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942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880" w:type="dxa"/>
            <w:vAlign w:val="bottom"/>
            <w:tcBorders>
              <w:bottom w:val="single" w:sz="8" w:color="auto"/>
            </w:tcBorders>
          </w:tcPr>
          <w:p>
            <w:pPr>
              <w:spacing w:after="0"/>
              <w:rPr>
                <w:sz w:val="2"/>
                <w:szCs w:val="2"/>
                <w:color w:val="auto"/>
              </w:rPr>
            </w:pPr>
          </w:p>
        </w:tc>
        <w:tc>
          <w:tcPr>
            <w:tcW w:w="29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880" w:type="dxa"/>
            <w:vAlign w:val="bottom"/>
          </w:tcPr>
          <w:p>
            <w:pPr>
              <w:spacing w:after="0"/>
              <w:rPr>
                <w:sz w:val="5"/>
                <w:szCs w:val="5"/>
                <w:color w:val="auto"/>
              </w:rPr>
            </w:pPr>
          </w:p>
        </w:tc>
        <w:tc>
          <w:tcPr>
            <w:tcW w:w="2920" w:type="dxa"/>
            <w:vAlign w:val="bottom"/>
          </w:tcPr>
          <w:p>
            <w:pPr>
              <w:spacing w:after="0"/>
              <w:rPr>
                <w:sz w:val="5"/>
                <w:szCs w:val="5"/>
                <w:color w:val="auto"/>
              </w:rPr>
            </w:pPr>
          </w:p>
        </w:tc>
        <w:tc>
          <w:tcPr>
            <w:tcW w:w="26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80" w:type="dxa"/>
            <w:vAlign w:val="bottom"/>
            <w:shd w:val="clear" w:color="auto" w:fill="E5E5E5"/>
          </w:tcPr>
          <w:p>
            <w:pPr>
              <w:ind w:left="200"/>
              <w:spacing w:after="0" w:line="202" w:lineRule="exact"/>
              <w:rPr>
                <w:sz w:val="20"/>
                <w:szCs w:val="20"/>
                <w:color w:val="auto"/>
              </w:rPr>
            </w:pPr>
            <w:r>
              <w:rPr>
                <w:rFonts w:ascii="Arial" w:cs="Arial" w:eastAsia="Arial" w:hAnsi="Arial"/>
                <w:sz w:val="18"/>
                <w:szCs w:val="18"/>
                <w:color w:val="auto"/>
              </w:rPr>
              <w:t>Total</w:t>
            </w:r>
          </w:p>
        </w:tc>
        <w:tc>
          <w:tcPr>
            <w:tcW w:w="3180" w:type="dxa"/>
            <w:vAlign w:val="bottom"/>
            <w:gridSpan w:val="2"/>
            <w:shd w:val="clear" w:color="auto" w:fill="E5E5E5"/>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98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133,562</w:t>
            </w:r>
          </w:p>
        </w:tc>
        <w:tc>
          <w:tcPr>
            <w:tcW w:w="400" w:type="dxa"/>
            <w:vAlign w:val="bottom"/>
            <w:gridSpan w:val="2"/>
            <w:shd w:val="clear" w:color="auto" w:fill="E5E5E5"/>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96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133,379</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5880" w:type="dxa"/>
            <w:vAlign w:val="bottom"/>
          </w:tcPr>
          <w:p>
            <w:pPr>
              <w:spacing w:after="0"/>
              <w:rPr>
                <w:sz w:val="6"/>
                <w:szCs w:val="6"/>
                <w:color w:val="auto"/>
              </w:rPr>
            </w:pPr>
          </w:p>
        </w:tc>
        <w:tc>
          <w:tcPr>
            <w:tcW w:w="2920" w:type="dxa"/>
            <w:vAlign w:val="bottom"/>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 5 — DERIVATIVES</w:t>
      </w:r>
    </w:p>
    <w:p>
      <w:pPr>
        <w:spacing w:after="0" w:line="15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use derivative instruments to manage risks related to foreign currencies, equity prices, interest rates, and credit; to enhance investment returns; and to facilitate portfolio diversification. Our objectives for holding derivatives include reducing, eliminating, and efficiently managing the economic impact of these exposures as effectively as possible.</w:t>
      </w:r>
    </w:p>
    <w:p>
      <w:pPr>
        <w:spacing w:after="0" w:line="110"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Our derivative programs include strategies that both qualify and do not qualify for hedge accounting treatment. All notional amounts presented below are measured in U.S. dollar equivalents.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w:t>
      </w:r>
    </w:p>
    <w:p>
      <w:pPr>
        <w:spacing w:after="0" w:line="160"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Certain forecasted transactions, assets, and liabilities are exposed to foreign currency risk. We monitor our foreign currency exposures daily to maximize the economic effectiveness of our foreign currency hedge positions. Option and forward contracts are used to hedge a portion of forecasted international revenue for up to three years in the future and are designated as cash flow hedging instruments. Principal currencies hedged include the euro, Japanese yen, British pound, Canadian dollar, and Australian dollar. As of September 30, 2017 and June 30, 2017, the total notional amounts of these foreign exchange contracts sold were $8.9 billion for both periods.</w:t>
      </w:r>
    </w:p>
    <w:p>
      <w:pPr>
        <w:spacing w:after="0" w:line="11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Foreign currency risks related to certain non-U.S. dollar denominated securities are hedged using foreign exchange forward contracts that are designated as fair value hedging instruments. As of September 30, 2017 and June 30, 2017, the total notional amounts of these foreign exchange contracts sold were $5.0 billion and $5.1 billion, respectively.</w:t>
      </w:r>
    </w:p>
    <w:p>
      <w:pPr>
        <w:spacing w:after="0" w:line="11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Certain options and forwards not designated as hedging instruments are also used to manage the variability in foreign exchange rates on certain balance sheet amounts and to manage other foreign currency exposures. As of September 30, 2017, the total notional amounts of these foreign exchange contracts purchased and sold were $11.0</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28916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7" w:name="page18"/>
    <w:bookmarkEnd w:id="17"/>
    <w:p>
      <w:pPr>
        <w:ind w:left="5500"/>
        <w:spacing w:after="0"/>
        <w:rPr>
          <w:sz w:val="20"/>
          <w:szCs w:val="20"/>
          <w:color w:val="auto"/>
        </w:rPr>
      </w:pPr>
      <w:r>
        <w:rPr>
          <w:rFonts w:ascii="Arial" w:cs="Arial" w:eastAsia="Arial" w:hAnsi="Arial"/>
          <w:sz w:val="14"/>
          <w:szCs w:val="14"/>
          <w:u w:val="single" w:color="auto"/>
          <w:color w:val="auto"/>
        </w:rPr>
        <w:t>PART I</w:t>
      </w:r>
    </w:p>
    <w:p>
      <w:pPr>
        <w:spacing w:after="0" w:line="5" w:lineRule="exact"/>
        <w:rPr>
          <w:sz w:val="20"/>
          <w:szCs w:val="20"/>
          <w:color w:val="auto"/>
        </w:rPr>
      </w:pPr>
    </w:p>
    <w:p>
      <w:pPr>
        <w:ind w:left="5520"/>
        <w:spacing w:after="0"/>
        <w:rPr>
          <w:sz w:val="20"/>
          <w:szCs w:val="20"/>
          <w:color w:val="auto"/>
        </w:rPr>
      </w:pPr>
      <w:r>
        <w:rPr>
          <w:rFonts w:ascii="Arial" w:cs="Arial" w:eastAsia="Arial" w:hAnsi="Arial"/>
          <w:sz w:val="14"/>
          <w:szCs w:val="14"/>
          <w:color w:val="auto"/>
        </w:rPr>
        <w:t>Item 1</w:t>
      </w:r>
    </w:p>
    <w:p>
      <w:pPr>
        <w:spacing w:after="0" w:line="127" w:lineRule="exact"/>
        <w:rPr>
          <w:sz w:val="20"/>
          <w:szCs w:val="20"/>
          <w:color w:val="auto"/>
        </w:rPr>
      </w:pPr>
    </w:p>
    <w:p>
      <w:pPr>
        <w:jc w:val="both"/>
        <w:ind w:right="20"/>
        <w:spacing w:after="0" w:line="276" w:lineRule="auto"/>
        <w:rPr>
          <w:sz w:val="20"/>
          <w:szCs w:val="20"/>
          <w:color w:val="auto"/>
        </w:rPr>
      </w:pPr>
      <w:r>
        <w:rPr>
          <w:rFonts w:ascii="Arial" w:cs="Arial" w:eastAsia="Arial" w:hAnsi="Arial"/>
          <w:sz w:val="18"/>
          <w:szCs w:val="18"/>
          <w:color w:val="auto"/>
        </w:rPr>
        <w:t>billion and $8.2 billion, respectively. As of June 30, 2017, the total notional amounts of these foreign exchange contracts purchased and sold were $8.8 billion and $10.6 billion, respectively.</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w:t>
      </w:r>
    </w:p>
    <w:p>
      <w:pPr>
        <w:spacing w:after="0" w:line="160"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Securities held in our equity and other investments portfolio are subject to market price risk. Market price risk is managed relative to broad-based global and domestic equity indices using certain convertible preferred investments, options, futures, and swap contracts not designated as hedging instruments. From time to time, to hedge our price risk, we may use and designate equity derivatives as hedging instruments, including puts, calls, swaps, and forwards. As of September 30, 2017, the total notional amounts of equity contracts purchased and sold for managing market price risk were $1.6 billion and $2.6 billion, respectively, of which $1.6 billion and $1.8 billion, respectively, were designated as hedging instruments. As of June 30, 2017, the total notional amounts of equity contracts purchased and sold for managing market price risk were $1.9 billion and $2.4 billion, respectively, of which $1.6 billion and $1.8 billion, respectively, were designated as hedging instruments.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w:t>
      </w:r>
    </w:p>
    <w:p>
      <w:pPr>
        <w:spacing w:after="0" w:line="160"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Securities held in our fixed-income portfolio are subject to different interest rate risks based on their maturities. We manage the average maturity of our fixed-income portfolio to achieve economic returns that correlate to certain broad-based fixed-income indices using exchange-traded option and futures contracts, and over-the-counter swap and option contracts, none of which are designated as hedging instruments. As of September 30, 2017, the total notional amounts of fixed-interest rate contracts purchased and sold were $528 million and $364 million, respectively. As of June 30, 2017, the total notional amounts of fixed-interest rate contracts purchased and sold were $233 million and $352 million, respectively.</w:t>
      </w:r>
    </w:p>
    <w:p>
      <w:pPr>
        <w:spacing w:after="0" w:line="120"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In addition, we use “To Be Announced” forward purchase commitments of mortgage-backed assets to gain exposure to agency mortgage-backed securities. These meet the definition of a derivative instrument in cases where physical delivery of the assets is not taken at the earliest available delivery date. As of September 30, 2017 and June 30, 2017, the total notional derivative amounts of mortgage contracts purchased were $553 million and $567 million, respectively.</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w:t>
      </w:r>
    </w:p>
    <w:p>
      <w:pPr>
        <w:spacing w:after="0" w:line="160"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Our fixed-income portfolio is diversified and consists primarily of investment-grade securities. We use credit default swap contracts, not designated as hedging instruments, to manage credit exposures relative to broad-based indices and to facilitate portfolio diversification. We use credit default swaps as they are a low-cost method of managing exposure to individual credit risks or groups of credit risks. As of September 30, 2017, the total notional amounts of credit contracts purchased and sold were $252 million and $49 million, respectively. As of June 30, 2017, the total notional amounts of credit contracts purchased and sold were $267 million and $63 million, respectively.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Credit-Risk-Related Contingent Features</w:t>
      </w:r>
    </w:p>
    <w:p>
      <w:pPr>
        <w:spacing w:after="0" w:line="160"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Certain of our counterparty agreements for derivative instruments contain provisions that require our issued and outstanding long-term unsecured debt to maintain an investment grade credit rating and require us to maintain minimum liquidity of $1.0 billion. To the extent we fail to meet these requirements, we will be required to post collateral, similar to the standard convention related to over-the-counter derivatives. As of September 30, 2017, our long-term unsecured debt rating was AAA, and cash investments were in excess of $1.0 billion. As a result, no collateral was required to be posted.</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Values of Derivative Instruments</w:t>
      </w:r>
    </w:p>
    <w:p>
      <w:pPr>
        <w:spacing w:after="0" w:line="160"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Derivative instruments are recognized as either assets or liabilities and are measured at fair value. The accounting for changes in the fair value of a derivative depends on the intended use of the derivative and the resulting designation.</w:t>
      </w:r>
    </w:p>
    <w:p>
      <w:pPr>
        <w:spacing w:after="0" w:line="9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For derivative instruments designated as fair value hedges, the gains (losses) are recognized in earnings in the periods of change together with the offsetting (losses) gains on the hedged items attributed to the risk being hedged. For options designated as fair value hedges, changes in the time value are excluded from the assessment of hedge effectiveness and are recognized in earnings.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28916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8" w:name="page19"/>
    <w:bookmarkEnd w:id="18"/>
    <w:p>
      <w:pPr>
        <w:ind w:left="5500"/>
        <w:spacing w:after="0"/>
        <w:rPr>
          <w:sz w:val="20"/>
          <w:szCs w:val="20"/>
          <w:color w:val="auto"/>
        </w:rPr>
      </w:pPr>
      <w:r>
        <w:rPr>
          <w:rFonts w:ascii="Arial" w:cs="Arial" w:eastAsia="Arial" w:hAnsi="Arial"/>
          <w:sz w:val="14"/>
          <w:szCs w:val="14"/>
          <w:u w:val="single" w:color="auto"/>
          <w:color w:val="auto"/>
        </w:rPr>
        <w:t>PART I</w:t>
      </w:r>
    </w:p>
    <w:p>
      <w:pPr>
        <w:spacing w:after="0" w:line="5" w:lineRule="exact"/>
        <w:rPr>
          <w:sz w:val="20"/>
          <w:szCs w:val="20"/>
          <w:color w:val="auto"/>
        </w:rPr>
      </w:pPr>
    </w:p>
    <w:p>
      <w:pPr>
        <w:ind w:left="5520"/>
        <w:spacing w:after="0"/>
        <w:rPr>
          <w:sz w:val="20"/>
          <w:szCs w:val="20"/>
          <w:color w:val="auto"/>
        </w:rPr>
      </w:pPr>
      <w:r>
        <w:rPr>
          <w:rFonts w:ascii="Arial" w:cs="Arial" w:eastAsia="Arial" w:hAnsi="Arial"/>
          <w:sz w:val="14"/>
          <w:szCs w:val="14"/>
          <w:color w:val="auto"/>
        </w:rPr>
        <w:t>Item 1</w:t>
      </w:r>
    </w:p>
    <w:p>
      <w:pPr>
        <w:spacing w:after="0" w:line="127" w:lineRule="exact"/>
        <w:rPr>
          <w:sz w:val="20"/>
          <w:szCs w:val="20"/>
          <w:color w:val="auto"/>
        </w:rPr>
      </w:pPr>
    </w:p>
    <w:p>
      <w:pPr>
        <w:jc w:val="both"/>
        <w:ind w:right="20"/>
        <w:spacing w:after="0" w:line="245" w:lineRule="auto"/>
        <w:rPr>
          <w:sz w:val="20"/>
          <w:szCs w:val="20"/>
          <w:color w:val="auto"/>
        </w:rPr>
      </w:pPr>
      <w:r>
        <w:rPr>
          <w:rFonts w:ascii="Arial" w:cs="Arial" w:eastAsia="Arial" w:hAnsi="Arial"/>
          <w:sz w:val="18"/>
          <w:szCs w:val="18"/>
          <w:color w:val="auto"/>
        </w:rPr>
        <w:t>For derivative instruments designated as cash flow hedges, the effective portion of the gains (losses) on the derivatives is initially reported as a component of OCI and is subsequently recognized in earnings when the hedged exposure is recognized in earnings. For options designated as cash flow hedges, changes in the time value are excluded from the assessment of hedge effectiveness and are recognized in earnings. Gains (losses) on derivatives representing either hedge components excluded from the assessment of effectiveness or hedge ineffectiveness are recognized in earnings.</w:t>
      </w:r>
    </w:p>
    <w:p>
      <w:pPr>
        <w:spacing w:after="0" w:line="118" w:lineRule="exact"/>
        <w:rPr>
          <w:sz w:val="20"/>
          <w:szCs w:val="20"/>
          <w:color w:val="auto"/>
        </w:rPr>
      </w:pPr>
    </w:p>
    <w:p>
      <w:pPr>
        <w:jc w:val="both"/>
        <w:ind w:right="20"/>
        <w:spacing w:after="0" w:line="245" w:lineRule="auto"/>
        <w:rPr>
          <w:sz w:val="20"/>
          <w:szCs w:val="20"/>
          <w:color w:val="auto"/>
        </w:rPr>
      </w:pPr>
      <w:r>
        <w:rPr>
          <w:rFonts w:ascii="Arial" w:cs="Arial" w:eastAsia="Arial" w:hAnsi="Arial"/>
          <w:sz w:val="18"/>
          <w:szCs w:val="18"/>
          <w:color w:val="auto"/>
        </w:rPr>
        <w:t>For derivative instruments that are not designated as hedges, gains (losses) from changes in fair values are primarily recognized in other income (expense), net. Other than those derivatives entered into for investment purposes, the gains (losses) are generally economically offset by unrealized gains (losses) in the underlying available-for-sale securities, which are recorded as a component of OCI until the securities are sold or other-than-temporarily impaired, at which time the amounts are reclassified from accumulated other comprehensive income (“AOCI”) into other income (expense), net.</w:t>
      </w:r>
    </w:p>
    <w:p>
      <w:pPr>
        <w:spacing w:after="0" w:line="118" w:lineRule="exact"/>
        <w:rPr>
          <w:sz w:val="20"/>
          <w:szCs w:val="20"/>
          <w:color w:val="auto"/>
        </w:rPr>
      </w:pPr>
    </w:p>
    <w:p>
      <w:pPr>
        <w:jc w:val="both"/>
        <w:ind w:right="20"/>
        <w:spacing w:after="0" w:line="248" w:lineRule="auto"/>
        <w:rPr>
          <w:sz w:val="20"/>
          <w:szCs w:val="20"/>
          <w:color w:val="auto"/>
        </w:rPr>
      </w:pPr>
      <w:r>
        <w:rPr>
          <w:rFonts w:ascii="Arial" w:cs="Arial" w:eastAsia="Arial" w:hAnsi="Arial"/>
          <w:sz w:val="18"/>
          <w:szCs w:val="18"/>
          <w:color w:val="auto"/>
        </w:rPr>
        <w:t>The following table presents the fair values of derivative instruments designated as hedging instruments (“designated hedge derivatives”) and not designated as hedging instruments (“non-designated hedge derivatives”). The fair values exclude the impact of netting derivative assets and liabilities when a legally enforceable master netting agreement exists and fair value adjustments related to our own credit risk and counterparty credit risk:</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3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Assets</w:t>
            </w:r>
          </w:p>
        </w:tc>
        <w:tc>
          <w:tcPr>
            <w:tcW w:w="2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Liabilities</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398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gridSpan w:val="2"/>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gridSpan w:val="2"/>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gridSpan w:val="2"/>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rPr>
              <w:t>Short-term</w:t>
            </w: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Other</w:t>
            </w:r>
          </w:p>
        </w:tc>
        <w:tc>
          <w:tcPr>
            <w:tcW w:w="18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Equity and</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Other</w:t>
            </w:r>
          </w:p>
        </w:tc>
        <w:tc>
          <w:tcPr>
            <w:tcW w:w="26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Other</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Other</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40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Current</w:t>
            </w:r>
          </w:p>
        </w:tc>
        <w:tc>
          <w:tcPr>
            <w:tcW w:w="180" w:type="dxa"/>
            <w:vAlign w:val="bottom"/>
          </w:tcPr>
          <w:p>
            <w:pPr>
              <w:spacing w:after="0"/>
              <w:rPr>
                <w:sz w:val="12"/>
                <w:szCs w:val="12"/>
                <w:color w:val="auto"/>
              </w:rPr>
            </w:pPr>
          </w:p>
        </w:tc>
        <w:tc>
          <w:tcPr>
            <w:tcW w:w="98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auto"/>
              </w:rPr>
              <w:t>Other</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Long-term</w:t>
            </w:r>
          </w:p>
        </w:tc>
        <w:tc>
          <w:tcPr>
            <w:tcW w:w="260" w:type="dxa"/>
            <w:vAlign w:val="bottom"/>
          </w:tcPr>
          <w:p>
            <w:pPr>
              <w:spacing w:after="0"/>
              <w:rPr>
                <w:sz w:val="12"/>
                <w:szCs w:val="12"/>
                <w:color w:val="auto"/>
              </w:rPr>
            </w:pPr>
          </w:p>
        </w:tc>
        <w:tc>
          <w:tcPr>
            <w:tcW w:w="92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auto"/>
              </w:rPr>
              <w:t>Current</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gridSpan w:val="2"/>
          </w:tcPr>
          <w:p>
            <w:pPr>
              <w:jc w:val="right"/>
              <w:ind w:right="140"/>
              <w:spacing w:after="0" w:line="149" w:lineRule="exact"/>
              <w:rPr>
                <w:sz w:val="20"/>
                <w:szCs w:val="20"/>
                <w:color w:val="auto"/>
              </w:rPr>
            </w:pPr>
            <w:r>
              <w:rPr>
                <w:rFonts w:ascii="Arial" w:cs="Arial" w:eastAsia="Arial" w:hAnsi="Arial"/>
                <w:sz w:val="14"/>
                <w:szCs w:val="14"/>
                <w:b w:val="1"/>
                <w:bCs w:val="1"/>
                <w:color w:val="auto"/>
              </w:rPr>
              <w:t>Long-term</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40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Investments</w:t>
            </w: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Assets</w:t>
            </w:r>
          </w:p>
        </w:tc>
        <w:tc>
          <w:tcPr>
            <w:tcW w:w="18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97"/>
              </w:rPr>
              <w:t>Investments</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Assets</w:t>
            </w:r>
          </w:p>
        </w:tc>
        <w:tc>
          <w:tcPr>
            <w:tcW w:w="26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Liabilities</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Liabilities</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4000" w:type="dxa"/>
            <w:vAlign w:val="bottom"/>
            <w:tcBorders>
              <w:bottom w:val="single" w:sz="8" w:color="auto"/>
            </w:tcBorders>
            <w:gridSpan w:val="2"/>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3"/>
        </w:trPr>
        <w:tc>
          <w:tcPr>
            <w:tcW w:w="4000" w:type="dxa"/>
            <w:vAlign w:val="bottom"/>
            <w:gridSpan w:val="2"/>
          </w:tcPr>
          <w:p>
            <w:pPr>
              <w:spacing w:after="0"/>
              <w:rPr>
                <w:sz w:val="20"/>
                <w:szCs w:val="20"/>
                <w:color w:val="auto"/>
              </w:rPr>
            </w:pPr>
            <w:r>
              <w:rPr>
                <w:rFonts w:ascii="Arial" w:cs="Arial" w:eastAsia="Arial" w:hAnsi="Arial"/>
                <w:sz w:val="14"/>
                <w:szCs w:val="14"/>
                <w:b w:val="1"/>
                <w:bCs w:val="1"/>
                <w:color w:val="auto"/>
              </w:rPr>
              <w:t>September 30, 2017</w:t>
            </w: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000" w:type="dxa"/>
            <w:vAlign w:val="bottom"/>
            <w:gridSpan w:val="2"/>
          </w:tcPr>
          <w:p>
            <w:pPr>
              <w:spacing w:after="0"/>
              <w:rPr>
                <w:sz w:val="20"/>
                <w:szCs w:val="20"/>
                <w:color w:val="auto"/>
              </w:rPr>
            </w:pPr>
            <w:r>
              <w:rPr>
                <w:rFonts w:ascii="Arial" w:cs="Arial" w:eastAsia="Arial" w:hAnsi="Arial"/>
                <w:sz w:val="14"/>
                <w:szCs w:val="14"/>
                <w:b w:val="1"/>
                <w:bCs w:val="1"/>
                <w:color w:val="auto"/>
              </w:rPr>
              <w:t>Non-designated Hedge Derivatives</w:t>
            </w: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
        </w:trPr>
        <w:tc>
          <w:tcPr>
            <w:tcW w:w="20" w:type="dxa"/>
            <w:vAlign w:val="bottom"/>
            <w:vMerge w:val="restart"/>
          </w:tcPr>
          <w:p>
            <w:pPr>
              <w:spacing w:after="0"/>
              <w:rPr>
                <w:sz w:val="3"/>
                <w:szCs w:val="3"/>
                <w:color w:val="auto"/>
              </w:rPr>
            </w:pPr>
          </w:p>
        </w:tc>
        <w:tc>
          <w:tcPr>
            <w:tcW w:w="39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 w:type="dxa"/>
            <w:vAlign w:val="bottom"/>
          </w:tcPr>
          <w:p>
            <w:pPr>
              <w:spacing w:after="0"/>
              <w:rPr>
                <w:sz w:val="3"/>
                <w:szCs w:val="3"/>
                <w:color w:val="auto"/>
              </w:rPr>
            </w:pPr>
          </w:p>
        </w:tc>
        <w:tc>
          <w:tcPr>
            <w:tcW w:w="260" w:type="dxa"/>
            <w:vAlign w:val="bottom"/>
          </w:tcPr>
          <w:p>
            <w:pPr>
              <w:spacing w:after="0"/>
              <w:rPr>
                <w:sz w:val="3"/>
                <w:szCs w:val="3"/>
                <w:color w:val="auto"/>
              </w:rPr>
            </w:pPr>
          </w:p>
        </w:tc>
        <w:tc>
          <w:tcPr>
            <w:tcW w:w="7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780" w:type="dxa"/>
            <w:vAlign w:val="bottom"/>
          </w:tcPr>
          <w:p>
            <w:pPr>
              <w:spacing w:after="0"/>
              <w:rPr>
                <w:sz w:val="3"/>
                <w:szCs w:val="3"/>
                <w:color w:val="auto"/>
              </w:rPr>
            </w:pPr>
          </w:p>
        </w:tc>
        <w:tc>
          <w:tcPr>
            <w:tcW w:w="220" w:type="dxa"/>
            <w:vAlign w:val="bottom"/>
          </w:tcPr>
          <w:p>
            <w:pPr>
              <w:spacing w:after="0"/>
              <w:rPr>
                <w:sz w:val="3"/>
                <w:szCs w:val="3"/>
                <w:color w:val="auto"/>
              </w:rPr>
            </w:pPr>
          </w:p>
        </w:tc>
        <w:tc>
          <w:tcPr>
            <w:tcW w:w="26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3980" w:type="dxa"/>
            <w:vAlign w:val="bottom"/>
            <w:shd w:val="clear" w:color="auto" w:fill="E5E5E5"/>
          </w:tcPr>
          <w:p>
            <w:pPr>
              <w:spacing w:after="0"/>
              <w:rPr>
                <w:sz w:val="20"/>
                <w:szCs w:val="20"/>
                <w:color w:val="auto"/>
              </w:rPr>
            </w:pPr>
            <w:r>
              <w:rPr>
                <w:rFonts w:ascii="Arial" w:cs="Arial" w:eastAsia="Arial" w:hAnsi="Arial"/>
                <w:sz w:val="18"/>
                <w:szCs w:val="18"/>
                <w:color w:val="auto"/>
              </w:rPr>
              <w:t>Foreign exchange contracts</w:t>
            </w:r>
          </w:p>
        </w:tc>
        <w:tc>
          <w:tcPr>
            <w:tcW w:w="18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w w:val="79"/>
              </w:rPr>
              <w:t>$</w:t>
            </w:r>
          </w:p>
        </w:tc>
        <w:tc>
          <w:tcPr>
            <w:tcW w:w="86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10</w:t>
            </w:r>
          </w:p>
        </w:tc>
        <w:tc>
          <w:tcPr>
            <w:tcW w:w="140" w:type="dxa"/>
            <w:vAlign w:val="bottom"/>
            <w:shd w:val="clear" w:color="auto" w:fill="E5E5E5"/>
          </w:tcPr>
          <w:p>
            <w:pPr>
              <w:spacing w:after="0"/>
              <w:rPr>
                <w:sz w:val="21"/>
                <w:szCs w:val="21"/>
                <w:color w:val="auto"/>
              </w:rPr>
            </w:pPr>
          </w:p>
        </w:tc>
        <w:tc>
          <w:tcPr>
            <w:tcW w:w="320" w:type="dxa"/>
            <w:vAlign w:val="bottom"/>
            <w:gridSpan w:val="2"/>
            <w:shd w:val="clear" w:color="auto" w:fill="E5E5E5"/>
          </w:tcPr>
          <w:p>
            <w:pPr>
              <w:jc w:val="right"/>
              <w:ind w:right="160"/>
              <w:spacing w:after="0"/>
              <w:rPr>
                <w:sz w:val="20"/>
                <w:szCs w:val="20"/>
                <w:color w:val="auto"/>
              </w:rPr>
            </w:pPr>
            <w:r>
              <w:rPr>
                <w:rFonts w:ascii="Arial" w:cs="Arial" w:eastAsia="Arial" w:hAnsi="Arial"/>
                <w:sz w:val="18"/>
                <w:szCs w:val="18"/>
                <w:b w:val="1"/>
                <w:bCs w:val="1"/>
                <w:color w:val="auto"/>
              </w:rPr>
              <w:t>$</w:t>
            </w:r>
          </w:p>
        </w:tc>
        <w:tc>
          <w:tcPr>
            <w:tcW w:w="78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93</w:t>
            </w:r>
          </w:p>
        </w:tc>
        <w:tc>
          <w:tcPr>
            <w:tcW w:w="220" w:type="dxa"/>
            <w:vAlign w:val="bottom"/>
            <w:shd w:val="clear" w:color="auto" w:fill="E5E5E5"/>
          </w:tcPr>
          <w:p>
            <w:pPr>
              <w:spacing w:after="0"/>
              <w:rPr>
                <w:sz w:val="21"/>
                <w:szCs w:val="21"/>
                <w:color w:val="auto"/>
              </w:rPr>
            </w:pPr>
          </w:p>
        </w:tc>
        <w:tc>
          <w:tcPr>
            <w:tcW w:w="18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w w:val="79"/>
              </w:rPr>
              <w:t>$</w:t>
            </w:r>
          </w:p>
        </w:tc>
        <w:tc>
          <w:tcPr>
            <w:tcW w:w="84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0</w:t>
            </w:r>
          </w:p>
        </w:tc>
        <w:tc>
          <w:tcPr>
            <w:tcW w:w="140" w:type="dxa"/>
            <w:vAlign w:val="bottom"/>
            <w:shd w:val="clear" w:color="auto" w:fill="E5E5E5"/>
          </w:tcPr>
          <w:p>
            <w:pPr>
              <w:spacing w:after="0"/>
              <w:rPr>
                <w:sz w:val="21"/>
                <w:szCs w:val="21"/>
                <w:color w:val="auto"/>
              </w:rPr>
            </w:pPr>
          </w:p>
        </w:tc>
        <w:tc>
          <w:tcPr>
            <w:tcW w:w="320" w:type="dxa"/>
            <w:vAlign w:val="bottom"/>
            <w:gridSpan w:val="2"/>
            <w:shd w:val="clear" w:color="auto" w:fill="E5E5E5"/>
          </w:tcPr>
          <w:p>
            <w:pPr>
              <w:jc w:val="right"/>
              <w:ind w:right="140"/>
              <w:spacing w:after="0"/>
              <w:rPr>
                <w:sz w:val="20"/>
                <w:szCs w:val="20"/>
                <w:color w:val="auto"/>
              </w:rPr>
            </w:pPr>
            <w:r>
              <w:rPr>
                <w:rFonts w:ascii="Arial" w:cs="Arial" w:eastAsia="Arial" w:hAnsi="Arial"/>
                <w:sz w:val="18"/>
                <w:szCs w:val="18"/>
                <w:b w:val="1"/>
                <w:bCs w:val="1"/>
                <w:color w:val="auto"/>
              </w:rPr>
              <w:t>$</w:t>
            </w:r>
          </w:p>
        </w:tc>
        <w:tc>
          <w:tcPr>
            <w:tcW w:w="78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14</w:t>
            </w:r>
          </w:p>
        </w:tc>
        <w:tc>
          <w:tcPr>
            <w:tcW w:w="220" w:type="dxa"/>
            <w:vAlign w:val="bottom"/>
            <w:shd w:val="clear" w:color="auto" w:fill="E5E5E5"/>
          </w:tcPr>
          <w:p>
            <w:pPr>
              <w:spacing w:after="0"/>
              <w:rPr>
                <w:sz w:val="21"/>
                <w:szCs w:val="21"/>
                <w:color w:val="auto"/>
              </w:rPr>
            </w:pPr>
          </w:p>
        </w:tc>
        <w:tc>
          <w:tcPr>
            <w:tcW w:w="260" w:type="dxa"/>
            <w:vAlign w:val="bottom"/>
            <w:shd w:val="clear" w:color="auto" w:fill="E5E5E5"/>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920" w:type="dxa"/>
            <w:vAlign w:val="bottom"/>
            <w:gridSpan w:val="2"/>
            <w:shd w:val="clear" w:color="auto" w:fill="E5E5E5"/>
          </w:tcPr>
          <w:p>
            <w:pPr>
              <w:jc w:val="right"/>
              <w:ind w:right="80"/>
              <w:spacing w:after="0"/>
              <w:rPr>
                <w:sz w:val="20"/>
                <w:szCs w:val="20"/>
                <w:color w:val="auto"/>
              </w:rPr>
            </w:pPr>
            <w:r>
              <w:rPr>
                <w:rFonts w:ascii="Arial" w:cs="Arial" w:eastAsia="Arial" w:hAnsi="Arial"/>
                <w:sz w:val="18"/>
                <w:szCs w:val="18"/>
                <w:b w:val="1"/>
                <w:bCs w:val="1"/>
                <w:color w:val="auto"/>
              </w:rPr>
              <w:t>(83)</w:t>
            </w:r>
          </w:p>
        </w:tc>
        <w:tc>
          <w:tcPr>
            <w:tcW w:w="320" w:type="dxa"/>
            <w:vAlign w:val="bottom"/>
            <w:gridSpan w:val="2"/>
            <w:shd w:val="clear" w:color="auto" w:fill="E5E5E5"/>
          </w:tcPr>
          <w:p>
            <w:pPr>
              <w:jc w:val="right"/>
              <w:ind w:right="140"/>
              <w:spacing w:after="0"/>
              <w:rPr>
                <w:sz w:val="20"/>
                <w:szCs w:val="20"/>
                <w:color w:val="auto"/>
              </w:rPr>
            </w:pPr>
            <w:r>
              <w:rPr>
                <w:rFonts w:ascii="Arial" w:cs="Arial" w:eastAsia="Arial" w:hAnsi="Arial"/>
                <w:sz w:val="18"/>
                <w:szCs w:val="18"/>
                <w:b w:val="1"/>
                <w:bCs w:val="1"/>
                <w:color w:val="auto"/>
              </w:rPr>
              <w:t>$</w:t>
            </w:r>
          </w:p>
        </w:tc>
        <w:tc>
          <w:tcPr>
            <w:tcW w:w="940" w:type="dxa"/>
            <w:vAlign w:val="bottom"/>
            <w:gridSpan w:val="2"/>
            <w:shd w:val="clear" w:color="auto" w:fill="E5E5E5"/>
          </w:tcPr>
          <w:p>
            <w:pPr>
              <w:jc w:val="right"/>
              <w:ind w:right="80"/>
              <w:spacing w:after="0"/>
              <w:rPr>
                <w:sz w:val="20"/>
                <w:szCs w:val="20"/>
                <w:color w:val="auto"/>
              </w:rPr>
            </w:pPr>
            <w:r>
              <w:rPr>
                <w:rFonts w:ascii="Arial" w:cs="Arial" w:eastAsia="Arial" w:hAnsi="Arial"/>
                <w:sz w:val="18"/>
                <w:szCs w:val="18"/>
                <w:b w:val="1"/>
                <w:bCs w:val="1"/>
                <w:color w:val="auto"/>
              </w:rPr>
              <w:t>(7)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Equity contracts</w:t>
            </w:r>
          </w:p>
        </w:tc>
        <w:tc>
          <w:tcPr>
            <w:tcW w:w="1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5</w:t>
            </w: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0</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0</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0</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(16)</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0</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980" w:type="dxa"/>
            <w:vAlign w:val="bottom"/>
            <w:shd w:val="clear" w:color="auto" w:fill="E5E5E5"/>
          </w:tcPr>
          <w:p>
            <w:pPr>
              <w:spacing w:after="0"/>
              <w:rPr>
                <w:sz w:val="20"/>
                <w:szCs w:val="20"/>
                <w:color w:val="auto"/>
              </w:rPr>
            </w:pPr>
            <w:r>
              <w:rPr>
                <w:rFonts w:ascii="Arial" w:cs="Arial" w:eastAsia="Arial" w:hAnsi="Arial"/>
                <w:sz w:val="18"/>
                <w:szCs w:val="18"/>
                <w:color w:val="auto"/>
              </w:rPr>
              <w:t>Interest rate contracts</w:t>
            </w:r>
          </w:p>
        </w:tc>
        <w:tc>
          <w:tcPr>
            <w:tcW w:w="180" w:type="dxa"/>
            <w:vAlign w:val="bottom"/>
            <w:shd w:val="clear" w:color="auto" w:fill="E5E5E5"/>
          </w:tcPr>
          <w:p>
            <w:pPr>
              <w:spacing w:after="0"/>
              <w:rPr>
                <w:sz w:val="21"/>
                <w:szCs w:val="21"/>
                <w:color w:val="auto"/>
              </w:rPr>
            </w:pPr>
          </w:p>
        </w:tc>
        <w:tc>
          <w:tcPr>
            <w:tcW w:w="86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4</w:t>
            </w:r>
          </w:p>
        </w:tc>
        <w:tc>
          <w:tcPr>
            <w:tcW w:w="140" w:type="dxa"/>
            <w:vAlign w:val="bottom"/>
            <w:shd w:val="clear" w:color="auto" w:fill="E5E5E5"/>
          </w:tcPr>
          <w:p>
            <w:pPr>
              <w:spacing w:after="0"/>
              <w:rPr>
                <w:sz w:val="21"/>
                <w:szCs w:val="21"/>
                <w:color w:val="auto"/>
              </w:rPr>
            </w:pPr>
          </w:p>
        </w:tc>
        <w:tc>
          <w:tcPr>
            <w:tcW w:w="60" w:type="dxa"/>
            <w:vAlign w:val="bottom"/>
            <w:shd w:val="clear" w:color="auto" w:fill="E5E5E5"/>
          </w:tcPr>
          <w:p>
            <w:pPr>
              <w:spacing w:after="0"/>
              <w:rPr>
                <w:sz w:val="21"/>
                <w:szCs w:val="21"/>
                <w:color w:val="auto"/>
              </w:rPr>
            </w:pPr>
          </w:p>
        </w:tc>
        <w:tc>
          <w:tcPr>
            <w:tcW w:w="260" w:type="dxa"/>
            <w:vAlign w:val="bottom"/>
            <w:shd w:val="clear" w:color="auto" w:fill="E5E5E5"/>
          </w:tcPr>
          <w:p>
            <w:pPr>
              <w:spacing w:after="0"/>
              <w:rPr>
                <w:sz w:val="21"/>
                <w:szCs w:val="21"/>
                <w:color w:val="auto"/>
              </w:rPr>
            </w:pPr>
          </w:p>
        </w:tc>
        <w:tc>
          <w:tcPr>
            <w:tcW w:w="78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0</w:t>
            </w:r>
          </w:p>
        </w:tc>
        <w:tc>
          <w:tcPr>
            <w:tcW w:w="220" w:type="dxa"/>
            <w:vAlign w:val="bottom"/>
            <w:shd w:val="clear" w:color="auto" w:fill="E5E5E5"/>
          </w:tcPr>
          <w:p>
            <w:pPr>
              <w:spacing w:after="0"/>
              <w:rPr>
                <w:sz w:val="21"/>
                <w:szCs w:val="21"/>
                <w:color w:val="auto"/>
              </w:rPr>
            </w:pPr>
          </w:p>
        </w:tc>
        <w:tc>
          <w:tcPr>
            <w:tcW w:w="180" w:type="dxa"/>
            <w:vAlign w:val="bottom"/>
            <w:shd w:val="clear" w:color="auto" w:fill="E5E5E5"/>
          </w:tcPr>
          <w:p>
            <w:pPr>
              <w:spacing w:after="0"/>
              <w:rPr>
                <w:sz w:val="21"/>
                <w:szCs w:val="21"/>
                <w:color w:val="auto"/>
              </w:rPr>
            </w:pPr>
          </w:p>
        </w:tc>
        <w:tc>
          <w:tcPr>
            <w:tcW w:w="84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0</w:t>
            </w:r>
          </w:p>
        </w:tc>
        <w:tc>
          <w:tcPr>
            <w:tcW w:w="140" w:type="dxa"/>
            <w:vAlign w:val="bottom"/>
            <w:shd w:val="clear" w:color="auto" w:fill="E5E5E5"/>
          </w:tcPr>
          <w:p>
            <w:pPr>
              <w:spacing w:after="0"/>
              <w:rPr>
                <w:sz w:val="21"/>
                <w:szCs w:val="21"/>
                <w:color w:val="auto"/>
              </w:rPr>
            </w:pPr>
          </w:p>
        </w:tc>
        <w:tc>
          <w:tcPr>
            <w:tcW w:w="80" w:type="dxa"/>
            <w:vAlign w:val="bottom"/>
            <w:shd w:val="clear" w:color="auto" w:fill="E5E5E5"/>
          </w:tcPr>
          <w:p>
            <w:pPr>
              <w:spacing w:after="0"/>
              <w:rPr>
                <w:sz w:val="21"/>
                <w:szCs w:val="21"/>
                <w:color w:val="auto"/>
              </w:rPr>
            </w:pPr>
          </w:p>
        </w:tc>
        <w:tc>
          <w:tcPr>
            <w:tcW w:w="240" w:type="dxa"/>
            <w:vAlign w:val="bottom"/>
            <w:shd w:val="clear" w:color="auto" w:fill="E5E5E5"/>
          </w:tcPr>
          <w:p>
            <w:pPr>
              <w:spacing w:after="0"/>
              <w:rPr>
                <w:sz w:val="21"/>
                <w:szCs w:val="21"/>
                <w:color w:val="auto"/>
              </w:rPr>
            </w:pPr>
          </w:p>
        </w:tc>
        <w:tc>
          <w:tcPr>
            <w:tcW w:w="78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0</w:t>
            </w:r>
          </w:p>
        </w:tc>
        <w:tc>
          <w:tcPr>
            <w:tcW w:w="220" w:type="dxa"/>
            <w:vAlign w:val="bottom"/>
            <w:shd w:val="clear" w:color="auto" w:fill="E5E5E5"/>
          </w:tcPr>
          <w:p>
            <w:pPr>
              <w:spacing w:after="0"/>
              <w:rPr>
                <w:sz w:val="21"/>
                <w:szCs w:val="21"/>
                <w:color w:val="auto"/>
              </w:rPr>
            </w:pPr>
          </w:p>
        </w:tc>
        <w:tc>
          <w:tcPr>
            <w:tcW w:w="260" w:type="dxa"/>
            <w:vAlign w:val="bottom"/>
            <w:shd w:val="clear" w:color="auto" w:fill="E5E5E5"/>
          </w:tcPr>
          <w:p>
            <w:pPr>
              <w:spacing w:after="0"/>
              <w:rPr>
                <w:sz w:val="21"/>
                <w:szCs w:val="21"/>
                <w:color w:val="auto"/>
              </w:rPr>
            </w:pPr>
          </w:p>
        </w:tc>
        <w:tc>
          <w:tcPr>
            <w:tcW w:w="920" w:type="dxa"/>
            <w:vAlign w:val="bottom"/>
            <w:gridSpan w:val="2"/>
            <w:shd w:val="clear" w:color="auto" w:fill="E5E5E5"/>
          </w:tcPr>
          <w:p>
            <w:pPr>
              <w:jc w:val="right"/>
              <w:ind w:right="80"/>
              <w:spacing w:after="0"/>
              <w:rPr>
                <w:sz w:val="20"/>
                <w:szCs w:val="20"/>
                <w:color w:val="auto"/>
              </w:rPr>
            </w:pPr>
            <w:r>
              <w:rPr>
                <w:rFonts w:ascii="Arial" w:cs="Arial" w:eastAsia="Arial" w:hAnsi="Arial"/>
                <w:sz w:val="18"/>
                <w:szCs w:val="18"/>
                <w:b w:val="1"/>
                <w:bCs w:val="1"/>
                <w:color w:val="auto"/>
              </w:rPr>
              <w:t>(8)</w:t>
            </w:r>
          </w:p>
        </w:tc>
        <w:tc>
          <w:tcPr>
            <w:tcW w:w="80" w:type="dxa"/>
            <w:vAlign w:val="bottom"/>
            <w:shd w:val="clear" w:color="auto" w:fill="E5E5E5"/>
          </w:tcPr>
          <w:p>
            <w:pPr>
              <w:spacing w:after="0"/>
              <w:rPr>
                <w:sz w:val="21"/>
                <w:szCs w:val="21"/>
                <w:color w:val="auto"/>
              </w:rPr>
            </w:pPr>
          </w:p>
        </w:tc>
        <w:tc>
          <w:tcPr>
            <w:tcW w:w="240" w:type="dxa"/>
            <w:vAlign w:val="bottom"/>
            <w:shd w:val="clear" w:color="auto" w:fill="E5E5E5"/>
          </w:tcPr>
          <w:p>
            <w:pPr>
              <w:spacing w:after="0"/>
              <w:rPr>
                <w:sz w:val="21"/>
                <w:szCs w:val="21"/>
                <w:color w:val="auto"/>
              </w:rPr>
            </w:pPr>
          </w:p>
        </w:tc>
        <w:tc>
          <w:tcPr>
            <w:tcW w:w="80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0</w:t>
            </w:r>
          </w:p>
        </w:tc>
        <w:tc>
          <w:tcPr>
            <w:tcW w:w="140" w:type="dxa"/>
            <w:vAlign w:val="bottom"/>
            <w:shd w:val="clear" w:color="auto" w:fill="E5E5E5"/>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Credit contracts</w:t>
            </w:r>
          </w:p>
        </w:tc>
        <w:tc>
          <w:tcPr>
            <w:tcW w:w="1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4</w:t>
            </w:r>
          </w:p>
        </w:tc>
        <w:tc>
          <w:tcPr>
            <w:tcW w:w="1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0</w:t>
            </w:r>
          </w:p>
        </w:tc>
        <w:tc>
          <w:tcPr>
            <w:tcW w:w="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0</w:t>
            </w: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0</w:t>
            </w:r>
          </w:p>
        </w:tc>
        <w:tc>
          <w:tcPr>
            <w:tcW w:w="2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w:t>
            </w: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0</w:t>
            </w:r>
          </w:p>
        </w:tc>
        <w:tc>
          <w:tcPr>
            <w:tcW w:w="1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39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6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980" w:type="dxa"/>
            <w:vAlign w:val="bottom"/>
          </w:tcPr>
          <w:p>
            <w:pPr>
              <w:spacing w:after="0"/>
              <w:rPr>
                <w:sz w:val="5"/>
                <w:szCs w:val="5"/>
                <w:color w:val="auto"/>
              </w:rPr>
            </w:pPr>
          </w:p>
        </w:tc>
        <w:tc>
          <w:tcPr>
            <w:tcW w:w="180" w:type="dxa"/>
            <w:vAlign w:val="bottom"/>
          </w:tcPr>
          <w:p>
            <w:pPr>
              <w:spacing w:after="0"/>
              <w:rPr>
                <w:sz w:val="5"/>
                <w:szCs w:val="5"/>
                <w:color w:val="auto"/>
              </w:rPr>
            </w:pPr>
          </w:p>
        </w:tc>
        <w:tc>
          <w:tcPr>
            <w:tcW w:w="8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260" w:type="dxa"/>
            <w:vAlign w:val="bottom"/>
          </w:tcPr>
          <w:p>
            <w:pPr>
              <w:spacing w:after="0"/>
              <w:rPr>
                <w:sz w:val="5"/>
                <w:szCs w:val="5"/>
                <w:color w:val="auto"/>
              </w:rPr>
            </w:pPr>
          </w:p>
        </w:tc>
        <w:tc>
          <w:tcPr>
            <w:tcW w:w="7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780" w:type="dxa"/>
            <w:vAlign w:val="bottom"/>
          </w:tcPr>
          <w:p>
            <w:pPr>
              <w:spacing w:after="0"/>
              <w:rPr>
                <w:sz w:val="5"/>
                <w:szCs w:val="5"/>
                <w:color w:val="auto"/>
              </w:rPr>
            </w:pPr>
          </w:p>
        </w:tc>
        <w:tc>
          <w:tcPr>
            <w:tcW w:w="220" w:type="dxa"/>
            <w:vAlign w:val="bottom"/>
          </w:tcPr>
          <w:p>
            <w:pPr>
              <w:spacing w:after="0"/>
              <w:rPr>
                <w:sz w:val="5"/>
                <w:szCs w:val="5"/>
                <w:color w:val="auto"/>
              </w:rPr>
            </w:pPr>
          </w:p>
        </w:tc>
        <w:tc>
          <w:tcPr>
            <w:tcW w:w="260" w:type="dxa"/>
            <w:vAlign w:val="bottom"/>
          </w:tcPr>
          <w:p>
            <w:pPr>
              <w:spacing w:after="0"/>
              <w:rPr>
                <w:sz w:val="5"/>
                <w:szCs w:val="5"/>
                <w:color w:val="auto"/>
              </w:rPr>
            </w:pPr>
          </w:p>
        </w:tc>
        <w:tc>
          <w:tcPr>
            <w:tcW w:w="78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980" w:type="dxa"/>
            <w:vAlign w:val="bottom"/>
            <w:shd w:val="clear" w:color="auto" w:fill="E5E5E5"/>
          </w:tcPr>
          <w:p>
            <w:pPr>
              <w:ind w:left="200"/>
              <w:spacing w:after="0"/>
              <w:rPr>
                <w:sz w:val="20"/>
                <w:szCs w:val="20"/>
                <w:color w:val="auto"/>
              </w:rPr>
            </w:pPr>
            <w:r>
              <w:rPr>
                <w:rFonts w:ascii="Arial" w:cs="Arial" w:eastAsia="Arial" w:hAnsi="Arial"/>
                <w:sz w:val="18"/>
                <w:szCs w:val="18"/>
                <w:color w:val="auto"/>
              </w:rPr>
              <w:t>Total</w:t>
            </w:r>
          </w:p>
        </w:tc>
        <w:tc>
          <w:tcPr>
            <w:tcW w:w="18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w w:val="79"/>
              </w:rPr>
              <w:t>$</w:t>
            </w:r>
          </w:p>
        </w:tc>
        <w:tc>
          <w:tcPr>
            <w:tcW w:w="86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23</w:t>
            </w:r>
          </w:p>
        </w:tc>
        <w:tc>
          <w:tcPr>
            <w:tcW w:w="140" w:type="dxa"/>
            <w:vAlign w:val="bottom"/>
            <w:shd w:val="clear" w:color="auto" w:fill="E5E5E5"/>
          </w:tcPr>
          <w:p>
            <w:pPr>
              <w:spacing w:after="0"/>
              <w:rPr>
                <w:sz w:val="21"/>
                <w:szCs w:val="21"/>
                <w:color w:val="auto"/>
              </w:rPr>
            </w:pPr>
          </w:p>
        </w:tc>
        <w:tc>
          <w:tcPr>
            <w:tcW w:w="320" w:type="dxa"/>
            <w:vAlign w:val="bottom"/>
            <w:gridSpan w:val="2"/>
            <w:shd w:val="clear" w:color="auto" w:fill="E5E5E5"/>
          </w:tcPr>
          <w:p>
            <w:pPr>
              <w:jc w:val="right"/>
              <w:ind w:right="160"/>
              <w:spacing w:after="0"/>
              <w:rPr>
                <w:sz w:val="20"/>
                <w:szCs w:val="20"/>
                <w:color w:val="auto"/>
              </w:rPr>
            </w:pPr>
            <w:r>
              <w:rPr>
                <w:rFonts w:ascii="Arial" w:cs="Arial" w:eastAsia="Arial" w:hAnsi="Arial"/>
                <w:sz w:val="18"/>
                <w:szCs w:val="18"/>
                <w:b w:val="1"/>
                <w:bCs w:val="1"/>
                <w:color w:val="auto"/>
              </w:rPr>
              <w:t>$</w:t>
            </w:r>
          </w:p>
        </w:tc>
        <w:tc>
          <w:tcPr>
            <w:tcW w:w="78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93</w:t>
            </w:r>
          </w:p>
        </w:tc>
        <w:tc>
          <w:tcPr>
            <w:tcW w:w="220" w:type="dxa"/>
            <w:vAlign w:val="bottom"/>
            <w:shd w:val="clear" w:color="auto" w:fill="E5E5E5"/>
          </w:tcPr>
          <w:p>
            <w:pPr>
              <w:spacing w:after="0"/>
              <w:rPr>
                <w:sz w:val="21"/>
                <w:szCs w:val="21"/>
                <w:color w:val="auto"/>
              </w:rPr>
            </w:pPr>
          </w:p>
        </w:tc>
        <w:tc>
          <w:tcPr>
            <w:tcW w:w="18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w w:val="79"/>
              </w:rPr>
              <w:t>$</w:t>
            </w:r>
          </w:p>
        </w:tc>
        <w:tc>
          <w:tcPr>
            <w:tcW w:w="84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0</w:t>
            </w:r>
          </w:p>
        </w:tc>
        <w:tc>
          <w:tcPr>
            <w:tcW w:w="140" w:type="dxa"/>
            <w:vAlign w:val="bottom"/>
            <w:shd w:val="clear" w:color="auto" w:fill="E5E5E5"/>
          </w:tcPr>
          <w:p>
            <w:pPr>
              <w:spacing w:after="0"/>
              <w:rPr>
                <w:sz w:val="21"/>
                <w:szCs w:val="21"/>
                <w:color w:val="auto"/>
              </w:rPr>
            </w:pPr>
          </w:p>
        </w:tc>
        <w:tc>
          <w:tcPr>
            <w:tcW w:w="320" w:type="dxa"/>
            <w:vAlign w:val="bottom"/>
            <w:gridSpan w:val="2"/>
            <w:shd w:val="clear" w:color="auto" w:fill="E5E5E5"/>
          </w:tcPr>
          <w:p>
            <w:pPr>
              <w:jc w:val="right"/>
              <w:ind w:right="140"/>
              <w:spacing w:after="0"/>
              <w:rPr>
                <w:sz w:val="20"/>
                <w:szCs w:val="20"/>
                <w:color w:val="auto"/>
              </w:rPr>
            </w:pPr>
            <w:r>
              <w:rPr>
                <w:rFonts w:ascii="Arial" w:cs="Arial" w:eastAsia="Arial" w:hAnsi="Arial"/>
                <w:sz w:val="18"/>
                <w:szCs w:val="18"/>
                <w:b w:val="1"/>
                <w:bCs w:val="1"/>
                <w:color w:val="auto"/>
              </w:rPr>
              <w:t>$</w:t>
            </w:r>
          </w:p>
        </w:tc>
        <w:tc>
          <w:tcPr>
            <w:tcW w:w="78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14</w:t>
            </w:r>
          </w:p>
        </w:tc>
        <w:tc>
          <w:tcPr>
            <w:tcW w:w="220" w:type="dxa"/>
            <w:vAlign w:val="bottom"/>
            <w:shd w:val="clear" w:color="auto" w:fill="E5E5E5"/>
          </w:tcPr>
          <w:p>
            <w:pPr>
              <w:spacing w:after="0"/>
              <w:rPr>
                <w:sz w:val="21"/>
                <w:szCs w:val="21"/>
                <w:color w:val="auto"/>
              </w:rPr>
            </w:pPr>
          </w:p>
        </w:tc>
        <w:tc>
          <w:tcPr>
            <w:tcW w:w="260" w:type="dxa"/>
            <w:vAlign w:val="bottom"/>
            <w:shd w:val="clear" w:color="auto" w:fill="E5E5E5"/>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920" w:type="dxa"/>
            <w:vAlign w:val="bottom"/>
            <w:gridSpan w:val="2"/>
            <w:shd w:val="clear" w:color="auto" w:fill="E5E5E5"/>
          </w:tcPr>
          <w:p>
            <w:pPr>
              <w:jc w:val="right"/>
              <w:ind w:right="80"/>
              <w:spacing w:after="0"/>
              <w:rPr>
                <w:sz w:val="20"/>
                <w:szCs w:val="20"/>
                <w:color w:val="auto"/>
              </w:rPr>
            </w:pPr>
            <w:r>
              <w:rPr>
                <w:rFonts w:ascii="Arial" w:cs="Arial" w:eastAsia="Arial" w:hAnsi="Arial"/>
                <w:sz w:val="18"/>
                <w:szCs w:val="18"/>
                <w:b w:val="1"/>
                <w:bCs w:val="1"/>
                <w:color w:val="auto"/>
              </w:rPr>
              <w:t>(108)</w:t>
            </w:r>
          </w:p>
        </w:tc>
        <w:tc>
          <w:tcPr>
            <w:tcW w:w="320" w:type="dxa"/>
            <w:vAlign w:val="bottom"/>
            <w:gridSpan w:val="2"/>
            <w:shd w:val="clear" w:color="auto" w:fill="E5E5E5"/>
          </w:tcPr>
          <w:p>
            <w:pPr>
              <w:jc w:val="right"/>
              <w:ind w:right="140"/>
              <w:spacing w:after="0"/>
              <w:rPr>
                <w:sz w:val="20"/>
                <w:szCs w:val="20"/>
                <w:color w:val="auto"/>
              </w:rPr>
            </w:pPr>
            <w:r>
              <w:rPr>
                <w:rFonts w:ascii="Arial" w:cs="Arial" w:eastAsia="Arial" w:hAnsi="Arial"/>
                <w:sz w:val="18"/>
                <w:szCs w:val="18"/>
                <w:b w:val="1"/>
                <w:bCs w:val="1"/>
                <w:color w:val="auto"/>
              </w:rPr>
              <w:t>$</w:t>
            </w:r>
          </w:p>
        </w:tc>
        <w:tc>
          <w:tcPr>
            <w:tcW w:w="940" w:type="dxa"/>
            <w:vAlign w:val="bottom"/>
            <w:gridSpan w:val="2"/>
            <w:shd w:val="clear" w:color="auto" w:fill="E5E5E5"/>
          </w:tcPr>
          <w:p>
            <w:pPr>
              <w:jc w:val="right"/>
              <w:ind w:right="80"/>
              <w:spacing w:after="0"/>
              <w:rPr>
                <w:sz w:val="20"/>
                <w:szCs w:val="20"/>
                <w:color w:val="auto"/>
              </w:rPr>
            </w:pPr>
            <w:r>
              <w:rPr>
                <w:rFonts w:ascii="Arial" w:cs="Arial" w:eastAsia="Arial" w:hAnsi="Arial"/>
                <w:sz w:val="18"/>
                <w:szCs w:val="18"/>
                <w:b w:val="1"/>
                <w:bCs w:val="1"/>
                <w:color w:val="auto"/>
              </w:rPr>
              <w:t>(7)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5"/>
        </w:trPr>
        <w:tc>
          <w:tcPr>
            <w:tcW w:w="40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Designated Hedge Derivatives</w:t>
            </w:r>
          </w:p>
        </w:tc>
        <w:tc>
          <w:tcPr>
            <w:tcW w:w="18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60" w:type="dxa"/>
            <w:vAlign w:val="bottom"/>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9"/>
        </w:trPr>
        <w:tc>
          <w:tcPr>
            <w:tcW w:w="4000" w:type="dxa"/>
            <w:vAlign w:val="bottom"/>
            <w:gridSpan w:val="2"/>
            <w:vMerge w:val="continue"/>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
        </w:trPr>
        <w:tc>
          <w:tcPr>
            <w:tcW w:w="20" w:type="dxa"/>
            <w:vAlign w:val="bottom"/>
            <w:vMerge w:val="restart"/>
          </w:tcPr>
          <w:p>
            <w:pPr>
              <w:spacing w:after="0"/>
              <w:rPr>
                <w:sz w:val="3"/>
                <w:szCs w:val="3"/>
                <w:color w:val="auto"/>
              </w:rPr>
            </w:pPr>
          </w:p>
        </w:tc>
        <w:tc>
          <w:tcPr>
            <w:tcW w:w="39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 w:type="dxa"/>
            <w:vAlign w:val="bottom"/>
          </w:tcPr>
          <w:p>
            <w:pPr>
              <w:spacing w:after="0"/>
              <w:rPr>
                <w:sz w:val="3"/>
                <w:szCs w:val="3"/>
                <w:color w:val="auto"/>
              </w:rPr>
            </w:pPr>
          </w:p>
        </w:tc>
        <w:tc>
          <w:tcPr>
            <w:tcW w:w="260" w:type="dxa"/>
            <w:vAlign w:val="bottom"/>
          </w:tcPr>
          <w:p>
            <w:pPr>
              <w:spacing w:after="0"/>
              <w:rPr>
                <w:sz w:val="3"/>
                <w:szCs w:val="3"/>
                <w:color w:val="auto"/>
              </w:rPr>
            </w:pPr>
          </w:p>
        </w:tc>
        <w:tc>
          <w:tcPr>
            <w:tcW w:w="7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780" w:type="dxa"/>
            <w:vAlign w:val="bottom"/>
          </w:tcPr>
          <w:p>
            <w:pPr>
              <w:spacing w:after="0"/>
              <w:rPr>
                <w:sz w:val="3"/>
                <w:szCs w:val="3"/>
                <w:color w:val="auto"/>
              </w:rPr>
            </w:pPr>
          </w:p>
        </w:tc>
        <w:tc>
          <w:tcPr>
            <w:tcW w:w="220" w:type="dxa"/>
            <w:vAlign w:val="bottom"/>
          </w:tcPr>
          <w:p>
            <w:pPr>
              <w:spacing w:after="0"/>
              <w:rPr>
                <w:sz w:val="3"/>
                <w:szCs w:val="3"/>
                <w:color w:val="auto"/>
              </w:rPr>
            </w:pPr>
          </w:p>
        </w:tc>
        <w:tc>
          <w:tcPr>
            <w:tcW w:w="26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3980" w:type="dxa"/>
            <w:vAlign w:val="bottom"/>
            <w:shd w:val="clear" w:color="auto" w:fill="E5E5E5"/>
          </w:tcPr>
          <w:p>
            <w:pPr>
              <w:spacing w:after="0"/>
              <w:rPr>
                <w:sz w:val="20"/>
                <w:szCs w:val="20"/>
                <w:color w:val="auto"/>
              </w:rPr>
            </w:pPr>
            <w:r>
              <w:rPr>
                <w:rFonts w:ascii="Arial" w:cs="Arial" w:eastAsia="Arial" w:hAnsi="Arial"/>
                <w:sz w:val="18"/>
                <w:szCs w:val="18"/>
                <w:color w:val="auto"/>
              </w:rPr>
              <w:t>Foreign exchange contracts</w:t>
            </w:r>
          </w:p>
        </w:tc>
        <w:tc>
          <w:tcPr>
            <w:tcW w:w="18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w w:val="79"/>
              </w:rPr>
              <w:t>$</w:t>
            </w:r>
          </w:p>
        </w:tc>
        <w:tc>
          <w:tcPr>
            <w:tcW w:w="86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81</w:t>
            </w:r>
          </w:p>
        </w:tc>
        <w:tc>
          <w:tcPr>
            <w:tcW w:w="140" w:type="dxa"/>
            <w:vAlign w:val="bottom"/>
            <w:shd w:val="clear" w:color="auto" w:fill="E5E5E5"/>
          </w:tcPr>
          <w:p>
            <w:pPr>
              <w:spacing w:after="0"/>
              <w:rPr>
                <w:sz w:val="21"/>
                <w:szCs w:val="21"/>
                <w:color w:val="auto"/>
              </w:rPr>
            </w:pPr>
          </w:p>
        </w:tc>
        <w:tc>
          <w:tcPr>
            <w:tcW w:w="320" w:type="dxa"/>
            <w:vAlign w:val="bottom"/>
            <w:gridSpan w:val="2"/>
            <w:shd w:val="clear" w:color="auto" w:fill="E5E5E5"/>
          </w:tcPr>
          <w:p>
            <w:pPr>
              <w:jc w:val="right"/>
              <w:ind w:right="160"/>
              <w:spacing w:after="0"/>
              <w:rPr>
                <w:sz w:val="20"/>
                <w:szCs w:val="20"/>
                <w:color w:val="auto"/>
              </w:rPr>
            </w:pPr>
            <w:r>
              <w:rPr>
                <w:rFonts w:ascii="Arial" w:cs="Arial" w:eastAsia="Arial" w:hAnsi="Arial"/>
                <w:sz w:val="18"/>
                <w:szCs w:val="18"/>
                <w:b w:val="1"/>
                <w:bCs w:val="1"/>
                <w:color w:val="auto"/>
              </w:rPr>
              <w:t>$</w:t>
            </w:r>
          </w:p>
        </w:tc>
        <w:tc>
          <w:tcPr>
            <w:tcW w:w="78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89</w:t>
            </w:r>
          </w:p>
        </w:tc>
        <w:tc>
          <w:tcPr>
            <w:tcW w:w="220" w:type="dxa"/>
            <w:vAlign w:val="bottom"/>
            <w:shd w:val="clear" w:color="auto" w:fill="E5E5E5"/>
          </w:tcPr>
          <w:p>
            <w:pPr>
              <w:spacing w:after="0"/>
              <w:rPr>
                <w:sz w:val="21"/>
                <w:szCs w:val="21"/>
                <w:color w:val="auto"/>
              </w:rPr>
            </w:pPr>
          </w:p>
        </w:tc>
        <w:tc>
          <w:tcPr>
            <w:tcW w:w="18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w w:val="79"/>
              </w:rPr>
              <w:t>$</w:t>
            </w:r>
          </w:p>
        </w:tc>
        <w:tc>
          <w:tcPr>
            <w:tcW w:w="84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0</w:t>
            </w:r>
          </w:p>
        </w:tc>
        <w:tc>
          <w:tcPr>
            <w:tcW w:w="140" w:type="dxa"/>
            <w:vAlign w:val="bottom"/>
            <w:shd w:val="clear" w:color="auto" w:fill="E5E5E5"/>
          </w:tcPr>
          <w:p>
            <w:pPr>
              <w:spacing w:after="0"/>
              <w:rPr>
                <w:sz w:val="21"/>
                <w:szCs w:val="21"/>
                <w:color w:val="auto"/>
              </w:rPr>
            </w:pPr>
          </w:p>
        </w:tc>
        <w:tc>
          <w:tcPr>
            <w:tcW w:w="320" w:type="dxa"/>
            <w:vAlign w:val="bottom"/>
            <w:gridSpan w:val="2"/>
            <w:shd w:val="clear" w:color="auto" w:fill="E5E5E5"/>
          </w:tcPr>
          <w:p>
            <w:pPr>
              <w:jc w:val="right"/>
              <w:ind w:right="140"/>
              <w:spacing w:after="0"/>
              <w:rPr>
                <w:sz w:val="20"/>
                <w:szCs w:val="20"/>
                <w:color w:val="auto"/>
              </w:rPr>
            </w:pPr>
            <w:r>
              <w:rPr>
                <w:rFonts w:ascii="Arial" w:cs="Arial" w:eastAsia="Arial" w:hAnsi="Arial"/>
                <w:sz w:val="18"/>
                <w:szCs w:val="18"/>
                <w:b w:val="1"/>
                <w:bCs w:val="1"/>
                <w:color w:val="auto"/>
              </w:rPr>
              <w:t>$</w:t>
            </w:r>
          </w:p>
        </w:tc>
        <w:tc>
          <w:tcPr>
            <w:tcW w:w="78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6</w:t>
            </w:r>
          </w:p>
        </w:tc>
        <w:tc>
          <w:tcPr>
            <w:tcW w:w="220" w:type="dxa"/>
            <w:vAlign w:val="bottom"/>
            <w:shd w:val="clear" w:color="auto" w:fill="E5E5E5"/>
          </w:tcPr>
          <w:p>
            <w:pPr>
              <w:spacing w:after="0"/>
              <w:rPr>
                <w:sz w:val="21"/>
                <w:szCs w:val="21"/>
                <w:color w:val="auto"/>
              </w:rPr>
            </w:pPr>
          </w:p>
        </w:tc>
        <w:tc>
          <w:tcPr>
            <w:tcW w:w="260" w:type="dxa"/>
            <w:vAlign w:val="bottom"/>
            <w:shd w:val="clear" w:color="auto" w:fill="E5E5E5"/>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920" w:type="dxa"/>
            <w:vAlign w:val="bottom"/>
            <w:gridSpan w:val="2"/>
            <w:shd w:val="clear" w:color="auto" w:fill="E5E5E5"/>
          </w:tcPr>
          <w:p>
            <w:pPr>
              <w:jc w:val="right"/>
              <w:ind w:right="80"/>
              <w:spacing w:after="0"/>
              <w:rPr>
                <w:sz w:val="20"/>
                <w:szCs w:val="20"/>
                <w:color w:val="auto"/>
              </w:rPr>
            </w:pPr>
            <w:r>
              <w:rPr>
                <w:rFonts w:ascii="Arial" w:cs="Arial" w:eastAsia="Arial" w:hAnsi="Arial"/>
                <w:sz w:val="18"/>
                <w:szCs w:val="18"/>
                <w:b w:val="1"/>
                <w:bCs w:val="1"/>
                <w:color w:val="auto"/>
              </w:rPr>
              <w:t>(3)</w:t>
            </w:r>
          </w:p>
        </w:tc>
        <w:tc>
          <w:tcPr>
            <w:tcW w:w="320" w:type="dxa"/>
            <w:vAlign w:val="bottom"/>
            <w:gridSpan w:val="2"/>
            <w:shd w:val="clear" w:color="auto" w:fill="E5E5E5"/>
          </w:tcPr>
          <w:p>
            <w:pPr>
              <w:jc w:val="right"/>
              <w:ind w:right="140"/>
              <w:spacing w:after="0"/>
              <w:rPr>
                <w:sz w:val="20"/>
                <w:szCs w:val="20"/>
                <w:color w:val="auto"/>
              </w:rPr>
            </w:pPr>
            <w:r>
              <w:rPr>
                <w:rFonts w:ascii="Arial" w:cs="Arial" w:eastAsia="Arial" w:hAnsi="Arial"/>
                <w:sz w:val="18"/>
                <w:szCs w:val="18"/>
                <w:b w:val="1"/>
                <w:bCs w:val="1"/>
                <w:color w:val="auto"/>
              </w:rPr>
              <w:t>$</w:t>
            </w:r>
          </w:p>
        </w:tc>
        <w:tc>
          <w:tcPr>
            <w:tcW w:w="80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0</w:t>
            </w:r>
          </w:p>
        </w:tc>
        <w:tc>
          <w:tcPr>
            <w:tcW w:w="140" w:type="dxa"/>
            <w:vAlign w:val="bottom"/>
            <w:shd w:val="clear" w:color="auto" w:fill="E5E5E5"/>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Equity contracts</w:t>
            </w:r>
          </w:p>
        </w:tc>
        <w:tc>
          <w:tcPr>
            <w:tcW w:w="1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0</w:t>
            </w:r>
          </w:p>
        </w:tc>
        <w:tc>
          <w:tcPr>
            <w:tcW w:w="1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0</w:t>
            </w:r>
          </w:p>
        </w:tc>
        <w:tc>
          <w:tcPr>
            <w:tcW w:w="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23</w:t>
            </w: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0</w:t>
            </w:r>
          </w:p>
        </w:tc>
        <w:tc>
          <w:tcPr>
            <w:tcW w:w="2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(337)</w:t>
            </w: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0</w:t>
            </w:r>
          </w:p>
        </w:tc>
        <w:tc>
          <w:tcPr>
            <w:tcW w:w="1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39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6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980" w:type="dxa"/>
            <w:vAlign w:val="bottom"/>
          </w:tcPr>
          <w:p>
            <w:pPr>
              <w:spacing w:after="0"/>
              <w:rPr>
                <w:sz w:val="5"/>
                <w:szCs w:val="5"/>
                <w:color w:val="auto"/>
              </w:rPr>
            </w:pPr>
          </w:p>
        </w:tc>
        <w:tc>
          <w:tcPr>
            <w:tcW w:w="180" w:type="dxa"/>
            <w:vAlign w:val="bottom"/>
          </w:tcPr>
          <w:p>
            <w:pPr>
              <w:spacing w:after="0"/>
              <w:rPr>
                <w:sz w:val="5"/>
                <w:szCs w:val="5"/>
                <w:color w:val="auto"/>
              </w:rPr>
            </w:pPr>
          </w:p>
        </w:tc>
        <w:tc>
          <w:tcPr>
            <w:tcW w:w="8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260" w:type="dxa"/>
            <w:vAlign w:val="bottom"/>
          </w:tcPr>
          <w:p>
            <w:pPr>
              <w:spacing w:after="0"/>
              <w:rPr>
                <w:sz w:val="5"/>
                <w:szCs w:val="5"/>
                <w:color w:val="auto"/>
              </w:rPr>
            </w:pPr>
          </w:p>
        </w:tc>
        <w:tc>
          <w:tcPr>
            <w:tcW w:w="7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780" w:type="dxa"/>
            <w:vAlign w:val="bottom"/>
          </w:tcPr>
          <w:p>
            <w:pPr>
              <w:spacing w:after="0"/>
              <w:rPr>
                <w:sz w:val="5"/>
                <w:szCs w:val="5"/>
                <w:color w:val="auto"/>
              </w:rPr>
            </w:pPr>
          </w:p>
        </w:tc>
        <w:tc>
          <w:tcPr>
            <w:tcW w:w="220" w:type="dxa"/>
            <w:vAlign w:val="bottom"/>
          </w:tcPr>
          <w:p>
            <w:pPr>
              <w:spacing w:after="0"/>
              <w:rPr>
                <w:sz w:val="5"/>
                <w:szCs w:val="5"/>
                <w:color w:val="auto"/>
              </w:rPr>
            </w:pPr>
          </w:p>
        </w:tc>
        <w:tc>
          <w:tcPr>
            <w:tcW w:w="260" w:type="dxa"/>
            <w:vAlign w:val="bottom"/>
          </w:tcPr>
          <w:p>
            <w:pPr>
              <w:spacing w:after="0"/>
              <w:rPr>
                <w:sz w:val="5"/>
                <w:szCs w:val="5"/>
                <w:color w:val="auto"/>
              </w:rPr>
            </w:pPr>
          </w:p>
        </w:tc>
        <w:tc>
          <w:tcPr>
            <w:tcW w:w="78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980" w:type="dxa"/>
            <w:vAlign w:val="bottom"/>
            <w:shd w:val="clear" w:color="auto" w:fill="E5E5E5"/>
          </w:tcPr>
          <w:p>
            <w:pPr>
              <w:ind w:left="200"/>
              <w:spacing w:after="0"/>
              <w:rPr>
                <w:sz w:val="20"/>
                <w:szCs w:val="20"/>
                <w:color w:val="auto"/>
              </w:rPr>
            </w:pPr>
            <w:r>
              <w:rPr>
                <w:rFonts w:ascii="Arial" w:cs="Arial" w:eastAsia="Arial" w:hAnsi="Arial"/>
                <w:sz w:val="18"/>
                <w:szCs w:val="18"/>
                <w:color w:val="auto"/>
              </w:rPr>
              <w:t>Total</w:t>
            </w:r>
          </w:p>
        </w:tc>
        <w:tc>
          <w:tcPr>
            <w:tcW w:w="18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w w:val="79"/>
              </w:rPr>
              <w:t>$</w:t>
            </w:r>
          </w:p>
        </w:tc>
        <w:tc>
          <w:tcPr>
            <w:tcW w:w="86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81</w:t>
            </w:r>
          </w:p>
        </w:tc>
        <w:tc>
          <w:tcPr>
            <w:tcW w:w="140" w:type="dxa"/>
            <w:vAlign w:val="bottom"/>
            <w:shd w:val="clear" w:color="auto" w:fill="E5E5E5"/>
          </w:tcPr>
          <w:p>
            <w:pPr>
              <w:spacing w:after="0"/>
              <w:rPr>
                <w:sz w:val="21"/>
                <w:szCs w:val="21"/>
                <w:color w:val="auto"/>
              </w:rPr>
            </w:pPr>
          </w:p>
        </w:tc>
        <w:tc>
          <w:tcPr>
            <w:tcW w:w="320" w:type="dxa"/>
            <w:vAlign w:val="bottom"/>
            <w:gridSpan w:val="2"/>
            <w:shd w:val="clear" w:color="auto" w:fill="E5E5E5"/>
          </w:tcPr>
          <w:p>
            <w:pPr>
              <w:jc w:val="right"/>
              <w:ind w:right="160"/>
              <w:spacing w:after="0"/>
              <w:rPr>
                <w:sz w:val="20"/>
                <w:szCs w:val="20"/>
                <w:color w:val="auto"/>
              </w:rPr>
            </w:pPr>
            <w:r>
              <w:rPr>
                <w:rFonts w:ascii="Arial" w:cs="Arial" w:eastAsia="Arial" w:hAnsi="Arial"/>
                <w:sz w:val="18"/>
                <w:szCs w:val="18"/>
                <w:b w:val="1"/>
                <w:bCs w:val="1"/>
                <w:color w:val="auto"/>
              </w:rPr>
              <w:t>$</w:t>
            </w:r>
          </w:p>
        </w:tc>
        <w:tc>
          <w:tcPr>
            <w:tcW w:w="78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89</w:t>
            </w:r>
          </w:p>
        </w:tc>
        <w:tc>
          <w:tcPr>
            <w:tcW w:w="220" w:type="dxa"/>
            <w:vAlign w:val="bottom"/>
            <w:shd w:val="clear" w:color="auto" w:fill="E5E5E5"/>
          </w:tcPr>
          <w:p>
            <w:pPr>
              <w:spacing w:after="0"/>
              <w:rPr>
                <w:sz w:val="21"/>
                <w:szCs w:val="21"/>
                <w:color w:val="auto"/>
              </w:rPr>
            </w:pPr>
          </w:p>
        </w:tc>
        <w:tc>
          <w:tcPr>
            <w:tcW w:w="18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w w:val="79"/>
              </w:rPr>
              <w:t>$</w:t>
            </w:r>
          </w:p>
        </w:tc>
        <w:tc>
          <w:tcPr>
            <w:tcW w:w="84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23</w:t>
            </w:r>
          </w:p>
        </w:tc>
        <w:tc>
          <w:tcPr>
            <w:tcW w:w="140" w:type="dxa"/>
            <w:vAlign w:val="bottom"/>
            <w:shd w:val="clear" w:color="auto" w:fill="E5E5E5"/>
          </w:tcPr>
          <w:p>
            <w:pPr>
              <w:spacing w:after="0"/>
              <w:rPr>
                <w:sz w:val="21"/>
                <w:szCs w:val="21"/>
                <w:color w:val="auto"/>
              </w:rPr>
            </w:pPr>
          </w:p>
        </w:tc>
        <w:tc>
          <w:tcPr>
            <w:tcW w:w="320" w:type="dxa"/>
            <w:vAlign w:val="bottom"/>
            <w:gridSpan w:val="2"/>
            <w:shd w:val="clear" w:color="auto" w:fill="E5E5E5"/>
          </w:tcPr>
          <w:p>
            <w:pPr>
              <w:jc w:val="right"/>
              <w:ind w:right="140"/>
              <w:spacing w:after="0"/>
              <w:rPr>
                <w:sz w:val="20"/>
                <w:szCs w:val="20"/>
                <w:color w:val="auto"/>
              </w:rPr>
            </w:pPr>
            <w:r>
              <w:rPr>
                <w:rFonts w:ascii="Arial" w:cs="Arial" w:eastAsia="Arial" w:hAnsi="Arial"/>
                <w:sz w:val="18"/>
                <w:szCs w:val="18"/>
                <w:b w:val="1"/>
                <w:bCs w:val="1"/>
                <w:color w:val="auto"/>
              </w:rPr>
              <w:t>$</w:t>
            </w:r>
          </w:p>
        </w:tc>
        <w:tc>
          <w:tcPr>
            <w:tcW w:w="78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6</w:t>
            </w:r>
          </w:p>
        </w:tc>
        <w:tc>
          <w:tcPr>
            <w:tcW w:w="220" w:type="dxa"/>
            <w:vAlign w:val="bottom"/>
            <w:shd w:val="clear" w:color="auto" w:fill="E5E5E5"/>
          </w:tcPr>
          <w:p>
            <w:pPr>
              <w:spacing w:after="0"/>
              <w:rPr>
                <w:sz w:val="21"/>
                <w:szCs w:val="21"/>
                <w:color w:val="auto"/>
              </w:rPr>
            </w:pPr>
          </w:p>
        </w:tc>
        <w:tc>
          <w:tcPr>
            <w:tcW w:w="260" w:type="dxa"/>
            <w:vAlign w:val="bottom"/>
            <w:shd w:val="clear" w:color="auto" w:fill="E5E5E5"/>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920" w:type="dxa"/>
            <w:vAlign w:val="bottom"/>
            <w:gridSpan w:val="2"/>
            <w:shd w:val="clear" w:color="auto" w:fill="E5E5E5"/>
          </w:tcPr>
          <w:p>
            <w:pPr>
              <w:jc w:val="right"/>
              <w:ind w:right="80"/>
              <w:spacing w:after="0"/>
              <w:rPr>
                <w:sz w:val="20"/>
                <w:szCs w:val="20"/>
                <w:color w:val="auto"/>
              </w:rPr>
            </w:pPr>
            <w:r>
              <w:rPr>
                <w:rFonts w:ascii="Arial" w:cs="Arial" w:eastAsia="Arial" w:hAnsi="Arial"/>
                <w:sz w:val="18"/>
                <w:szCs w:val="18"/>
                <w:b w:val="1"/>
                <w:bCs w:val="1"/>
                <w:color w:val="auto"/>
              </w:rPr>
              <w:t>(340)</w:t>
            </w:r>
          </w:p>
        </w:tc>
        <w:tc>
          <w:tcPr>
            <w:tcW w:w="320" w:type="dxa"/>
            <w:vAlign w:val="bottom"/>
            <w:gridSpan w:val="2"/>
            <w:shd w:val="clear" w:color="auto" w:fill="E5E5E5"/>
          </w:tcPr>
          <w:p>
            <w:pPr>
              <w:jc w:val="right"/>
              <w:ind w:right="140"/>
              <w:spacing w:after="0"/>
              <w:rPr>
                <w:sz w:val="20"/>
                <w:szCs w:val="20"/>
                <w:color w:val="auto"/>
              </w:rPr>
            </w:pPr>
            <w:r>
              <w:rPr>
                <w:rFonts w:ascii="Arial" w:cs="Arial" w:eastAsia="Arial" w:hAnsi="Arial"/>
                <w:sz w:val="18"/>
                <w:szCs w:val="18"/>
                <w:b w:val="1"/>
                <w:bCs w:val="1"/>
                <w:color w:val="auto"/>
              </w:rPr>
              <w:t>$</w:t>
            </w:r>
          </w:p>
        </w:tc>
        <w:tc>
          <w:tcPr>
            <w:tcW w:w="80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0</w:t>
            </w:r>
          </w:p>
        </w:tc>
        <w:tc>
          <w:tcPr>
            <w:tcW w:w="140" w:type="dxa"/>
            <w:vAlign w:val="bottom"/>
            <w:shd w:val="clear" w:color="auto" w:fill="E5E5E5"/>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398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980" w:type="dxa"/>
            <w:vAlign w:val="bottom"/>
          </w:tcPr>
          <w:p>
            <w:pPr>
              <w:spacing w:after="0"/>
              <w:rPr>
                <w:sz w:val="5"/>
                <w:szCs w:val="5"/>
                <w:color w:val="auto"/>
              </w:rPr>
            </w:pPr>
          </w:p>
        </w:tc>
        <w:tc>
          <w:tcPr>
            <w:tcW w:w="180" w:type="dxa"/>
            <w:vAlign w:val="bottom"/>
          </w:tcPr>
          <w:p>
            <w:pPr>
              <w:spacing w:after="0"/>
              <w:rPr>
                <w:sz w:val="5"/>
                <w:szCs w:val="5"/>
                <w:color w:val="auto"/>
              </w:rPr>
            </w:pPr>
          </w:p>
        </w:tc>
        <w:tc>
          <w:tcPr>
            <w:tcW w:w="8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260" w:type="dxa"/>
            <w:vAlign w:val="bottom"/>
          </w:tcPr>
          <w:p>
            <w:pPr>
              <w:spacing w:after="0"/>
              <w:rPr>
                <w:sz w:val="5"/>
                <w:szCs w:val="5"/>
                <w:color w:val="auto"/>
              </w:rPr>
            </w:pPr>
          </w:p>
        </w:tc>
        <w:tc>
          <w:tcPr>
            <w:tcW w:w="7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780" w:type="dxa"/>
            <w:vAlign w:val="bottom"/>
          </w:tcPr>
          <w:p>
            <w:pPr>
              <w:spacing w:after="0"/>
              <w:rPr>
                <w:sz w:val="5"/>
                <w:szCs w:val="5"/>
                <w:color w:val="auto"/>
              </w:rPr>
            </w:pPr>
          </w:p>
        </w:tc>
        <w:tc>
          <w:tcPr>
            <w:tcW w:w="220" w:type="dxa"/>
            <w:vAlign w:val="bottom"/>
          </w:tcPr>
          <w:p>
            <w:pPr>
              <w:spacing w:after="0"/>
              <w:rPr>
                <w:sz w:val="5"/>
                <w:szCs w:val="5"/>
                <w:color w:val="auto"/>
              </w:rPr>
            </w:pPr>
          </w:p>
        </w:tc>
        <w:tc>
          <w:tcPr>
            <w:tcW w:w="260" w:type="dxa"/>
            <w:vAlign w:val="bottom"/>
          </w:tcPr>
          <w:p>
            <w:pPr>
              <w:spacing w:after="0"/>
              <w:rPr>
                <w:sz w:val="5"/>
                <w:szCs w:val="5"/>
                <w:color w:val="auto"/>
              </w:rPr>
            </w:pPr>
          </w:p>
        </w:tc>
        <w:tc>
          <w:tcPr>
            <w:tcW w:w="78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980" w:type="dxa"/>
            <w:vAlign w:val="bottom"/>
            <w:shd w:val="clear" w:color="auto" w:fill="E5E5E5"/>
          </w:tcPr>
          <w:p>
            <w:pPr>
              <w:ind w:left="420"/>
              <w:spacing w:after="0"/>
              <w:rPr>
                <w:sz w:val="20"/>
                <w:szCs w:val="20"/>
                <w:color w:val="auto"/>
              </w:rPr>
            </w:pPr>
            <w:r>
              <w:rPr>
                <w:rFonts w:ascii="Arial" w:cs="Arial" w:eastAsia="Arial" w:hAnsi="Arial"/>
                <w:sz w:val="18"/>
                <w:szCs w:val="18"/>
                <w:color w:val="auto"/>
              </w:rPr>
              <w:t>Total gross amounts of derivatives</w:t>
            </w:r>
          </w:p>
        </w:tc>
        <w:tc>
          <w:tcPr>
            <w:tcW w:w="18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w w:val="79"/>
              </w:rPr>
              <w:t>$</w:t>
            </w:r>
          </w:p>
        </w:tc>
        <w:tc>
          <w:tcPr>
            <w:tcW w:w="86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104</w:t>
            </w:r>
          </w:p>
        </w:tc>
        <w:tc>
          <w:tcPr>
            <w:tcW w:w="140" w:type="dxa"/>
            <w:vAlign w:val="bottom"/>
            <w:shd w:val="clear" w:color="auto" w:fill="E5E5E5"/>
          </w:tcPr>
          <w:p>
            <w:pPr>
              <w:spacing w:after="0"/>
              <w:rPr>
                <w:sz w:val="21"/>
                <w:szCs w:val="21"/>
                <w:color w:val="auto"/>
              </w:rPr>
            </w:pPr>
          </w:p>
        </w:tc>
        <w:tc>
          <w:tcPr>
            <w:tcW w:w="320" w:type="dxa"/>
            <w:vAlign w:val="bottom"/>
            <w:gridSpan w:val="2"/>
            <w:shd w:val="clear" w:color="auto" w:fill="E5E5E5"/>
          </w:tcPr>
          <w:p>
            <w:pPr>
              <w:jc w:val="right"/>
              <w:ind w:right="160"/>
              <w:spacing w:after="0"/>
              <w:rPr>
                <w:sz w:val="20"/>
                <w:szCs w:val="20"/>
                <w:color w:val="auto"/>
              </w:rPr>
            </w:pPr>
            <w:r>
              <w:rPr>
                <w:rFonts w:ascii="Arial" w:cs="Arial" w:eastAsia="Arial" w:hAnsi="Arial"/>
                <w:sz w:val="18"/>
                <w:szCs w:val="18"/>
                <w:b w:val="1"/>
                <w:bCs w:val="1"/>
                <w:color w:val="auto"/>
              </w:rPr>
              <w:t>$</w:t>
            </w:r>
          </w:p>
        </w:tc>
        <w:tc>
          <w:tcPr>
            <w:tcW w:w="78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182</w:t>
            </w:r>
          </w:p>
        </w:tc>
        <w:tc>
          <w:tcPr>
            <w:tcW w:w="220" w:type="dxa"/>
            <w:vAlign w:val="bottom"/>
            <w:shd w:val="clear" w:color="auto" w:fill="E5E5E5"/>
          </w:tcPr>
          <w:p>
            <w:pPr>
              <w:spacing w:after="0"/>
              <w:rPr>
                <w:sz w:val="21"/>
                <w:szCs w:val="21"/>
                <w:color w:val="auto"/>
              </w:rPr>
            </w:pPr>
          </w:p>
        </w:tc>
        <w:tc>
          <w:tcPr>
            <w:tcW w:w="18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w w:val="79"/>
              </w:rPr>
              <w:t>$</w:t>
            </w:r>
          </w:p>
        </w:tc>
        <w:tc>
          <w:tcPr>
            <w:tcW w:w="84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23</w:t>
            </w:r>
          </w:p>
        </w:tc>
        <w:tc>
          <w:tcPr>
            <w:tcW w:w="140" w:type="dxa"/>
            <w:vAlign w:val="bottom"/>
            <w:shd w:val="clear" w:color="auto" w:fill="E5E5E5"/>
          </w:tcPr>
          <w:p>
            <w:pPr>
              <w:spacing w:after="0"/>
              <w:rPr>
                <w:sz w:val="21"/>
                <w:szCs w:val="21"/>
                <w:color w:val="auto"/>
              </w:rPr>
            </w:pPr>
          </w:p>
        </w:tc>
        <w:tc>
          <w:tcPr>
            <w:tcW w:w="320" w:type="dxa"/>
            <w:vAlign w:val="bottom"/>
            <w:gridSpan w:val="2"/>
            <w:shd w:val="clear" w:color="auto" w:fill="E5E5E5"/>
          </w:tcPr>
          <w:p>
            <w:pPr>
              <w:jc w:val="right"/>
              <w:ind w:right="140"/>
              <w:spacing w:after="0"/>
              <w:rPr>
                <w:sz w:val="20"/>
                <w:szCs w:val="20"/>
                <w:color w:val="auto"/>
              </w:rPr>
            </w:pPr>
            <w:r>
              <w:rPr>
                <w:rFonts w:ascii="Arial" w:cs="Arial" w:eastAsia="Arial" w:hAnsi="Arial"/>
                <w:sz w:val="18"/>
                <w:szCs w:val="18"/>
                <w:b w:val="1"/>
                <w:bCs w:val="1"/>
                <w:color w:val="auto"/>
              </w:rPr>
              <w:t>$</w:t>
            </w:r>
          </w:p>
        </w:tc>
        <w:tc>
          <w:tcPr>
            <w:tcW w:w="78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20</w:t>
            </w:r>
          </w:p>
        </w:tc>
        <w:tc>
          <w:tcPr>
            <w:tcW w:w="220" w:type="dxa"/>
            <w:vAlign w:val="bottom"/>
            <w:shd w:val="clear" w:color="auto" w:fill="E5E5E5"/>
          </w:tcPr>
          <w:p>
            <w:pPr>
              <w:spacing w:after="0"/>
              <w:rPr>
                <w:sz w:val="21"/>
                <w:szCs w:val="21"/>
                <w:color w:val="auto"/>
              </w:rPr>
            </w:pPr>
          </w:p>
        </w:tc>
        <w:tc>
          <w:tcPr>
            <w:tcW w:w="260" w:type="dxa"/>
            <w:vAlign w:val="bottom"/>
            <w:shd w:val="clear" w:color="auto" w:fill="E5E5E5"/>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920" w:type="dxa"/>
            <w:vAlign w:val="bottom"/>
            <w:gridSpan w:val="2"/>
            <w:shd w:val="clear" w:color="auto" w:fill="E5E5E5"/>
          </w:tcPr>
          <w:p>
            <w:pPr>
              <w:jc w:val="right"/>
              <w:ind w:right="80"/>
              <w:spacing w:after="0"/>
              <w:rPr>
                <w:sz w:val="20"/>
                <w:szCs w:val="20"/>
                <w:color w:val="auto"/>
              </w:rPr>
            </w:pPr>
            <w:r>
              <w:rPr>
                <w:rFonts w:ascii="Arial" w:cs="Arial" w:eastAsia="Arial" w:hAnsi="Arial"/>
                <w:sz w:val="18"/>
                <w:szCs w:val="18"/>
                <w:b w:val="1"/>
                <w:bCs w:val="1"/>
                <w:color w:val="auto"/>
              </w:rPr>
              <w:t>(448)</w:t>
            </w:r>
          </w:p>
        </w:tc>
        <w:tc>
          <w:tcPr>
            <w:tcW w:w="320" w:type="dxa"/>
            <w:vAlign w:val="bottom"/>
            <w:gridSpan w:val="2"/>
            <w:shd w:val="clear" w:color="auto" w:fill="E5E5E5"/>
          </w:tcPr>
          <w:p>
            <w:pPr>
              <w:jc w:val="right"/>
              <w:ind w:right="140"/>
              <w:spacing w:after="0"/>
              <w:rPr>
                <w:sz w:val="20"/>
                <w:szCs w:val="20"/>
                <w:color w:val="auto"/>
              </w:rPr>
            </w:pPr>
            <w:r>
              <w:rPr>
                <w:rFonts w:ascii="Arial" w:cs="Arial" w:eastAsia="Arial" w:hAnsi="Arial"/>
                <w:sz w:val="18"/>
                <w:szCs w:val="18"/>
                <w:b w:val="1"/>
                <w:bCs w:val="1"/>
                <w:color w:val="auto"/>
              </w:rPr>
              <w:t>$</w:t>
            </w:r>
          </w:p>
        </w:tc>
        <w:tc>
          <w:tcPr>
            <w:tcW w:w="940" w:type="dxa"/>
            <w:vAlign w:val="bottom"/>
            <w:gridSpan w:val="2"/>
            <w:shd w:val="clear" w:color="auto" w:fill="E5E5E5"/>
          </w:tcPr>
          <w:p>
            <w:pPr>
              <w:jc w:val="right"/>
              <w:ind w:right="80"/>
              <w:spacing w:after="0"/>
              <w:rPr>
                <w:sz w:val="20"/>
                <w:szCs w:val="20"/>
                <w:color w:val="auto"/>
              </w:rPr>
            </w:pPr>
            <w:r>
              <w:rPr>
                <w:rFonts w:ascii="Arial" w:cs="Arial" w:eastAsia="Arial" w:hAnsi="Arial"/>
                <w:sz w:val="18"/>
                <w:szCs w:val="18"/>
                <w:b w:val="1"/>
                <w:bCs w:val="1"/>
                <w:color w:val="auto"/>
              </w:rPr>
              <w:t>(7)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3980" w:type="dxa"/>
            <w:vAlign w:val="bottom"/>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60" w:type="dxa"/>
            <w:vAlign w:val="bottom"/>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3980" w:type="dxa"/>
            <w:vAlign w:val="bottom"/>
          </w:tcPr>
          <w:p>
            <w:pPr>
              <w:spacing w:after="0"/>
              <w:rPr>
                <w:sz w:val="5"/>
                <w:szCs w:val="5"/>
                <w:color w:val="auto"/>
              </w:rPr>
            </w:pPr>
          </w:p>
        </w:tc>
        <w:tc>
          <w:tcPr>
            <w:tcW w:w="180" w:type="dxa"/>
            <w:vAlign w:val="bottom"/>
          </w:tcPr>
          <w:p>
            <w:pPr>
              <w:spacing w:after="0"/>
              <w:rPr>
                <w:sz w:val="5"/>
                <w:szCs w:val="5"/>
                <w:color w:val="auto"/>
              </w:rPr>
            </w:pPr>
          </w:p>
        </w:tc>
        <w:tc>
          <w:tcPr>
            <w:tcW w:w="8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260" w:type="dxa"/>
            <w:vAlign w:val="bottom"/>
          </w:tcPr>
          <w:p>
            <w:pPr>
              <w:spacing w:after="0"/>
              <w:rPr>
                <w:sz w:val="5"/>
                <w:szCs w:val="5"/>
                <w:color w:val="auto"/>
              </w:rPr>
            </w:pPr>
          </w:p>
        </w:tc>
        <w:tc>
          <w:tcPr>
            <w:tcW w:w="7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780" w:type="dxa"/>
            <w:vAlign w:val="bottom"/>
          </w:tcPr>
          <w:p>
            <w:pPr>
              <w:spacing w:after="0"/>
              <w:rPr>
                <w:sz w:val="5"/>
                <w:szCs w:val="5"/>
                <w:color w:val="auto"/>
              </w:rPr>
            </w:pPr>
          </w:p>
        </w:tc>
        <w:tc>
          <w:tcPr>
            <w:tcW w:w="220" w:type="dxa"/>
            <w:vAlign w:val="bottom"/>
          </w:tcPr>
          <w:p>
            <w:pPr>
              <w:spacing w:after="0"/>
              <w:rPr>
                <w:sz w:val="5"/>
                <w:szCs w:val="5"/>
                <w:color w:val="auto"/>
              </w:rPr>
            </w:pPr>
          </w:p>
        </w:tc>
        <w:tc>
          <w:tcPr>
            <w:tcW w:w="260" w:type="dxa"/>
            <w:vAlign w:val="bottom"/>
          </w:tcPr>
          <w:p>
            <w:pPr>
              <w:spacing w:after="0"/>
              <w:rPr>
                <w:sz w:val="5"/>
                <w:szCs w:val="5"/>
                <w:color w:val="auto"/>
              </w:rPr>
            </w:pPr>
          </w:p>
        </w:tc>
        <w:tc>
          <w:tcPr>
            <w:tcW w:w="78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3980" w:type="dxa"/>
            <w:vAlign w:val="bottom"/>
            <w:shd w:val="clear" w:color="auto" w:fill="E5E5E5"/>
          </w:tcPr>
          <w:p>
            <w:pPr>
              <w:spacing w:after="0" w:line="180" w:lineRule="exact"/>
              <w:rPr>
                <w:sz w:val="20"/>
                <w:szCs w:val="20"/>
                <w:color w:val="auto"/>
              </w:rPr>
            </w:pPr>
            <w:r>
              <w:rPr>
                <w:rFonts w:ascii="Arial" w:cs="Arial" w:eastAsia="Arial" w:hAnsi="Arial"/>
                <w:sz w:val="18"/>
                <w:szCs w:val="18"/>
                <w:color w:val="auto"/>
              </w:rPr>
              <w:t>Gross derivatives either offset or subject to an</w:t>
            </w:r>
          </w:p>
        </w:tc>
        <w:tc>
          <w:tcPr>
            <w:tcW w:w="180" w:type="dxa"/>
            <w:vAlign w:val="bottom"/>
            <w:vMerge w:val="restart"/>
            <w:shd w:val="clear" w:color="auto" w:fill="E5E5E5"/>
          </w:tcPr>
          <w:p>
            <w:pPr>
              <w:jc w:val="right"/>
              <w:spacing w:after="0"/>
              <w:rPr>
                <w:sz w:val="20"/>
                <w:szCs w:val="20"/>
                <w:color w:val="auto"/>
              </w:rPr>
            </w:pPr>
            <w:r>
              <w:rPr>
                <w:rFonts w:ascii="Arial" w:cs="Arial" w:eastAsia="Arial" w:hAnsi="Arial"/>
                <w:sz w:val="18"/>
                <w:szCs w:val="18"/>
                <w:b w:val="1"/>
                <w:bCs w:val="1"/>
                <w:color w:val="auto"/>
                <w:w w:val="79"/>
              </w:rPr>
              <w:t>$</w:t>
            </w:r>
          </w:p>
        </w:tc>
        <w:tc>
          <w:tcPr>
            <w:tcW w:w="860" w:type="dxa"/>
            <w:vAlign w:val="bottom"/>
            <w:vMerge w:val="restart"/>
            <w:shd w:val="clear" w:color="auto" w:fill="E5E5E5"/>
          </w:tcPr>
          <w:p>
            <w:pPr>
              <w:jc w:val="right"/>
              <w:spacing w:after="0"/>
              <w:rPr>
                <w:sz w:val="20"/>
                <w:szCs w:val="20"/>
                <w:color w:val="auto"/>
              </w:rPr>
            </w:pPr>
            <w:r>
              <w:rPr>
                <w:rFonts w:ascii="Arial" w:cs="Arial" w:eastAsia="Arial" w:hAnsi="Arial"/>
                <w:sz w:val="18"/>
                <w:szCs w:val="18"/>
                <w:b w:val="1"/>
                <w:bCs w:val="1"/>
                <w:color w:val="auto"/>
              </w:rPr>
              <w:t>104</w:t>
            </w:r>
          </w:p>
        </w:tc>
        <w:tc>
          <w:tcPr>
            <w:tcW w:w="140" w:type="dxa"/>
            <w:vAlign w:val="bottom"/>
            <w:shd w:val="clear" w:color="auto" w:fill="E5E5E5"/>
          </w:tcPr>
          <w:p>
            <w:pPr>
              <w:spacing w:after="0"/>
              <w:rPr>
                <w:sz w:val="15"/>
                <w:szCs w:val="15"/>
                <w:color w:val="auto"/>
              </w:rPr>
            </w:pPr>
          </w:p>
        </w:tc>
        <w:tc>
          <w:tcPr>
            <w:tcW w:w="320" w:type="dxa"/>
            <w:vAlign w:val="bottom"/>
            <w:gridSpan w:val="2"/>
            <w:vMerge w:val="restart"/>
            <w:shd w:val="clear" w:color="auto" w:fill="E5E5E5"/>
          </w:tcPr>
          <w:p>
            <w:pPr>
              <w:jc w:val="right"/>
              <w:ind w:right="160"/>
              <w:spacing w:after="0"/>
              <w:rPr>
                <w:sz w:val="20"/>
                <w:szCs w:val="20"/>
                <w:color w:val="auto"/>
              </w:rPr>
            </w:pPr>
            <w:r>
              <w:rPr>
                <w:rFonts w:ascii="Arial" w:cs="Arial" w:eastAsia="Arial" w:hAnsi="Arial"/>
                <w:sz w:val="18"/>
                <w:szCs w:val="18"/>
                <w:b w:val="1"/>
                <w:bCs w:val="1"/>
                <w:color w:val="auto"/>
              </w:rPr>
              <w:t>$</w:t>
            </w:r>
          </w:p>
        </w:tc>
        <w:tc>
          <w:tcPr>
            <w:tcW w:w="780" w:type="dxa"/>
            <w:vAlign w:val="bottom"/>
            <w:vMerge w:val="restart"/>
            <w:shd w:val="clear" w:color="auto" w:fill="E5E5E5"/>
          </w:tcPr>
          <w:p>
            <w:pPr>
              <w:jc w:val="right"/>
              <w:spacing w:after="0"/>
              <w:rPr>
                <w:sz w:val="20"/>
                <w:szCs w:val="20"/>
                <w:color w:val="auto"/>
              </w:rPr>
            </w:pPr>
            <w:r>
              <w:rPr>
                <w:rFonts w:ascii="Arial" w:cs="Arial" w:eastAsia="Arial" w:hAnsi="Arial"/>
                <w:sz w:val="18"/>
                <w:szCs w:val="18"/>
                <w:b w:val="1"/>
                <w:bCs w:val="1"/>
                <w:color w:val="auto"/>
              </w:rPr>
              <w:t>182</w:t>
            </w:r>
          </w:p>
        </w:tc>
        <w:tc>
          <w:tcPr>
            <w:tcW w:w="220" w:type="dxa"/>
            <w:vAlign w:val="bottom"/>
            <w:shd w:val="clear" w:color="auto" w:fill="E5E5E5"/>
          </w:tcPr>
          <w:p>
            <w:pPr>
              <w:spacing w:after="0"/>
              <w:rPr>
                <w:sz w:val="15"/>
                <w:szCs w:val="15"/>
                <w:color w:val="auto"/>
              </w:rPr>
            </w:pPr>
          </w:p>
        </w:tc>
        <w:tc>
          <w:tcPr>
            <w:tcW w:w="180" w:type="dxa"/>
            <w:vAlign w:val="bottom"/>
            <w:vMerge w:val="restart"/>
            <w:shd w:val="clear" w:color="auto" w:fill="E5E5E5"/>
          </w:tcPr>
          <w:p>
            <w:pPr>
              <w:jc w:val="right"/>
              <w:spacing w:after="0"/>
              <w:rPr>
                <w:sz w:val="20"/>
                <w:szCs w:val="20"/>
                <w:color w:val="auto"/>
              </w:rPr>
            </w:pPr>
            <w:r>
              <w:rPr>
                <w:rFonts w:ascii="Arial" w:cs="Arial" w:eastAsia="Arial" w:hAnsi="Arial"/>
                <w:sz w:val="18"/>
                <w:szCs w:val="18"/>
                <w:b w:val="1"/>
                <w:bCs w:val="1"/>
                <w:color w:val="auto"/>
                <w:w w:val="79"/>
              </w:rPr>
              <w:t>$</w:t>
            </w:r>
          </w:p>
        </w:tc>
        <w:tc>
          <w:tcPr>
            <w:tcW w:w="840" w:type="dxa"/>
            <w:vAlign w:val="bottom"/>
            <w:vMerge w:val="restart"/>
            <w:shd w:val="clear" w:color="auto" w:fill="E5E5E5"/>
          </w:tcPr>
          <w:p>
            <w:pPr>
              <w:jc w:val="right"/>
              <w:spacing w:after="0"/>
              <w:rPr>
                <w:sz w:val="20"/>
                <w:szCs w:val="20"/>
                <w:color w:val="auto"/>
              </w:rPr>
            </w:pPr>
            <w:r>
              <w:rPr>
                <w:rFonts w:ascii="Arial" w:cs="Arial" w:eastAsia="Arial" w:hAnsi="Arial"/>
                <w:sz w:val="18"/>
                <w:szCs w:val="18"/>
                <w:b w:val="1"/>
                <w:bCs w:val="1"/>
                <w:color w:val="auto"/>
              </w:rPr>
              <w:t>23</w:t>
            </w:r>
          </w:p>
        </w:tc>
        <w:tc>
          <w:tcPr>
            <w:tcW w:w="140" w:type="dxa"/>
            <w:vAlign w:val="bottom"/>
            <w:shd w:val="clear" w:color="auto" w:fill="E5E5E5"/>
          </w:tcPr>
          <w:p>
            <w:pPr>
              <w:spacing w:after="0"/>
              <w:rPr>
                <w:sz w:val="15"/>
                <w:szCs w:val="15"/>
                <w:color w:val="auto"/>
              </w:rPr>
            </w:pPr>
          </w:p>
        </w:tc>
        <w:tc>
          <w:tcPr>
            <w:tcW w:w="320" w:type="dxa"/>
            <w:vAlign w:val="bottom"/>
            <w:gridSpan w:val="2"/>
            <w:vMerge w:val="restart"/>
            <w:shd w:val="clear" w:color="auto" w:fill="E5E5E5"/>
          </w:tcPr>
          <w:p>
            <w:pPr>
              <w:jc w:val="right"/>
              <w:ind w:right="140"/>
              <w:spacing w:after="0"/>
              <w:rPr>
                <w:sz w:val="20"/>
                <w:szCs w:val="20"/>
                <w:color w:val="auto"/>
              </w:rPr>
            </w:pPr>
            <w:r>
              <w:rPr>
                <w:rFonts w:ascii="Arial" w:cs="Arial" w:eastAsia="Arial" w:hAnsi="Arial"/>
                <w:sz w:val="18"/>
                <w:szCs w:val="18"/>
                <w:b w:val="1"/>
                <w:bCs w:val="1"/>
                <w:color w:val="auto"/>
              </w:rPr>
              <w:t>$</w:t>
            </w:r>
          </w:p>
        </w:tc>
        <w:tc>
          <w:tcPr>
            <w:tcW w:w="780" w:type="dxa"/>
            <w:vAlign w:val="bottom"/>
            <w:vMerge w:val="restart"/>
            <w:shd w:val="clear" w:color="auto" w:fill="E5E5E5"/>
          </w:tcPr>
          <w:p>
            <w:pPr>
              <w:jc w:val="right"/>
              <w:spacing w:after="0"/>
              <w:rPr>
                <w:sz w:val="20"/>
                <w:szCs w:val="20"/>
                <w:color w:val="auto"/>
              </w:rPr>
            </w:pPr>
            <w:r>
              <w:rPr>
                <w:rFonts w:ascii="Arial" w:cs="Arial" w:eastAsia="Arial" w:hAnsi="Arial"/>
                <w:sz w:val="18"/>
                <w:szCs w:val="18"/>
                <w:b w:val="1"/>
                <w:bCs w:val="1"/>
                <w:color w:val="auto"/>
              </w:rPr>
              <w:t>20</w:t>
            </w:r>
          </w:p>
        </w:tc>
        <w:tc>
          <w:tcPr>
            <w:tcW w:w="220" w:type="dxa"/>
            <w:vAlign w:val="bottom"/>
            <w:shd w:val="clear" w:color="auto" w:fill="E5E5E5"/>
          </w:tcPr>
          <w:p>
            <w:pPr>
              <w:spacing w:after="0"/>
              <w:rPr>
                <w:sz w:val="15"/>
                <w:szCs w:val="15"/>
                <w:color w:val="auto"/>
              </w:rPr>
            </w:pPr>
          </w:p>
        </w:tc>
        <w:tc>
          <w:tcPr>
            <w:tcW w:w="260" w:type="dxa"/>
            <w:vAlign w:val="bottom"/>
            <w:vMerge w:val="restart"/>
            <w:shd w:val="clear" w:color="auto" w:fill="E5E5E5"/>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920" w:type="dxa"/>
            <w:vAlign w:val="bottom"/>
            <w:gridSpan w:val="2"/>
            <w:vMerge w:val="restart"/>
            <w:shd w:val="clear" w:color="auto" w:fill="E5E5E5"/>
          </w:tcPr>
          <w:p>
            <w:pPr>
              <w:jc w:val="right"/>
              <w:ind w:right="80"/>
              <w:spacing w:after="0"/>
              <w:rPr>
                <w:sz w:val="20"/>
                <w:szCs w:val="20"/>
                <w:color w:val="auto"/>
              </w:rPr>
            </w:pPr>
            <w:r>
              <w:rPr>
                <w:rFonts w:ascii="Arial" w:cs="Arial" w:eastAsia="Arial" w:hAnsi="Arial"/>
                <w:sz w:val="18"/>
                <w:szCs w:val="18"/>
                <w:b w:val="1"/>
                <w:bCs w:val="1"/>
                <w:color w:val="auto"/>
              </w:rPr>
              <w:t>(444)</w:t>
            </w:r>
          </w:p>
        </w:tc>
        <w:tc>
          <w:tcPr>
            <w:tcW w:w="320" w:type="dxa"/>
            <w:vAlign w:val="bottom"/>
            <w:gridSpan w:val="2"/>
            <w:vMerge w:val="restart"/>
            <w:shd w:val="clear" w:color="auto" w:fill="E5E5E5"/>
          </w:tcPr>
          <w:p>
            <w:pPr>
              <w:jc w:val="right"/>
              <w:ind w:right="140"/>
              <w:spacing w:after="0"/>
              <w:rPr>
                <w:sz w:val="20"/>
                <w:szCs w:val="20"/>
                <w:color w:val="auto"/>
              </w:rPr>
            </w:pPr>
            <w:r>
              <w:rPr>
                <w:rFonts w:ascii="Arial" w:cs="Arial" w:eastAsia="Arial" w:hAnsi="Arial"/>
                <w:sz w:val="18"/>
                <w:szCs w:val="18"/>
                <w:b w:val="1"/>
                <w:bCs w:val="1"/>
                <w:color w:val="auto"/>
              </w:rPr>
              <w:t>$</w:t>
            </w:r>
          </w:p>
        </w:tc>
        <w:tc>
          <w:tcPr>
            <w:tcW w:w="940" w:type="dxa"/>
            <w:vAlign w:val="bottom"/>
            <w:gridSpan w:val="2"/>
            <w:vMerge w:val="restart"/>
            <w:shd w:val="clear" w:color="auto" w:fill="E5E5E5"/>
          </w:tcPr>
          <w:p>
            <w:pPr>
              <w:jc w:val="right"/>
              <w:ind w:right="80"/>
              <w:spacing w:after="0"/>
              <w:rPr>
                <w:sz w:val="20"/>
                <w:szCs w:val="20"/>
                <w:color w:val="auto"/>
              </w:rPr>
            </w:pPr>
            <w:r>
              <w:rPr>
                <w:rFonts w:ascii="Arial" w:cs="Arial" w:eastAsia="Arial" w:hAnsi="Arial"/>
                <w:sz w:val="18"/>
                <w:szCs w:val="18"/>
                <w:b w:val="1"/>
                <w:bCs w:val="1"/>
                <w:color w:val="auto"/>
              </w:rPr>
              <w:t>(7)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3980" w:type="dxa"/>
            <w:vAlign w:val="bottom"/>
            <w:shd w:val="clear" w:color="auto" w:fill="E5E5E5"/>
          </w:tcPr>
          <w:p>
            <w:pPr>
              <w:ind w:left="200"/>
              <w:spacing w:after="0"/>
              <w:rPr>
                <w:sz w:val="20"/>
                <w:szCs w:val="20"/>
                <w:color w:val="auto"/>
              </w:rPr>
            </w:pPr>
            <w:r>
              <w:rPr>
                <w:rFonts w:ascii="Arial" w:cs="Arial" w:eastAsia="Arial" w:hAnsi="Arial"/>
                <w:sz w:val="18"/>
                <w:szCs w:val="18"/>
                <w:color w:val="auto"/>
              </w:rPr>
              <w:t>enforceable master netting agreement</w:t>
            </w:r>
          </w:p>
        </w:tc>
        <w:tc>
          <w:tcPr>
            <w:tcW w:w="180" w:type="dxa"/>
            <w:vAlign w:val="bottom"/>
            <w:vMerge w:val="continue"/>
            <w:shd w:val="clear" w:color="auto" w:fill="E5E5E5"/>
          </w:tcPr>
          <w:p>
            <w:pPr>
              <w:spacing w:after="0"/>
              <w:rPr>
                <w:sz w:val="19"/>
                <w:szCs w:val="19"/>
                <w:color w:val="auto"/>
              </w:rPr>
            </w:pPr>
          </w:p>
        </w:tc>
        <w:tc>
          <w:tcPr>
            <w:tcW w:w="860" w:type="dxa"/>
            <w:vAlign w:val="bottom"/>
            <w:vMerge w:val="continue"/>
            <w:shd w:val="clear" w:color="auto" w:fill="E5E5E5"/>
          </w:tcPr>
          <w:p>
            <w:pPr>
              <w:spacing w:after="0"/>
              <w:rPr>
                <w:sz w:val="19"/>
                <w:szCs w:val="19"/>
                <w:color w:val="auto"/>
              </w:rPr>
            </w:pPr>
          </w:p>
        </w:tc>
        <w:tc>
          <w:tcPr>
            <w:tcW w:w="140" w:type="dxa"/>
            <w:vAlign w:val="bottom"/>
            <w:shd w:val="clear" w:color="auto" w:fill="E5E5E5"/>
          </w:tcPr>
          <w:p>
            <w:pPr>
              <w:spacing w:after="0"/>
              <w:rPr>
                <w:sz w:val="19"/>
                <w:szCs w:val="19"/>
                <w:color w:val="auto"/>
              </w:rPr>
            </w:pPr>
          </w:p>
        </w:tc>
        <w:tc>
          <w:tcPr>
            <w:tcW w:w="320" w:type="dxa"/>
            <w:vAlign w:val="bottom"/>
            <w:gridSpan w:val="2"/>
            <w:vMerge w:val="continue"/>
            <w:shd w:val="clear" w:color="auto" w:fill="E5E5E5"/>
          </w:tcPr>
          <w:p>
            <w:pPr>
              <w:spacing w:after="0"/>
              <w:rPr>
                <w:sz w:val="19"/>
                <w:szCs w:val="19"/>
                <w:color w:val="auto"/>
              </w:rPr>
            </w:pPr>
          </w:p>
        </w:tc>
        <w:tc>
          <w:tcPr>
            <w:tcW w:w="780" w:type="dxa"/>
            <w:vAlign w:val="bottom"/>
            <w:vMerge w:val="continue"/>
            <w:shd w:val="clear" w:color="auto" w:fill="E5E5E5"/>
          </w:tcPr>
          <w:p>
            <w:pPr>
              <w:spacing w:after="0"/>
              <w:rPr>
                <w:sz w:val="19"/>
                <w:szCs w:val="19"/>
                <w:color w:val="auto"/>
              </w:rPr>
            </w:pPr>
          </w:p>
        </w:tc>
        <w:tc>
          <w:tcPr>
            <w:tcW w:w="220" w:type="dxa"/>
            <w:vAlign w:val="bottom"/>
            <w:shd w:val="clear" w:color="auto" w:fill="E5E5E5"/>
          </w:tcPr>
          <w:p>
            <w:pPr>
              <w:spacing w:after="0"/>
              <w:rPr>
                <w:sz w:val="19"/>
                <w:szCs w:val="19"/>
                <w:color w:val="auto"/>
              </w:rPr>
            </w:pPr>
          </w:p>
        </w:tc>
        <w:tc>
          <w:tcPr>
            <w:tcW w:w="180" w:type="dxa"/>
            <w:vAlign w:val="bottom"/>
            <w:vMerge w:val="continue"/>
            <w:shd w:val="clear" w:color="auto" w:fill="E5E5E5"/>
          </w:tcPr>
          <w:p>
            <w:pPr>
              <w:spacing w:after="0"/>
              <w:rPr>
                <w:sz w:val="19"/>
                <w:szCs w:val="19"/>
                <w:color w:val="auto"/>
              </w:rPr>
            </w:pPr>
          </w:p>
        </w:tc>
        <w:tc>
          <w:tcPr>
            <w:tcW w:w="840" w:type="dxa"/>
            <w:vAlign w:val="bottom"/>
            <w:vMerge w:val="continue"/>
            <w:shd w:val="clear" w:color="auto" w:fill="E5E5E5"/>
          </w:tcPr>
          <w:p>
            <w:pPr>
              <w:spacing w:after="0"/>
              <w:rPr>
                <w:sz w:val="19"/>
                <w:szCs w:val="19"/>
                <w:color w:val="auto"/>
              </w:rPr>
            </w:pPr>
          </w:p>
        </w:tc>
        <w:tc>
          <w:tcPr>
            <w:tcW w:w="140" w:type="dxa"/>
            <w:vAlign w:val="bottom"/>
            <w:shd w:val="clear" w:color="auto" w:fill="E5E5E5"/>
          </w:tcPr>
          <w:p>
            <w:pPr>
              <w:spacing w:after="0"/>
              <w:rPr>
                <w:sz w:val="19"/>
                <w:szCs w:val="19"/>
                <w:color w:val="auto"/>
              </w:rPr>
            </w:pPr>
          </w:p>
        </w:tc>
        <w:tc>
          <w:tcPr>
            <w:tcW w:w="320" w:type="dxa"/>
            <w:vAlign w:val="bottom"/>
            <w:gridSpan w:val="2"/>
            <w:vMerge w:val="continue"/>
            <w:shd w:val="clear" w:color="auto" w:fill="E5E5E5"/>
          </w:tcPr>
          <w:p>
            <w:pPr>
              <w:spacing w:after="0"/>
              <w:rPr>
                <w:sz w:val="19"/>
                <w:szCs w:val="19"/>
                <w:color w:val="auto"/>
              </w:rPr>
            </w:pPr>
          </w:p>
        </w:tc>
        <w:tc>
          <w:tcPr>
            <w:tcW w:w="780" w:type="dxa"/>
            <w:vAlign w:val="bottom"/>
            <w:vMerge w:val="continue"/>
            <w:shd w:val="clear" w:color="auto" w:fill="E5E5E5"/>
          </w:tcPr>
          <w:p>
            <w:pPr>
              <w:spacing w:after="0"/>
              <w:rPr>
                <w:sz w:val="19"/>
                <w:szCs w:val="19"/>
                <w:color w:val="auto"/>
              </w:rPr>
            </w:pPr>
          </w:p>
        </w:tc>
        <w:tc>
          <w:tcPr>
            <w:tcW w:w="220" w:type="dxa"/>
            <w:vAlign w:val="bottom"/>
            <w:shd w:val="clear" w:color="auto" w:fill="E5E5E5"/>
          </w:tcPr>
          <w:p>
            <w:pPr>
              <w:spacing w:after="0"/>
              <w:rPr>
                <w:sz w:val="19"/>
                <w:szCs w:val="19"/>
                <w:color w:val="auto"/>
              </w:rPr>
            </w:pPr>
          </w:p>
        </w:tc>
        <w:tc>
          <w:tcPr>
            <w:tcW w:w="260" w:type="dxa"/>
            <w:vAlign w:val="bottom"/>
            <w:vMerge w:val="continue"/>
            <w:shd w:val="clear" w:color="auto" w:fill="E5E5E5"/>
          </w:tcPr>
          <w:p>
            <w:pPr>
              <w:spacing w:after="0"/>
              <w:rPr>
                <w:sz w:val="19"/>
                <w:szCs w:val="19"/>
                <w:color w:val="auto"/>
              </w:rPr>
            </w:pPr>
          </w:p>
        </w:tc>
        <w:tc>
          <w:tcPr>
            <w:tcW w:w="920" w:type="dxa"/>
            <w:vAlign w:val="bottom"/>
            <w:gridSpan w:val="2"/>
            <w:vMerge w:val="continue"/>
            <w:shd w:val="clear" w:color="auto" w:fill="E5E5E5"/>
          </w:tcPr>
          <w:p>
            <w:pPr>
              <w:spacing w:after="0"/>
              <w:rPr>
                <w:sz w:val="19"/>
                <w:szCs w:val="19"/>
                <w:color w:val="auto"/>
              </w:rPr>
            </w:pPr>
          </w:p>
        </w:tc>
        <w:tc>
          <w:tcPr>
            <w:tcW w:w="320" w:type="dxa"/>
            <w:vAlign w:val="bottom"/>
            <w:gridSpan w:val="2"/>
            <w:vMerge w:val="continue"/>
            <w:shd w:val="clear" w:color="auto" w:fill="E5E5E5"/>
          </w:tcPr>
          <w:p>
            <w:pPr>
              <w:spacing w:after="0"/>
              <w:rPr>
                <w:sz w:val="19"/>
                <w:szCs w:val="19"/>
                <w:color w:val="auto"/>
              </w:rPr>
            </w:pPr>
          </w:p>
        </w:tc>
        <w:tc>
          <w:tcPr>
            <w:tcW w:w="940" w:type="dxa"/>
            <w:vAlign w:val="bottom"/>
            <w:gridSpan w:val="2"/>
            <w:vMerge w:val="continue"/>
            <w:shd w:val="clear" w:color="auto" w:fill="E5E5E5"/>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980" w:type="dxa"/>
            <w:vAlign w:val="bottom"/>
          </w:tcPr>
          <w:p>
            <w:pPr>
              <w:spacing w:after="0" w:line="180" w:lineRule="exact"/>
              <w:rPr>
                <w:sz w:val="20"/>
                <w:szCs w:val="20"/>
                <w:color w:val="auto"/>
              </w:rPr>
            </w:pPr>
            <w:r>
              <w:rPr>
                <w:rFonts w:ascii="Arial" w:cs="Arial" w:eastAsia="Arial" w:hAnsi="Arial"/>
                <w:sz w:val="18"/>
                <w:szCs w:val="18"/>
                <w:color w:val="auto"/>
              </w:rPr>
              <w:t>Gross amounts of derivatives offset on the</w:t>
            </w:r>
          </w:p>
        </w:tc>
        <w:tc>
          <w:tcPr>
            <w:tcW w:w="180" w:type="dxa"/>
            <w:vAlign w:val="bottom"/>
          </w:tcPr>
          <w:p>
            <w:pPr>
              <w:spacing w:after="0"/>
              <w:rPr>
                <w:sz w:val="15"/>
                <w:szCs w:val="15"/>
                <w:color w:val="auto"/>
              </w:rPr>
            </w:pPr>
          </w:p>
        </w:tc>
        <w:tc>
          <w:tcPr>
            <w:tcW w:w="1000" w:type="dxa"/>
            <w:vAlign w:val="bottom"/>
            <w:gridSpan w:val="2"/>
            <w:vMerge w:val="restart"/>
          </w:tcPr>
          <w:p>
            <w:pPr>
              <w:jc w:val="right"/>
              <w:ind w:right="80"/>
              <w:spacing w:after="0"/>
              <w:rPr>
                <w:sz w:val="20"/>
                <w:szCs w:val="20"/>
                <w:color w:val="auto"/>
              </w:rPr>
            </w:pPr>
            <w:r>
              <w:rPr>
                <w:rFonts w:ascii="Arial" w:cs="Arial" w:eastAsia="Arial" w:hAnsi="Arial"/>
                <w:sz w:val="18"/>
                <w:szCs w:val="18"/>
                <w:b w:val="1"/>
                <w:bCs w:val="1"/>
                <w:color w:val="auto"/>
              </w:rPr>
              <w:t>(18)</w:t>
            </w: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gridSpan w:val="2"/>
            <w:vMerge w:val="restart"/>
          </w:tcPr>
          <w:p>
            <w:pPr>
              <w:jc w:val="right"/>
              <w:ind w:right="160"/>
              <w:spacing w:after="0"/>
              <w:rPr>
                <w:sz w:val="20"/>
                <w:szCs w:val="20"/>
                <w:color w:val="auto"/>
              </w:rPr>
            </w:pPr>
            <w:r>
              <w:rPr>
                <w:rFonts w:ascii="Arial" w:cs="Arial" w:eastAsia="Arial" w:hAnsi="Arial"/>
                <w:sz w:val="18"/>
                <w:szCs w:val="18"/>
                <w:b w:val="1"/>
                <w:bCs w:val="1"/>
                <w:color w:val="auto"/>
              </w:rPr>
              <w:t>(92)</w:t>
            </w:r>
          </w:p>
        </w:tc>
        <w:tc>
          <w:tcPr>
            <w:tcW w:w="180" w:type="dxa"/>
            <w:vAlign w:val="bottom"/>
          </w:tcPr>
          <w:p>
            <w:pPr>
              <w:spacing w:after="0"/>
              <w:rPr>
                <w:sz w:val="15"/>
                <w:szCs w:val="15"/>
                <w:color w:val="auto"/>
              </w:rPr>
            </w:pPr>
          </w:p>
        </w:tc>
        <w:tc>
          <w:tcPr>
            <w:tcW w:w="980" w:type="dxa"/>
            <w:vAlign w:val="bottom"/>
            <w:gridSpan w:val="2"/>
            <w:vMerge w:val="restart"/>
          </w:tcPr>
          <w:p>
            <w:pPr>
              <w:jc w:val="right"/>
              <w:ind w:right="80"/>
              <w:spacing w:after="0"/>
              <w:rPr>
                <w:sz w:val="20"/>
                <w:szCs w:val="20"/>
                <w:color w:val="auto"/>
              </w:rPr>
            </w:pPr>
            <w:r>
              <w:rPr>
                <w:rFonts w:ascii="Arial" w:cs="Arial" w:eastAsia="Arial" w:hAnsi="Arial"/>
                <w:sz w:val="18"/>
                <w:szCs w:val="18"/>
                <w:b w:val="1"/>
                <w:bCs w:val="1"/>
                <w:color w:val="auto"/>
              </w:rPr>
              <w:t>(23)</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gridSpan w:val="2"/>
            <w:vMerge w:val="restart"/>
          </w:tcPr>
          <w:p>
            <w:pPr>
              <w:jc w:val="right"/>
              <w:ind w:right="160"/>
              <w:spacing w:after="0"/>
              <w:rPr>
                <w:sz w:val="20"/>
                <w:szCs w:val="20"/>
                <w:color w:val="auto"/>
              </w:rPr>
            </w:pPr>
            <w:r>
              <w:rPr>
                <w:rFonts w:ascii="Arial" w:cs="Arial" w:eastAsia="Arial" w:hAnsi="Arial"/>
                <w:sz w:val="18"/>
                <w:szCs w:val="18"/>
                <w:b w:val="1"/>
                <w:bCs w:val="1"/>
                <w:color w:val="auto"/>
              </w:rPr>
              <w:t>(7)</w:t>
            </w:r>
          </w:p>
        </w:tc>
        <w:tc>
          <w:tcPr>
            <w:tcW w:w="26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133</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7</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3980" w:type="dxa"/>
            <w:vAlign w:val="bottom"/>
          </w:tcPr>
          <w:p>
            <w:pPr>
              <w:ind w:left="200"/>
              <w:spacing w:after="0"/>
              <w:rPr>
                <w:sz w:val="20"/>
                <w:szCs w:val="20"/>
                <w:color w:val="auto"/>
              </w:rPr>
            </w:pPr>
            <w:r>
              <w:rPr>
                <w:rFonts w:ascii="Arial" w:cs="Arial" w:eastAsia="Arial" w:hAnsi="Arial"/>
                <w:sz w:val="18"/>
                <w:szCs w:val="18"/>
                <w:color w:val="auto"/>
              </w:rPr>
              <w:t>balance sheet</w:t>
            </w:r>
          </w:p>
        </w:tc>
        <w:tc>
          <w:tcPr>
            <w:tcW w:w="180" w:type="dxa"/>
            <w:vAlign w:val="bottom"/>
          </w:tcPr>
          <w:p>
            <w:pPr>
              <w:spacing w:after="0"/>
              <w:rPr>
                <w:sz w:val="21"/>
                <w:szCs w:val="21"/>
                <w:color w:val="auto"/>
              </w:rPr>
            </w:pPr>
          </w:p>
        </w:tc>
        <w:tc>
          <w:tcPr>
            <w:tcW w:w="1000" w:type="dxa"/>
            <w:vAlign w:val="bottom"/>
            <w:gridSpan w:val="2"/>
            <w:vMerge w:val="continue"/>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gridSpan w:val="2"/>
            <w:vMerge w:val="continue"/>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gridSpan w:val="2"/>
            <w:vMerge w:val="continue"/>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gridSpan w:val="2"/>
            <w:vMerge w:val="continue"/>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vMerge w:val="continue"/>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vMerge w:val="continue"/>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39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6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980" w:type="dxa"/>
            <w:vAlign w:val="bottom"/>
          </w:tcPr>
          <w:p>
            <w:pPr>
              <w:spacing w:after="0"/>
              <w:rPr>
                <w:sz w:val="5"/>
                <w:szCs w:val="5"/>
                <w:color w:val="auto"/>
              </w:rPr>
            </w:pPr>
          </w:p>
        </w:tc>
        <w:tc>
          <w:tcPr>
            <w:tcW w:w="180" w:type="dxa"/>
            <w:vAlign w:val="bottom"/>
          </w:tcPr>
          <w:p>
            <w:pPr>
              <w:spacing w:after="0"/>
              <w:rPr>
                <w:sz w:val="5"/>
                <w:szCs w:val="5"/>
                <w:color w:val="auto"/>
              </w:rPr>
            </w:pPr>
          </w:p>
        </w:tc>
        <w:tc>
          <w:tcPr>
            <w:tcW w:w="8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260" w:type="dxa"/>
            <w:vAlign w:val="bottom"/>
          </w:tcPr>
          <w:p>
            <w:pPr>
              <w:spacing w:after="0"/>
              <w:rPr>
                <w:sz w:val="5"/>
                <w:szCs w:val="5"/>
                <w:color w:val="auto"/>
              </w:rPr>
            </w:pPr>
          </w:p>
        </w:tc>
        <w:tc>
          <w:tcPr>
            <w:tcW w:w="7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780" w:type="dxa"/>
            <w:vAlign w:val="bottom"/>
          </w:tcPr>
          <w:p>
            <w:pPr>
              <w:spacing w:after="0"/>
              <w:rPr>
                <w:sz w:val="5"/>
                <w:szCs w:val="5"/>
                <w:color w:val="auto"/>
              </w:rPr>
            </w:pPr>
          </w:p>
        </w:tc>
        <w:tc>
          <w:tcPr>
            <w:tcW w:w="220" w:type="dxa"/>
            <w:vAlign w:val="bottom"/>
          </w:tcPr>
          <w:p>
            <w:pPr>
              <w:spacing w:after="0"/>
              <w:rPr>
                <w:sz w:val="5"/>
                <w:szCs w:val="5"/>
                <w:color w:val="auto"/>
              </w:rPr>
            </w:pPr>
          </w:p>
        </w:tc>
        <w:tc>
          <w:tcPr>
            <w:tcW w:w="260" w:type="dxa"/>
            <w:vAlign w:val="bottom"/>
          </w:tcPr>
          <w:p>
            <w:pPr>
              <w:spacing w:after="0"/>
              <w:rPr>
                <w:sz w:val="5"/>
                <w:szCs w:val="5"/>
                <w:color w:val="auto"/>
              </w:rPr>
            </w:pPr>
          </w:p>
        </w:tc>
        <w:tc>
          <w:tcPr>
            <w:tcW w:w="78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980" w:type="dxa"/>
            <w:vAlign w:val="bottom"/>
            <w:shd w:val="clear" w:color="auto" w:fill="E5E5E5"/>
          </w:tcPr>
          <w:p>
            <w:pPr>
              <w:ind w:left="260"/>
              <w:spacing w:after="0"/>
              <w:rPr>
                <w:sz w:val="20"/>
                <w:szCs w:val="20"/>
                <w:color w:val="auto"/>
              </w:rPr>
            </w:pPr>
            <w:r>
              <w:rPr>
                <w:rFonts w:ascii="Arial" w:cs="Arial" w:eastAsia="Arial" w:hAnsi="Arial"/>
                <w:sz w:val="18"/>
                <w:szCs w:val="18"/>
                <w:color w:val="auto"/>
              </w:rPr>
              <w:t>Net amounts presented on the balance sheet</w:t>
            </w:r>
          </w:p>
        </w:tc>
        <w:tc>
          <w:tcPr>
            <w:tcW w:w="180" w:type="dxa"/>
            <w:vAlign w:val="bottom"/>
            <w:shd w:val="clear" w:color="auto" w:fill="E5E5E5"/>
          </w:tcPr>
          <w:p>
            <w:pPr>
              <w:spacing w:after="0"/>
              <w:rPr>
                <w:sz w:val="21"/>
                <w:szCs w:val="21"/>
                <w:color w:val="auto"/>
              </w:rPr>
            </w:pPr>
          </w:p>
        </w:tc>
        <w:tc>
          <w:tcPr>
            <w:tcW w:w="86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86</w:t>
            </w:r>
          </w:p>
        </w:tc>
        <w:tc>
          <w:tcPr>
            <w:tcW w:w="140" w:type="dxa"/>
            <w:vAlign w:val="bottom"/>
            <w:shd w:val="clear" w:color="auto" w:fill="E5E5E5"/>
          </w:tcPr>
          <w:p>
            <w:pPr>
              <w:spacing w:after="0"/>
              <w:rPr>
                <w:sz w:val="21"/>
                <w:szCs w:val="21"/>
                <w:color w:val="auto"/>
              </w:rPr>
            </w:pPr>
          </w:p>
        </w:tc>
        <w:tc>
          <w:tcPr>
            <w:tcW w:w="60" w:type="dxa"/>
            <w:vAlign w:val="bottom"/>
            <w:shd w:val="clear" w:color="auto" w:fill="E5E5E5"/>
          </w:tcPr>
          <w:p>
            <w:pPr>
              <w:spacing w:after="0"/>
              <w:rPr>
                <w:sz w:val="21"/>
                <w:szCs w:val="21"/>
                <w:color w:val="auto"/>
              </w:rPr>
            </w:pPr>
          </w:p>
        </w:tc>
        <w:tc>
          <w:tcPr>
            <w:tcW w:w="260" w:type="dxa"/>
            <w:vAlign w:val="bottom"/>
            <w:shd w:val="clear" w:color="auto" w:fill="E5E5E5"/>
          </w:tcPr>
          <w:p>
            <w:pPr>
              <w:spacing w:after="0"/>
              <w:rPr>
                <w:sz w:val="21"/>
                <w:szCs w:val="21"/>
                <w:color w:val="auto"/>
              </w:rPr>
            </w:pPr>
          </w:p>
        </w:tc>
        <w:tc>
          <w:tcPr>
            <w:tcW w:w="78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90</w:t>
            </w:r>
          </w:p>
        </w:tc>
        <w:tc>
          <w:tcPr>
            <w:tcW w:w="220" w:type="dxa"/>
            <w:vAlign w:val="bottom"/>
            <w:shd w:val="clear" w:color="auto" w:fill="E5E5E5"/>
          </w:tcPr>
          <w:p>
            <w:pPr>
              <w:spacing w:after="0"/>
              <w:rPr>
                <w:sz w:val="21"/>
                <w:szCs w:val="21"/>
                <w:color w:val="auto"/>
              </w:rPr>
            </w:pPr>
          </w:p>
        </w:tc>
        <w:tc>
          <w:tcPr>
            <w:tcW w:w="180" w:type="dxa"/>
            <w:vAlign w:val="bottom"/>
            <w:shd w:val="clear" w:color="auto" w:fill="E5E5E5"/>
          </w:tcPr>
          <w:p>
            <w:pPr>
              <w:spacing w:after="0"/>
              <w:rPr>
                <w:sz w:val="21"/>
                <w:szCs w:val="21"/>
                <w:color w:val="auto"/>
              </w:rPr>
            </w:pPr>
          </w:p>
        </w:tc>
        <w:tc>
          <w:tcPr>
            <w:tcW w:w="84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0</w:t>
            </w:r>
          </w:p>
        </w:tc>
        <w:tc>
          <w:tcPr>
            <w:tcW w:w="140" w:type="dxa"/>
            <w:vAlign w:val="bottom"/>
            <w:shd w:val="clear" w:color="auto" w:fill="E5E5E5"/>
          </w:tcPr>
          <w:p>
            <w:pPr>
              <w:spacing w:after="0"/>
              <w:rPr>
                <w:sz w:val="21"/>
                <w:szCs w:val="21"/>
                <w:color w:val="auto"/>
              </w:rPr>
            </w:pPr>
          </w:p>
        </w:tc>
        <w:tc>
          <w:tcPr>
            <w:tcW w:w="80" w:type="dxa"/>
            <w:vAlign w:val="bottom"/>
            <w:shd w:val="clear" w:color="auto" w:fill="E5E5E5"/>
          </w:tcPr>
          <w:p>
            <w:pPr>
              <w:spacing w:after="0"/>
              <w:rPr>
                <w:sz w:val="21"/>
                <w:szCs w:val="21"/>
                <w:color w:val="auto"/>
              </w:rPr>
            </w:pPr>
          </w:p>
        </w:tc>
        <w:tc>
          <w:tcPr>
            <w:tcW w:w="240" w:type="dxa"/>
            <w:vAlign w:val="bottom"/>
            <w:shd w:val="clear" w:color="auto" w:fill="E5E5E5"/>
          </w:tcPr>
          <w:p>
            <w:pPr>
              <w:spacing w:after="0"/>
              <w:rPr>
                <w:sz w:val="21"/>
                <w:szCs w:val="21"/>
                <w:color w:val="auto"/>
              </w:rPr>
            </w:pPr>
          </w:p>
        </w:tc>
        <w:tc>
          <w:tcPr>
            <w:tcW w:w="78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13</w:t>
            </w:r>
          </w:p>
        </w:tc>
        <w:tc>
          <w:tcPr>
            <w:tcW w:w="220" w:type="dxa"/>
            <w:vAlign w:val="bottom"/>
            <w:shd w:val="clear" w:color="auto" w:fill="E5E5E5"/>
          </w:tcPr>
          <w:p>
            <w:pPr>
              <w:spacing w:after="0"/>
              <w:rPr>
                <w:sz w:val="21"/>
                <w:szCs w:val="21"/>
                <w:color w:val="auto"/>
              </w:rPr>
            </w:pPr>
          </w:p>
        </w:tc>
        <w:tc>
          <w:tcPr>
            <w:tcW w:w="260" w:type="dxa"/>
            <w:vAlign w:val="bottom"/>
            <w:shd w:val="clear" w:color="auto" w:fill="E5E5E5"/>
          </w:tcPr>
          <w:p>
            <w:pPr>
              <w:spacing w:after="0"/>
              <w:rPr>
                <w:sz w:val="21"/>
                <w:szCs w:val="21"/>
                <w:color w:val="auto"/>
              </w:rPr>
            </w:pPr>
          </w:p>
        </w:tc>
        <w:tc>
          <w:tcPr>
            <w:tcW w:w="920" w:type="dxa"/>
            <w:vAlign w:val="bottom"/>
            <w:gridSpan w:val="2"/>
            <w:shd w:val="clear" w:color="auto" w:fill="E5E5E5"/>
          </w:tcPr>
          <w:p>
            <w:pPr>
              <w:jc w:val="right"/>
              <w:ind w:right="80"/>
              <w:spacing w:after="0"/>
              <w:rPr>
                <w:sz w:val="20"/>
                <w:szCs w:val="20"/>
                <w:color w:val="auto"/>
              </w:rPr>
            </w:pPr>
            <w:r>
              <w:rPr>
                <w:rFonts w:ascii="Arial" w:cs="Arial" w:eastAsia="Arial" w:hAnsi="Arial"/>
                <w:sz w:val="18"/>
                <w:szCs w:val="18"/>
                <w:b w:val="1"/>
                <w:bCs w:val="1"/>
                <w:color w:val="auto"/>
              </w:rPr>
              <w:t>(311)</w:t>
            </w:r>
          </w:p>
        </w:tc>
        <w:tc>
          <w:tcPr>
            <w:tcW w:w="80" w:type="dxa"/>
            <w:vAlign w:val="bottom"/>
            <w:shd w:val="clear" w:color="auto" w:fill="E5E5E5"/>
          </w:tcPr>
          <w:p>
            <w:pPr>
              <w:spacing w:after="0"/>
              <w:rPr>
                <w:sz w:val="21"/>
                <w:szCs w:val="21"/>
                <w:color w:val="auto"/>
              </w:rPr>
            </w:pPr>
          </w:p>
        </w:tc>
        <w:tc>
          <w:tcPr>
            <w:tcW w:w="240" w:type="dxa"/>
            <w:vAlign w:val="bottom"/>
            <w:shd w:val="clear" w:color="auto" w:fill="E5E5E5"/>
          </w:tcPr>
          <w:p>
            <w:pPr>
              <w:spacing w:after="0"/>
              <w:rPr>
                <w:sz w:val="21"/>
                <w:szCs w:val="21"/>
                <w:color w:val="auto"/>
              </w:rPr>
            </w:pPr>
          </w:p>
        </w:tc>
        <w:tc>
          <w:tcPr>
            <w:tcW w:w="80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0</w:t>
            </w:r>
          </w:p>
        </w:tc>
        <w:tc>
          <w:tcPr>
            <w:tcW w:w="140" w:type="dxa"/>
            <w:vAlign w:val="bottom"/>
            <w:shd w:val="clear" w:color="auto" w:fill="E5E5E5"/>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980" w:type="dxa"/>
            <w:vAlign w:val="bottom"/>
          </w:tcPr>
          <w:p>
            <w:pPr>
              <w:ind w:left="260"/>
              <w:spacing w:after="0" w:line="180" w:lineRule="exact"/>
              <w:rPr>
                <w:sz w:val="20"/>
                <w:szCs w:val="20"/>
                <w:color w:val="auto"/>
              </w:rPr>
            </w:pPr>
            <w:r>
              <w:rPr>
                <w:rFonts w:ascii="Arial" w:cs="Arial" w:eastAsia="Arial" w:hAnsi="Arial"/>
                <w:sz w:val="18"/>
                <w:szCs w:val="18"/>
                <w:color w:val="auto"/>
              </w:rPr>
              <w:t>Gross amounts of derivatives not offset on</w:t>
            </w:r>
          </w:p>
        </w:tc>
        <w:tc>
          <w:tcPr>
            <w:tcW w:w="18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0</w:t>
            </w: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0</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0</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0</w:t>
            </w: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0</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0</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3980" w:type="dxa"/>
            <w:vAlign w:val="bottom"/>
          </w:tcPr>
          <w:p>
            <w:pPr>
              <w:ind w:left="480"/>
              <w:spacing w:after="0"/>
              <w:rPr>
                <w:sz w:val="20"/>
                <w:szCs w:val="20"/>
                <w:color w:val="auto"/>
              </w:rPr>
            </w:pPr>
            <w:r>
              <w:rPr>
                <w:rFonts w:ascii="Arial" w:cs="Arial" w:eastAsia="Arial" w:hAnsi="Arial"/>
                <w:sz w:val="18"/>
                <w:szCs w:val="18"/>
                <w:color w:val="auto"/>
              </w:rPr>
              <w:t>the balance sheet</w:t>
            </w:r>
          </w:p>
        </w:tc>
        <w:tc>
          <w:tcPr>
            <w:tcW w:w="180" w:type="dxa"/>
            <w:vAlign w:val="bottom"/>
          </w:tcPr>
          <w:p>
            <w:pPr>
              <w:spacing w:after="0"/>
              <w:rPr>
                <w:sz w:val="19"/>
                <w:szCs w:val="19"/>
                <w:color w:val="auto"/>
              </w:rPr>
            </w:pPr>
          </w:p>
        </w:tc>
        <w:tc>
          <w:tcPr>
            <w:tcW w:w="86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980" w:type="dxa"/>
            <w:vAlign w:val="bottom"/>
            <w:shd w:val="clear" w:color="auto" w:fill="E5E5E5"/>
          </w:tcPr>
          <w:p>
            <w:pPr>
              <w:ind w:left="260"/>
              <w:spacing w:after="0"/>
              <w:rPr>
                <w:sz w:val="20"/>
                <w:szCs w:val="20"/>
                <w:color w:val="auto"/>
              </w:rPr>
            </w:pPr>
            <w:r>
              <w:rPr>
                <w:rFonts w:ascii="Arial" w:cs="Arial" w:eastAsia="Arial" w:hAnsi="Arial"/>
                <w:sz w:val="18"/>
                <w:szCs w:val="18"/>
                <w:color w:val="auto"/>
              </w:rPr>
              <w:t>Cash collateral received</w:t>
            </w:r>
          </w:p>
        </w:tc>
        <w:tc>
          <w:tcPr>
            <w:tcW w:w="180" w:type="dxa"/>
            <w:vAlign w:val="bottom"/>
            <w:shd w:val="clear" w:color="auto" w:fill="E5E5E5"/>
          </w:tcPr>
          <w:p>
            <w:pPr>
              <w:spacing w:after="0"/>
              <w:rPr>
                <w:sz w:val="21"/>
                <w:szCs w:val="21"/>
                <w:color w:val="auto"/>
              </w:rPr>
            </w:pPr>
          </w:p>
        </w:tc>
        <w:tc>
          <w:tcPr>
            <w:tcW w:w="86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0</w:t>
            </w:r>
          </w:p>
        </w:tc>
        <w:tc>
          <w:tcPr>
            <w:tcW w:w="140" w:type="dxa"/>
            <w:vAlign w:val="bottom"/>
            <w:shd w:val="clear" w:color="auto" w:fill="E5E5E5"/>
          </w:tcPr>
          <w:p>
            <w:pPr>
              <w:spacing w:after="0"/>
              <w:rPr>
                <w:sz w:val="21"/>
                <w:szCs w:val="21"/>
                <w:color w:val="auto"/>
              </w:rPr>
            </w:pPr>
          </w:p>
        </w:tc>
        <w:tc>
          <w:tcPr>
            <w:tcW w:w="60" w:type="dxa"/>
            <w:vAlign w:val="bottom"/>
            <w:shd w:val="clear" w:color="auto" w:fill="E5E5E5"/>
          </w:tcPr>
          <w:p>
            <w:pPr>
              <w:spacing w:after="0"/>
              <w:rPr>
                <w:sz w:val="21"/>
                <w:szCs w:val="21"/>
                <w:color w:val="auto"/>
              </w:rPr>
            </w:pPr>
          </w:p>
        </w:tc>
        <w:tc>
          <w:tcPr>
            <w:tcW w:w="260" w:type="dxa"/>
            <w:vAlign w:val="bottom"/>
            <w:shd w:val="clear" w:color="auto" w:fill="E5E5E5"/>
          </w:tcPr>
          <w:p>
            <w:pPr>
              <w:spacing w:after="0"/>
              <w:rPr>
                <w:sz w:val="21"/>
                <w:szCs w:val="21"/>
                <w:color w:val="auto"/>
              </w:rPr>
            </w:pPr>
          </w:p>
        </w:tc>
        <w:tc>
          <w:tcPr>
            <w:tcW w:w="78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0</w:t>
            </w:r>
          </w:p>
        </w:tc>
        <w:tc>
          <w:tcPr>
            <w:tcW w:w="220" w:type="dxa"/>
            <w:vAlign w:val="bottom"/>
            <w:shd w:val="clear" w:color="auto" w:fill="E5E5E5"/>
          </w:tcPr>
          <w:p>
            <w:pPr>
              <w:spacing w:after="0"/>
              <w:rPr>
                <w:sz w:val="21"/>
                <w:szCs w:val="21"/>
                <w:color w:val="auto"/>
              </w:rPr>
            </w:pPr>
          </w:p>
        </w:tc>
        <w:tc>
          <w:tcPr>
            <w:tcW w:w="180" w:type="dxa"/>
            <w:vAlign w:val="bottom"/>
            <w:shd w:val="clear" w:color="auto" w:fill="E5E5E5"/>
          </w:tcPr>
          <w:p>
            <w:pPr>
              <w:spacing w:after="0"/>
              <w:rPr>
                <w:sz w:val="21"/>
                <w:szCs w:val="21"/>
                <w:color w:val="auto"/>
              </w:rPr>
            </w:pPr>
          </w:p>
        </w:tc>
        <w:tc>
          <w:tcPr>
            <w:tcW w:w="84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0</w:t>
            </w:r>
          </w:p>
        </w:tc>
        <w:tc>
          <w:tcPr>
            <w:tcW w:w="140" w:type="dxa"/>
            <w:vAlign w:val="bottom"/>
            <w:shd w:val="clear" w:color="auto" w:fill="E5E5E5"/>
          </w:tcPr>
          <w:p>
            <w:pPr>
              <w:spacing w:after="0"/>
              <w:rPr>
                <w:sz w:val="21"/>
                <w:szCs w:val="21"/>
                <w:color w:val="auto"/>
              </w:rPr>
            </w:pPr>
          </w:p>
        </w:tc>
        <w:tc>
          <w:tcPr>
            <w:tcW w:w="80" w:type="dxa"/>
            <w:vAlign w:val="bottom"/>
            <w:shd w:val="clear" w:color="auto" w:fill="E5E5E5"/>
          </w:tcPr>
          <w:p>
            <w:pPr>
              <w:spacing w:after="0"/>
              <w:rPr>
                <w:sz w:val="21"/>
                <w:szCs w:val="21"/>
                <w:color w:val="auto"/>
              </w:rPr>
            </w:pPr>
          </w:p>
        </w:tc>
        <w:tc>
          <w:tcPr>
            <w:tcW w:w="240" w:type="dxa"/>
            <w:vAlign w:val="bottom"/>
            <w:shd w:val="clear" w:color="auto" w:fill="E5E5E5"/>
          </w:tcPr>
          <w:p>
            <w:pPr>
              <w:spacing w:after="0"/>
              <w:rPr>
                <w:sz w:val="21"/>
                <w:szCs w:val="21"/>
                <w:color w:val="auto"/>
              </w:rPr>
            </w:pPr>
          </w:p>
        </w:tc>
        <w:tc>
          <w:tcPr>
            <w:tcW w:w="78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0</w:t>
            </w:r>
          </w:p>
        </w:tc>
        <w:tc>
          <w:tcPr>
            <w:tcW w:w="220" w:type="dxa"/>
            <w:vAlign w:val="bottom"/>
            <w:shd w:val="clear" w:color="auto" w:fill="E5E5E5"/>
          </w:tcPr>
          <w:p>
            <w:pPr>
              <w:spacing w:after="0"/>
              <w:rPr>
                <w:sz w:val="21"/>
                <w:szCs w:val="21"/>
                <w:color w:val="auto"/>
              </w:rPr>
            </w:pPr>
          </w:p>
        </w:tc>
        <w:tc>
          <w:tcPr>
            <w:tcW w:w="260" w:type="dxa"/>
            <w:vAlign w:val="bottom"/>
            <w:shd w:val="clear" w:color="auto" w:fill="E5E5E5"/>
          </w:tcPr>
          <w:p>
            <w:pPr>
              <w:spacing w:after="0"/>
              <w:rPr>
                <w:sz w:val="21"/>
                <w:szCs w:val="21"/>
                <w:color w:val="auto"/>
              </w:rPr>
            </w:pPr>
          </w:p>
        </w:tc>
        <w:tc>
          <w:tcPr>
            <w:tcW w:w="920" w:type="dxa"/>
            <w:vAlign w:val="bottom"/>
            <w:gridSpan w:val="2"/>
            <w:shd w:val="clear" w:color="auto" w:fill="E5E5E5"/>
          </w:tcPr>
          <w:p>
            <w:pPr>
              <w:jc w:val="right"/>
              <w:ind w:right="80"/>
              <w:spacing w:after="0"/>
              <w:rPr>
                <w:sz w:val="20"/>
                <w:szCs w:val="20"/>
                <w:color w:val="auto"/>
              </w:rPr>
            </w:pPr>
            <w:r>
              <w:rPr>
                <w:rFonts w:ascii="Arial" w:cs="Arial" w:eastAsia="Arial" w:hAnsi="Arial"/>
                <w:sz w:val="18"/>
                <w:szCs w:val="18"/>
                <w:b w:val="1"/>
                <w:bCs w:val="1"/>
                <w:color w:val="auto"/>
              </w:rPr>
              <w:t>(134)</w:t>
            </w:r>
          </w:p>
        </w:tc>
        <w:tc>
          <w:tcPr>
            <w:tcW w:w="80" w:type="dxa"/>
            <w:vAlign w:val="bottom"/>
            <w:shd w:val="clear" w:color="auto" w:fill="E5E5E5"/>
          </w:tcPr>
          <w:p>
            <w:pPr>
              <w:spacing w:after="0"/>
              <w:rPr>
                <w:sz w:val="21"/>
                <w:szCs w:val="21"/>
                <w:color w:val="auto"/>
              </w:rPr>
            </w:pPr>
          </w:p>
        </w:tc>
        <w:tc>
          <w:tcPr>
            <w:tcW w:w="240" w:type="dxa"/>
            <w:vAlign w:val="bottom"/>
            <w:shd w:val="clear" w:color="auto" w:fill="E5E5E5"/>
          </w:tcPr>
          <w:p>
            <w:pPr>
              <w:spacing w:after="0"/>
              <w:rPr>
                <w:sz w:val="21"/>
                <w:szCs w:val="21"/>
                <w:color w:val="auto"/>
              </w:rPr>
            </w:pPr>
          </w:p>
        </w:tc>
        <w:tc>
          <w:tcPr>
            <w:tcW w:w="80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0</w:t>
            </w:r>
          </w:p>
        </w:tc>
        <w:tc>
          <w:tcPr>
            <w:tcW w:w="140" w:type="dxa"/>
            <w:vAlign w:val="bottom"/>
            <w:shd w:val="clear" w:color="auto" w:fill="E5E5E5"/>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398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980" w:type="dxa"/>
            <w:vAlign w:val="bottom"/>
          </w:tcPr>
          <w:p>
            <w:pPr>
              <w:spacing w:after="0"/>
              <w:rPr>
                <w:sz w:val="5"/>
                <w:szCs w:val="5"/>
                <w:color w:val="auto"/>
              </w:rPr>
            </w:pPr>
          </w:p>
        </w:tc>
        <w:tc>
          <w:tcPr>
            <w:tcW w:w="180" w:type="dxa"/>
            <w:vAlign w:val="bottom"/>
          </w:tcPr>
          <w:p>
            <w:pPr>
              <w:spacing w:after="0"/>
              <w:rPr>
                <w:sz w:val="5"/>
                <w:szCs w:val="5"/>
                <w:color w:val="auto"/>
              </w:rPr>
            </w:pPr>
          </w:p>
        </w:tc>
        <w:tc>
          <w:tcPr>
            <w:tcW w:w="8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260" w:type="dxa"/>
            <w:vAlign w:val="bottom"/>
          </w:tcPr>
          <w:p>
            <w:pPr>
              <w:spacing w:after="0"/>
              <w:rPr>
                <w:sz w:val="5"/>
                <w:szCs w:val="5"/>
                <w:color w:val="auto"/>
              </w:rPr>
            </w:pPr>
          </w:p>
        </w:tc>
        <w:tc>
          <w:tcPr>
            <w:tcW w:w="7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780" w:type="dxa"/>
            <w:vAlign w:val="bottom"/>
          </w:tcPr>
          <w:p>
            <w:pPr>
              <w:spacing w:after="0"/>
              <w:rPr>
                <w:sz w:val="5"/>
                <w:szCs w:val="5"/>
                <w:color w:val="auto"/>
              </w:rPr>
            </w:pPr>
          </w:p>
        </w:tc>
        <w:tc>
          <w:tcPr>
            <w:tcW w:w="220" w:type="dxa"/>
            <w:vAlign w:val="bottom"/>
          </w:tcPr>
          <w:p>
            <w:pPr>
              <w:spacing w:after="0"/>
              <w:rPr>
                <w:sz w:val="5"/>
                <w:szCs w:val="5"/>
                <w:color w:val="auto"/>
              </w:rPr>
            </w:pPr>
          </w:p>
        </w:tc>
        <w:tc>
          <w:tcPr>
            <w:tcW w:w="260" w:type="dxa"/>
            <w:vAlign w:val="bottom"/>
          </w:tcPr>
          <w:p>
            <w:pPr>
              <w:spacing w:after="0"/>
              <w:rPr>
                <w:sz w:val="5"/>
                <w:szCs w:val="5"/>
                <w:color w:val="auto"/>
              </w:rPr>
            </w:pPr>
          </w:p>
        </w:tc>
        <w:tc>
          <w:tcPr>
            <w:tcW w:w="78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980" w:type="dxa"/>
            <w:vAlign w:val="bottom"/>
            <w:shd w:val="clear" w:color="auto" w:fill="E5E5E5"/>
          </w:tcPr>
          <w:p>
            <w:pPr>
              <w:ind w:left="640"/>
              <w:spacing w:after="0"/>
              <w:rPr>
                <w:sz w:val="20"/>
                <w:szCs w:val="20"/>
                <w:color w:val="auto"/>
              </w:rPr>
            </w:pPr>
            <w:r>
              <w:rPr>
                <w:rFonts w:ascii="Arial" w:cs="Arial" w:eastAsia="Arial" w:hAnsi="Arial"/>
                <w:sz w:val="18"/>
                <w:szCs w:val="18"/>
                <w:color w:val="auto"/>
              </w:rPr>
              <w:t>Net amount</w:t>
            </w:r>
          </w:p>
        </w:tc>
        <w:tc>
          <w:tcPr>
            <w:tcW w:w="18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w w:val="79"/>
              </w:rPr>
              <w:t>$</w:t>
            </w:r>
          </w:p>
        </w:tc>
        <w:tc>
          <w:tcPr>
            <w:tcW w:w="86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86</w:t>
            </w:r>
          </w:p>
        </w:tc>
        <w:tc>
          <w:tcPr>
            <w:tcW w:w="140" w:type="dxa"/>
            <w:vAlign w:val="bottom"/>
            <w:shd w:val="clear" w:color="auto" w:fill="E5E5E5"/>
          </w:tcPr>
          <w:p>
            <w:pPr>
              <w:spacing w:after="0"/>
              <w:rPr>
                <w:sz w:val="21"/>
                <w:szCs w:val="21"/>
                <w:color w:val="auto"/>
              </w:rPr>
            </w:pPr>
          </w:p>
        </w:tc>
        <w:tc>
          <w:tcPr>
            <w:tcW w:w="320" w:type="dxa"/>
            <w:vAlign w:val="bottom"/>
            <w:gridSpan w:val="2"/>
            <w:shd w:val="clear" w:color="auto" w:fill="E5E5E5"/>
          </w:tcPr>
          <w:p>
            <w:pPr>
              <w:jc w:val="right"/>
              <w:ind w:right="160"/>
              <w:spacing w:after="0"/>
              <w:rPr>
                <w:sz w:val="20"/>
                <w:szCs w:val="20"/>
                <w:color w:val="auto"/>
              </w:rPr>
            </w:pPr>
            <w:r>
              <w:rPr>
                <w:rFonts w:ascii="Arial" w:cs="Arial" w:eastAsia="Arial" w:hAnsi="Arial"/>
                <w:sz w:val="18"/>
                <w:szCs w:val="18"/>
                <w:b w:val="1"/>
                <w:bCs w:val="1"/>
                <w:color w:val="auto"/>
              </w:rPr>
              <w:t>$</w:t>
            </w:r>
          </w:p>
        </w:tc>
        <w:tc>
          <w:tcPr>
            <w:tcW w:w="78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90</w:t>
            </w:r>
          </w:p>
        </w:tc>
        <w:tc>
          <w:tcPr>
            <w:tcW w:w="220" w:type="dxa"/>
            <w:vAlign w:val="bottom"/>
            <w:shd w:val="clear" w:color="auto" w:fill="E5E5E5"/>
          </w:tcPr>
          <w:p>
            <w:pPr>
              <w:spacing w:after="0"/>
              <w:rPr>
                <w:sz w:val="21"/>
                <w:szCs w:val="21"/>
                <w:color w:val="auto"/>
              </w:rPr>
            </w:pPr>
          </w:p>
        </w:tc>
        <w:tc>
          <w:tcPr>
            <w:tcW w:w="18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w w:val="79"/>
              </w:rPr>
              <w:t>$</w:t>
            </w:r>
          </w:p>
        </w:tc>
        <w:tc>
          <w:tcPr>
            <w:tcW w:w="84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0</w:t>
            </w:r>
          </w:p>
        </w:tc>
        <w:tc>
          <w:tcPr>
            <w:tcW w:w="140" w:type="dxa"/>
            <w:vAlign w:val="bottom"/>
            <w:shd w:val="clear" w:color="auto" w:fill="E5E5E5"/>
          </w:tcPr>
          <w:p>
            <w:pPr>
              <w:spacing w:after="0"/>
              <w:rPr>
                <w:sz w:val="21"/>
                <w:szCs w:val="21"/>
                <w:color w:val="auto"/>
              </w:rPr>
            </w:pPr>
          </w:p>
        </w:tc>
        <w:tc>
          <w:tcPr>
            <w:tcW w:w="320" w:type="dxa"/>
            <w:vAlign w:val="bottom"/>
            <w:gridSpan w:val="2"/>
            <w:shd w:val="clear" w:color="auto" w:fill="E5E5E5"/>
          </w:tcPr>
          <w:p>
            <w:pPr>
              <w:jc w:val="right"/>
              <w:ind w:right="140"/>
              <w:spacing w:after="0"/>
              <w:rPr>
                <w:sz w:val="20"/>
                <w:szCs w:val="20"/>
                <w:color w:val="auto"/>
              </w:rPr>
            </w:pPr>
            <w:r>
              <w:rPr>
                <w:rFonts w:ascii="Arial" w:cs="Arial" w:eastAsia="Arial" w:hAnsi="Arial"/>
                <w:sz w:val="18"/>
                <w:szCs w:val="18"/>
                <w:b w:val="1"/>
                <w:bCs w:val="1"/>
                <w:color w:val="auto"/>
              </w:rPr>
              <w:t>$</w:t>
            </w:r>
          </w:p>
        </w:tc>
        <w:tc>
          <w:tcPr>
            <w:tcW w:w="78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13</w:t>
            </w:r>
          </w:p>
        </w:tc>
        <w:tc>
          <w:tcPr>
            <w:tcW w:w="220" w:type="dxa"/>
            <w:vAlign w:val="bottom"/>
            <w:shd w:val="clear" w:color="auto" w:fill="E5E5E5"/>
          </w:tcPr>
          <w:p>
            <w:pPr>
              <w:spacing w:after="0"/>
              <w:rPr>
                <w:sz w:val="21"/>
                <w:szCs w:val="21"/>
                <w:color w:val="auto"/>
              </w:rPr>
            </w:pPr>
          </w:p>
        </w:tc>
        <w:tc>
          <w:tcPr>
            <w:tcW w:w="260" w:type="dxa"/>
            <w:vAlign w:val="bottom"/>
            <w:shd w:val="clear" w:color="auto" w:fill="E5E5E5"/>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920" w:type="dxa"/>
            <w:vAlign w:val="bottom"/>
            <w:gridSpan w:val="2"/>
            <w:shd w:val="clear" w:color="auto" w:fill="E5E5E5"/>
          </w:tcPr>
          <w:p>
            <w:pPr>
              <w:jc w:val="right"/>
              <w:ind w:right="80"/>
              <w:spacing w:after="0"/>
              <w:rPr>
                <w:sz w:val="20"/>
                <w:szCs w:val="20"/>
                <w:color w:val="auto"/>
              </w:rPr>
            </w:pPr>
            <w:r>
              <w:rPr>
                <w:rFonts w:ascii="Arial" w:cs="Arial" w:eastAsia="Arial" w:hAnsi="Arial"/>
                <w:sz w:val="18"/>
                <w:szCs w:val="18"/>
                <w:b w:val="1"/>
                <w:bCs w:val="1"/>
                <w:color w:val="auto"/>
              </w:rPr>
              <w:t>(445)</w:t>
            </w:r>
          </w:p>
        </w:tc>
        <w:tc>
          <w:tcPr>
            <w:tcW w:w="320" w:type="dxa"/>
            <w:vAlign w:val="bottom"/>
            <w:gridSpan w:val="2"/>
            <w:shd w:val="clear" w:color="auto" w:fill="E5E5E5"/>
          </w:tcPr>
          <w:p>
            <w:pPr>
              <w:jc w:val="right"/>
              <w:ind w:right="140"/>
              <w:spacing w:after="0"/>
              <w:rPr>
                <w:sz w:val="20"/>
                <w:szCs w:val="20"/>
                <w:color w:val="auto"/>
              </w:rPr>
            </w:pPr>
            <w:r>
              <w:rPr>
                <w:rFonts w:ascii="Arial" w:cs="Arial" w:eastAsia="Arial" w:hAnsi="Arial"/>
                <w:sz w:val="18"/>
                <w:szCs w:val="18"/>
                <w:b w:val="1"/>
                <w:bCs w:val="1"/>
                <w:color w:val="auto"/>
              </w:rPr>
              <w:t>$</w:t>
            </w:r>
          </w:p>
        </w:tc>
        <w:tc>
          <w:tcPr>
            <w:tcW w:w="80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0</w:t>
            </w:r>
          </w:p>
        </w:tc>
        <w:tc>
          <w:tcPr>
            <w:tcW w:w="140" w:type="dxa"/>
            <w:vAlign w:val="bottom"/>
            <w:shd w:val="clear" w:color="auto" w:fill="E5E5E5"/>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3980" w:type="dxa"/>
            <w:vAlign w:val="bottom"/>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60" w:type="dxa"/>
            <w:vAlign w:val="bottom"/>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97"/>
        </w:trPr>
        <w:tc>
          <w:tcPr>
            <w:tcW w:w="2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jc w:val="right"/>
              <w:ind w:right="394"/>
              <w:spacing w:after="0"/>
              <w:rPr>
                <w:sz w:val="20"/>
                <w:szCs w:val="20"/>
                <w:color w:val="auto"/>
              </w:rPr>
            </w:pPr>
            <w:r>
              <w:rPr>
                <w:rFonts w:ascii="Arial" w:cs="Arial" w:eastAsia="Arial" w:hAnsi="Arial"/>
                <w:sz w:val="14"/>
                <w:szCs w:val="14"/>
                <w:color w:val="auto"/>
              </w:rPr>
              <w:t>19</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398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86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78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84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78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78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80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2" w:right="219" w:bottom="1440" w:gutter="0" w:footer="0" w:header="0"/>
        </w:sectPr>
      </w:pPr>
    </w:p>
    <w:bookmarkStart w:id="19" w:name="page20"/>
    <w:bookmarkEnd w:id="19"/>
    <w:p>
      <w:pPr>
        <w:ind w:left="5500"/>
        <w:spacing w:after="0"/>
        <w:rPr>
          <w:sz w:val="20"/>
          <w:szCs w:val="20"/>
          <w:color w:val="auto"/>
        </w:rPr>
      </w:pPr>
      <w:r>
        <w:rPr>
          <w:rFonts w:ascii="Arial" w:cs="Arial" w:eastAsia="Arial" w:hAnsi="Arial"/>
          <w:sz w:val="14"/>
          <w:szCs w:val="14"/>
          <w:u w:val="single" w:color="auto"/>
          <w:color w:val="auto"/>
        </w:rPr>
        <w:t>PART I</w:t>
      </w:r>
    </w:p>
    <w:p>
      <w:pPr>
        <w:spacing w:after="0" w:line="5" w:lineRule="exact"/>
        <w:rPr>
          <w:sz w:val="20"/>
          <w:szCs w:val="20"/>
          <w:color w:val="auto"/>
        </w:rPr>
      </w:pPr>
    </w:p>
    <w:p>
      <w:pPr>
        <w:ind w:left="5520"/>
        <w:spacing w:after="0"/>
        <w:rPr>
          <w:sz w:val="20"/>
          <w:szCs w:val="20"/>
          <w:color w:val="auto"/>
        </w:rPr>
      </w:pPr>
      <w:r>
        <w:rPr>
          <w:rFonts w:ascii="Arial" w:cs="Arial" w:eastAsia="Arial" w:hAnsi="Arial"/>
          <w:sz w:val="14"/>
          <w:szCs w:val="14"/>
          <w:color w:val="auto"/>
        </w:rPr>
        <w:t>Item 1</w:t>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4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Assets</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Liabilities</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402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gridSpan w:val="2"/>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gridSpan w:val="2"/>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gridSpan w:val="2"/>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Short-term</w:t>
            </w:r>
          </w:p>
        </w:tc>
        <w:tc>
          <w:tcPr>
            <w:tcW w:w="34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Other</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Equity and</w:t>
            </w: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40" w:type="dxa"/>
            <w:vAlign w:val="bottom"/>
            <w:gridSpan w:val="2"/>
            <w:vMerge w:val="restart"/>
          </w:tcPr>
          <w:p>
            <w:pPr>
              <w:jc w:val="right"/>
              <w:ind w:right="140"/>
              <w:spacing w:after="0"/>
              <w:rPr>
                <w:sz w:val="20"/>
                <w:szCs w:val="20"/>
                <w:color w:val="auto"/>
              </w:rPr>
            </w:pPr>
            <w:r>
              <w:rPr>
                <w:rFonts w:ascii="Arial" w:cs="Arial" w:eastAsia="Arial" w:hAnsi="Arial"/>
                <w:sz w:val="14"/>
                <w:szCs w:val="14"/>
                <w:b w:val="1"/>
                <w:bCs w:val="1"/>
                <w:color w:val="auto"/>
              </w:rPr>
              <w:t>Other</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Other</w:t>
            </w:r>
          </w:p>
        </w:tc>
        <w:tc>
          <w:tcPr>
            <w:tcW w:w="240" w:type="dxa"/>
            <w:vAlign w:val="bottom"/>
          </w:tcPr>
          <w:p>
            <w:pPr>
              <w:spacing w:after="0"/>
              <w:rPr>
                <w:sz w:val="16"/>
                <w:szCs w:val="16"/>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49"/>
        </w:trPr>
        <w:tc>
          <w:tcPr>
            <w:tcW w:w="40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840" w:type="dxa"/>
            <w:vAlign w:val="bottom"/>
            <w:gridSpan w:val="2"/>
          </w:tcPr>
          <w:p>
            <w:pPr>
              <w:jc w:val="right"/>
              <w:ind w:right="140"/>
              <w:spacing w:after="0" w:line="149" w:lineRule="exact"/>
              <w:rPr>
                <w:sz w:val="20"/>
                <w:szCs w:val="20"/>
                <w:color w:val="auto"/>
              </w:rPr>
            </w:pPr>
            <w:r>
              <w:rPr>
                <w:rFonts w:ascii="Arial" w:cs="Arial" w:eastAsia="Arial" w:hAnsi="Arial"/>
                <w:sz w:val="14"/>
                <w:szCs w:val="14"/>
                <w:b w:val="1"/>
                <w:bCs w:val="1"/>
                <w:color w:val="auto"/>
              </w:rPr>
              <w:t>Current</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tcPr>
          <w:p>
            <w:pPr>
              <w:jc w:val="right"/>
              <w:ind w:right="80"/>
              <w:spacing w:after="0" w:line="149" w:lineRule="exact"/>
              <w:rPr>
                <w:sz w:val="20"/>
                <w:szCs w:val="20"/>
                <w:color w:val="auto"/>
              </w:rPr>
            </w:pPr>
            <w:r>
              <w:rPr>
                <w:rFonts w:ascii="Arial" w:cs="Arial" w:eastAsia="Arial" w:hAnsi="Arial"/>
                <w:sz w:val="14"/>
                <w:szCs w:val="14"/>
                <w:b w:val="1"/>
                <w:bCs w:val="1"/>
                <w:color w:val="auto"/>
              </w:rPr>
              <w:t>Other</w:t>
            </w: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Current</w:t>
            </w:r>
          </w:p>
        </w:tc>
        <w:tc>
          <w:tcPr>
            <w:tcW w:w="240" w:type="dxa"/>
            <w:vAlign w:val="bottom"/>
          </w:tcPr>
          <w:p>
            <w:pPr>
              <w:spacing w:after="0"/>
              <w:rPr>
                <w:sz w:val="12"/>
                <w:szCs w:val="12"/>
                <w:color w:val="auto"/>
              </w:rPr>
            </w:pPr>
          </w:p>
        </w:tc>
        <w:tc>
          <w:tcPr>
            <w:tcW w:w="880" w:type="dxa"/>
            <w:vAlign w:val="bottom"/>
            <w:gridSpan w:val="2"/>
          </w:tcPr>
          <w:p>
            <w:pPr>
              <w:jc w:val="right"/>
              <w:ind w:right="80"/>
              <w:spacing w:after="0" w:line="149" w:lineRule="exact"/>
              <w:rPr>
                <w:sz w:val="20"/>
                <w:szCs w:val="20"/>
                <w:color w:val="auto"/>
              </w:rPr>
            </w:pPr>
            <w:r>
              <w:rPr>
                <w:rFonts w:ascii="Arial" w:cs="Arial" w:eastAsia="Arial" w:hAnsi="Arial"/>
                <w:sz w:val="14"/>
                <w:szCs w:val="14"/>
                <w:b w:val="1"/>
                <w:bCs w:val="1"/>
                <w:color w:val="auto"/>
              </w:rPr>
              <w:t>Long-term</w:t>
            </w:r>
          </w:p>
        </w:tc>
        <w:tc>
          <w:tcPr>
            <w:tcW w:w="0" w:type="dxa"/>
            <w:vAlign w:val="bottom"/>
          </w:tcPr>
          <w:p>
            <w:pPr>
              <w:spacing w:after="0"/>
              <w:rPr>
                <w:sz w:val="1"/>
                <w:szCs w:val="1"/>
                <w:color w:val="auto"/>
              </w:rPr>
            </w:pPr>
          </w:p>
        </w:tc>
      </w:tr>
      <w:tr>
        <w:trPr>
          <w:trHeight w:val="190"/>
        </w:trPr>
        <w:tc>
          <w:tcPr>
            <w:tcW w:w="404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Investments</w:t>
            </w:r>
          </w:p>
        </w:tc>
        <w:tc>
          <w:tcPr>
            <w:tcW w:w="34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Assets</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Investments</w:t>
            </w:r>
          </w:p>
        </w:tc>
        <w:tc>
          <w:tcPr>
            <w:tcW w:w="1300" w:type="dxa"/>
            <w:vAlign w:val="bottom"/>
            <w:gridSpan w:val="4"/>
          </w:tcPr>
          <w:p>
            <w:pPr>
              <w:jc w:val="right"/>
              <w:ind w:right="140"/>
              <w:spacing w:after="0"/>
              <w:rPr>
                <w:sz w:val="20"/>
                <w:szCs w:val="20"/>
                <w:color w:val="auto"/>
              </w:rPr>
            </w:pPr>
            <w:r>
              <w:rPr>
                <w:rFonts w:ascii="Arial" w:cs="Arial" w:eastAsia="Arial" w:hAnsi="Arial"/>
                <w:sz w:val="14"/>
                <w:szCs w:val="14"/>
                <w:b w:val="1"/>
                <w:bCs w:val="1"/>
                <w:color w:val="auto"/>
                <w:w w:val="95"/>
              </w:rPr>
              <w:t>Long-term Assets</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Liabilities</w:t>
            </w:r>
          </w:p>
        </w:tc>
        <w:tc>
          <w:tcPr>
            <w:tcW w:w="240" w:type="dxa"/>
            <w:vAlign w:val="bottom"/>
          </w:tcPr>
          <w:p>
            <w:pPr>
              <w:spacing w:after="0"/>
              <w:rPr>
                <w:sz w:val="16"/>
                <w:szCs w:val="16"/>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Liabilities</w:t>
            </w:r>
          </w:p>
        </w:tc>
        <w:tc>
          <w:tcPr>
            <w:tcW w:w="0" w:type="dxa"/>
            <w:vAlign w:val="bottom"/>
          </w:tcPr>
          <w:p>
            <w:pPr>
              <w:spacing w:after="0"/>
              <w:rPr>
                <w:sz w:val="1"/>
                <w:szCs w:val="1"/>
                <w:color w:val="auto"/>
              </w:rPr>
            </w:pPr>
          </w:p>
        </w:tc>
      </w:tr>
      <w:tr>
        <w:trPr>
          <w:trHeight w:val="45"/>
        </w:trPr>
        <w:tc>
          <w:tcPr>
            <w:tcW w:w="4040" w:type="dxa"/>
            <w:vAlign w:val="bottom"/>
            <w:tcBorders>
              <w:bottom w:val="single" w:sz="8" w:color="auto"/>
            </w:tcBorders>
            <w:gridSpan w:val="2"/>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3"/>
        </w:trPr>
        <w:tc>
          <w:tcPr>
            <w:tcW w:w="4040" w:type="dxa"/>
            <w:vAlign w:val="bottom"/>
            <w:gridSpan w:val="2"/>
          </w:tcPr>
          <w:p>
            <w:pPr>
              <w:spacing w:after="0"/>
              <w:rPr>
                <w:sz w:val="20"/>
                <w:szCs w:val="20"/>
                <w:color w:val="auto"/>
              </w:rPr>
            </w:pPr>
            <w:r>
              <w:rPr>
                <w:rFonts w:ascii="Arial" w:cs="Arial" w:eastAsia="Arial" w:hAnsi="Arial"/>
                <w:sz w:val="14"/>
                <w:szCs w:val="14"/>
                <w:b w:val="1"/>
                <w:bCs w:val="1"/>
                <w:color w:val="auto"/>
              </w:rPr>
              <w:t>June 30, 2017</w:t>
            </w: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040" w:type="dxa"/>
            <w:vAlign w:val="bottom"/>
            <w:gridSpan w:val="2"/>
          </w:tcPr>
          <w:p>
            <w:pPr>
              <w:spacing w:after="0"/>
              <w:rPr>
                <w:sz w:val="20"/>
                <w:szCs w:val="20"/>
                <w:color w:val="auto"/>
              </w:rPr>
            </w:pPr>
            <w:r>
              <w:rPr>
                <w:rFonts w:ascii="Arial" w:cs="Arial" w:eastAsia="Arial" w:hAnsi="Arial"/>
                <w:sz w:val="14"/>
                <w:szCs w:val="14"/>
                <w:b w:val="1"/>
                <w:bCs w:val="1"/>
                <w:color w:val="auto"/>
              </w:rPr>
              <w:t>Non-designated Hedge Derivatives</w:t>
            </w: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
        </w:trPr>
        <w:tc>
          <w:tcPr>
            <w:tcW w:w="20" w:type="dxa"/>
            <w:vAlign w:val="bottom"/>
            <w:vMerge w:val="restart"/>
          </w:tcPr>
          <w:p>
            <w:pPr>
              <w:spacing w:after="0"/>
              <w:rPr>
                <w:sz w:val="3"/>
                <w:szCs w:val="3"/>
                <w:color w:val="auto"/>
              </w:rPr>
            </w:pPr>
          </w:p>
        </w:tc>
        <w:tc>
          <w:tcPr>
            <w:tcW w:w="4020" w:type="dxa"/>
            <w:vAlign w:val="bottom"/>
          </w:tcPr>
          <w:p>
            <w:pPr>
              <w:spacing w:after="0"/>
              <w:rPr>
                <w:sz w:val="3"/>
                <w:szCs w:val="3"/>
                <w:color w:val="auto"/>
              </w:rPr>
            </w:pPr>
          </w:p>
        </w:tc>
        <w:tc>
          <w:tcPr>
            <w:tcW w:w="180" w:type="dxa"/>
            <w:vAlign w:val="bottom"/>
          </w:tcPr>
          <w:p>
            <w:pPr>
              <w:spacing w:after="0"/>
              <w:rPr>
                <w:sz w:val="3"/>
                <w:szCs w:val="3"/>
                <w:color w:val="auto"/>
              </w:rPr>
            </w:pPr>
          </w:p>
        </w:tc>
        <w:tc>
          <w:tcPr>
            <w:tcW w:w="86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7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3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760" w:type="dxa"/>
            <w:vAlign w:val="bottom"/>
          </w:tcPr>
          <w:p>
            <w:pPr>
              <w:spacing w:after="0"/>
              <w:rPr>
                <w:sz w:val="3"/>
                <w:szCs w:val="3"/>
                <w:color w:val="auto"/>
              </w:rPr>
            </w:pPr>
          </w:p>
        </w:tc>
        <w:tc>
          <w:tcPr>
            <w:tcW w:w="22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4020" w:type="dxa"/>
            <w:vAlign w:val="bottom"/>
            <w:shd w:val="clear" w:color="auto" w:fill="E5E5E5"/>
          </w:tcPr>
          <w:p>
            <w:pPr>
              <w:spacing w:after="0"/>
              <w:rPr>
                <w:sz w:val="20"/>
                <w:szCs w:val="20"/>
                <w:color w:val="auto"/>
              </w:rPr>
            </w:pPr>
            <w:r>
              <w:rPr>
                <w:rFonts w:ascii="Arial" w:cs="Arial" w:eastAsia="Arial" w:hAnsi="Arial"/>
                <w:sz w:val="18"/>
                <w:szCs w:val="18"/>
                <w:color w:val="auto"/>
              </w:rPr>
              <w:t>Foreign exchange contracts</w:t>
            </w:r>
          </w:p>
        </w:tc>
        <w:tc>
          <w:tcPr>
            <w:tcW w:w="180" w:type="dxa"/>
            <w:vAlign w:val="bottom"/>
            <w:shd w:val="clear" w:color="auto" w:fill="E5E5E5"/>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9</w:t>
            </w:r>
          </w:p>
        </w:tc>
        <w:tc>
          <w:tcPr>
            <w:tcW w:w="200" w:type="dxa"/>
            <w:vAlign w:val="bottom"/>
            <w:shd w:val="clear" w:color="auto" w:fill="E5E5E5"/>
          </w:tcPr>
          <w:p>
            <w:pPr>
              <w:spacing w:after="0"/>
              <w:rPr>
                <w:sz w:val="21"/>
                <w:szCs w:val="21"/>
                <w:color w:val="auto"/>
              </w:rPr>
            </w:pPr>
          </w:p>
        </w:tc>
        <w:tc>
          <w:tcPr>
            <w:tcW w:w="340" w:type="dxa"/>
            <w:vAlign w:val="bottom"/>
            <w:shd w:val="clear" w:color="auto" w:fill="E5E5E5"/>
          </w:tcPr>
          <w:p>
            <w:pPr>
              <w:jc w:val="right"/>
              <w:ind w:right="15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203</w:t>
            </w:r>
          </w:p>
        </w:tc>
        <w:tc>
          <w:tcPr>
            <w:tcW w:w="140" w:type="dxa"/>
            <w:vAlign w:val="bottom"/>
            <w:shd w:val="clear" w:color="auto" w:fill="E5E5E5"/>
          </w:tcPr>
          <w:p>
            <w:pPr>
              <w:spacing w:after="0"/>
              <w:rPr>
                <w:sz w:val="21"/>
                <w:szCs w:val="21"/>
                <w:color w:val="auto"/>
              </w:rPr>
            </w:pPr>
          </w:p>
        </w:tc>
        <w:tc>
          <w:tcPr>
            <w:tcW w:w="260" w:type="dxa"/>
            <w:vAlign w:val="bottom"/>
            <w:gridSpan w:val="2"/>
            <w:shd w:val="clear" w:color="auto" w:fill="E5E5E5"/>
          </w:tcPr>
          <w:p>
            <w:pPr>
              <w:jc w:val="right"/>
              <w:ind w:right="80"/>
              <w:spacing w:after="0"/>
              <w:rPr>
                <w:sz w:val="20"/>
                <w:szCs w:val="20"/>
                <w:color w:val="auto"/>
              </w:rPr>
            </w:pPr>
            <w:r>
              <w:rPr>
                <w:rFonts w:ascii="Arial" w:cs="Arial" w:eastAsia="Arial" w:hAnsi="Arial"/>
                <w:sz w:val="18"/>
                <w:szCs w:val="18"/>
                <w:color w:val="auto"/>
              </w:rPr>
              <w:t>$</w:t>
            </w:r>
          </w:p>
        </w:tc>
        <w:tc>
          <w:tcPr>
            <w:tcW w:w="8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0</w:t>
            </w:r>
          </w:p>
        </w:tc>
        <w:tc>
          <w:tcPr>
            <w:tcW w:w="80" w:type="dxa"/>
            <w:vAlign w:val="bottom"/>
            <w:shd w:val="clear" w:color="auto" w:fill="E5E5E5"/>
          </w:tcPr>
          <w:p>
            <w:pPr>
              <w:spacing w:after="0"/>
              <w:rPr>
                <w:sz w:val="21"/>
                <w:szCs w:val="21"/>
                <w:color w:val="auto"/>
              </w:rPr>
            </w:pPr>
          </w:p>
        </w:tc>
        <w:tc>
          <w:tcPr>
            <w:tcW w:w="460" w:type="dxa"/>
            <w:vAlign w:val="bottom"/>
            <w:gridSpan w:val="2"/>
            <w:shd w:val="clear" w:color="auto" w:fill="E5E5E5"/>
          </w:tcPr>
          <w:p>
            <w:pPr>
              <w:jc w:val="right"/>
              <w:ind w:right="220"/>
              <w:spacing w:after="0"/>
              <w:rPr>
                <w:sz w:val="20"/>
                <w:szCs w:val="20"/>
                <w:color w:val="auto"/>
              </w:rPr>
            </w:pPr>
            <w:r>
              <w:rPr>
                <w:rFonts w:ascii="Arial" w:cs="Arial" w:eastAsia="Arial" w:hAnsi="Arial"/>
                <w:sz w:val="18"/>
                <w:szCs w:val="18"/>
                <w:color w:val="auto"/>
              </w:rPr>
              <w:t>$</w:t>
            </w:r>
          </w:p>
        </w:tc>
        <w:tc>
          <w:tcPr>
            <w:tcW w:w="7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6</w:t>
            </w:r>
          </w:p>
        </w:tc>
        <w:tc>
          <w:tcPr>
            <w:tcW w:w="140" w:type="dxa"/>
            <w:vAlign w:val="bottom"/>
            <w:shd w:val="clear" w:color="auto" w:fill="E5E5E5"/>
          </w:tcPr>
          <w:p>
            <w:pPr>
              <w:spacing w:after="0"/>
              <w:rPr>
                <w:sz w:val="21"/>
                <w:szCs w:val="21"/>
                <w:color w:val="auto"/>
              </w:rPr>
            </w:pPr>
          </w:p>
        </w:tc>
        <w:tc>
          <w:tcPr>
            <w:tcW w:w="340" w:type="dxa"/>
            <w:vAlign w:val="bottom"/>
            <w:gridSpan w:val="2"/>
            <w:shd w:val="clear" w:color="auto" w:fill="E5E5E5"/>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E5E5E5"/>
          </w:tcPr>
          <w:p>
            <w:pPr>
              <w:jc w:val="right"/>
              <w:ind w:right="160"/>
              <w:spacing w:after="0"/>
              <w:rPr>
                <w:sz w:val="20"/>
                <w:szCs w:val="20"/>
                <w:color w:val="auto"/>
              </w:rPr>
            </w:pPr>
            <w:r>
              <w:rPr>
                <w:rFonts w:ascii="Arial" w:cs="Arial" w:eastAsia="Arial" w:hAnsi="Arial"/>
                <w:sz w:val="18"/>
                <w:szCs w:val="18"/>
                <w:color w:val="auto"/>
              </w:rPr>
              <w:t>(134)</w:t>
            </w:r>
          </w:p>
        </w:tc>
        <w:tc>
          <w:tcPr>
            <w:tcW w:w="240" w:type="dxa"/>
            <w:vAlign w:val="bottom"/>
            <w:shd w:val="clear" w:color="auto" w:fill="E5E5E5"/>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E5E5E5"/>
          </w:tcPr>
          <w:p>
            <w:pPr>
              <w:jc w:val="right"/>
              <w:ind w:right="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Equity contracts</w:t>
            </w:r>
          </w:p>
        </w:tc>
        <w:tc>
          <w:tcPr>
            <w:tcW w:w="1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0</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0</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(6)</w:t>
            </w: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020" w:type="dxa"/>
            <w:vAlign w:val="bottom"/>
            <w:shd w:val="clear" w:color="auto" w:fill="E5E5E5"/>
          </w:tcPr>
          <w:p>
            <w:pPr>
              <w:spacing w:after="0"/>
              <w:rPr>
                <w:sz w:val="20"/>
                <w:szCs w:val="20"/>
                <w:color w:val="auto"/>
              </w:rPr>
            </w:pPr>
            <w:r>
              <w:rPr>
                <w:rFonts w:ascii="Arial" w:cs="Arial" w:eastAsia="Arial" w:hAnsi="Arial"/>
                <w:sz w:val="18"/>
                <w:szCs w:val="18"/>
                <w:color w:val="auto"/>
              </w:rPr>
              <w:t>Interest rate contracts</w:t>
            </w:r>
          </w:p>
        </w:tc>
        <w:tc>
          <w:tcPr>
            <w:tcW w:w="180" w:type="dxa"/>
            <w:vAlign w:val="bottom"/>
            <w:shd w:val="clear" w:color="auto" w:fill="E5E5E5"/>
          </w:tcPr>
          <w:p>
            <w:pPr>
              <w:spacing w:after="0"/>
              <w:rPr>
                <w:sz w:val="21"/>
                <w:szCs w:val="21"/>
                <w:color w:val="auto"/>
              </w:rPr>
            </w:pPr>
          </w:p>
        </w:tc>
        <w:tc>
          <w:tcPr>
            <w:tcW w:w="8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3</w:t>
            </w:r>
          </w:p>
        </w:tc>
        <w:tc>
          <w:tcPr>
            <w:tcW w:w="200" w:type="dxa"/>
            <w:vAlign w:val="bottom"/>
            <w:shd w:val="clear" w:color="auto" w:fill="E5E5E5"/>
          </w:tcPr>
          <w:p>
            <w:pPr>
              <w:spacing w:after="0"/>
              <w:rPr>
                <w:sz w:val="21"/>
                <w:szCs w:val="21"/>
                <w:color w:val="auto"/>
              </w:rPr>
            </w:pPr>
          </w:p>
        </w:tc>
        <w:tc>
          <w:tcPr>
            <w:tcW w:w="340" w:type="dxa"/>
            <w:vAlign w:val="bottom"/>
            <w:shd w:val="clear" w:color="auto" w:fill="E5E5E5"/>
          </w:tcPr>
          <w:p>
            <w:pPr>
              <w:spacing w:after="0"/>
              <w:rPr>
                <w:sz w:val="21"/>
                <w:szCs w:val="21"/>
                <w:color w:val="auto"/>
              </w:rPr>
            </w:pPr>
          </w:p>
        </w:tc>
        <w:tc>
          <w:tcPr>
            <w:tcW w:w="7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0</w:t>
            </w:r>
          </w:p>
        </w:tc>
        <w:tc>
          <w:tcPr>
            <w:tcW w:w="140" w:type="dxa"/>
            <w:vAlign w:val="bottom"/>
            <w:shd w:val="clear" w:color="auto" w:fill="E5E5E5"/>
          </w:tcPr>
          <w:p>
            <w:pPr>
              <w:spacing w:after="0"/>
              <w:rPr>
                <w:sz w:val="21"/>
                <w:szCs w:val="21"/>
                <w:color w:val="auto"/>
              </w:rPr>
            </w:pPr>
          </w:p>
        </w:tc>
        <w:tc>
          <w:tcPr>
            <w:tcW w:w="80" w:type="dxa"/>
            <w:vAlign w:val="bottom"/>
            <w:shd w:val="clear" w:color="auto" w:fill="E5E5E5"/>
          </w:tcPr>
          <w:p>
            <w:pPr>
              <w:spacing w:after="0"/>
              <w:rPr>
                <w:sz w:val="21"/>
                <w:szCs w:val="21"/>
                <w:color w:val="auto"/>
              </w:rPr>
            </w:pPr>
          </w:p>
        </w:tc>
        <w:tc>
          <w:tcPr>
            <w:tcW w:w="180" w:type="dxa"/>
            <w:vAlign w:val="bottom"/>
            <w:shd w:val="clear" w:color="auto" w:fill="E5E5E5"/>
          </w:tcPr>
          <w:p>
            <w:pPr>
              <w:spacing w:after="0"/>
              <w:rPr>
                <w:sz w:val="21"/>
                <w:szCs w:val="21"/>
                <w:color w:val="auto"/>
              </w:rPr>
            </w:pPr>
          </w:p>
        </w:tc>
        <w:tc>
          <w:tcPr>
            <w:tcW w:w="8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0</w:t>
            </w:r>
          </w:p>
        </w:tc>
        <w:tc>
          <w:tcPr>
            <w:tcW w:w="80" w:type="dxa"/>
            <w:vAlign w:val="bottom"/>
            <w:shd w:val="clear" w:color="auto" w:fill="E5E5E5"/>
          </w:tcPr>
          <w:p>
            <w:pPr>
              <w:spacing w:after="0"/>
              <w:rPr>
                <w:sz w:val="21"/>
                <w:szCs w:val="21"/>
                <w:color w:val="auto"/>
              </w:rPr>
            </w:pPr>
          </w:p>
        </w:tc>
        <w:tc>
          <w:tcPr>
            <w:tcW w:w="140" w:type="dxa"/>
            <w:vAlign w:val="bottom"/>
            <w:shd w:val="clear" w:color="auto" w:fill="E5E5E5"/>
          </w:tcPr>
          <w:p>
            <w:pPr>
              <w:spacing w:after="0"/>
              <w:rPr>
                <w:sz w:val="21"/>
                <w:szCs w:val="21"/>
                <w:color w:val="auto"/>
              </w:rPr>
            </w:pPr>
          </w:p>
        </w:tc>
        <w:tc>
          <w:tcPr>
            <w:tcW w:w="320" w:type="dxa"/>
            <w:vAlign w:val="bottom"/>
            <w:shd w:val="clear" w:color="auto" w:fill="E5E5E5"/>
          </w:tcPr>
          <w:p>
            <w:pPr>
              <w:spacing w:after="0"/>
              <w:rPr>
                <w:sz w:val="21"/>
                <w:szCs w:val="21"/>
                <w:color w:val="auto"/>
              </w:rPr>
            </w:pPr>
          </w:p>
        </w:tc>
        <w:tc>
          <w:tcPr>
            <w:tcW w:w="7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0</w:t>
            </w:r>
          </w:p>
        </w:tc>
        <w:tc>
          <w:tcPr>
            <w:tcW w:w="140" w:type="dxa"/>
            <w:vAlign w:val="bottom"/>
            <w:shd w:val="clear" w:color="auto" w:fill="E5E5E5"/>
          </w:tcPr>
          <w:p>
            <w:pPr>
              <w:spacing w:after="0"/>
              <w:rPr>
                <w:sz w:val="21"/>
                <w:szCs w:val="21"/>
                <w:color w:val="auto"/>
              </w:rPr>
            </w:pPr>
          </w:p>
        </w:tc>
        <w:tc>
          <w:tcPr>
            <w:tcW w:w="80" w:type="dxa"/>
            <w:vAlign w:val="bottom"/>
            <w:shd w:val="clear" w:color="auto" w:fill="E5E5E5"/>
          </w:tcPr>
          <w:p>
            <w:pPr>
              <w:spacing w:after="0"/>
              <w:rPr>
                <w:sz w:val="21"/>
                <w:szCs w:val="21"/>
                <w:color w:val="auto"/>
              </w:rPr>
            </w:pPr>
          </w:p>
        </w:tc>
        <w:tc>
          <w:tcPr>
            <w:tcW w:w="260" w:type="dxa"/>
            <w:vAlign w:val="bottom"/>
            <w:shd w:val="clear" w:color="auto" w:fill="E5E5E5"/>
          </w:tcPr>
          <w:p>
            <w:pPr>
              <w:spacing w:after="0"/>
              <w:rPr>
                <w:sz w:val="21"/>
                <w:szCs w:val="21"/>
                <w:color w:val="auto"/>
              </w:rPr>
            </w:pPr>
          </w:p>
        </w:tc>
        <w:tc>
          <w:tcPr>
            <w:tcW w:w="980" w:type="dxa"/>
            <w:vAlign w:val="bottom"/>
            <w:gridSpan w:val="2"/>
            <w:shd w:val="clear" w:color="auto" w:fill="E5E5E5"/>
          </w:tcPr>
          <w:p>
            <w:pPr>
              <w:jc w:val="right"/>
              <w:ind w:right="160"/>
              <w:spacing w:after="0"/>
              <w:rPr>
                <w:sz w:val="20"/>
                <w:szCs w:val="20"/>
                <w:color w:val="auto"/>
              </w:rPr>
            </w:pPr>
            <w:r>
              <w:rPr>
                <w:rFonts w:ascii="Arial" w:cs="Arial" w:eastAsia="Arial" w:hAnsi="Arial"/>
                <w:sz w:val="18"/>
                <w:szCs w:val="18"/>
                <w:color w:val="auto"/>
              </w:rPr>
              <w:t>(7)</w:t>
            </w:r>
          </w:p>
        </w:tc>
        <w:tc>
          <w:tcPr>
            <w:tcW w:w="240" w:type="dxa"/>
            <w:vAlign w:val="bottom"/>
            <w:shd w:val="clear" w:color="auto" w:fill="E5E5E5"/>
          </w:tcPr>
          <w:p>
            <w:pPr>
              <w:spacing w:after="0"/>
              <w:rPr>
                <w:sz w:val="21"/>
                <w:szCs w:val="21"/>
                <w:color w:val="auto"/>
              </w:rPr>
            </w:pPr>
          </w:p>
        </w:tc>
        <w:tc>
          <w:tcPr>
            <w:tcW w:w="8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0</w:t>
            </w:r>
          </w:p>
        </w:tc>
        <w:tc>
          <w:tcPr>
            <w:tcW w:w="80" w:type="dxa"/>
            <w:vAlign w:val="bottom"/>
            <w:shd w:val="clear" w:color="auto" w:fill="E5E5E5"/>
          </w:tcPr>
          <w:p>
            <w:pPr>
              <w:spacing w:after="0"/>
              <w:rPr>
                <w:sz w:val="21"/>
                <w:szCs w:val="21"/>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Credit contracts</w:t>
            </w:r>
          </w:p>
        </w:tc>
        <w:tc>
          <w:tcPr>
            <w:tcW w:w="18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0</w:t>
            </w: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0</w:t>
            </w: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40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020" w:type="dxa"/>
            <w:vAlign w:val="bottom"/>
          </w:tcPr>
          <w:p>
            <w:pPr>
              <w:spacing w:after="0"/>
              <w:rPr>
                <w:sz w:val="5"/>
                <w:szCs w:val="5"/>
                <w:color w:val="auto"/>
              </w:rPr>
            </w:pPr>
          </w:p>
        </w:tc>
        <w:tc>
          <w:tcPr>
            <w:tcW w:w="180" w:type="dxa"/>
            <w:vAlign w:val="bottom"/>
          </w:tcPr>
          <w:p>
            <w:pPr>
              <w:spacing w:after="0"/>
              <w:rPr>
                <w:sz w:val="5"/>
                <w:szCs w:val="5"/>
                <w:color w:val="auto"/>
              </w:rPr>
            </w:pPr>
          </w:p>
        </w:tc>
        <w:tc>
          <w:tcPr>
            <w:tcW w:w="860" w:type="dxa"/>
            <w:vAlign w:val="bottom"/>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70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320" w:type="dxa"/>
            <w:vAlign w:val="bottom"/>
          </w:tcPr>
          <w:p>
            <w:pPr>
              <w:spacing w:after="0"/>
              <w:rPr>
                <w:sz w:val="5"/>
                <w:szCs w:val="5"/>
                <w:color w:val="auto"/>
              </w:rPr>
            </w:pPr>
          </w:p>
        </w:tc>
        <w:tc>
          <w:tcPr>
            <w:tcW w:w="70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760" w:type="dxa"/>
            <w:vAlign w:val="bottom"/>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020" w:type="dxa"/>
            <w:vAlign w:val="bottom"/>
            <w:shd w:val="clear" w:color="auto" w:fill="E5E5E5"/>
          </w:tcPr>
          <w:p>
            <w:pPr>
              <w:ind w:left="200"/>
              <w:spacing w:after="0"/>
              <w:rPr>
                <w:sz w:val="20"/>
                <w:szCs w:val="20"/>
                <w:color w:val="auto"/>
              </w:rPr>
            </w:pPr>
            <w:r>
              <w:rPr>
                <w:rFonts w:ascii="Arial" w:cs="Arial" w:eastAsia="Arial" w:hAnsi="Arial"/>
                <w:sz w:val="18"/>
                <w:szCs w:val="18"/>
                <w:color w:val="auto"/>
              </w:rPr>
              <w:t>Total</w:t>
            </w:r>
          </w:p>
        </w:tc>
        <w:tc>
          <w:tcPr>
            <w:tcW w:w="180" w:type="dxa"/>
            <w:vAlign w:val="bottom"/>
            <w:shd w:val="clear" w:color="auto" w:fill="E5E5E5"/>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20</w:t>
            </w:r>
          </w:p>
        </w:tc>
        <w:tc>
          <w:tcPr>
            <w:tcW w:w="200" w:type="dxa"/>
            <w:vAlign w:val="bottom"/>
            <w:shd w:val="clear" w:color="auto" w:fill="E5E5E5"/>
          </w:tcPr>
          <w:p>
            <w:pPr>
              <w:spacing w:after="0"/>
              <w:rPr>
                <w:sz w:val="21"/>
                <w:szCs w:val="21"/>
                <w:color w:val="auto"/>
              </w:rPr>
            </w:pPr>
          </w:p>
        </w:tc>
        <w:tc>
          <w:tcPr>
            <w:tcW w:w="340" w:type="dxa"/>
            <w:vAlign w:val="bottom"/>
            <w:shd w:val="clear" w:color="auto" w:fill="E5E5E5"/>
          </w:tcPr>
          <w:p>
            <w:pPr>
              <w:jc w:val="right"/>
              <w:ind w:right="15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203</w:t>
            </w:r>
          </w:p>
        </w:tc>
        <w:tc>
          <w:tcPr>
            <w:tcW w:w="140" w:type="dxa"/>
            <w:vAlign w:val="bottom"/>
            <w:shd w:val="clear" w:color="auto" w:fill="E5E5E5"/>
          </w:tcPr>
          <w:p>
            <w:pPr>
              <w:spacing w:after="0"/>
              <w:rPr>
                <w:sz w:val="21"/>
                <w:szCs w:val="21"/>
                <w:color w:val="auto"/>
              </w:rPr>
            </w:pPr>
          </w:p>
        </w:tc>
        <w:tc>
          <w:tcPr>
            <w:tcW w:w="260" w:type="dxa"/>
            <w:vAlign w:val="bottom"/>
            <w:gridSpan w:val="2"/>
            <w:shd w:val="clear" w:color="auto" w:fill="E5E5E5"/>
          </w:tcPr>
          <w:p>
            <w:pPr>
              <w:jc w:val="right"/>
              <w:ind w:right="80"/>
              <w:spacing w:after="0"/>
              <w:rPr>
                <w:sz w:val="20"/>
                <w:szCs w:val="20"/>
                <w:color w:val="auto"/>
              </w:rPr>
            </w:pPr>
            <w:r>
              <w:rPr>
                <w:rFonts w:ascii="Arial" w:cs="Arial" w:eastAsia="Arial" w:hAnsi="Arial"/>
                <w:sz w:val="18"/>
                <w:szCs w:val="18"/>
                <w:color w:val="auto"/>
              </w:rPr>
              <w:t>$</w:t>
            </w:r>
          </w:p>
        </w:tc>
        <w:tc>
          <w:tcPr>
            <w:tcW w:w="8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0</w:t>
            </w:r>
          </w:p>
        </w:tc>
        <w:tc>
          <w:tcPr>
            <w:tcW w:w="80" w:type="dxa"/>
            <w:vAlign w:val="bottom"/>
            <w:shd w:val="clear" w:color="auto" w:fill="E5E5E5"/>
          </w:tcPr>
          <w:p>
            <w:pPr>
              <w:spacing w:after="0"/>
              <w:rPr>
                <w:sz w:val="21"/>
                <w:szCs w:val="21"/>
                <w:color w:val="auto"/>
              </w:rPr>
            </w:pPr>
          </w:p>
        </w:tc>
        <w:tc>
          <w:tcPr>
            <w:tcW w:w="460" w:type="dxa"/>
            <w:vAlign w:val="bottom"/>
            <w:gridSpan w:val="2"/>
            <w:shd w:val="clear" w:color="auto" w:fill="E5E5E5"/>
          </w:tcPr>
          <w:p>
            <w:pPr>
              <w:jc w:val="right"/>
              <w:ind w:right="220"/>
              <w:spacing w:after="0"/>
              <w:rPr>
                <w:sz w:val="20"/>
                <w:szCs w:val="20"/>
                <w:color w:val="auto"/>
              </w:rPr>
            </w:pPr>
            <w:r>
              <w:rPr>
                <w:rFonts w:ascii="Arial" w:cs="Arial" w:eastAsia="Arial" w:hAnsi="Arial"/>
                <w:sz w:val="18"/>
                <w:szCs w:val="18"/>
                <w:color w:val="auto"/>
              </w:rPr>
              <w:t>$</w:t>
            </w:r>
          </w:p>
        </w:tc>
        <w:tc>
          <w:tcPr>
            <w:tcW w:w="7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6</w:t>
            </w:r>
          </w:p>
        </w:tc>
        <w:tc>
          <w:tcPr>
            <w:tcW w:w="140" w:type="dxa"/>
            <w:vAlign w:val="bottom"/>
            <w:shd w:val="clear" w:color="auto" w:fill="E5E5E5"/>
          </w:tcPr>
          <w:p>
            <w:pPr>
              <w:spacing w:after="0"/>
              <w:rPr>
                <w:sz w:val="21"/>
                <w:szCs w:val="21"/>
                <w:color w:val="auto"/>
              </w:rPr>
            </w:pPr>
          </w:p>
        </w:tc>
        <w:tc>
          <w:tcPr>
            <w:tcW w:w="340" w:type="dxa"/>
            <w:vAlign w:val="bottom"/>
            <w:gridSpan w:val="2"/>
            <w:shd w:val="clear" w:color="auto" w:fill="E5E5E5"/>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E5E5E5"/>
          </w:tcPr>
          <w:p>
            <w:pPr>
              <w:jc w:val="right"/>
              <w:ind w:right="160"/>
              <w:spacing w:after="0"/>
              <w:rPr>
                <w:sz w:val="20"/>
                <w:szCs w:val="20"/>
                <w:color w:val="auto"/>
              </w:rPr>
            </w:pPr>
            <w:r>
              <w:rPr>
                <w:rFonts w:ascii="Arial" w:cs="Arial" w:eastAsia="Arial" w:hAnsi="Arial"/>
                <w:sz w:val="18"/>
                <w:szCs w:val="18"/>
                <w:color w:val="auto"/>
              </w:rPr>
              <w:t>(148)</w:t>
            </w:r>
          </w:p>
        </w:tc>
        <w:tc>
          <w:tcPr>
            <w:tcW w:w="240" w:type="dxa"/>
            <w:vAlign w:val="bottom"/>
            <w:shd w:val="clear" w:color="auto" w:fill="E5E5E5"/>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E5E5E5"/>
          </w:tcPr>
          <w:p>
            <w:pPr>
              <w:jc w:val="right"/>
              <w:ind w:right="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75"/>
        </w:trPr>
        <w:tc>
          <w:tcPr>
            <w:tcW w:w="40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Designated Hedge Derivatives</w:t>
            </w:r>
          </w:p>
        </w:tc>
        <w:tc>
          <w:tcPr>
            <w:tcW w:w="18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9"/>
        </w:trPr>
        <w:tc>
          <w:tcPr>
            <w:tcW w:w="4040" w:type="dxa"/>
            <w:vAlign w:val="bottom"/>
            <w:gridSpan w:val="2"/>
            <w:vMerge w:val="continue"/>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
        </w:trPr>
        <w:tc>
          <w:tcPr>
            <w:tcW w:w="20" w:type="dxa"/>
            <w:vAlign w:val="bottom"/>
            <w:vMerge w:val="restart"/>
          </w:tcPr>
          <w:p>
            <w:pPr>
              <w:spacing w:after="0"/>
              <w:rPr>
                <w:sz w:val="3"/>
                <w:szCs w:val="3"/>
                <w:color w:val="auto"/>
              </w:rPr>
            </w:pPr>
          </w:p>
        </w:tc>
        <w:tc>
          <w:tcPr>
            <w:tcW w:w="4020" w:type="dxa"/>
            <w:vAlign w:val="bottom"/>
          </w:tcPr>
          <w:p>
            <w:pPr>
              <w:spacing w:after="0"/>
              <w:rPr>
                <w:sz w:val="3"/>
                <w:szCs w:val="3"/>
                <w:color w:val="auto"/>
              </w:rPr>
            </w:pPr>
          </w:p>
        </w:tc>
        <w:tc>
          <w:tcPr>
            <w:tcW w:w="180" w:type="dxa"/>
            <w:vAlign w:val="bottom"/>
          </w:tcPr>
          <w:p>
            <w:pPr>
              <w:spacing w:after="0"/>
              <w:rPr>
                <w:sz w:val="3"/>
                <w:szCs w:val="3"/>
                <w:color w:val="auto"/>
              </w:rPr>
            </w:pPr>
          </w:p>
        </w:tc>
        <w:tc>
          <w:tcPr>
            <w:tcW w:w="86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7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3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760" w:type="dxa"/>
            <w:vAlign w:val="bottom"/>
          </w:tcPr>
          <w:p>
            <w:pPr>
              <w:spacing w:after="0"/>
              <w:rPr>
                <w:sz w:val="3"/>
                <w:szCs w:val="3"/>
                <w:color w:val="auto"/>
              </w:rPr>
            </w:pPr>
          </w:p>
        </w:tc>
        <w:tc>
          <w:tcPr>
            <w:tcW w:w="22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4020" w:type="dxa"/>
            <w:vAlign w:val="bottom"/>
            <w:shd w:val="clear" w:color="auto" w:fill="E5E5E5"/>
          </w:tcPr>
          <w:p>
            <w:pPr>
              <w:spacing w:after="0"/>
              <w:rPr>
                <w:sz w:val="20"/>
                <w:szCs w:val="20"/>
                <w:color w:val="auto"/>
              </w:rPr>
            </w:pPr>
            <w:r>
              <w:rPr>
                <w:rFonts w:ascii="Arial" w:cs="Arial" w:eastAsia="Arial" w:hAnsi="Arial"/>
                <w:sz w:val="18"/>
                <w:szCs w:val="18"/>
                <w:color w:val="auto"/>
              </w:rPr>
              <w:t>Foreign exchange contracts</w:t>
            </w:r>
          </w:p>
        </w:tc>
        <w:tc>
          <w:tcPr>
            <w:tcW w:w="180" w:type="dxa"/>
            <w:vAlign w:val="bottom"/>
            <w:shd w:val="clear" w:color="auto" w:fill="E5E5E5"/>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80</w:t>
            </w:r>
          </w:p>
        </w:tc>
        <w:tc>
          <w:tcPr>
            <w:tcW w:w="200" w:type="dxa"/>
            <w:vAlign w:val="bottom"/>
            <w:shd w:val="clear" w:color="auto" w:fill="E5E5E5"/>
          </w:tcPr>
          <w:p>
            <w:pPr>
              <w:spacing w:after="0"/>
              <w:rPr>
                <w:sz w:val="21"/>
                <w:szCs w:val="21"/>
                <w:color w:val="auto"/>
              </w:rPr>
            </w:pPr>
          </w:p>
        </w:tc>
        <w:tc>
          <w:tcPr>
            <w:tcW w:w="340" w:type="dxa"/>
            <w:vAlign w:val="bottom"/>
            <w:shd w:val="clear" w:color="auto" w:fill="E5E5E5"/>
          </w:tcPr>
          <w:p>
            <w:pPr>
              <w:jc w:val="right"/>
              <w:ind w:right="15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133</w:t>
            </w:r>
          </w:p>
        </w:tc>
        <w:tc>
          <w:tcPr>
            <w:tcW w:w="140" w:type="dxa"/>
            <w:vAlign w:val="bottom"/>
            <w:shd w:val="clear" w:color="auto" w:fill="E5E5E5"/>
          </w:tcPr>
          <w:p>
            <w:pPr>
              <w:spacing w:after="0"/>
              <w:rPr>
                <w:sz w:val="21"/>
                <w:szCs w:val="21"/>
                <w:color w:val="auto"/>
              </w:rPr>
            </w:pPr>
          </w:p>
        </w:tc>
        <w:tc>
          <w:tcPr>
            <w:tcW w:w="260" w:type="dxa"/>
            <w:vAlign w:val="bottom"/>
            <w:gridSpan w:val="2"/>
            <w:shd w:val="clear" w:color="auto" w:fill="E5E5E5"/>
          </w:tcPr>
          <w:p>
            <w:pPr>
              <w:jc w:val="right"/>
              <w:ind w:right="80"/>
              <w:spacing w:after="0"/>
              <w:rPr>
                <w:sz w:val="20"/>
                <w:szCs w:val="20"/>
                <w:color w:val="auto"/>
              </w:rPr>
            </w:pPr>
            <w:r>
              <w:rPr>
                <w:rFonts w:ascii="Arial" w:cs="Arial" w:eastAsia="Arial" w:hAnsi="Arial"/>
                <w:sz w:val="18"/>
                <w:szCs w:val="18"/>
                <w:color w:val="auto"/>
              </w:rPr>
              <w:t>$</w:t>
            </w:r>
          </w:p>
        </w:tc>
        <w:tc>
          <w:tcPr>
            <w:tcW w:w="8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0</w:t>
            </w:r>
          </w:p>
        </w:tc>
        <w:tc>
          <w:tcPr>
            <w:tcW w:w="80" w:type="dxa"/>
            <w:vAlign w:val="bottom"/>
            <w:shd w:val="clear" w:color="auto" w:fill="E5E5E5"/>
          </w:tcPr>
          <w:p>
            <w:pPr>
              <w:spacing w:after="0"/>
              <w:rPr>
                <w:sz w:val="21"/>
                <w:szCs w:val="21"/>
                <w:color w:val="auto"/>
              </w:rPr>
            </w:pPr>
          </w:p>
        </w:tc>
        <w:tc>
          <w:tcPr>
            <w:tcW w:w="460" w:type="dxa"/>
            <w:vAlign w:val="bottom"/>
            <w:gridSpan w:val="2"/>
            <w:shd w:val="clear" w:color="auto" w:fill="E5E5E5"/>
          </w:tcPr>
          <w:p>
            <w:pPr>
              <w:jc w:val="right"/>
              <w:ind w:right="220"/>
              <w:spacing w:after="0"/>
              <w:rPr>
                <w:sz w:val="20"/>
                <w:szCs w:val="20"/>
                <w:color w:val="auto"/>
              </w:rPr>
            </w:pPr>
            <w:r>
              <w:rPr>
                <w:rFonts w:ascii="Arial" w:cs="Arial" w:eastAsia="Arial" w:hAnsi="Arial"/>
                <w:sz w:val="18"/>
                <w:szCs w:val="18"/>
                <w:color w:val="auto"/>
              </w:rPr>
              <w:t>$</w:t>
            </w:r>
          </w:p>
        </w:tc>
        <w:tc>
          <w:tcPr>
            <w:tcW w:w="7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0</w:t>
            </w:r>
          </w:p>
        </w:tc>
        <w:tc>
          <w:tcPr>
            <w:tcW w:w="140" w:type="dxa"/>
            <w:vAlign w:val="bottom"/>
            <w:shd w:val="clear" w:color="auto" w:fill="E5E5E5"/>
          </w:tcPr>
          <w:p>
            <w:pPr>
              <w:spacing w:after="0"/>
              <w:rPr>
                <w:sz w:val="21"/>
                <w:szCs w:val="21"/>
                <w:color w:val="auto"/>
              </w:rPr>
            </w:pPr>
          </w:p>
        </w:tc>
        <w:tc>
          <w:tcPr>
            <w:tcW w:w="340" w:type="dxa"/>
            <w:vAlign w:val="bottom"/>
            <w:gridSpan w:val="2"/>
            <w:shd w:val="clear" w:color="auto" w:fill="E5E5E5"/>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E5E5E5"/>
          </w:tcPr>
          <w:p>
            <w:pPr>
              <w:jc w:val="right"/>
              <w:ind w:right="160"/>
              <w:spacing w:after="0"/>
              <w:rPr>
                <w:sz w:val="20"/>
                <w:szCs w:val="20"/>
                <w:color w:val="auto"/>
              </w:rPr>
            </w:pPr>
            <w:r>
              <w:rPr>
                <w:rFonts w:ascii="Arial" w:cs="Arial" w:eastAsia="Arial" w:hAnsi="Arial"/>
                <w:sz w:val="18"/>
                <w:szCs w:val="18"/>
                <w:color w:val="auto"/>
              </w:rPr>
              <w:t>(3)</w:t>
            </w:r>
          </w:p>
        </w:tc>
        <w:tc>
          <w:tcPr>
            <w:tcW w:w="240" w:type="dxa"/>
            <w:vAlign w:val="bottom"/>
            <w:shd w:val="clear" w:color="auto" w:fill="E5E5E5"/>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0</w:t>
            </w:r>
          </w:p>
        </w:tc>
        <w:tc>
          <w:tcPr>
            <w:tcW w:w="80" w:type="dxa"/>
            <w:vAlign w:val="bottom"/>
            <w:shd w:val="clear" w:color="auto" w:fill="E5E5E5"/>
          </w:tcPr>
          <w:p>
            <w:pPr>
              <w:spacing w:after="0"/>
              <w:rPr>
                <w:sz w:val="21"/>
                <w:szCs w:val="21"/>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Equity contracts</w:t>
            </w:r>
          </w:p>
        </w:tc>
        <w:tc>
          <w:tcPr>
            <w:tcW w:w="18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w:t>
            </w:r>
          </w:p>
        </w:tc>
        <w:tc>
          <w:tcPr>
            <w:tcW w:w="2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0</w:t>
            </w: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67</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0</w:t>
            </w: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(186)</w:t>
            </w:r>
          </w:p>
        </w:tc>
        <w:tc>
          <w:tcPr>
            <w:tcW w:w="24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40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020" w:type="dxa"/>
            <w:vAlign w:val="bottom"/>
          </w:tcPr>
          <w:p>
            <w:pPr>
              <w:spacing w:after="0"/>
              <w:rPr>
                <w:sz w:val="5"/>
                <w:szCs w:val="5"/>
                <w:color w:val="auto"/>
              </w:rPr>
            </w:pPr>
          </w:p>
        </w:tc>
        <w:tc>
          <w:tcPr>
            <w:tcW w:w="180" w:type="dxa"/>
            <w:vAlign w:val="bottom"/>
          </w:tcPr>
          <w:p>
            <w:pPr>
              <w:spacing w:after="0"/>
              <w:rPr>
                <w:sz w:val="5"/>
                <w:szCs w:val="5"/>
                <w:color w:val="auto"/>
              </w:rPr>
            </w:pPr>
          </w:p>
        </w:tc>
        <w:tc>
          <w:tcPr>
            <w:tcW w:w="860" w:type="dxa"/>
            <w:vAlign w:val="bottom"/>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70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320" w:type="dxa"/>
            <w:vAlign w:val="bottom"/>
          </w:tcPr>
          <w:p>
            <w:pPr>
              <w:spacing w:after="0"/>
              <w:rPr>
                <w:sz w:val="5"/>
                <w:szCs w:val="5"/>
                <w:color w:val="auto"/>
              </w:rPr>
            </w:pPr>
          </w:p>
        </w:tc>
        <w:tc>
          <w:tcPr>
            <w:tcW w:w="70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760" w:type="dxa"/>
            <w:vAlign w:val="bottom"/>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020" w:type="dxa"/>
            <w:vAlign w:val="bottom"/>
            <w:shd w:val="clear" w:color="auto" w:fill="E5E5E5"/>
          </w:tcPr>
          <w:p>
            <w:pPr>
              <w:ind w:left="200"/>
              <w:spacing w:after="0"/>
              <w:rPr>
                <w:sz w:val="20"/>
                <w:szCs w:val="20"/>
                <w:color w:val="auto"/>
              </w:rPr>
            </w:pPr>
            <w:r>
              <w:rPr>
                <w:rFonts w:ascii="Arial" w:cs="Arial" w:eastAsia="Arial" w:hAnsi="Arial"/>
                <w:sz w:val="18"/>
                <w:szCs w:val="18"/>
                <w:color w:val="auto"/>
              </w:rPr>
              <w:t>Total</w:t>
            </w:r>
          </w:p>
        </w:tc>
        <w:tc>
          <w:tcPr>
            <w:tcW w:w="180" w:type="dxa"/>
            <w:vAlign w:val="bottom"/>
            <w:shd w:val="clear" w:color="auto" w:fill="E5E5E5"/>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80</w:t>
            </w:r>
          </w:p>
        </w:tc>
        <w:tc>
          <w:tcPr>
            <w:tcW w:w="200" w:type="dxa"/>
            <w:vAlign w:val="bottom"/>
            <w:shd w:val="clear" w:color="auto" w:fill="E5E5E5"/>
          </w:tcPr>
          <w:p>
            <w:pPr>
              <w:spacing w:after="0"/>
              <w:rPr>
                <w:sz w:val="21"/>
                <w:szCs w:val="21"/>
                <w:color w:val="auto"/>
              </w:rPr>
            </w:pPr>
          </w:p>
        </w:tc>
        <w:tc>
          <w:tcPr>
            <w:tcW w:w="340" w:type="dxa"/>
            <w:vAlign w:val="bottom"/>
            <w:shd w:val="clear" w:color="auto" w:fill="E5E5E5"/>
          </w:tcPr>
          <w:p>
            <w:pPr>
              <w:jc w:val="right"/>
              <w:ind w:right="15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133</w:t>
            </w:r>
          </w:p>
        </w:tc>
        <w:tc>
          <w:tcPr>
            <w:tcW w:w="140" w:type="dxa"/>
            <w:vAlign w:val="bottom"/>
            <w:shd w:val="clear" w:color="auto" w:fill="E5E5E5"/>
          </w:tcPr>
          <w:p>
            <w:pPr>
              <w:spacing w:after="0"/>
              <w:rPr>
                <w:sz w:val="21"/>
                <w:szCs w:val="21"/>
                <w:color w:val="auto"/>
              </w:rPr>
            </w:pPr>
          </w:p>
        </w:tc>
        <w:tc>
          <w:tcPr>
            <w:tcW w:w="260" w:type="dxa"/>
            <w:vAlign w:val="bottom"/>
            <w:gridSpan w:val="2"/>
            <w:shd w:val="clear" w:color="auto" w:fill="E5E5E5"/>
          </w:tcPr>
          <w:p>
            <w:pPr>
              <w:jc w:val="right"/>
              <w:ind w:right="80"/>
              <w:spacing w:after="0"/>
              <w:rPr>
                <w:sz w:val="20"/>
                <w:szCs w:val="20"/>
                <w:color w:val="auto"/>
              </w:rPr>
            </w:pPr>
            <w:r>
              <w:rPr>
                <w:rFonts w:ascii="Arial" w:cs="Arial" w:eastAsia="Arial" w:hAnsi="Arial"/>
                <w:sz w:val="18"/>
                <w:szCs w:val="18"/>
                <w:color w:val="auto"/>
              </w:rPr>
              <w:t>$</w:t>
            </w:r>
          </w:p>
        </w:tc>
        <w:tc>
          <w:tcPr>
            <w:tcW w:w="8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67</w:t>
            </w:r>
          </w:p>
        </w:tc>
        <w:tc>
          <w:tcPr>
            <w:tcW w:w="80" w:type="dxa"/>
            <w:vAlign w:val="bottom"/>
            <w:shd w:val="clear" w:color="auto" w:fill="E5E5E5"/>
          </w:tcPr>
          <w:p>
            <w:pPr>
              <w:spacing w:after="0"/>
              <w:rPr>
                <w:sz w:val="21"/>
                <w:szCs w:val="21"/>
                <w:color w:val="auto"/>
              </w:rPr>
            </w:pPr>
          </w:p>
        </w:tc>
        <w:tc>
          <w:tcPr>
            <w:tcW w:w="460" w:type="dxa"/>
            <w:vAlign w:val="bottom"/>
            <w:gridSpan w:val="2"/>
            <w:shd w:val="clear" w:color="auto" w:fill="E5E5E5"/>
          </w:tcPr>
          <w:p>
            <w:pPr>
              <w:jc w:val="right"/>
              <w:ind w:right="220"/>
              <w:spacing w:after="0"/>
              <w:rPr>
                <w:sz w:val="20"/>
                <w:szCs w:val="20"/>
                <w:color w:val="auto"/>
              </w:rPr>
            </w:pPr>
            <w:r>
              <w:rPr>
                <w:rFonts w:ascii="Arial" w:cs="Arial" w:eastAsia="Arial" w:hAnsi="Arial"/>
                <w:sz w:val="18"/>
                <w:szCs w:val="18"/>
                <w:color w:val="auto"/>
              </w:rPr>
              <w:t>$</w:t>
            </w:r>
          </w:p>
        </w:tc>
        <w:tc>
          <w:tcPr>
            <w:tcW w:w="7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0</w:t>
            </w:r>
          </w:p>
        </w:tc>
        <w:tc>
          <w:tcPr>
            <w:tcW w:w="140" w:type="dxa"/>
            <w:vAlign w:val="bottom"/>
            <w:shd w:val="clear" w:color="auto" w:fill="E5E5E5"/>
          </w:tcPr>
          <w:p>
            <w:pPr>
              <w:spacing w:after="0"/>
              <w:rPr>
                <w:sz w:val="21"/>
                <w:szCs w:val="21"/>
                <w:color w:val="auto"/>
              </w:rPr>
            </w:pPr>
          </w:p>
        </w:tc>
        <w:tc>
          <w:tcPr>
            <w:tcW w:w="340" w:type="dxa"/>
            <w:vAlign w:val="bottom"/>
            <w:gridSpan w:val="2"/>
            <w:shd w:val="clear" w:color="auto" w:fill="E5E5E5"/>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E5E5E5"/>
          </w:tcPr>
          <w:p>
            <w:pPr>
              <w:jc w:val="right"/>
              <w:ind w:right="160"/>
              <w:spacing w:after="0"/>
              <w:rPr>
                <w:sz w:val="20"/>
                <w:szCs w:val="20"/>
                <w:color w:val="auto"/>
              </w:rPr>
            </w:pPr>
            <w:r>
              <w:rPr>
                <w:rFonts w:ascii="Arial" w:cs="Arial" w:eastAsia="Arial" w:hAnsi="Arial"/>
                <w:sz w:val="18"/>
                <w:szCs w:val="18"/>
                <w:color w:val="auto"/>
              </w:rPr>
              <w:t>(189)</w:t>
            </w:r>
          </w:p>
        </w:tc>
        <w:tc>
          <w:tcPr>
            <w:tcW w:w="240" w:type="dxa"/>
            <w:vAlign w:val="bottom"/>
            <w:shd w:val="clear" w:color="auto" w:fill="E5E5E5"/>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0</w:t>
            </w:r>
          </w:p>
        </w:tc>
        <w:tc>
          <w:tcPr>
            <w:tcW w:w="80" w:type="dxa"/>
            <w:vAlign w:val="bottom"/>
            <w:shd w:val="clear" w:color="auto" w:fill="E5E5E5"/>
          </w:tcPr>
          <w:p>
            <w:pPr>
              <w:spacing w:after="0"/>
              <w:rPr>
                <w:sz w:val="21"/>
                <w:szCs w:val="21"/>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402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020" w:type="dxa"/>
            <w:vAlign w:val="bottom"/>
          </w:tcPr>
          <w:p>
            <w:pPr>
              <w:spacing w:after="0"/>
              <w:rPr>
                <w:sz w:val="5"/>
                <w:szCs w:val="5"/>
                <w:color w:val="auto"/>
              </w:rPr>
            </w:pPr>
          </w:p>
        </w:tc>
        <w:tc>
          <w:tcPr>
            <w:tcW w:w="180" w:type="dxa"/>
            <w:vAlign w:val="bottom"/>
          </w:tcPr>
          <w:p>
            <w:pPr>
              <w:spacing w:after="0"/>
              <w:rPr>
                <w:sz w:val="5"/>
                <w:szCs w:val="5"/>
                <w:color w:val="auto"/>
              </w:rPr>
            </w:pPr>
          </w:p>
        </w:tc>
        <w:tc>
          <w:tcPr>
            <w:tcW w:w="860" w:type="dxa"/>
            <w:vAlign w:val="bottom"/>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70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320" w:type="dxa"/>
            <w:vAlign w:val="bottom"/>
          </w:tcPr>
          <w:p>
            <w:pPr>
              <w:spacing w:after="0"/>
              <w:rPr>
                <w:sz w:val="5"/>
                <w:szCs w:val="5"/>
                <w:color w:val="auto"/>
              </w:rPr>
            </w:pPr>
          </w:p>
        </w:tc>
        <w:tc>
          <w:tcPr>
            <w:tcW w:w="70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760" w:type="dxa"/>
            <w:vAlign w:val="bottom"/>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020" w:type="dxa"/>
            <w:vAlign w:val="bottom"/>
            <w:shd w:val="clear" w:color="auto" w:fill="E5E5E5"/>
          </w:tcPr>
          <w:p>
            <w:pPr>
              <w:ind w:left="420"/>
              <w:spacing w:after="0"/>
              <w:rPr>
                <w:sz w:val="20"/>
                <w:szCs w:val="20"/>
                <w:color w:val="auto"/>
              </w:rPr>
            </w:pPr>
            <w:r>
              <w:rPr>
                <w:rFonts w:ascii="Arial" w:cs="Arial" w:eastAsia="Arial" w:hAnsi="Arial"/>
                <w:sz w:val="18"/>
                <w:szCs w:val="18"/>
                <w:color w:val="auto"/>
              </w:rPr>
              <w:t>Total gross amounts of derivatives</w:t>
            </w:r>
          </w:p>
        </w:tc>
        <w:tc>
          <w:tcPr>
            <w:tcW w:w="180" w:type="dxa"/>
            <w:vAlign w:val="bottom"/>
            <w:shd w:val="clear" w:color="auto" w:fill="E5E5E5"/>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100</w:t>
            </w:r>
          </w:p>
        </w:tc>
        <w:tc>
          <w:tcPr>
            <w:tcW w:w="200" w:type="dxa"/>
            <w:vAlign w:val="bottom"/>
            <w:shd w:val="clear" w:color="auto" w:fill="E5E5E5"/>
          </w:tcPr>
          <w:p>
            <w:pPr>
              <w:spacing w:after="0"/>
              <w:rPr>
                <w:sz w:val="21"/>
                <w:szCs w:val="21"/>
                <w:color w:val="auto"/>
              </w:rPr>
            </w:pPr>
          </w:p>
        </w:tc>
        <w:tc>
          <w:tcPr>
            <w:tcW w:w="340" w:type="dxa"/>
            <w:vAlign w:val="bottom"/>
            <w:shd w:val="clear" w:color="auto" w:fill="E5E5E5"/>
          </w:tcPr>
          <w:p>
            <w:pPr>
              <w:jc w:val="right"/>
              <w:ind w:right="15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336</w:t>
            </w:r>
          </w:p>
        </w:tc>
        <w:tc>
          <w:tcPr>
            <w:tcW w:w="140" w:type="dxa"/>
            <w:vAlign w:val="bottom"/>
            <w:shd w:val="clear" w:color="auto" w:fill="E5E5E5"/>
          </w:tcPr>
          <w:p>
            <w:pPr>
              <w:spacing w:after="0"/>
              <w:rPr>
                <w:sz w:val="21"/>
                <w:szCs w:val="21"/>
                <w:color w:val="auto"/>
              </w:rPr>
            </w:pPr>
          </w:p>
        </w:tc>
        <w:tc>
          <w:tcPr>
            <w:tcW w:w="260" w:type="dxa"/>
            <w:vAlign w:val="bottom"/>
            <w:gridSpan w:val="2"/>
            <w:shd w:val="clear" w:color="auto" w:fill="E5E5E5"/>
          </w:tcPr>
          <w:p>
            <w:pPr>
              <w:jc w:val="right"/>
              <w:ind w:right="80"/>
              <w:spacing w:after="0"/>
              <w:rPr>
                <w:sz w:val="20"/>
                <w:szCs w:val="20"/>
                <w:color w:val="auto"/>
              </w:rPr>
            </w:pPr>
            <w:r>
              <w:rPr>
                <w:rFonts w:ascii="Arial" w:cs="Arial" w:eastAsia="Arial" w:hAnsi="Arial"/>
                <w:sz w:val="18"/>
                <w:szCs w:val="18"/>
                <w:color w:val="auto"/>
              </w:rPr>
              <w:t>$</w:t>
            </w:r>
          </w:p>
        </w:tc>
        <w:tc>
          <w:tcPr>
            <w:tcW w:w="8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67</w:t>
            </w:r>
          </w:p>
        </w:tc>
        <w:tc>
          <w:tcPr>
            <w:tcW w:w="80" w:type="dxa"/>
            <w:vAlign w:val="bottom"/>
            <w:shd w:val="clear" w:color="auto" w:fill="E5E5E5"/>
          </w:tcPr>
          <w:p>
            <w:pPr>
              <w:spacing w:after="0"/>
              <w:rPr>
                <w:sz w:val="21"/>
                <w:szCs w:val="21"/>
                <w:color w:val="auto"/>
              </w:rPr>
            </w:pPr>
          </w:p>
        </w:tc>
        <w:tc>
          <w:tcPr>
            <w:tcW w:w="460" w:type="dxa"/>
            <w:vAlign w:val="bottom"/>
            <w:gridSpan w:val="2"/>
            <w:shd w:val="clear" w:color="auto" w:fill="E5E5E5"/>
          </w:tcPr>
          <w:p>
            <w:pPr>
              <w:jc w:val="right"/>
              <w:ind w:right="220"/>
              <w:spacing w:after="0"/>
              <w:rPr>
                <w:sz w:val="20"/>
                <w:szCs w:val="20"/>
                <w:color w:val="auto"/>
              </w:rPr>
            </w:pPr>
            <w:r>
              <w:rPr>
                <w:rFonts w:ascii="Arial" w:cs="Arial" w:eastAsia="Arial" w:hAnsi="Arial"/>
                <w:sz w:val="18"/>
                <w:szCs w:val="18"/>
                <w:color w:val="auto"/>
              </w:rPr>
              <w:t>$</w:t>
            </w:r>
          </w:p>
        </w:tc>
        <w:tc>
          <w:tcPr>
            <w:tcW w:w="7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6</w:t>
            </w:r>
          </w:p>
        </w:tc>
        <w:tc>
          <w:tcPr>
            <w:tcW w:w="140" w:type="dxa"/>
            <w:vAlign w:val="bottom"/>
            <w:shd w:val="clear" w:color="auto" w:fill="E5E5E5"/>
          </w:tcPr>
          <w:p>
            <w:pPr>
              <w:spacing w:after="0"/>
              <w:rPr>
                <w:sz w:val="21"/>
                <w:szCs w:val="21"/>
                <w:color w:val="auto"/>
              </w:rPr>
            </w:pPr>
          </w:p>
        </w:tc>
        <w:tc>
          <w:tcPr>
            <w:tcW w:w="340" w:type="dxa"/>
            <w:vAlign w:val="bottom"/>
            <w:gridSpan w:val="2"/>
            <w:shd w:val="clear" w:color="auto" w:fill="E5E5E5"/>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E5E5E5"/>
          </w:tcPr>
          <w:p>
            <w:pPr>
              <w:jc w:val="right"/>
              <w:ind w:right="160"/>
              <w:spacing w:after="0"/>
              <w:rPr>
                <w:sz w:val="20"/>
                <w:szCs w:val="20"/>
                <w:color w:val="auto"/>
              </w:rPr>
            </w:pPr>
            <w:r>
              <w:rPr>
                <w:rFonts w:ascii="Arial" w:cs="Arial" w:eastAsia="Arial" w:hAnsi="Arial"/>
                <w:sz w:val="18"/>
                <w:szCs w:val="18"/>
                <w:color w:val="auto"/>
              </w:rPr>
              <w:t>(337)</w:t>
            </w:r>
          </w:p>
        </w:tc>
        <w:tc>
          <w:tcPr>
            <w:tcW w:w="240" w:type="dxa"/>
            <w:vAlign w:val="bottom"/>
            <w:shd w:val="clear" w:color="auto" w:fill="E5E5E5"/>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E5E5E5"/>
          </w:tcPr>
          <w:p>
            <w:pPr>
              <w:jc w:val="right"/>
              <w:ind w:right="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4020" w:type="dxa"/>
            <w:vAlign w:val="bottom"/>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4020" w:type="dxa"/>
            <w:vAlign w:val="bottom"/>
          </w:tcPr>
          <w:p>
            <w:pPr>
              <w:spacing w:after="0"/>
              <w:rPr>
                <w:sz w:val="5"/>
                <w:szCs w:val="5"/>
                <w:color w:val="auto"/>
              </w:rPr>
            </w:pPr>
          </w:p>
        </w:tc>
        <w:tc>
          <w:tcPr>
            <w:tcW w:w="180" w:type="dxa"/>
            <w:vAlign w:val="bottom"/>
          </w:tcPr>
          <w:p>
            <w:pPr>
              <w:spacing w:after="0"/>
              <w:rPr>
                <w:sz w:val="5"/>
                <w:szCs w:val="5"/>
                <w:color w:val="auto"/>
              </w:rPr>
            </w:pPr>
          </w:p>
        </w:tc>
        <w:tc>
          <w:tcPr>
            <w:tcW w:w="860" w:type="dxa"/>
            <w:vAlign w:val="bottom"/>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70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320" w:type="dxa"/>
            <w:vAlign w:val="bottom"/>
          </w:tcPr>
          <w:p>
            <w:pPr>
              <w:spacing w:after="0"/>
              <w:rPr>
                <w:sz w:val="5"/>
                <w:szCs w:val="5"/>
                <w:color w:val="auto"/>
              </w:rPr>
            </w:pPr>
          </w:p>
        </w:tc>
        <w:tc>
          <w:tcPr>
            <w:tcW w:w="70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760" w:type="dxa"/>
            <w:vAlign w:val="bottom"/>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4020" w:type="dxa"/>
            <w:vAlign w:val="bottom"/>
            <w:shd w:val="clear" w:color="auto" w:fill="E5E5E5"/>
          </w:tcPr>
          <w:p>
            <w:pPr>
              <w:spacing w:after="0" w:line="180" w:lineRule="exact"/>
              <w:rPr>
                <w:sz w:val="20"/>
                <w:szCs w:val="20"/>
                <w:color w:val="auto"/>
              </w:rPr>
            </w:pPr>
            <w:r>
              <w:rPr>
                <w:rFonts w:ascii="Arial" w:cs="Arial" w:eastAsia="Arial" w:hAnsi="Arial"/>
                <w:sz w:val="18"/>
                <w:szCs w:val="18"/>
                <w:color w:val="auto"/>
              </w:rPr>
              <w:t>Gross derivatives either offset or subject to an</w:t>
            </w:r>
          </w:p>
        </w:tc>
        <w:tc>
          <w:tcPr>
            <w:tcW w:w="180" w:type="dxa"/>
            <w:vAlign w:val="bottom"/>
            <w:shd w:val="clear" w:color="auto" w:fill="E5E5E5"/>
          </w:tcPr>
          <w:p>
            <w:pPr>
              <w:spacing w:after="0"/>
              <w:rPr>
                <w:sz w:val="15"/>
                <w:szCs w:val="15"/>
                <w:color w:val="auto"/>
              </w:rPr>
            </w:pPr>
          </w:p>
        </w:tc>
        <w:tc>
          <w:tcPr>
            <w:tcW w:w="860" w:type="dxa"/>
            <w:vAlign w:val="bottom"/>
            <w:shd w:val="clear" w:color="auto" w:fill="E5E5E5"/>
          </w:tcPr>
          <w:p>
            <w:pPr>
              <w:spacing w:after="0"/>
              <w:rPr>
                <w:sz w:val="15"/>
                <w:szCs w:val="15"/>
                <w:color w:val="auto"/>
              </w:rPr>
            </w:pPr>
          </w:p>
        </w:tc>
        <w:tc>
          <w:tcPr>
            <w:tcW w:w="200" w:type="dxa"/>
            <w:vAlign w:val="bottom"/>
            <w:shd w:val="clear" w:color="auto" w:fill="E5E5E5"/>
          </w:tcPr>
          <w:p>
            <w:pPr>
              <w:spacing w:after="0"/>
              <w:rPr>
                <w:sz w:val="15"/>
                <w:szCs w:val="15"/>
                <w:color w:val="auto"/>
              </w:rPr>
            </w:pPr>
          </w:p>
        </w:tc>
        <w:tc>
          <w:tcPr>
            <w:tcW w:w="340" w:type="dxa"/>
            <w:vAlign w:val="bottom"/>
            <w:shd w:val="clear" w:color="auto" w:fill="E5E5E5"/>
          </w:tcPr>
          <w:p>
            <w:pPr>
              <w:spacing w:after="0"/>
              <w:rPr>
                <w:sz w:val="15"/>
                <w:szCs w:val="15"/>
                <w:color w:val="auto"/>
              </w:rPr>
            </w:pPr>
          </w:p>
        </w:tc>
        <w:tc>
          <w:tcPr>
            <w:tcW w:w="700" w:type="dxa"/>
            <w:vAlign w:val="bottom"/>
            <w:shd w:val="clear" w:color="auto" w:fill="E5E5E5"/>
          </w:tcPr>
          <w:p>
            <w:pPr>
              <w:spacing w:after="0"/>
              <w:rPr>
                <w:sz w:val="15"/>
                <w:szCs w:val="15"/>
                <w:color w:val="auto"/>
              </w:rPr>
            </w:pPr>
          </w:p>
        </w:tc>
        <w:tc>
          <w:tcPr>
            <w:tcW w:w="140" w:type="dxa"/>
            <w:vAlign w:val="bottom"/>
            <w:shd w:val="clear" w:color="auto" w:fill="E5E5E5"/>
          </w:tcPr>
          <w:p>
            <w:pPr>
              <w:spacing w:after="0"/>
              <w:rPr>
                <w:sz w:val="15"/>
                <w:szCs w:val="15"/>
                <w:color w:val="auto"/>
              </w:rPr>
            </w:pPr>
          </w:p>
        </w:tc>
        <w:tc>
          <w:tcPr>
            <w:tcW w:w="80" w:type="dxa"/>
            <w:vAlign w:val="bottom"/>
            <w:shd w:val="clear" w:color="auto" w:fill="E5E5E5"/>
          </w:tcPr>
          <w:p>
            <w:pPr>
              <w:spacing w:after="0"/>
              <w:rPr>
                <w:sz w:val="15"/>
                <w:szCs w:val="15"/>
                <w:color w:val="auto"/>
              </w:rPr>
            </w:pPr>
          </w:p>
        </w:tc>
        <w:tc>
          <w:tcPr>
            <w:tcW w:w="180" w:type="dxa"/>
            <w:vAlign w:val="bottom"/>
            <w:shd w:val="clear" w:color="auto" w:fill="E5E5E5"/>
          </w:tcPr>
          <w:p>
            <w:pPr>
              <w:spacing w:after="0"/>
              <w:rPr>
                <w:sz w:val="15"/>
                <w:szCs w:val="15"/>
                <w:color w:val="auto"/>
              </w:rPr>
            </w:pPr>
          </w:p>
        </w:tc>
        <w:tc>
          <w:tcPr>
            <w:tcW w:w="840" w:type="dxa"/>
            <w:vAlign w:val="bottom"/>
            <w:shd w:val="clear" w:color="auto" w:fill="E5E5E5"/>
          </w:tcPr>
          <w:p>
            <w:pPr>
              <w:spacing w:after="0"/>
              <w:rPr>
                <w:sz w:val="15"/>
                <w:szCs w:val="15"/>
                <w:color w:val="auto"/>
              </w:rPr>
            </w:pPr>
          </w:p>
        </w:tc>
        <w:tc>
          <w:tcPr>
            <w:tcW w:w="80" w:type="dxa"/>
            <w:vAlign w:val="bottom"/>
            <w:shd w:val="clear" w:color="auto" w:fill="E5E5E5"/>
          </w:tcPr>
          <w:p>
            <w:pPr>
              <w:spacing w:after="0"/>
              <w:rPr>
                <w:sz w:val="15"/>
                <w:szCs w:val="15"/>
                <w:color w:val="auto"/>
              </w:rPr>
            </w:pPr>
          </w:p>
        </w:tc>
        <w:tc>
          <w:tcPr>
            <w:tcW w:w="140" w:type="dxa"/>
            <w:vAlign w:val="bottom"/>
            <w:shd w:val="clear" w:color="auto" w:fill="E5E5E5"/>
          </w:tcPr>
          <w:p>
            <w:pPr>
              <w:spacing w:after="0"/>
              <w:rPr>
                <w:sz w:val="15"/>
                <w:szCs w:val="15"/>
                <w:color w:val="auto"/>
              </w:rPr>
            </w:pPr>
          </w:p>
        </w:tc>
        <w:tc>
          <w:tcPr>
            <w:tcW w:w="320" w:type="dxa"/>
            <w:vAlign w:val="bottom"/>
            <w:shd w:val="clear" w:color="auto" w:fill="E5E5E5"/>
          </w:tcPr>
          <w:p>
            <w:pPr>
              <w:spacing w:after="0"/>
              <w:rPr>
                <w:sz w:val="15"/>
                <w:szCs w:val="15"/>
                <w:color w:val="auto"/>
              </w:rPr>
            </w:pPr>
          </w:p>
        </w:tc>
        <w:tc>
          <w:tcPr>
            <w:tcW w:w="700" w:type="dxa"/>
            <w:vAlign w:val="bottom"/>
            <w:shd w:val="clear" w:color="auto" w:fill="E5E5E5"/>
          </w:tcPr>
          <w:p>
            <w:pPr>
              <w:spacing w:after="0"/>
              <w:rPr>
                <w:sz w:val="15"/>
                <w:szCs w:val="15"/>
                <w:color w:val="auto"/>
              </w:rPr>
            </w:pPr>
          </w:p>
        </w:tc>
        <w:tc>
          <w:tcPr>
            <w:tcW w:w="140" w:type="dxa"/>
            <w:vAlign w:val="bottom"/>
            <w:shd w:val="clear" w:color="auto" w:fill="E5E5E5"/>
          </w:tcPr>
          <w:p>
            <w:pPr>
              <w:spacing w:after="0"/>
              <w:rPr>
                <w:sz w:val="15"/>
                <w:szCs w:val="15"/>
                <w:color w:val="auto"/>
              </w:rPr>
            </w:pPr>
          </w:p>
        </w:tc>
        <w:tc>
          <w:tcPr>
            <w:tcW w:w="80" w:type="dxa"/>
            <w:vAlign w:val="bottom"/>
            <w:shd w:val="clear" w:color="auto" w:fill="E5E5E5"/>
          </w:tcPr>
          <w:p>
            <w:pPr>
              <w:spacing w:after="0"/>
              <w:rPr>
                <w:sz w:val="15"/>
                <w:szCs w:val="15"/>
                <w:color w:val="auto"/>
              </w:rPr>
            </w:pPr>
          </w:p>
        </w:tc>
        <w:tc>
          <w:tcPr>
            <w:tcW w:w="260" w:type="dxa"/>
            <w:vAlign w:val="bottom"/>
            <w:shd w:val="clear" w:color="auto" w:fill="E5E5E5"/>
          </w:tcPr>
          <w:p>
            <w:pPr>
              <w:spacing w:after="0"/>
              <w:rPr>
                <w:sz w:val="15"/>
                <w:szCs w:val="15"/>
                <w:color w:val="auto"/>
              </w:rPr>
            </w:pPr>
          </w:p>
        </w:tc>
        <w:tc>
          <w:tcPr>
            <w:tcW w:w="760" w:type="dxa"/>
            <w:vAlign w:val="bottom"/>
            <w:shd w:val="clear" w:color="auto" w:fill="E5E5E5"/>
          </w:tcPr>
          <w:p>
            <w:pPr>
              <w:spacing w:after="0"/>
              <w:rPr>
                <w:sz w:val="15"/>
                <w:szCs w:val="15"/>
                <w:color w:val="auto"/>
              </w:rPr>
            </w:pPr>
          </w:p>
        </w:tc>
        <w:tc>
          <w:tcPr>
            <w:tcW w:w="220" w:type="dxa"/>
            <w:vAlign w:val="bottom"/>
            <w:shd w:val="clear" w:color="auto" w:fill="E5E5E5"/>
          </w:tcPr>
          <w:p>
            <w:pPr>
              <w:spacing w:after="0"/>
              <w:rPr>
                <w:sz w:val="15"/>
                <w:szCs w:val="15"/>
                <w:color w:val="auto"/>
              </w:rPr>
            </w:pPr>
          </w:p>
        </w:tc>
        <w:tc>
          <w:tcPr>
            <w:tcW w:w="240" w:type="dxa"/>
            <w:vAlign w:val="bottom"/>
            <w:shd w:val="clear" w:color="auto" w:fill="E5E5E5"/>
          </w:tcPr>
          <w:p>
            <w:pPr>
              <w:spacing w:after="0"/>
              <w:rPr>
                <w:sz w:val="15"/>
                <w:szCs w:val="15"/>
                <w:color w:val="auto"/>
              </w:rPr>
            </w:pPr>
          </w:p>
        </w:tc>
        <w:tc>
          <w:tcPr>
            <w:tcW w:w="800" w:type="dxa"/>
            <w:vAlign w:val="bottom"/>
            <w:shd w:val="clear" w:color="auto" w:fill="E5E5E5"/>
          </w:tcPr>
          <w:p>
            <w:pPr>
              <w:spacing w:after="0"/>
              <w:rPr>
                <w:sz w:val="15"/>
                <w:szCs w:val="15"/>
                <w:color w:val="auto"/>
              </w:rPr>
            </w:pPr>
          </w:p>
        </w:tc>
        <w:tc>
          <w:tcPr>
            <w:tcW w:w="80" w:type="dxa"/>
            <w:vAlign w:val="bottom"/>
            <w:shd w:val="clear" w:color="auto" w:fill="E5E5E5"/>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4020" w:type="dxa"/>
            <w:vAlign w:val="bottom"/>
            <w:shd w:val="clear" w:color="auto" w:fill="E5E5E5"/>
          </w:tcPr>
          <w:p>
            <w:pPr>
              <w:ind w:left="200"/>
              <w:spacing w:after="0"/>
              <w:rPr>
                <w:sz w:val="20"/>
                <w:szCs w:val="20"/>
                <w:color w:val="auto"/>
              </w:rPr>
            </w:pPr>
            <w:r>
              <w:rPr>
                <w:rFonts w:ascii="Arial" w:cs="Arial" w:eastAsia="Arial" w:hAnsi="Arial"/>
                <w:sz w:val="18"/>
                <w:szCs w:val="18"/>
                <w:color w:val="auto"/>
              </w:rPr>
              <w:t>enforceable master netting agreement</w:t>
            </w:r>
          </w:p>
        </w:tc>
        <w:tc>
          <w:tcPr>
            <w:tcW w:w="180" w:type="dxa"/>
            <w:vAlign w:val="bottom"/>
            <w:shd w:val="clear" w:color="auto" w:fill="E5E5E5"/>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100</w:t>
            </w:r>
          </w:p>
        </w:tc>
        <w:tc>
          <w:tcPr>
            <w:tcW w:w="200" w:type="dxa"/>
            <w:vAlign w:val="bottom"/>
            <w:shd w:val="clear" w:color="auto" w:fill="E5E5E5"/>
          </w:tcPr>
          <w:p>
            <w:pPr>
              <w:spacing w:after="0"/>
              <w:rPr>
                <w:sz w:val="19"/>
                <w:szCs w:val="19"/>
                <w:color w:val="auto"/>
              </w:rPr>
            </w:pPr>
          </w:p>
        </w:tc>
        <w:tc>
          <w:tcPr>
            <w:tcW w:w="340" w:type="dxa"/>
            <w:vAlign w:val="bottom"/>
            <w:shd w:val="clear" w:color="auto" w:fill="E5E5E5"/>
          </w:tcPr>
          <w:p>
            <w:pPr>
              <w:jc w:val="right"/>
              <w:ind w:right="15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336</w:t>
            </w:r>
          </w:p>
        </w:tc>
        <w:tc>
          <w:tcPr>
            <w:tcW w:w="140" w:type="dxa"/>
            <w:vAlign w:val="bottom"/>
            <w:shd w:val="clear" w:color="auto" w:fill="E5E5E5"/>
          </w:tcPr>
          <w:p>
            <w:pPr>
              <w:spacing w:after="0"/>
              <w:rPr>
                <w:sz w:val="19"/>
                <w:szCs w:val="19"/>
                <w:color w:val="auto"/>
              </w:rPr>
            </w:pPr>
          </w:p>
        </w:tc>
        <w:tc>
          <w:tcPr>
            <w:tcW w:w="260" w:type="dxa"/>
            <w:vAlign w:val="bottom"/>
            <w:gridSpan w:val="2"/>
            <w:shd w:val="clear" w:color="auto" w:fill="E5E5E5"/>
          </w:tcPr>
          <w:p>
            <w:pPr>
              <w:jc w:val="right"/>
              <w:ind w:right="80"/>
              <w:spacing w:after="0"/>
              <w:rPr>
                <w:sz w:val="20"/>
                <w:szCs w:val="20"/>
                <w:color w:val="auto"/>
              </w:rPr>
            </w:pPr>
            <w:r>
              <w:rPr>
                <w:rFonts w:ascii="Arial" w:cs="Arial" w:eastAsia="Arial" w:hAnsi="Arial"/>
                <w:sz w:val="18"/>
                <w:szCs w:val="18"/>
                <w:color w:val="auto"/>
              </w:rPr>
              <w:t>$</w:t>
            </w:r>
          </w:p>
        </w:tc>
        <w:tc>
          <w:tcPr>
            <w:tcW w:w="8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67</w:t>
            </w:r>
          </w:p>
        </w:tc>
        <w:tc>
          <w:tcPr>
            <w:tcW w:w="80" w:type="dxa"/>
            <w:vAlign w:val="bottom"/>
            <w:shd w:val="clear" w:color="auto" w:fill="E5E5E5"/>
          </w:tcPr>
          <w:p>
            <w:pPr>
              <w:spacing w:after="0"/>
              <w:rPr>
                <w:sz w:val="19"/>
                <w:szCs w:val="19"/>
                <w:color w:val="auto"/>
              </w:rPr>
            </w:pPr>
          </w:p>
        </w:tc>
        <w:tc>
          <w:tcPr>
            <w:tcW w:w="460" w:type="dxa"/>
            <w:vAlign w:val="bottom"/>
            <w:gridSpan w:val="2"/>
            <w:shd w:val="clear" w:color="auto" w:fill="E5E5E5"/>
          </w:tcPr>
          <w:p>
            <w:pPr>
              <w:jc w:val="right"/>
              <w:ind w:right="220"/>
              <w:spacing w:after="0"/>
              <w:rPr>
                <w:sz w:val="20"/>
                <w:szCs w:val="20"/>
                <w:color w:val="auto"/>
              </w:rPr>
            </w:pPr>
            <w:r>
              <w:rPr>
                <w:rFonts w:ascii="Arial" w:cs="Arial" w:eastAsia="Arial" w:hAnsi="Arial"/>
                <w:sz w:val="18"/>
                <w:szCs w:val="18"/>
                <w:color w:val="auto"/>
              </w:rPr>
              <w:t>$</w:t>
            </w:r>
          </w:p>
        </w:tc>
        <w:tc>
          <w:tcPr>
            <w:tcW w:w="7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6</w:t>
            </w:r>
          </w:p>
        </w:tc>
        <w:tc>
          <w:tcPr>
            <w:tcW w:w="140" w:type="dxa"/>
            <w:vAlign w:val="bottom"/>
            <w:shd w:val="clear" w:color="auto" w:fill="E5E5E5"/>
          </w:tcPr>
          <w:p>
            <w:pPr>
              <w:spacing w:after="0"/>
              <w:rPr>
                <w:sz w:val="19"/>
                <w:szCs w:val="19"/>
                <w:color w:val="auto"/>
              </w:rPr>
            </w:pPr>
          </w:p>
        </w:tc>
        <w:tc>
          <w:tcPr>
            <w:tcW w:w="340" w:type="dxa"/>
            <w:vAlign w:val="bottom"/>
            <w:gridSpan w:val="2"/>
            <w:shd w:val="clear" w:color="auto" w:fill="E5E5E5"/>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E5E5E5"/>
          </w:tcPr>
          <w:p>
            <w:pPr>
              <w:jc w:val="right"/>
              <w:ind w:right="160"/>
              <w:spacing w:after="0"/>
              <w:rPr>
                <w:sz w:val="20"/>
                <w:szCs w:val="20"/>
                <w:color w:val="auto"/>
              </w:rPr>
            </w:pPr>
            <w:r>
              <w:rPr>
                <w:rFonts w:ascii="Arial" w:cs="Arial" w:eastAsia="Arial" w:hAnsi="Arial"/>
                <w:sz w:val="18"/>
                <w:szCs w:val="18"/>
                <w:color w:val="auto"/>
              </w:rPr>
              <w:t>(334)</w:t>
            </w:r>
          </w:p>
        </w:tc>
        <w:tc>
          <w:tcPr>
            <w:tcW w:w="240" w:type="dxa"/>
            <w:vAlign w:val="bottom"/>
            <w:shd w:val="clear" w:color="auto" w:fill="E5E5E5"/>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E5E5E5"/>
          </w:tcPr>
          <w:p>
            <w:pPr>
              <w:jc w:val="right"/>
              <w:ind w:right="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020" w:type="dxa"/>
            <w:vAlign w:val="bottom"/>
          </w:tcPr>
          <w:p>
            <w:pPr>
              <w:spacing w:after="0" w:line="180" w:lineRule="exact"/>
              <w:rPr>
                <w:sz w:val="20"/>
                <w:szCs w:val="20"/>
                <w:color w:val="auto"/>
              </w:rPr>
            </w:pPr>
            <w:r>
              <w:rPr>
                <w:rFonts w:ascii="Arial" w:cs="Arial" w:eastAsia="Arial" w:hAnsi="Arial"/>
                <w:sz w:val="18"/>
                <w:szCs w:val="18"/>
                <w:color w:val="auto"/>
              </w:rPr>
              <w:t>Gross amounts of derivatives offset on the</w:t>
            </w: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020" w:type="dxa"/>
            <w:vAlign w:val="bottom"/>
          </w:tcPr>
          <w:p>
            <w:pPr>
              <w:ind w:left="200"/>
              <w:spacing w:after="0"/>
              <w:rPr>
                <w:sz w:val="20"/>
                <w:szCs w:val="20"/>
                <w:color w:val="auto"/>
              </w:rPr>
            </w:pPr>
            <w:r>
              <w:rPr>
                <w:rFonts w:ascii="Arial" w:cs="Arial" w:eastAsia="Arial" w:hAnsi="Arial"/>
                <w:sz w:val="18"/>
                <w:szCs w:val="18"/>
                <w:color w:val="auto"/>
              </w:rPr>
              <w:t>balance sheet</w:t>
            </w:r>
          </w:p>
        </w:tc>
        <w:tc>
          <w:tcPr>
            <w:tcW w:w="180" w:type="dxa"/>
            <w:vAlign w:val="bottom"/>
          </w:tcPr>
          <w:p>
            <w:pPr>
              <w:spacing w:after="0"/>
              <w:rPr>
                <w:sz w:val="21"/>
                <w:szCs w:val="21"/>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(20)</w:t>
            </w:r>
          </w:p>
        </w:tc>
        <w:tc>
          <w:tcPr>
            <w:tcW w:w="340" w:type="dxa"/>
            <w:vAlign w:val="bottom"/>
          </w:tcPr>
          <w:p>
            <w:pPr>
              <w:spacing w:after="0"/>
              <w:rPr>
                <w:sz w:val="21"/>
                <w:szCs w:val="21"/>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(132)</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(67)</w:t>
            </w: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221</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40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020" w:type="dxa"/>
            <w:vAlign w:val="bottom"/>
          </w:tcPr>
          <w:p>
            <w:pPr>
              <w:spacing w:after="0"/>
              <w:rPr>
                <w:sz w:val="5"/>
                <w:szCs w:val="5"/>
                <w:color w:val="auto"/>
              </w:rPr>
            </w:pPr>
          </w:p>
        </w:tc>
        <w:tc>
          <w:tcPr>
            <w:tcW w:w="180" w:type="dxa"/>
            <w:vAlign w:val="bottom"/>
          </w:tcPr>
          <w:p>
            <w:pPr>
              <w:spacing w:after="0"/>
              <w:rPr>
                <w:sz w:val="5"/>
                <w:szCs w:val="5"/>
                <w:color w:val="auto"/>
              </w:rPr>
            </w:pPr>
          </w:p>
        </w:tc>
        <w:tc>
          <w:tcPr>
            <w:tcW w:w="860" w:type="dxa"/>
            <w:vAlign w:val="bottom"/>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70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320" w:type="dxa"/>
            <w:vAlign w:val="bottom"/>
          </w:tcPr>
          <w:p>
            <w:pPr>
              <w:spacing w:after="0"/>
              <w:rPr>
                <w:sz w:val="5"/>
                <w:szCs w:val="5"/>
                <w:color w:val="auto"/>
              </w:rPr>
            </w:pPr>
          </w:p>
        </w:tc>
        <w:tc>
          <w:tcPr>
            <w:tcW w:w="70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760" w:type="dxa"/>
            <w:vAlign w:val="bottom"/>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020" w:type="dxa"/>
            <w:vAlign w:val="bottom"/>
            <w:shd w:val="clear" w:color="auto" w:fill="E5E5E5"/>
          </w:tcPr>
          <w:p>
            <w:pPr>
              <w:ind w:left="200"/>
              <w:spacing w:after="0"/>
              <w:rPr>
                <w:sz w:val="20"/>
                <w:szCs w:val="20"/>
                <w:color w:val="auto"/>
              </w:rPr>
            </w:pPr>
            <w:r>
              <w:rPr>
                <w:rFonts w:ascii="Arial" w:cs="Arial" w:eastAsia="Arial" w:hAnsi="Arial"/>
                <w:sz w:val="18"/>
                <w:szCs w:val="18"/>
                <w:color w:val="auto"/>
              </w:rPr>
              <w:t>Net amounts presented on the balance sheet</w:t>
            </w:r>
          </w:p>
        </w:tc>
        <w:tc>
          <w:tcPr>
            <w:tcW w:w="180" w:type="dxa"/>
            <w:vAlign w:val="bottom"/>
            <w:shd w:val="clear" w:color="auto" w:fill="E5E5E5"/>
          </w:tcPr>
          <w:p>
            <w:pPr>
              <w:spacing w:after="0"/>
              <w:rPr>
                <w:sz w:val="21"/>
                <w:szCs w:val="21"/>
                <w:color w:val="auto"/>
              </w:rPr>
            </w:pPr>
          </w:p>
        </w:tc>
        <w:tc>
          <w:tcPr>
            <w:tcW w:w="8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80</w:t>
            </w:r>
          </w:p>
        </w:tc>
        <w:tc>
          <w:tcPr>
            <w:tcW w:w="200" w:type="dxa"/>
            <w:vAlign w:val="bottom"/>
            <w:shd w:val="clear" w:color="auto" w:fill="E5E5E5"/>
          </w:tcPr>
          <w:p>
            <w:pPr>
              <w:spacing w:after="0"/>
              <w:rPr>
                <w:sz w:val="21"/>
                <w:szCs w:val="21"/>
                <w:color w:val="auto"/>
              </w:rPr>
            </w:pPr>
          </w:p>
        </w:tc>
        <w:tc>
          <w:tcPr>
            <w:tcW w:w="340" w:type="dxa"/>
            <w:vAlign w:val="bottom"/>
            <w:shd w:val="clear" w:color="auto" w:fill="E5E5E5"/>
          </w:tcPr>
          <w:p>
            <w:pPr>
              <w:spacing w:after="0"/>
              <w:rPr>
                <w:sz w:val="21"/>
                <w:szCs w:val="21"/>
                <w:color w:val="auto"/>
              </w:rPr>
            </w:pPr>
          </w:p>
        </w:tc>
        <w:tc>
          <w:tcPr>
            <w:tcW w:w="7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204</w:t>
            </w:r>
          </w:p>
        </w:tc>
        <w:tc>
          <w:tcPr>
            <w:tcW w:w="140" w:type="dxa"/>
            <w:vAlign w:val="bottom"/>
            <w:shd w:val="clear" w:color="auto" w:fill="E5E5E5"/>
          </w:tcPr>
          <w:p>
            <w:pPr>
              <w:spacing w:after="0"/>
              <w:rPr>
                <w:sz w:val="21"/>
                <w:szCs w:val="21"/>
                <w:color w:val="auto"/>
              </w:rPr>
            </w:pPr>
          </w:p>
        </w:tc>
        <w:tc>
          <w:tcPr>
            <w:tcW w:w="80" w:type="dxa"/>
            <w:vAlign w:val="bottom"/>
            <w:shd w:val="clear" w:color="auto" w:fill="E5E5E5"/>
          </w:tcPr>
          <w:p>
            <w:pPr>
              <w:spacing w:after="0"/>
              <w:rPr>
                <w:sz w:val="21"/>
                <w:szCs w:val="21"/>
                <w:color w:val="auto"/>
              </w:rPr>
            </w:pPr>
          </w:p>
        </w:tc>
        <w:tc>
          <w:tcPr>
            <w:tcW w:w="180" w:type="dxa"/>
            <w:vAlign w:val="bottom"/>
            <w:shd w:val="clear" w:color="auto" w:fill="E5E5E5"/>
          </w:tcPr>
          <w:p>
            <w:pPr>
              <w:spacing w:after="0"/>
              <w:rPr>
                <w:sz w:val="21"/>
                <w:szCs w:val="21"/>
                <w:color w:val="auto"/>
              </w:rPr>
            </w:pPr>
          </w:p>
        </w:tc>
        <w:tc>
          <w:tcPr>
            <w:tcW w:w="8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0</w:t>
            </w:r>
          </w:p>
        </w:tc>
        <w:tc>
          <w:tcPr>
            <w:tcW w:w="80" w:type="dxa"/>
            <w:vAlign w:val="bottom"/>
            <w:shd w:val="clear" w:color="auto" w:fill="E5E5E5"/>
          </w:tcPr>
          <w:p>
            <w:pPr>
              <w:spacing w:after="0"/>
              <w:rPr>
                <w:sz w:val="21"/>
                <w:szCs w:val="21"/>
                <w:color w:val="auto"/>
              </w:rPr>
            </w:pPr>
          </w:p>
        </w:tc>
        <w:tc>
          <w:tcPr>
            <w:tcW w:w="140" w:type="dxa"/>
            <w:vAlign w:val="bottom"/>
            <w:shd w:val="clear" w:color="auto" w:fill="E5E5E5"/>
          </w:tcPr>
          <w:p>
            <w:pPr>
              <w:spacing w:after="0"/>
              <w:rPr>
                <w:sz w:val="21"/>
                <w:szCs w:val="21"/>
                <w:color w:val="auto"/>
              </w:rPr>
            </w:pPr>
          </w:p>
        </w:tc>
        <w:tc>
          <w:tcPr>
            <w:tcW w:w="320" w:type="dxa"/>
            <w:vAlign w:val="bottom"/>
            <w:shd w:val="clear" w:color="auto" w:fill="E5E5E5"/>
          </w:tcPr>
          <w:p>
            <w:pPr>
              <w:spacing w:after="0"/>
              <w:rPr>
                <w:sz w:val="21"/>
                <w:szCs w:val="21"/>
                <w:color w:val="auto"/>
              </w:rPr>
            </w:pPr>
          </w:p>
        </w:tc>
        <w:tc>
          <w:tcPr>
            <w:tcW w:w="840" w:type="dxa"/>
            <w:vAlign w:val="bottom"/>
            <w:gridSpan w:val="2"/>
            <w:shd w:val="clear" w:color="auto" w:fill="E5E5E5"/>
          </w:tcPr>
          <w:p>
            <w:pPr>
              <w:jc w:val="right"/>
              <w:ind w:right="80"/>
              <w:spacing w:after="0"/>
              <w:rPr>
                <w:sz w:val="20"/>
                <w:szCs w:val="20"/>
                <w:color w:val="auto"/>
              </w:rPr>
            </w:pPr>
            <w:r>
              <w:rPr>
                <w:rFonts w:ascii="Arial" w:cs="Arial" w:eastAsia="Arial" w:hAnsi="Arial"/>
                <w:sz w:val="18"/>
                <w:szCs w:val="18"/>
                <w:color w:val="auto"/>
              </w:rPr>
              <w:t>(2)</w:t>
            </w:r>
          </w:p>
        </w:tc>
        <w:tc>
          <w:tcPr>
            <w:tcW w:w="80" w:type="dxa"/>
            <w:vAlign w:val="bottom"/>
            <w:shd w:val="clear" w:color="auto" w:fill="E5E5E5"/>
          </w:tcPr>
          <w:p>
            <w:pPr>
              <w:spacing w:after="0"/>
              <w:rPr>
                <w:sz w:val="21"/>
                <w:szCs w:val="21"/>
                <w:color w:val="auto"/>
              </w:rPr>
            </w:pPr>
          </w:p>
        </w:tc>
        <w:tc>
          <w:tcPr>
            <w:tcW w:w="260" w:type="dxa"/>
            <w:vAlign w:val="bottom"/>
            <w:shd w:val="clear" w:color="auto" w:fill="E5E5E5"/>
          </w:tcPr>
          <w:p>
            <w:pPr>
              <w:spacing w:after="0"/>
              <w:rPr>
                <w:sz w:val="21"/>
                <w:szCs w:val="21"/>
                <w:color w:val="auto"/>
              </w:rPr>
            </w:pPr>
          </w:p>
        </w:tc>
        <w:tc>
          <w:tcPr>
            <w:tcW w:w="980" w:type="dxa"/>
            <w:vAlign w:val="bottom"/>
            <w:gridSpan w:val="2"/>
            <w:shd w:val="clear" w:color="auto" w:fill="E5E5E5"/>
          </w:tcPr>
          <w:p>
            <w:pPr>
              <w:jc w:val="right"/>
              <w:ind w:right="160"/>
              <w:spacing w:after="0"/>
              <w:rPr>
                <w:sz w:val="20"/>
                <w:szCs w:val="20"/>
                <w:color w:val="auto"/>
              </w:rPr>
            </w:pPr>
            <w:r>
              <w:rPr>
                <w:rFonts w:ascii="Arial" w:cs="Arial" w:eastAsia="Arial" w:hAnsi="Arial"/>
                <w:sz w:val="18"/>
                <w:szCs w:val="18"/>
                <w:color w:val="auto"/>
              </w:rPr>
              <w:t>(113)</w:t>
            </w:r>
          </w:p>
        </w:tc>
        <w:tc>
          <w:tcPr>
            <w:tcW w:w="240" w:type="dxa"/>
            <w:vAlign w:val="bottom"/>
            <w:shd w:val="clear" w:color="auto" w:fill="E5E5E5"/>
          </w:tcPr>
          <w:p>
            <w:pPr>
              <w:spacing w:after="0"/>
              <w:rPr>
                <w:sz w:val="21"/>
                <w:szCs w:val="21"/>
                <w:color w:val="auto"/>
              </w:rPr>
            </w:pPr>
          </w:p>
        </w:tc>
        <w:tc>
          <w:tcPr>
            <w:tcW w:w="880" w:type="dxa"/>
            <w:vAlign w:val="bottom"/>
            <w:gridSpan w:val="2"/>
            <w:shd w:val="clear" w:color="auto" w:fill="E5E5E5"/>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020" w:type="dxa"/>
            <w:vAlign w:val="bottom"/>
          </w:tcPr>
          <w:p>
            <w:pPr>
              <w:ind w:left="200"/>
              <w:spacing w:after="0" w:line="180" w:lineRule="exact"/>
              <w:rPr>
                <w:sz w:val="20"/>
                <w:szCs w:val="20"/>
                <w:color w:val="auto"/>
              </w:rPr>
            </w:pPr>
            <w:r>
              <w:rPr>
                <w:rFonts w:ascii="Arial" w:cs="Arial" w:eastAsia="Arial" w:hAnsi="Arial"/>
                <w:sz w:val="18"/>
                <w:szCs w:val="18"/>
                <w:color w:val="auto"/>
              </w:rPr>
              <w:t>Gross amounts of derivatives not offset on the</w:t>
            </w: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4020" w:type="dxa"/>
            <w:vAlign w:val="bottom"/>
          </w:tcPr>
          <w:p>
            <w:pPr>
              <w:ind w:left="420"/>
              <w:spacing w:after="0"/>
              <w:rPr>
                <w:sz w:val="20"/>
                <w:szCs w:val="20"/>
                <w:color w:val="auto"/>
              </w:rPr>
            </w:pPr>
            <w:r>
              <w:rPr>
                <w:rFonts w:ascii="Arial" w:cs="Arial" w:eastAsia="Arial" w:hAnsi="Arial"/>
                <w:sz w:val="18"/>
                <w:szCs w:val="18"/>
                <w:color w:val="auto"/>
              </w:rPr>
              <w:t>balance sheet</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0</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020" w:type="dxa"/>
            <w:vAlign w:val="bottom"/>
            <w:shd w:val="clear" w:color="auto" w:fill="E5E5E5"/>
          </w:tcPr>
          <w:p>
            <w:pPr>
              <w:ind w:left="200"/>
              <w:spacing w:after="0"/>
              <w:rPr>
                <w:sz w:val="20"/>
                <w:szCs w:val="20"/>
                <w:color w:val="auto"/>
              </w:rPr>
            </w:pPr>
            <w:r>
              <w:rPr>
                <w:rFonts w:ascii="Arial" w:cs="Arial" w:eastAsia="Arial" w:hAnsi="Arial"/>
                <w:sz w:val="18"/>
                <w:szCs w:val="18"/>
                <w:color w:val="auto"/>
              </w:rPr>
              <w:t>Cash collateral received</w:t>
            </w:r>
          </w:p>
        </w:tc>
        <w:tc>
          <w:tcPr>
            <w:tcW w:w="180" w:type="dxa"/>
            <w:vAlign w:val="bottom"/>
            <w:shd w:val="clear" w:color="auto" w:fill="E5E5E5"/>
          </w:tcPr>
          <w:p>
            <w:pPr>
              <w:spacing w:after="0"/>
              <w:rPr>
                <w:sz w:val="21"/>
                <w:szCs w:val="21"/>
                <w:color w:val="auto"/>
              </w:rPr>
            </w:pPr>
          </w:p>
        </w:tc>
        <w:tc>
          <w:tcPr>
            <w:tcW w:w="8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0</w:t>
            </w:r>
          </w:p>
        </w:tc>
        <w:tc>
          <w:tcPr>
            <w:tcW w:w="200" w:type="dxa"/>
            <w:vAlign w:val="bottom"/>
            <w:shd w:val="clear" w:color="auto" w:fill="E5E5E5"/>
          </w:tcPr>
          <w:p>
            <w:pPr>
              <w:spacing w:after="0"/>
              <w:rPr>
                <w:sz w:val="21"/>
                <w:szCs w:val="21"/>
                <w:color w:val="auto"/>
              </w:rPr>
            </w:pPr>
          </w:p>
        </w:tc>
        <w:tc>
          <w:tcPr>
            <w:tcW w:w="340" w:type="dxa"/>
            <w:vAlign w:val="bottom"/>
            <w:shd w:val="clear" w:color="auto" w:fill="E5E5E5"/>
          </w:tcPr>
          <w:p>
            <w:pPr>
              <w:spacing w:after="0"/>
              <w:rPr>
                <w:sz w:val="21"/>
                <w:szCs w:val="21"/>
                <w:color w:val="auto"/>
              </w:rPr>
            </w:pPr>
          </w:p>
        </w:tc>
        <w:tc>
          <w:tcPr>
            <w:tcW w:w="7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0</w:t>
            </w:r>
          </w:p>
        </w:tc>
        <w:tc>
          <w:tcPr>
            <w:tcW w:w="140" w:type="dxa"/>
            <w:vAlign w:val="bottom"/>
            <w:shd w:val="clear" w:color="auto" w:fill="E5E5E5"/>
          </w:tcPr>
          <w:p>
            <w:pPr>
              <w:spacing w:after="0"/>
              <w:rPr>
                <w:sz w:val="21"/>
                <w:szCs w:val="21"/>
                <w:color w:val="auto"/>
              </w:rPr>
            </w:pPr>
          </w:p>
        </w:tc>
        <w:tc>
          <w:tcPr>
            <w:tcW w:w="80" w:type="dxa"/>
            <w:vAlign w:val="bottom"/>
            <w:shd w:val="clear" w:color="auto" w:fill="E5E5E5"/>
          </w:tcPr>
          <w:p>
            <w:pPr>
              <w:spacing w:after="0"/>
              <w:rPr>
                <w:sz w:val="21"/>
                <w:szCs w:val="21"/>
                <w:color w:val="auto"/>
              </w:rPr>
            </w:pPr>
          </w:p>
        </w:tc>
        <w:tc>
          <w:tcPr>
            <w:tcW w:w="180" w:type="dxa"/>
            <w:vAlign w:val="bottom"/>
            <w:shd w:val="clear" w:color="auto" w:fill="E5E5E5"/>
          </w:tcPr>
          <w:p>
            <w:pPr>
              <w:spacing w:after="0"/>
              <w:rPr>
                <w:sz w:val="21"/>
                <w:szCs w:val="21"/>
                <w:color w:val="auto"/>
              </w:rPr>
            </w:pPr>
          </w:p>
        </w:tc>
        <w:tc>
          <w:tcPr>
            <w:tcW w:w="8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0</w:t>
            </w:r>
          </w:p>
        </w:tc>
        <w:tc>
          <w:tcPr>
            <w:tcW w:w="80" w:type="dxa"/>
            <w:vAlign w:val="bottom"/>
            <w:shd w:val="clear" w:color="auto" w:fill="E5E5E5"/>
          </w:tcPr>
          <w:p>
            <w:pPr>
              <w:spacing w:after="0"/>
              <w:rPr>
                <w:sz w:val="21"/>
                <w:szCs w:val="21"/>
                <w:color w:val="auto"/>
              </w:rPr>
            </w:pPr>
          </w:p>
        </w:tc>
        <w:tc>
          <w:tcPr>
            <w:tcW w:w="140" w:type="dxa"/>
            <w:vAlign w:val="bottom"/>
            <w:shd w:val="clear" w:color="auto" w:fill="E5E5E5"/>
          </w:tcPr>
          <w:p>
            <w:pPr>
              <w:spacing w:after="0"/>
              <w:rPr>
                <w:sz w:val="21"/>
                <w:szCs w:val="21"/>
                <w:color w:val="auto"/>
              </w:rPr>
            </w:pPr>
          </w:p>
        </w:tc>
        <w:tc>
          <w:tcPr>
            <w:tcW w:w="320" w:type="dxa"/>
            <w:vAlign w:val="bottom"/>
            <w:shd w:val="clear" w:color="auto" w:fill="E5E5E5"/>
          </w:tcPr>
          <w:p>
            <w:pPr>
              <w:spacing w:after="0"/>
              <w:rPr>
                <w:sz w:val="21"/>
                <w:szCs w:val="21"/>
                <w:color w:val="auto"/>
              </w:rPr>
            </w:pPr>
          </w:p>
        </w:tc>
        <w:tc>
          <w:tcPr>
            <w:tcW w:w="7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0</w:t>
            </w:r>
          </w:p>
        </w:tc>
        <w:tc>
          <w:tcPr>
            <w:tcW w:w="140" w:type="dxa"/>
            <w:vAlign w:val="bottom"/>
            <w:shd w:val="clear" w:color="auto" w:fill="E5E5E5"/>
          </w:tcPr>
          <w:p>
            <w:pPr>
              <w:spacing w:after="0"/>
              <w:rPr>
                <w:sz w:val="21"/>
                <w:szCs w:val="21"/>
                <w:color w:val="auto"/>
              </w:rPr>
            </w:pPr>
          </w:p>
        </w:tc>
        <w:tc>
          <w:tcPr>
            <w:tcW w:w="80" w:type="dxa"/>
            <w:vAlign w:val="bottom"/>
            <w:shd w:val="clear" w:color="auto" w:fill="E5E5E5"/>
          </w:tcPr>
          <w:p>
            <w:pPr>
              <w:spacing w:after="0"/>
              <w:rPr>
                <w:sz w:val="21"/>
                <w:szCs w:val="21"/>
                <w:color w:val="auto"/>
              </w:rPr>
            </w:pPr>
          </w:p>
        </w:tc>
        <w:tc>
          <w:tcPr>
            <w:tcW w:w="260" w:type="dxa"/>
            <w:vAlign w:val="bottom"/>
            <w:shd w:val="clear" w:color="auto" w:fill="E5E5E5"/>
          </w:tcPr>
          <w:p>
            <w:pPr>
              <w:spacing w:after="0"/>
              <w:rPr>
                <w:sz w:val="21"/>
                <w:szCs w:val="21"/>
                <w:color w:val="auto"/>
              </w:rPr>
            </w:pPr>
          </w:p>
        </w:tc>
        <w:tc>
          <w:tcPr>
            <w:tcW w:w="980" w:type="dxa"/>
            <w:vAlign w:val="bottom"/>
            <w:gridSpan w:val="2"/>
            <w:shd w:val="clear" w:color="auto" w:fill="E5E5E5"/>
          </w:tcPr>
          <w:p>
            <w:pPr>
              <w:jc w:val="right"/>
              <w:ind w:right="160"/>
              <w:spacing w:after="0"/>
              <w:rPr>
                <w:sz w:val="20"/>
                <w:szCs w:val="20"/>
                <w:color w:val="auto"/>
              </w:rPr>
            </w:pPr>
            <w:r>
              <w:rPr>
                <w:rFonts w:ascii="Arial" w:cs="Arial" w:eastAsia="Arial" w:hAnsi="Arial"/>
                <w:sz w:val="18"/>
                <w:szCs w:val="18"/>
                <w:color w:val="auto"/>
              </w:rPr>
              <w:t>(228)</w:t>
            </w:r>
          </w:p>
        </w:tc>
        <w:tc>
          <w:tcPr>
            <w:tcW w:w="240" w:type="dxa"/>
            <w:vAlign w:val="bottom"/>
            <w:shd w:val="clear" w:color="auto" w:fill="E5E5E5"/>
          </w:tcPr>
          <w:p>
            <w:pPr>
              <w:spacing w:after="0"/>
              <w:rPr>
                <w:sz w:val="21"/>
                <w:szCs w:val="21"/>
                <w:color w:val="auto"/>
              </w:rPr>
            </w:pPr>
          </w:p>
        </w:tc>
        <w:tc>
          <w:tcPr>
            <w:tcW w:w="8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0</w:t>
            </w:r>
          </w:p>
        </w:tc>
        <w:tc>
          <w:tcPr>
            <w:tcW w:w="80" w:type="dxa"/>
            <w:vAlign w:val="bottom"/>
            <w:shd w:val="clear" w:color="auto" w:fill="E5E5E5"/>
          </w:tcPr>
          <w:p>
            <w:pPr>
              <w:spacing w:after="0"/>
              <w:rPr>
                <w:sz w:val="21"/>
                <w:szCs w:val="21"/>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402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020" w:type="dxa"/>
            <w:vAlign w:val="bottom"/>
          </w:tcPr>
          <w:p>
            <w:pPr>
              <w:spacing w:after="0"/>
              <w:rPr>
                <w:sz w:val="5"/>
                <w:szCs w:val="5"/>
                <w:color w:val="auto"/>
              </w:rPr>
            </w:pPr>
          </w:p>
        </w:tc>
        <w:tc>
          <w:tcPr>
            <w:tcW w:w="180" w:type="dxa"/>
            <w:vAlign w:val="bottom"/>
          </w:tcPr>
          <w:p>
            <w:pPr>
              <w:spacing w:after="0"/>
              <w:rPr>
                <w:sz w:val="5"/>
                <w:szCs w:val="5"/>
                <w:color w:val="auto"/>
              </w:rPr>
            </w:pPr>
          </w:p>
        </w:tc>
        <w:tc>
          <w:tcPr>
            <w:tcW w:w="860" w:type="dxa"/>
            <w:vAlign w:val="bottom"/>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70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320" w:type="dxa"/>
            <w:vAlign w:val="bottom"/>
          </w:tcPr>
          <w:p>
            <w:pPr>
              <w:spacing w:after="0"/>
              <w:rPr>
                <w:sz w:val="5"/>
                <w:szCs w:val="5"/>
                <w:color w:val="auto"/>
              </w:rPr>
            </w:pPr>
          </w:p>
        </w:tc>
        <w:tc>
          <w:tcPr>
            <w:tcW w:w="70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760" w:type="dxa"/>
            <w:vAlign w:val="bottom"/>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020" w:type="dxa"/>
            <w:vAlign w:val="bottom"/>
            <w:shd w:val="clear" w:color="auto" w:fill="E5E5E5"/>
          </w:tcPr>
          <w:p>
            <w:pPr>
              <w:ind w:left="640"/>
              <w:spacing w:after="0"/>
              <w:rPr>
                <w:sz w:val="20"/>
                <w:szCs w:val="20"/>
                <w:color w:val="auto"/>
              </w:rPr>
            </w:pPr>
            <w:r>
              <w:rPr>
                <w:rFonts w:ascii="Arial" w:cs="Arial" w:eastAsia="Arial" w:hAnsi="Arial"/>
                <w:sz w:val="18"/>
                <w:szCs w:val="18"/>
                <w:color w:val="auto"/>
              </w:rPr>
              <w:t>Net amount</w:t>
            </w:r>
          </w:p>
        </w:tc>
        <w:tc>
          <w:tcPr>
            <w:tcW w:w="180" w:type="dxa"/>
            <w:vAlign w:val="bottom"/>
            <w:shd w:val="clear" w:color="auto" w:fill="E5E5E5"/>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80</w:t>
            </w:r>
          </w:p>
        </w:tc>
        <w:tc>
          <w:tcPr>
            <w:tcW w:w="200" w:type="dxa"/>
            <w:vAlign w:val="bottom"/>
            <w:shd w:val="clear" w:color="auto" w:fill="E5E5E5"/>
          </w:tcPr>
          <w:p>
            <w:pPr>
              <w:spacing w:after="0"/>
              <w:rPr>
                <w:sz w:val="21"/>
                <w:szCs w:val="21"/>
                <w:color w:val="auto"/>
              </w:rPr>
            </w:pPr>
          </w:p>
        </w:tc>
        <w:tc>
          <w:tcPr>
            <w:tcW w:w="340" w:type="dxa"/>
            <w:vAlign w:val="bottom"/>
            <w:shd w:val="clear" w:color="auto" w:fill="E5E5E5"/>
          </w:tcPr>
          <w:p>
            <w:pPr>
              <w:jc w:val="right"/>
              <w:ind w:right="15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204</w:t>
            </w:r>
          </w:p>
        </w:tc>
        <w:tc>
          <w:tcPr>
            <w:tcW w:w="140" w:type="dxa"/>
            <w:vAlign w:val="bottom"/>
            <w:shd w:val="clear" w:color="auto" w:fill="E5E5E5"/>
          </w:tcPr>
          <w:p>
            <w:pPr>
              <w:spacing w:after="0"/>
              <w:rPr>
                <w:sz w:val="21"/>
                <w:szCs w:val="21"/>
                <w:color w:val="auto"/>
              </w:rPr>
            </w:pPr>
          </w:p>
        </w:tc>
        <w:tc>
          <w:tcPr>
            <w:tcW w:w="260" w:type="dxa"/>
            <w:vAlign w:val="bottom"/>
            <w:gridSpan w:val="2"/>
            <w:shd w:val="clear" w:color="auto" w:fill="E5E5E5"/>
          </w:tcPr>
          <w:p>
            <w:pPr>
              <w:jc w:val="right"/>
              <w:ind w:right="80"/>
              <w:spacing w:after="0"/>
              <w:rPr>
                <w:sz w:val="20"/>
                <w:szCs w:val="20"/>
                <w:color w:val="auto"/>
              </w:rPr>
            </w:pPr>
            <w:r>
              <w:rPr>
                <w:rFonts w:ascii="Arial" w:cs="Arial" w:eastAsia="Arial" w:hAnsi="Arial"/>
                <w:sz w:val="18"/>
                <w:szCs w:val="18"/>
                <w:color w:val="auto"/>
              </w:rPr>
              <w:t>$</w:t>
            </w:r>
          </w:p>
        </w:tc>
        <w:tc>
          <w:tcPr>
            <w:tcW w:w="8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0</w:t>
            </w:r>
          </w:p>
        </w:tc>
        <w:tc>
          <w:tcPr>
            <w:tcW w:w="80" w:type="dxa"/>
            <w:vAlign w:val="bottom"/>
            <w:shd w:val="clear" w:color="auto" w:fill="E5E5E5"/>
          </w:tcPr>
          <w:p>
            <w:pPr>
              <w:spacing w:after="0"/>
              <w:rPr>
                <w:sz w:val="21"/>
                <w:szCs w:val="21"/>
                <w:color w:val="auto"/>
              </w:rPr>
            </w:pPr>
          </w:p>
        </w:tc>
        <w:tc>
          <w:tcPr>
            <w:tcW w:w="460" w:type="dxa"/>
            <w:vAlign w:val="bottom"/>
            <w:gridSpan w:val="2"/>
            <w:shd w:val="clear" w:color="auto" w:fill="E5E5E5"/>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E5E5E5"/>
          </w:tcPr>
          <w:p>
            <w:pPr>
              <w:jc w:val="right"/>
              <w:ind w:right="80"/>
              <w:spacing w:after="0"/>
              <w:rPr>
                <w:sz w:val="20"/>
                <w:szCs w:val="20"/>
                <w:color w:val="auto"/>
              </w:rPr>
            </w:pPr>
            <w:r>
              <w:rPr>
                <w:rFonts w:ascii="Arial" w:cs="Arial" w:eastAsia="Arial" w:hAnsi="Arial"/>
                <w:sz w:val="18"/>
                <w:szCs w:val="18"/>
                <w:color w:val="auto"/>
              </w:rPr>
              <w:t>(2)</w:t>
            </w:r>
          </w:p>
        </w:tc>
        <w:tc>
          <w:tcPr>
            <w:tcW w:w="340" w:type="dxa"/>
            <w:vAlign w:val="bottom"/>
            <w:gridSpan w:val="2"/>
            <w:shd w:val="clear" w:color="auto" w:fill="E5E5E5"/>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E5E5E5"/>
          </w:tcPr>
          <w:p>
            <w:pPr>
              <w:jc w:val="right"/>
              <w:ind w:right="160"/>
              <w:spacing w:after="0"/>
              <w:rPr>
                <w:sz w:val="20"/>
                <w:szCs w:val="20"/>
                <w:color w:val="auto"/>
              </w:rPr>
            </w:pPr>
            <w:r>
              <w:rPr>
                <w:rFonts w:ascii="Arial" w:cs="Arial" w:eastAsia="Arial" w:hAnsi="Arial"/>
                <w:sz w:val="18"/>
                <w:szCs w:val="18"/>
                <w:color w:val="auto"/>
              </w:rPr>
              <w:t>(341)</w:t>
            </w:r>
          </w:p>
        </w:tc>
        <w:tc>
          <w:tcPr>
            <w:tcW w:w="240" w:type="dxa"/>
            <w:vAlign w:val="bottom"/>
            <w:shd w:val="clear" w:color="auto" w:fill="E5E5E5"/>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E5E5E5"/>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4020" w:type="dxa"/>
            <w:vAlign w:val="bottom"/>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Refer to Note 4 – Investments and Note 6 – Fair Value Measurements for further information.</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Hedge Gains (Losses)</w:t>
      </w:r>
    </w:p>
    <w:p>
      <w:pPr>
        <w:spacing w:after="0" w:line="160" w:lineRule="exact"/>
        <w:rPr>
          <w:sz w:val="20"/>
          <w:szCs w:val="20"/>
          <w:color w:val="auto"/>
        </w:rPr>
      </w:pPr>
    </w:p>
    <w:p>
      <w:pPr>
        <w:ind w:right="20"/>
        <w:spacing w:after="0" w:line="276" w:lineRule="auto"/>
        <w:rPr>
          <w:sz w:val="20"/>
          <w:szCs w:val="20"/>
          <w:color w:val="auto"/>
        </w:rPr>
      </w:pPr>
      <w:r>
        <w:rPr>
          <w:rFonts w:ascii="Arial" w:cs="Arial" w:eastAsia="Arial" w:hAnsi="Arial"/>
          <w:sz w:val="18"/>
          <w:szCs w:val="18"/>
          <w:color w:val="auto"/>
        </w:rPr>
        <w:t>We recognized in other income (expense), net the following gains (losses) on contracts designated as fair value hedges and their related hedged items:</w:t>
      </w:r>
    </w:p>
    <w:p>
      <w:pPr>
        <w:spacing w:after="0" w:line="12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46990</wp:posOffset>
            </wp:positionV>
            <wp:extent cx="717804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8040" cy="8890"/>
                    </a:xfrm>
                    <a:prstGeom prst="rect">
                      <a:avLst/>
                    </a:prstGeom>
                    <a:noFill/>
                  </pic:spPr>
                </pic:pic>
              </a:graphicData>
            </a:graphic>
          </wp:anchor>
        </w:drawing>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300" w:type="dxa"/>
            <w:vAlign w:val="bottom"/>
            <w:gridSpan w:val="2"/>
          </w:tcPr>
          <w:p>
            <w:pPr>
              <w:spacing w:after="0"/>
              <w:rPr>
                <w:sz w:val="20"/>
                <w:szCs w:val="20"/>
                <w:color w:val="auto"/>
              </w:rPr>
            </w:pPr>
            <w:r>
              <w:rPr>
                <w:rFonts w:ascii="Arial" w:cs="Arial" w:eastAsia="Arial" w:hAnsi="Arial"/>
                <w:sz w:val="14"/>
                <w:szCs w:val="14"/>
                <w:b w:val="1"/>
                <w:bCs w:val="1"/>
                <w:color w:val="auto"/>
              </w:rPr>
              <w:t>Three Months Ended September 30,</w:t>
            </w:r>
          </w:p>
        </w:tc>
        <w:tc>
          <w:tcPr>
            <w:tcW w:w="15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2017</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300" w:type="dxa"/>
            <w:vAlign w:val="bottom"/>
            <w:gridSpan w:val="2"/>
          </w:tcPr>
          <w:p>
            <w:pPr>
              <w:spacing w:after="0"/>
              <w:rPr>
                <w:sz w:val="20"/>
                <w:szCs w:val="20"/>
                <w:color w:val="auto"/>
              </w:rPr>
            </w:pPr>
            <w:r>
              <w:rPr>
                <w:rFonts w:ascii="Arial" w:cs="Arial" w:eastAsia="Arial" w:hAnsi="Arial"/>
                <w:sz w:val="14"/>
                <w:szCs w:val="14"/>
                <w:b w:val="1"/>
                <w:bCs w:val="1"/>
                <w:color w:val="auto"/>
              </w:rPr>
              <w:t>Foreign Exchange Contracts</w:t>
            </w:r>
          </w:p>
        </w:tc>
        <w:tc>
          <w:tcPr>
            <w:tcW w:w="1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
        </w:trPr>
        <w:tc>
          <w:tcPr>
            <w:tcW w:w="20" w:type="dxa"/>
            <w:vAlign w:val="bottom"/>
            <w:vMerge w:val="restart"/>
          </w:tcPr>
          <w:p>
            <w:pPr>
              <w:spacing w:after="0"/>
              <w:rPr>
                <w:sz w:val="3"/>
                <w:szCs w:val="3"/>
                <w:color w:val="auto"/>
              </w:rPr>
            </w:pPr>
          </w:p>
        </w:tc>
        <w:tc>
          <w:tcPr>
            <w:tcW w:w="7280" w:type="dxa"/>
            <w:vAlign w:val="bottom"/>
          </w:tcPr>
          <w:p>
            <w:pPr>
              <w:spacing w:after="0"/>
              <w:rPr>
                <w:sz w:val="3"/>
                <w:szCs w:val="3"/>
                <w:color w:val="auto"/>
              </w:rPr>
            </w:pPr>
          </w:p>
        </w:tc>
        <w:tc>
          <w:tcPr>
            <w:tcW w:w="152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28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Derivatives</w:t>
            </w:r>
          </w:p>
        </w:tc>
        <w:tc>
          <w:tcPr>
            <w:tcW w:w="1960" w:type="dxa"/>
            <w:vAlign w:val="bottom"/>
            <w:gridSpan w:val="2"/>
            <w:shd w:val="clear" w:color="auto" w:fill="E5E5E5"/>
          </w:tcPr>
          <w:p>
            <w:pPr>
              <w:jc w:val="right"/>
              <w:ind w:right="340"/>
              <w:spacing w:after="0" w:line="202" w:lineRule="exact"/>
              <w:rPr>
                <w:sz w:val="20"/>
                <w:szCs w:val="20"/>
                <w:color w:val="auto"/>
              </w:rPr>
            </w:pPr>
            <w:r>
              <w:rPr>
                <w:rFonts w:ascii="Arial" w:cs="Arial" w:eastAsia="Arial" w:hAnsi="Arial"/>
                <w:sz w:val="18"/>
                <w:szCs w:val="18"/>
                <w:b w:val="1"/>
                <w:bCs w:val="1"/>
                <w:color w:val="auto"/>
              </w:rPr>
              <w:t>$</w:t>
            </w:r>
          </w:p>
        </w:tc>
        <w:tc>
          <w:tcPr>
            <w:tcW w:w="840" w:type="dxa"/>
            <w:vAlign w:val="bottom"/>
            <w:gridSpan w:val="2"/>
            <w:shd w:val="clear" w:color="auto" w:fill="E5E5E5"/>
          </w:tcPr>
          <w:p>
            <w:pPr>
              <w:jc w:val="right"/>
              <w:ind w:right="140"/>
              <w:spacing w:after="0" w:line="202" w:lineRule="exact"/>
              <w:rPr>
                <w:sz w:val="20"/>
                <w:szCs w:val="20"/>
                <w:color w:val="auto"/>
              </w:rPr>
            </w:pPr>
            <w:r>
              <w:rPr>
                <w:rFonts w:ascii="Arial" w:cs="Arial" w:eastAsia="Arial" w:hAnsi="Arial"/>
                <w:sz w:val="18"/>
                <w:szCs w:val="18"/>
                <w:b w:val="1"/>
                <w:bCs w:val="1"/>
                <w:color w:val="auto"/>
              </w:rPr>
              <w:t>22</w:t>
            </w:r>
          </w:p>
        </w:tc>
        <w:tc>
          <w:tcPr>
            <w:tcW w:w="540" w:type="dxa"/>
            <w:vAlign w:val="bottom"/>
            <w:gridSpan w:val="2"/>
            <w:shd w:val="clear" w:color="auto" w:fill="E5E5E5"/>
          </w:tcPr>
          <w:p>
            <w:pPr>
              <w:jc w:val="right"/>
              <w:ind w:right="360"/>
              <w:spacing w:after="0" w:line="202" w:lineRule="exact"/>
              <w:rPr>
                <w:sz w:val="20"/>
                <w:szCs w:val="20"/>
                <w:color w:val="auto"/>
              </w:rPr>
            </w:pPr>
            <w:r>
              <w:rPr>
                <w:rFonts w:ascii="Arial" w:cs="Arial" w:eastAsia="Arial" w:hAnsi="Arial"/>
                <w:sz w:val="18"/>
                <w:szCs w:val="18"/>
                <w:color w:val="auto"/>
              </w:rPr>
              <w:t>$</w:t>
            </w:r>
          </w:p>
        </w:tc>
        <w:tc>
          <w:tcPr>
            <w:tcW w:w="780" w:type="dxa"/>
            <w:vAlign w:val="bottom"/>
            <w:gridSpan w:val="2"/>
            <w:shd w:val="clear" w:color="auto" w:fill="E5E5E5"/>
          </w:tcPr>
          <w:p>
            <w:pPr>
              <w:jc w:val="right"/>
              <w:ind w:right="40"/>
              <w:spacing w:after="0" w:line="202" w:lineRule="exact"/>
              <w:rPr>
                <w:sz w:val="20"/>
                <w:szCs w:val="20"/>
                <w:color w:val="auto"/>
              </w:rPr>
            </w:pPr>
            <w:r>
              <w:rPr>
                <w:rFonts w:ascii="Arial" w:cs="Arial" w:eastAsia="Arial" w:hAnsi="Arial"/>
                <w:sz w:val="18"/>
                <w:szCs w:val="18"/>
                <w:color w:val="auto"/>
              </w:rPr>
              <w:t>(48)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7280" w:type="dxa"/>
            <w:vAlign w:val="bottom"/>
          </w:tcPr>
          <w:p>
            <w:pPr>
              <w:spacing w:after="0"/>
              <w:rPr>
                <w:sz w:val="20"/>
                <w:szCs w:val="20"/>
                <w:color w:val="auto"/>
              </w:rPr>
            </w:pPr>
            <w:r>
              <w:rPr>
                <w:rFonts w:ascii="Arial" w:cs="Arial" w:eastAsia="Arial" w:hAnsi="Arial"/>
                <w:sz w:val="18"/>
                <w:szCs w:val="18"/>
                <w:color w:val="auto"/>
              </w:rPr>
              <w:t>Hedged items</w:t>
            </w:r>
          </w:p>
        </w:tc>
        <w:tc>
          <w:tcPr>
            <w:tcW w:w="15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(2)</w:t>
            </w:r>
          </w:p>
        </w:tc>
        <w:tc>
          <w:tcPr>
            <w:tcW w:w="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68</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80" w:type="dxa"/>
            <w:vAlign w:val="bottom"/>
            <w:tcBorders>
              <w:top w:val="single" w:sz="8" w:color="auto"/>
            </w:tcBorders>
          </w:tcPr>
          <w:p>
            <w:pPr>
              <w:spacing w:after="0"/>
              <w:rPr>
                <w:sz w:val="5"/>
                <w:szCs w:val="5"/>
                <w:color w:val="auto"/>
              </w:rPr>
            </w:pPr>
          </w:p>
        </w:tc>
        <w:tc>
          <w:tcPr>
            <w:tcW w:w="1520" w:type="dxa"/>
            <w:vAlign w:val="bottom"/>
            <w:tcBorders>
              <w:top w:val="single" w:sz="8" w:color="auto"/>
            </w:tcBorders>
          </w:tcPr>
          <w:p>
            <w:pPr>
              <w:spacing w:after="0"/>
              <w:rPr>
                <w:sz w:val="5"/>
                <w:szCs w:val="5"/>
                <w:color w:val="auto"/>
              </w:rPr>
            </w:pPr>
          </w:p>
        </w:tc>
        <w:tc>
          <w:tcPr>
            <w:tcW w:w="440" w:type="dxa"/>
            <w:vAlign w:val="bottom"/>
            <w:tcBorders>
              <w:top w:val="single" w:sz="8" w:color="auto"/>
            </w:tcBorders>
          </w:tcPr>
          <w:p>
            <w:pPr>
              <w:spacing w:after="0"/>
              <w:rPr>
                <w:sz w:val="5"/>
                <w:szCs w:val="5"/>
                <w:color w:val="auto"/>
              </w:rPr>
            </w:pPr>
          </w:p>
        </w:tc>
        <w:tc>
          <w:tcPr>
            <w:tcW w:w="700" w:type="dxa"/>
            <w:vAlign w:val="bottom"/>
            <w:tcBorders>
              <w:top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Borders>
              <w:top w:val="single" w:sz="8" w:color="auto"/>
            </w:tcBorders>
          </w:tcPr>
          <w:p>
            <w:pPr>
              <w:spacing w:after="0"/>
              <w:rPr>
                <w:sz w:val="5"/>
                <w:szCs w:val="5"/>
                <w:color w:val="auto"/>
              </w:rPr>
            </w:pPr>
          </w:p>
        </w:tc>
        <w:tc>
          <w:tcPr>
            <w:tcW w:w="68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80" w:type="dxa"/>
            <w:vAlign w:val="bottom"/>
            <w:shd w:val="clear" w:color="auto" w:fill="E5E5E5"/>
          </w:tcPr>
          <w:p>
            <w:pPr>
              <w:ind w:left="200"/>
              <w:spacing w:after="0" w:line="202" w:lineRule="exact"/>
              <w:rPr>
                <w:sz w:val="20"/>
                <w:szCs w:val="20"/>
                <w:color w:val="auto"/>
              </w:rPr>
            </w:pPr>
            <w:r>
              <w:rPr>
                <w:rFonts w:ascii="Arial" w:cs="Arial" w:eastAsia="Arial" w:hAnsi="Arial"/>
                <w:sz w:val="18"/>
                <w:szCs w:val="18"/>
                <w:color w:val="auto"/>
              </w:rPr>
              <w:t>Total amount of ineffectiveness</w:t>
            </w:r>
          </w:p>
        </w:tc>
        <w:tc>
          <w:tcPr>
            <w:tcW w:w="1960" w:type="dxa"/>
            <w:vAlign w:val="bottom"/>
            <w:gridSpan w:val="2"/>
            <w:shd w:val="clear" w:color="auto" w:fill="E5E5E5"/>
          </w:tcPr>
          <w:p>
            <w:pPr>
              <w:jc w:val="right"/>
              <w:ind w:right="340"/>
              <w:spacing w:after="0" w:line="202" w:lineRule="exact"/>
              <w:rPr>
                <w:sz w:val="20"/>
                <w:szCs w:val="20"/>
                <w:color w:val="auto"/>
              </w:rPr>
            </w:pPr>
            <w:r>
              <w:rPr>
                <w:rFonts w:ascii="Arial" w:cs="Arial" w:eastAsia="Arial" w:hAnsi="Arial"/>
                <w:sz w:val="18"/>
                <w:szCs w:val="18"/>
                <w:b w:val="1"/>
                <w:bCs w:val="1"/>
                <w:color w:val="auto"/>
              </w:rPr>
              <w:t>$</w:t>
            </w:r>
          </w:p>
        </w:tc>
        <w:tc>
          <w:tcPr>
            <w:tcW w:w="840" w:type="dxa"/>
            <w:vAlign w:val="bottom"/>
            <w:gridSpan w:val="2"/>
            <w:shd w:val="clear" w:color="auto" w:fill="E5E5E5"/>
          </w:tcPr>
          <w:p>
            <w:pPr>
              <w:jc w:val="right"/>
              <w:ind w:right="140"/>
              <w:spacing w:after="0" w:line="202" w:lineRule="exact"/>
              <w:rPr>
                <w:sz w:val="20"/>
                <w:szCs w:val="20"/>
                <w:color w:val="auto"/>
              </w:rPr>
            </w:pPr>
            <w:r>
              <w:rPr>
                <w:rFonts w:ascii="Arial" w:cs="Arial" w:eastAsia="Arial" w:hAnsi="Arial"/>
                <w:sz w:val="18"/>
                <w:szCs w:val="18"/>
                <w:b w:val="1"/>
                <w:bCs w:val="1"/>
                <w:color w:val="auto"/>
              </w:rPr>
              <w:t>20</w:t>
            </w:r>
          </w:p>
        </w:tc>
        <w:tc>
          <w:tcPr>
            <w:tcW w:w="540" w:type="dxa"/>
            <w:vAlign w:val="bottom"/>
            <w:gridSpan w:val="2"/>
            <w:shd w:val="clear" w:color="auto" w:fill="E5E5E5"/>
          </w:tcPr>
          <w:p>
            <w:pPr>
              <w:jc w:val="right"/>
              <w:ind w:right="360"/>
              <w:spacing w:after="0" w:line="202" w:lineRule="exact"/>
              <w:rPr>
                <w:sz w:val="20"/>
                <w:szCs w:val="20"/>
                <w:color w:val="auto"/>
              </w:rPr>
            </w:pPr>
            <w:r>
              <w:rPr>
                <w:rFonts w:ascii="Arial" w:cs="Arial" w:eastAsia="Arial" w:hAnsi="Arial"/>
                <w:sz w:val="18"/>
                <w:szCs w:val="18"/>
                <w:color w:val="auto"/>
              </w:rPr>
              <w:t>$</w:t>
            </w:r>
          </w:p>
        </w:tc>
        <w:tc>
          <w:tcPr>
            <w:tcW w:w="78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20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5"/>
        </w:trPr>
        <w:tc>
          <w:tcPr>
            <w:tcW w:w="73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Equity Contracts</w:t>
            </w:r>
          </w:p>
        </w:tc>
        <w:tc>
          <w:tcPr>
            <w:tcW w:w="1520" w:type="dxa"/>
            <w:vAlign w:val="bottom"/>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9"/>
        </w:trPr>
        <w:tc>
          <w:tcPr>
            <w:tcW w:w="7300" w:type="dxa"/>
            <w:vAlign w:val="bottom"/>
            <w:gridSpan w:val="2"/>
            <w:vMerge w:val="continue"/>
          </w:tcPr>
          <w:p>
            <w:pPr>
              <w:spacing w:after="0"/>
              <w:rPr>
                <w:sz w:val="20"/>
                <w:szCs w:val="20"/>
                <w:color w:val="auto"/>
              </w:rPr>
            </w:pPr>
          </w:p>
        </w:tc>
        <w:tc>
          <w:tcPr>
            <w:tcW w:w="15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
        </w:trPr>
        <w:tc>
          <w:tcPr>
            <w:tcW w:w="20" w:type="dxa"/>
            <w:vAlign w:val="bottom"/>
            <w:vMerge w:val="restart"/>
          </w:tcPr>
          <w:p>
            <w:pPr>
              <w:spacing w:after="0"/>
              <w:rPr>
                <w:sz w:val="3"/>
                <w:szCs w:val="3"/>
                <w:color w:val="auto"/>
              </w:rPr>
            </w:pPr>
          </w:p>
        </w:tc>
        <w:tc>
          <w:tcPr>
            <w:tcW w:w="7280" w:type="dxa"/>
            <w:vAlign w:val="bottom"/>
          </w:tcPr>
          <w:p>
            <w:pPr>
              <w:spacing w:after="0"/>
              <w:rPr>
                <w:sz w:val="3"/>
                <w:szCs w:val="3"/>
                <w:color w:val="auto"/>
              </w:rPr>
            </w:pPr>
          </w:p>
        </w:tc>
        <w:tc>
          <w:tcPr>
            <w:tcW w:w="152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28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Derivatives</w:t>
            </w:r>
          </w:p>
        </w:tc>
        <w:tc>
          <w:tcPr>
            <w:tcW w:w="1960" w:type="dxa"/>
            <w:vAlign w:val="bottom"/>
            <w:gridSpan w:val="2"/>
            <w:shd w:val="clear" w:color="auto" w:fill="E5E5E5"/>
          </w:tcPr>
          <w:p>
            <w:pPr>
              <w:jc w:val="right"/>
              <w:ind w:right="340"/>
              <w:spacing w:after="0" w:line="202" w:lineRule="exact"/>
              <w:rPr>
                <w:sz w:val="20"/>
                <w:szCs w:val="20"/>
                <w:color w:val="auto"/>
              </w:rPr>
            </w:pPr>
            <w:r>
              <w:rPr>
                <w:rFonts w:ascii="Arial" w:cs="Arial" w:eastAsia="Arial" w:hAnsi="Arial"/>
                <w:sz w:val="18"/>
                <w:szCs w:val="18"/>
                <w:b w:val="1"/>
                <w:bCs w:val="1"/>
                <w:color w:val="auto"/>
              </w:rPr>
              <w:t>$</w:t>
            </w:r>
          </w:p>
        </w:tc>
        <w:tc>
          <w:tcPr>
            <w:tcW w:w="840" w:type="dxa"/>
            <w:vAlign w:val="bottom"/>
            <w:gridSpan w:val="2"/>
            <w:shd w:val="clear" w:color="auto" w:fill="E5E5E5"/>
          </w:tcPr>
          <w:p>
            <w:pPr>
              <w:jc w:val="right"/>
              <w:ind w:right="80"/>
              <w:spacing w:after="0" w:line="202" w:lineRule="exact"/>
              <w:rPr>
                <w:sz w:val="20"/>
                <w:szCs w:val="20"/>
                <w:color w:val="auto"/>
              </w:rPr>
            </w:pPr>
            <w:r>
              <w:rPr>
                <w:rFonts w:ascii="Arial" w:cs="Arial" w:eastAsia="Arial" w:hAnsi="Arial"/>
                <w:sz w:val="18"/>
                <w:szCs w:val="18"/>
                <w:b w:val="1"/>
                <w:bCs w:val="1"/>
                <w:color w:val="auto"/>
              </w:rPr>
              <w:t>(236)</w:t>
            </w:r>
          </w:p>
        </w:tc>
        <w:tc>
          <w:tcPr>
            <w:tcW w:w="540" w:type="dxa"/>
            <w:vAlign w:val="bottom"/>
            <w:gridSpan w:val="2"/>
            <w:shd w:val="clear" w:color="auto" w:fill="E5E5E5"/>
          </w:tcPr>
          <w:p>
            <w:pPr>
              <w:jc w:val="right"/>
              <w:ind w:right="360"/>
              <w:spacing w:after="0" w:line="202" w:lineRule="exact"/>
              <w:rPr>
                <w:sz w:val="20"/>
                <w:szCs w:val="20"/>
                <w:color w:val="auto"/>
              </w:rPr>
            </w:pPr>
            <w:r>
              <w:rPr>
                <w:rFonts w:ascii="Arial" w:cs="Arial" w:eastAsia="Arial" w:hAnsi="Arial"/>
                <w:sz w:val="18"/>
                <w:szCs w:val="18"/>
                <w:color w:val="auto"/>
              </w:rPr>
              <w:t>$</w:t>
            </w:r>
          </w:p>
        </w:tc>
        <w:tc>
          <w:tcPr>
            <w:tcW w:w="780" w:type="dxa"/>
            <w:vAlign w:val="bottom"/>
            <w:gridSpan w:val="2"/>
            <w:shd w:val="clear" w:color="auto" w:fill="E5E5E5"/>
          </w:tcPr>
          <w:p>
            <w:pPr>
              <w:jc w:val="right"/>
              <w:ind w:right="40"/>
              <w:spacing w:after="0" w:line="202" w:lineRule="exact"/>
              <w:rPr>
                <w:sz w:val="20"/>
                <w:szCs w:val="20"/>
                <w:color w:val="auto"/>
              </w:rPr>
            </w:pPr>
            <w:r>
              <w:rPr>
                <w:rFonts w:ascii="Arial" w:cs="Arial" w:eastAsia="Arial" w:hAnsi="Arial"/>
                <w:sz w:val="18"/>
                <w:szCs w:val="18"/>
                <w:color w:val="auto"/>
              </w:rPr>
              <w:t>(10)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7280" w:type="dxa"/>
            <w:vAlign w:val="bottom"/>
          </w:tcPr>
          <w:p>
            <w:pPr>
              <w:spacing w:after="0"/>
              <w:rPr>
                <w:sz w:val="20"/>
                <w:szCs w:val="20"/>
                <w:color w:val="auto"/>
              </w:rPr>
            </w:pPr>
            <w:r>
              <w:rPr>
                <w:rFonts w:ascii="Arial" w:cs="Arial" w:eastAsia="Arial" w:hAnsi="Arial"/>
                <w:sz w:val="18"/>
                <w:szCs w:val="18"/>
                <w:color w:val="auto"/>
              </w:rPr>
              <w:t>Hedged items</w:t>
            </w:r>
          </w:p>
        </w:tc>
        <w:tc>
          <w:tcPr>
            <w:tcW w:w="15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236</w:t>
            </w:r>
          </w:p>
        </w:tc>
        <w:tc>
          <w:tcPr>
            <w:tcW w:w="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80" w:type="dxa"/>
            <w:vAlign w:val="bottom"/>
            <w:tcBorders>
              <w:top w:val="single" w:sz="8" w:color="auto"/>
            </w:tcBorders>
          </w:tcPr>
          <w:p>
            <w:pPr>
              <w:spacing w:after="0"/>
              <w:rPr>
                <w:sz w:val="5"/>
                <w:szCs w:val="5"/>
                <w:color w:val="auto"/>
              </w:rPr>
            </w:pPr>
          </w:p>
        </w:tc>
        <w:tc>
          <w:tcPr>
            <w:tcW w:w="1520" w:type="dxa"/>
            <w:vAlign w:val="bottom"/>
            <w:tcBorders>
              <w:top w:val="single" w:sz="8" w:color="auto"/>
            </w:tcBorders>
          </w:tcPr>
          <w:p>
            <w:pPr>
              <w:spacing w:after="0"/>
              <w:rPr>
                <w:sz w:val="5"/>
                <w:szCs w:val="5"/>
                <w:color w:val="auto"/>
              </w:rPr>
            </w:pPr>
          </w:p>
        </w:tc>
        <w:tc>
          <w:tcPr>
            <w:tcW w:w="440" w:type="dxa"/>
            <w:vAlign w:val="bottom"/>
            <w:tcBorders>
              <w:top w:val="single" w:sz="8" w:color="auto"/>
            </w:tcBorders>
          </w:tcPr>
          <w:p>
            <w:pPr>
              <w:spacing w:after="0"/>
              <w:rPr>
                <w:sz w:val="5"/>
                <w:szCs w:val="5"/>
                <w:color w:val="auto"/>
              </w:rPr>
            </w:pPr>
          </w:p>
        </w:tc>
        <w:tc>
          <w:tcPr>
            <w:tcW w:w="700" w:type="dxa"/>
            <w:vAlign w:val="bottom"/>
            <w:tcBorders>
              <w:top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Borders>
              <w:top w:val="single" w:sz="8" w:color="auto"/>
            </w:tcBorders>
          </w:tcPr>
          <w:p>
            <w:pPr>
              <w:spacing w:after="0"/>
              <w:rPr>
                <w:sz w:val="5"/>
                <w:szCs w:val="5"/>
                <w:color w:val="auto"/>
              </w:rPr>
            </w:pPr>
          </w:p>
        </w:tc>
        <w:tc>
          <w:tcPr>
            <w:tcW w:w="68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80" w:type="dxa"/>
            <w:vAlign w:val="bottom"/>
            <w:shd w:val="clear" w:color="auto" w:fill="E5E5E5"/>
          </w:tcPr>
          <w:p>
            <w:pPr>
              <w:ind w:left="200"/>
              <w:spacing w:after="0" w:line="202" w:lineRule="exact"/>
              <w:rPr>
                <w:sz w:val="20"/>
                <w:szCs w:val="20"/>
                <w:color w:val="auto"/>
              </w:rPr>
            </w:pPr>
            <w:r>
              <w:rPr>
                <w:rFonts w:ascii="Arial" w:cs="Arial" w:eastAsia="Arial" w:hAnsi="Arial"/>
                <w:sz w:val="18"/>
                <w:szCs w:val="18"/>
                <w:color w:val="auto"/>
              </w:rPr>
              <w:t>Total amount of ineffectiveness</w:t>
            </w:r>
          </w:p>
        </w:tc>
        <w:tc>
          <w:tcPr>
            <w:tcW w:w="1960" w:type="dxa"/>
            <w:vAlign w:val="bottom"/>
            <w:gridSpan w:val="2"/>
            <w:shd w:val="clear" w:color="auto" w:fill="E5E5E5"/>
          </w:tcPr>
          <w:p>
            <w:pPr>
              <w:jc w:val="right"/>
              <w:ind w:right="340"/>
              <w:spacing w:after="0" w:line="202" w:lineRule="exact"/>
              <w:rPr>
                <w:sz w:val="20"/>
                <w:szCs w:val="20"/>
                <w:color w:val="auto"/>
              </w:rPr>
            </w:pPr>
            <w:r>
              <w:rPr>
                <w:rFonts w:ascii="Arial" w:cs="Arial" w:eastAsia="Arial" w:hAnsi="Arial"/>
                <w:sz w:val="18"/>
                <w:szCs w:val="18"/>
                <w:b w:val="1"/>
                <w:bCs w:val="1"/>
                <w:color w:val="auto"/>
              </w:rPr>
              <w:t>$</w:t>
            </w:r>
          </w:p>
        </w:tc>
        <w:tc>
          <w:tcPr>
            <w:tcW w:w="840" w:type="dxa"/>
            <w:vAlign w:val="bottom"/>
            <w:gridSpan w:val="2"/>
            <w:shd w:val="clear" w:color="auto" w:fill="E5E5E5"/>
          </w:tcPr>
          <w:p>
            <w:pPr>
              <w:jc w:val="right"/>
              <w:ind w:right="140"/>
              <w:spacing w:after="0" w:line="202" w:lineRule="exact"/>
              <w:rPr>
                <w:sz w:val="20"/>
                <w:szCs w:val="20"/>
                <w:color w:val="auto"/>
              </w:rPr>
            </w:pPr>
            <w:r>
              <w:rPr>
                <w:rFonts w:ascii="Arial" w:cs="Arial" w:eastAsia="Arial" w:hAnsi="Arial"/>
                <w:sz w:val="18"/>
                <w:szCs w:val="18"/>
                <w:b w:val="1"/>
                <w:bCs w:val="1"/>
                <w:color w:val="auto"/>
              </w:rPr>
              <w:t>0</w:t>
            </w:r>
          </w:p>
        </w:tc>
        <w:tc>
          <w:tcPr>
            <w:tcW w:w="540" w:type="dxa"/>
            <w:vAlign w:val="bottom"/>
            <w:gridSpan w:val="2"/>
            <w:shd w:val="clear" w:color="auto" w:fill="E5E5E5"/>
          </w:tcPr>
          <w:p>
            <w:pPr>
              <w:jc w:val="right"/>
              <w:ind w:right="360"/>
              <w:spacing w:after="0" w:line="202" w:lineRule="exact"/>
              <w:rPr>
                <w:sz w:val="20"/>
                <w:szCs w:val="20"/>
                <w:color w:val="auto"/>
              </w:rPr>
            </w:pPr>
            <w:r>
              <w:rPr>
                <w:rFonts w:ascii="Arial" w:cs="Arial" w:eastAsia="Arial" w:hAnsi="Arial"/>
                <w:sz w:val="18"/>
                <w:szCs w:val="18"/>
                <w:color w:val="auto"/>
              </w:rPr>
              <w:t>$</w:t>
            </w:r>
          </w:p>
        </w:tc>
        <w:tc>
          <w:tcPr>
            <w:tcW w:w="78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280" w:type="dxa"/>
            <w:vAlign w:val="bottom"/>
          </w:tcPr>
          <w:p>
            <w:pPr>
              <w:spacing w:after="0"/>
              <w:rPr>
                <w:sz w:val="6"/>
                <w:szCs w:val="6"/>
                <w:color w:val="auto"/>
              </w:rPr>
            </w:pPr>
          </w:p>
        </w:tc>
        <w:tc>
          <w:tcPr>
            <w:tcW w:w="1520" w:type="dxa"/>
            <w:vAlign w:val="bottom"/>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80" w:type="dxa"/>
            <w:vAlign w:val="bottom"/>
          </w:tcPr>
          <w:p>
            <w:pPr>
              <w:spacing w:after="0"/>
              <w:rPr>
                <w:sz w:val="5"/>
                <w:szCs w:val="5"/>
                <w:color w:val="auto"/>
              </w:rPr>
            </w:pPr>
          </w:p>
        </w:tc>
        <w:tc>
          <w:tcPr>
            <w:tcW w:w="152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6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80" w:type="dxa"/>
            <w:vAlign w:val="bottom"/>
            <w:shd w:val="clear" w:color="auto" w:fill="E5E5E5"/>
          </w:tcPr>
          <w:p>
            <w:pPr>
              <w:ind w:left="200"/>
              <w:spacing w:after="0" w:line="202" w:lineRule="exact"/>
              <w:rPr>
                <w:sz w:val="20"/>
                <w:szCs w:val="20"/>
                <w:color w:val="auto"/>
              </w:rPr>
            </w:pPr>
            <w:r>
              <w:rPr>
                <w:rFonts w:ascii="Arial" w:cs="Arial" w:eastAsia="Arial" w:hAnsi="Arial"/>
                <w:sz w:val="18"/>
                <w:szCs w:val="18"/>
                <w:color w:val="auto"/>
              </w:rPr>
              <w:t>Amount of equity contracts excluded from effectiveness assessment</w:t>
            </w:r>
          </w:p>
        </w:tc>
        <w:tc>
          <w:tcPr>
            <w:tcW w:w="1960" w:type="dxa"/>
            <w:vAlign w:val="bottom"/>
            <w:gridSpan w:val="2"/>
            <w:shd w:val="clear" w:color="auto" w:fill="E5E5E5"/>
          </w:tcPr>
          <w:p>
            <w:pPr>
              <w:jc w:val="right"/>
              <w:ind w:right="340"/>
              <w:spacing w:after="0" w:line="202" w:lineRule="exact"/>
              <w:rPr>
                <w:sz w:val="20"/>
                <w:szCs w:val="20"/>
                <w:color w:val="auto"/>
              </w:rPr>
            </w:pPr>
            <w:r>
              <w:rPr>
                <w:rFonts w:ascii="Arial" w:cs="Arial" w:eastAsia="Arial" w:hAnsi="Arial"/>
                <w:sz w:val="18"/>
                <w:szCs w:val="18"/>
                <w:b w:val="1"/>
                <w:bCs w:val="1"/>
                <w:color w:val="auto"/>
              </w:rPr>
              <w:t>$</w:t>
            </w:r>
          </w:p>
        </w:tc>
        <w:tc>
          <w:tcPr>
            <w:tcW w:w="840" w:type="dxa"/>
            <w:vAlign w:val="bottom"/>
            <w:gridSpan w:val="2"/>
            <w:shd w:val="clear" w:color="auto" w:fill="E5E5E5"/>
          </w:tcPr>
          <w:p>
            <w:pPr>
              <w:jc w:val="right"/>
              <w:ind w:right="140"/>
              <w:spacing w:after="0" w:line="202" w:lineRule="exact"/>
              <w:rPr>
                <w:sz w:val="20"/>
                <w:szCs w:val="20"/>
                <w:color w:val="auto"/>
              </w:rPr>
            </w:pPr>
            <w:r>
              <w:rPr>
                <w:rFonts w:ascii="Arial" w:cs="Arial" w:eastAsia="Arial" w:hAnsi="Arial"/>
                <w:sz w:val="18"/>
                <w:szCs w:val="18"/>
                <w:b w:val="1"/>
                <w:bCs w:val="1"/>
                <w:color w:val="auto"/>
              </w:rPr>
              <w:t>40</w:t>
            </w:r>
          </w:p>
        </w:tc>
        <w:tc>
          <w:tcPr>
            <w:tcW w:w="540" w:type="dxa"/>
            <w:vAlign w:val="bottom"/>
            <w:gridSpan w:val="2"/>
            <w:shd w:val="clear" w:color="auto" w:fill="E5E5E5"/>
          </w:tcPr>
          <w:p>
            <w:pPr>
              <w:jc w:val="right"/>
              <w:ind w:right="360"/>
              <w:spacing w:after="0" w:line="202" w:lineRule="exact"/>
              <w:rPr>
                <w:sz w:val="20"/>
                <w:szCs w:val="20"/>
                <w:color w:val="auto"/>
              </w:rPr>
            </w:pPr>
            <w:r>
              <w:rPr>
                <w:rFonts w:ascii="Arial" w:cs="Arial" w:eastAsia="Arial" w:hAnsi="Arial"/>
                <w:sz w:val="18"/>
                <w:szCs w:val="18"/>
                <w:color w:val="auto"/>
              </w:rPr>
              <w:t>$</w:t>
            </w:r>
          </w:p>
        </w:tc>
        <w:tc>
          <w:tcPr>
            <w:tcW w:w="780" w:type="dxa"/>
            <w:vAlign w:val="bottom"/>
            <w:gridSpan w:val="2"/>
            <w:shd w:val="clear" w:color="auto" w:fill="E5E5E5"/>
          </w:tcPr>
          <w:p>
            <w:pPr>
              <w:jc w:val="right"/>
              <w:ind w:right="40"/>
              <w:spacing w:after="0" w:line="202" w:lineRule="exact"/>
              <w:rPr>
                <w:sz w:val="20"/>
                <w:szCs w:val="20"/>
                <w:color w:val="auto"/>
              </w:rPr>
            </w:pPr>
            <w:r>
              <w:rPr>
                <w:rFonts w:ascii="Arial" w:cs="Arial" w:eastAsia="Arial" w:hAnsi="Arial"/>
                <w:sz w:val="18"/>
                <w:szCs w:val="18"/>
                <w:color w:val="auto"/>
              </w:rPr>
              <w:t>(3)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80" w:type="dxa"/>
            <w:vAlign w:val="bottom"/>
            <w:tcBorders>
              <w:bottom w:val="single" w:sz="8" w:color="auto"/>
            </w:tcBorders>
          </w:tcPr>
          <w:p>
            <w:pPr>
              <w:spacing w:after="0"/>
              <w:rPr>
                <w:sz w:val="5"/>
                <w:szCs w:val="5"/>
                <w:color w:val="auto"/>
              </w:rPr>
            </w:pPr>
          </w:p>
        </w:tc>
        <w:tc>
          <w:tcPr>
            <w:tcW w:w="152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07"/>
        </w:trPr>
        <w:tc>
          <w:tcPr>
            <w:tcW w:w="7300" w:type="dxa"/>
            <w:vAlign w:val="bottom"/>
            <w:gridSpan w:val="2"/>
          </w:tcPr>
          <w:p>
            <w:pPr>
              <w:jc w:val="right"/>
              <w:ind w:right="1410"/>
              <w:spacing w:after="0"/>
              <w:rPr>
                <w:sz w:val="20"/>
                <w:szCs w:val="20"/>
                <w:color w:val="auto"/>
              </w:rPr>
            </w:pPr>
            <w:r>
              <w:rPr>
                <w:rFonts w:ascii="Arial" w:cs="Arial" w:eastAsia="Arial" w:hAnsi="Arial"/>
                <w:sz w:val="14"/>
                <w:szCs w:val="14"/>
                <w:color w:val="auto"/>
              </w:rPr>
              <w:t>20</w:t>
            </w:r>
          </w:p>
        </w:tc>
        <w:tc>
          <w:tcPr>
            <w:tcW w:w="1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7280" w:type="dxa"/>
            <w:vAlign w:val="bottom"/>
            <w:tcBorders>
              <w:bottom w:val="single" w:sz="8" w:color="9A9A9A"/>
            </w:tcBorders>
          </w:tcPr>
          <w:p>
            <w:pPr>
              <w:spacing w:after="0"/>
              <w:rPr>
                <w:sz w:val="8"/>
                <w:szCs w:val="8"/>
                <w:color w:val="auto"/>
              </w:rPr>
            </w:pPr>
          </w:p>
        </w:tc>
        <w:tc>
          <w:tcPr>
            <w:tcW w:w="1520" w:type="dxa"/>
            <w:vAlign w:val="bottom"/>
            <w:tcBorders>
              <w:bottom w:val="single" w:sz="8" w:color="9A9A9A"/>
            </w:tcBorders>
          </w:tcPr>
          <w:p>
            <w:pPr>
              <w:spacing w:after="0"/>
              <w:rPr>
                <w:sz w:val="8"/>
                <w:szCs w:val="8"/>
                <w:color w:val="auto"/>
              </w:rPr>
            </w:pPr>
          </w:p>
        </w:tc>
        <w:tc>
          <w:tcPr>
            <w:tcW w:w="440" w:type="dxa"/>
            <w:vAlign w:val="bottom"/>
            <w:tcBorders>
              <w:bottom w:val="single" w:sz="8" w:color="9A9A9A"/>
            </w:tcBorders>
          </w:tcPr>
          <w:p>
            <w:pPr>
              <w:spacing w:after="0"/>
              <w:rPr>
                <w:sz w:val="8"/>
                <w:szCs w:val="8"/>
                <w:color w:val="auto"/>
              </w:rPr>
            </w:pPr>
          </w:p>
        </w:tc>
        <w:tc>
          <w:tcPr>
            <w:tcW w:w="70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460" w:type="dxa"/>
            <w:vAlign w:val="bottom"/>
            <w:tcBorders>
              <w:bottom w:val="single" w:sz="8" w:color="9A9A9A"/>
            </w:tcBorders>
          </w:tcPr>
          <w:p>
            <w:pPr>
              <w:spacing w:after="0"/>
              <w:rPr>
                <w:sz w:val="8"/>
                <w:szCs w:val="8"/>
                <w:color w:val="auto"/>
              </w:rPr>
            </w:pPr>
          </w:p>
        </w:tc>
        <w:tc>
          <w:tcPr>
            <w:tcW w:w="6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20" w:name="page21"/>
    <w:bookmarkEnd w:id="20"/>
    <w:p>
      <w:pPr>
        <w:ind w:left="5500"/>
        <w:spacing w:after="0"/>
        <w:rPr>
          <w:sz w:val="20"/>
          <w:szCs w:val="20"/>
          <w:color w:val="auto"/>
        </w:rPr>
      </w:pPr>
      <w:r>
        <w:rPr>
          <w:rFonts w:ascii="Arial" w:cs="Arial" w:eastAsia="Arial" w:hAnsi="Arial"/>
          <w:sz w:val="14"/>
          <w:szCs w:val="14"/>
          <w:u w:val="single" w:color="auto"/>
          <w:color w:val="auto"/>
        </w:rPr>
        <w:t>PART I</w:t>
      </w:r>
    </w:p>
    <w:p>
      <w:pPr>
        <w:spacing w:after="0" w:line="5" w:lineRule="exact"/>
        <w:rPr>
          <w:sz w:val="20"/>
          <w:szCs w:val="20"/>
          <w:color w:val="auto"/>
        </w:rPr>
      </w:pPr>
    </w:p>
    <w:p>
      <w:pPr>
        <w:ind w:left="5520"/>
        <w:spacing w:after="0"/>
        <w:rPr>
          <w:sz w:val="20"/>
          <w:szCs w:val="20"/>
          <w:color w:val="auto"/>
        </w:rPr>
      </w:pPr>
      <w:r>
        <w:rPr>
          <w:rFonts w:ascii="Arial" w:cs="Arial" w:eastAsia="Arial" w:hAnsi="Arial"/>
          <w:sz w:val="14"/>
          <w:szCs w:val="14"/>
          <w:color w:val="auto"/>
        </w:rPr>
        <w:t>Item 1</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 Hedge Gains (Losses)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auto"/>
        </w:rPr>
        <w:t>We recognized the following gains (losses) on foreign exchange contracts designated as cash flow hedges:</w:t>
      </w:r>
    </w:p>
    <w:p>
      <w:pPr>
        <w:spacing w:after="0" w:line="18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46990</wp:posOffset>
            </wp:positionV>
            <wp:extent cx="717804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8040" cy="8890"/>
                    </a:xfrm>
                    <a:prstGeom prst="rect">
                      <a:avLst/>
                    </a:prstGeom>
                    <a:noFill/>
                  </pic:spPr>
                </pic:pic>
              </a:graphicData>
            </a:graphic>
          </wp:anchor>
        </w:drawing>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560" w:type="dxa"/>
            <w:vAlign w:val="bottom"/>
            <w:gridSpan w:val="2"/>
          </w:tcPr>
          <w:p>
            <w:pPr>
              <w:spacing w:after="0"/>
              <w:rPr>
                <w:sz w:val="20"/>
                <w:szCs w:val="20"/>
                <w:color w:val="auto"/>
              </w:rPr>
            </w:pPr>
            <w:r>
              <w:rPr>
                <w:rFonts w:ascii="Arial" w:cs="Arial" w:eastAsia="Arial" w:hAnsi="Arial"/>
                <w:sz w:val="14"/>
                <w:szCs w:val="14"/>
                <w:b w:val="1"/>
                <w:bCs w:val="1"/>
                <w:color w:val="auto"/>
              </w:rPr>
              <w:t>Three Months Ended September 30,</w:t>
            </w:r>
          </w:p>
        </w:tc>
        <w:tc>
          <w:tcPr>
            <w:tcW w:w="1720" w:type="dxa"/>
            <w:vAlign w:val="bottom"/>
          </w:tcPr>
          <w:p>
            <w:pPr>
              <w:spacing w:after="0"/>
              <w:rPr>
                <w:sz w:val="16"/>
                <w:szCs w:val="16"/>
                <w:color w:val="auto"/>
              </w:rPr>
            </w:pPr>
          </w:p>
        </w:tc>
        <w:tc>
          <w:tcPr>
            <w:tcW w:w="820" w:type="dxa"/>
            <w:vAlign w:val="bottom"/>
          </w:tcPr>
          <w:p>
            <w:pPr>
              <w:jc w:val="right"/>
              <w:ind w:right="76"/>
              <w:spacing w:after="0"/>
              <w:rPr>
                <w:sz w:val="20"/>
                <w:szCs w:val="20"/>
                <w:color w:val="auto"/>
              </w:rPr>
            </w:pPr>
            <w:r>
              <w:rPr>
                <w:rFonts w:ascii="Arial" w:cs="Arial" w:eastAsia="Arial" w:hAnsi="Arial"/>
                <w:sz w:val="14"/>
                <w:szCs w:val="14"/>
                <w:b w:val="1"/>
                <w:bCs w:val="1"/>
                <w:color w:val="auto"/>
              </w:rPr>
              <w:t>2017</w:t>
            </w:r>
          </w:p>
        </w:tc>
        <w:tc>
          <w:tcPr>
            <w:tcW w:w="5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560" w:type="dxa"/>
            <w:vAlign w:val="bottom"/>
            <w:gridSpan w:val="2"/>
          </w:tcPr>
          <w:p>
            <w:pPr>
              <w:spacing w:after="0"/>
              <w:rPr>
                <w:sz w:val="20"/>
                <w:szCs w:val="20"/>
                <w:color w:val="auto"/>
              </w:rPr>
            </w:pPr>
            <w:r>
              <w:rPr>
                <w:rFonts w:ascii="Arial" w:cs="Arial" w:eastAsia="Arial" w:hAnsi="Arial"/>
                <w:sz w:val="14"/>
                <w:szCs w:val="14"/>
                <w:b w:val="1"/>
                <w:bCs w:val="1"/>
                <w:color w:val="auto"/>
              </w:rPr>
              <w:t>Effective Portion</w:t>
            </w:r>
          </w:p>
        </w:tc>
        <w:tc>
          <w:tcPr>
            <w:tcW w:w="17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
        </w:trPr>
        <w:tc>
          <w:tcPr>
            <w:tcW w:w="20" w:type="dxa"/>
            <w:vAlign w:val="bottom"/>
            <w:vMerge w:val="restart"/>
          </w:tcPr>
          <w:p>
            <w:pPr>
              <w:spacing w:after="0"/>
              <w:rPr>
                <w:sz w:val="3"/>
                <w:szCs w:val="3"/>
                <w:color w:val="auto"/>
              </w:rPr>
            </w:pPr>
          </w:p>
        </w:tc>
        <w:tc>
          <w:tcPr>
            <w:tcW w:w="7540" w:type="dxa"/>
            <w:vAlign w:val="bottom"/>
          </w:tcPr>
          <w:p>
            <w:pPr>
              <w:spacing w:after="0"/>
              <w:rPr>
                <w:sz w:val="3"/>
                <w:szCs w:val="3"/>
                <w:color w:val="auto"/>
              </w:rPr>
            </w:pPr>
          </w:p>
        </w:tc>
        <w:tc>
          <w:tcPr>
            <w:tcW w:w="1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7540" w:type="dxa"/>
            <w:vAlign w:val="bottom"/>
            <w:shd w:val="clear" w:color="auto" w:fill="E5E5E5"/>
          </w:tcPr>
          <w:p>
            <w:pPr>
              <w:spacing w:after="0"/>
              <w:rPr>
                <w:sz w:val="20"/>
                <w:szCs w:val="20"/>
                <w:color w:val="auto"/>
              </w:rPr>
            </w:pPr>
            <w:r>
              <w:rPr>
                <w:rFonts w:ascii="Arial" w:cs="Arial" w:eastAsia="Arial" w:hAnsi="Arial"/>
                <w:sz w:val="18"/>
                <w:szCs w:val="18"/>
                <w:color w:val="auto"/>
              </w:rPr>
              <w:t xml:space="preserve">Gains recognized in other comprehensive income (net of tax of </w:t>
            </w:r>
            <w:r>
              <w:rPr>
                <w:rFonts w:ascii="Arial" w:cs="Arial" w:eastAsia="Arial" w:hAnsi="Arial"/>
                <w:sz w:val="18"/>
                <w:szCs w:val="18"/>
                <w:b w:val="1"/>
                <w:bCs w:val="1"/>
                <w:color w:val="auto"/>
              </w:rPr>
              <w:t>$0</w:t>
            </w:r>
            <w:r>
              <w:rPr>
                <w:rFonts w:ascii="Arial" w:cs="Arial" w:eastAsia="Arial" w:hAnsi="Arial"/>
                <w:sz w:val="18"/>
                <w:szCs w:val="18"/>
                <w:color w:val="auto"/>
              </w:rPr>
              <w:t xml:space="preserve"> and $1)</w:t>
            </w:r>
          </w:p>
        </w:tc>
        <w:tc>
          <w:tcPr>
            <w:tcW w:w="1720" w:type="dxa"/>
            <w:vAlign w:val="bottom"/>
            <w:shd w:val="clear" w:color="auto" w:fill="E5E5E5"/>
          </w:tcPr>
          <w:p>
            <w:pPr>
              <w:jc w:val="right"/>
              <w:ind w:right="270"/>
              <w:spacing w:after="0"/>
              <w:rPr>
                <w:sz w:val="20"/>
                <w:szCs w:val="20"/>
                <w:color w:val="auto"/>
              </w:rPr>
            </w:pPr>
            <w:r>
              <w:rPr>
                <w:rFonts w:ascii="Arial" w:cs="Arial" w:eastAsia="Arial" w:hAnsi="Arial"/>
                <w:sz w:val="18"/>
                <w:szCs w:val="18"/>
                <w:b w:val="1"/>
                <w:bCs w:val="1"/>
                <w:color w:val="auto"/>
              </w:rPr>
              <w:t>$</w:t>
            </w:r>
          </w:p>
        </w:tc>
        <w:tc>
          <w:tcPr>
            <w:tcW w:w="820" w:type="dxa"/>
            <w:vAlign w:val="bottom"/>
            <w:shd w:val="clear" w:color="auto" w:fill="E5E5E5"/>
          </w:tcPr>
          <w:p>
            <w:pPr>
              <w:jc w:val="right"/>
              <w:ind w:right="56"/>
              <w:spacing w:after="0"/>
              <w:rPr>
                <w:sz w:val="20"/>
                <w:szCs w:val="20"/>
                <w:color w:val="auto"/>
              </w:rPr>
            </w:pPr>
            <w:r>
              <w:rPr>
                <w:rFonts w:ascii="Arial" w:cs="Arial" w:eastAsia="Arial" w:hAnsi="Arial"/>
                <w:sz w:val="18"/>
                <w:szCs w:val="18"/>
                <w:b w:val="1"/>
                <w:bCs w:val="1"/>
                <w:color w:val="auto"/>
              </w:rPr>
              <w:t>5</w:t>
            </w:r>
          </w:p>
        </w:tc>
        <w:tc>
          <w:tcPr>
            <w:tcW w:w="540" w:type="dxa"/>
            <w:vAlign w:val="bottom"/>
            <w:shd w:val="clear" w:color="auto" w:fill="E5E5E5"/>
          </w:tcPr>
          <w:p>
            <w:pPr>
              <w:jc w:val="right"/>
              <w:ind w:right="27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E5E5E5"/>
          </w:tcPr>
          <w:p>
            <w:pPr>
              <w:jc w:val="right"/>
              <w:ind w:right="10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7540" w:type="dxa"/>
            <w:vAlign w:val="bottom"/>
          </w:tcPr>
          <w:p>
            <w:pPr>
              <w:spacing w:after="0"/>
              <w:rPr>
                <w:sz w:val="20"/>
                <w:szCs w:val="20"/>
                <w:color w:val="auto"/>
              </w:rPr>
            </w:pPr>
            <w:r>
              <w:rPr>
                <w:rFonts w:ascii="Arial" w:cs="Arial" w:eastAsia="Arial" w:hAnsi="Arial"/>
                <w:sz w:val="18"/>
                <w:szCs w:val="18"/>
                <w:color w:val="auto"/>
              </w:rPr>
              <w:t>Gains reclassified from accumulated other comprehensive income into revenue</w:t>
            </w:r>
          </w:p>
        </w:tc>
        <w:tc>
          <w:tcPr>
            <w:tcW w:w="1720" w:type="dxa"/>
            <w:vAlign w:val="bottom"/>
          </w:tcPr>
          <w:p>
            <w:pPr>
              <w:spacing w:after="0"/>
              <w:rPr>
                <w:sz w:val="21"/>
                <w:szCs w:val="21"/>
                <w:color w:val="auto"/>
              </w:rPr>
            </w:pPr>
          </w:p>
        </w:tc>
        <w:tc>
          <w:tcPr>
            <w:tcW w:w="820" w:type="dxa"/>
            <w:vAlign w:val="bottom"/>
          </w:tcPr>
          <w:p>
            <w:pPr>
              <w:jc w:val="right"/>
              <w:ind w:right="56"/>
              <w:spacing w:after="0"/>
              <w:rPr>
                <w:sz w:val="20"/>
                <w:szCs w:val="20"/>
                <w:color w:val="auto"/>
              </w:rPr>
            </w:pPr>
            <w:r>
              <w:rPr>
                <w:rFonts w:ascii="Arial" w:cs="Arial" w:eastAsia="Arial" w:hAnsi="Arial"/>
                <w:sz w:val="18"/>
                <w:szCs w:val="18"/>
                <w:b w:val="1"/>
                <w:bCs w:val="1"/>
                <w:color w:val="auto"/>
              </w:rPr>
              <w:t>111</w:t>
            </w:r>
          </w:p>
        </w:tc>
        <w:tc>
          <w:tcPr>
            <w:tcW w:w="540" w:type="dxa"/>
            <w:vAlign w:val="bottom"/>
          </w:tcPr>
          <w:p>
            <w:pPr>
              <w:spacing w:after="0"/>
              <w:rPr>
                <w:sz w:val="21"/>
                <w:szCs w:val="21"/>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190"/>
        </w:trPr>
        <w:tc>
          <w:tcPr>
            <w:tcW w:w="7560" w:type="dxa"/>
            <w:vAlign w:val="bottom"/>
            <w:gridSpan w:val="2"/>
          </w:tcPr>
          <w:p>
            <w:pPr>
              <w:spacing w:after="0"/>
              <w:rPr>
                <w:sz w:val="20"/>
                <w:szCs w:val="20"/>
                <w:color w:val="auto"/>
              </w:rPr>
            </w:pPr>
            <w:r>
              <w:rPr>
                <w:rFonts w:ascii="Arial" w:cs="Arial" w:eastAsia="Arial" w:hAnsi="Arial"/>
                <w:sz w:val="14"/>
                <w:szCs w:val="14"/>
                <w:b w:val="1"/>
                <w:bCs w:val="1"/>
                <w:color w:val="auto"/>
              </w:rPr>
              <w:t>Amount Excluded from Effectiveness Assessment and Ineffective Portion</w:t>
            </w:r>
          </w:p>
        </w:tc>
        <w:tc>
          <w:tcPr>
            <w:tcW w:w="1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 w:type="dxa"/>
            <w:vAlign w:val="bottom"/>
            <w:vMerge w:val="restart"/>
          </w:tcPr>
          <w:p>
            <w:pPr>
              <w:spacing w:after="0"/>
              <w:rPr>
                <w:sz w:val="3"/>
                <w:szCs w:val="3"/>
                <w:color w:val="auto"/>
              </w:rPr>
            </w:pPr>
          </w:p>
        </w:tc>
        <w:tc>
          <w:tcPr>
            <w:tcW w:w="7540" w:type="dxa"/>
            <w:vAlign w:val="bottom"/>
          </w:tcPr>
          <w:p>
            <w:pPr>
              <w:spacing w:after="0"/>
              <w:rPr>
                <w:sz w:val="3"/>
                <w:szCs w:val="3"/>
                <w:color w:val="auto"/>
              </w:rPr>
            </w:pPr>
          </w:p>
        </w:tc>
        <w:tc>
          <w:tcPr>
            <w:tcW w:w="1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54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Losses recognized in other income (expense), net</w:t>
            </w:r>
          </w:p>
        </w:tc>
        <w:tc>
          <w:tcPr>
            <w:tcW w:w="1720" w:type="dxa"/>
            <w:vAlign w:val="bottom"/>
            <w:shd w:val="clear" w:color="auto" w:fill="E5E5E5"/>
          </w:tcPr>
          <w:p>
            <w:pPr>
              <w:spacing w:after="0"/>
              <w:rPr>
                <w:sz w:val="17"/>
                <w:szCs w:val="17"/>
                <w:color w:val="auto"/>
              </w:rPr>
            </w:pPr>
          </w:p>
        </w:tc>
        <w:tc>
          <w:tcPr>
            <w:tcW w:w="82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(91)</w:t>
            </w:r>
          </w:p>
        </w:tc>
        <w:tc>
          <w:tcPr>
            <w:tcW w:w="540" w:type="dxa"/>
            <w:vAlign w:val="bottom"/>
            <w:shd w:val="clear" w:color="auto" w:fill="E5E5E5"/>
          </w:tcPr>
          <w:p>
            <w:pPr>
              <w:spacing w:after="0"/>
              <w:rPr>
                <w:sz w:val="17"/>
                <w:szCs w:val="17"/>
                <w:color w:val="auto"/>
              </w:rPr>
            </w:pPr>
          </w:p>
        </w:tc>
        <w:tc>
          <w:tcPr>
            <w:tcW w:w="780" w:type="dxa"/>
            <w:vAlign w:val="bottom"/>
            <w:gridSpan w:val="2"/>
            <w:shd w:val="clear" w:color="auto" w:fill="E5E5E5"/>
          </w:tcPr>
          <w:p>
            <w:pPr>
              <w:jc w:val="right"/>
              <w:ind w:right="40"/>
              <w:spacing w:after="0" w:line="202" w:lineRule="exact"/>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540" w:type="dxa"/>
            <w:vAlign w:val="bottom"/>
            <w:tcBorders>
              <w:bottom w:val="single" w:sz="8" w:color="auto"/>
            </w:tcBorders>
          </w:tcPr>
          <w:p>
            <w:pPr>
              <w:spacing w:after="0"/>
              <w:rPr>
                <w:sz w:val="5"/>
                <w:szCs w:val="5"/>
                <w:color w:val="auto"/>
              </w:rPr>
            </w:pPr>
          </w:p>
        </w:tc>
        <w:tc>
          <w:tcPr>
            <w:tcW w:w="172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We estimate that $29 million of net derivative gains included in AOCI as of September 30, 2017 will be reclassified into earnings within the following 12 months. No significant amounts of gains (losses) were reclassified from AOCI into earnings as a result of forecasted transactions that failed to occur during the three months ended September 30, 2017.</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Non-Designated Derivative Gains (Losses)</w:t>
      </w:r>
    </w:p>
    <w:p>
      <w:pPr>
        <w:spacing w:after="0" w:line="160" w:lineRule="exact"/>
        <w:rPr>
          <w:sz w:val="20"/>
          <w:szCs w:val="20"/>
          <w:color w:val="auto"/>
        </w:rPr>
      </w:pPr>
    </w:p>
    <w:p>
      <w:pPr>
        <w:jc w:val="both"/>
        <w:ind w:right="20"/>
        <w:spacing w:after="0" w:line="245" w:lineRule="auto"/>
        <w:rPr>
          <w:sz w:val="20"/>
          <w:szCs w:val="20"/>
          <w:color w:val="auto"/>
        </w:rPr>
      </w:pPr>
      <w:r>
        <w:rPr>
          <w:rFonts w:ascii="Arial" w:cs="Arial" w:eastAsia="Arial" w:hAnsi="Arial"/>
          <w:sz w:val="18"/>
          <w:szCs w:val="18"/>
          <w:color w:val="auto"/>
        </w:rPr>
        <w:t>Gains (losses) from changes in fair values of derivatives that are not designated as hedges are primarily recognized in other income (expense), net. These amounts are shown in the table below, with the exception of gains (losses) on derivatives presented in income statement line items other than other income (expense), net, which were immaterial for the periods presented. Other than those derivatives entered into for investment purposes, the gains (losses) below are generally economically offset by unrealized gains (losses) in the underlying available-for-sale securities and gains (losses) from foreign exchange rate changes on certain balance sheet amounts.</w:t>
      </w:r>
    </w:p>
    <w:p>
      <w:pPr>
        <w:spacing w:after="0" w:line="15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46990</wp:posOffset>
            </wp:positionV>
            <wp:extent cx="717804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8040" cy="8890"/>
                    </a:xfrm>
                    <a:prstGeom prst="rect">
                      <a:avLst/>
                    </a:prstGeom>
                    <a:noFill/>
                  </pic:spPr>
                </pic:pic>
              </a:graphicData>
            </a:graphic>
          </wp:anchor>
        </w:drawing>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960" w:type="dxa"/>
            <w:vAlign w:val="bottom"/>
            <w:gridSpan w:val="2"/>
          </w:tcPr>
          <w:p>
            <w:pPr>
              <w:spacing w:after="0"/>
              <w:rPr>
                <w:sz w:val="20"/>
                <w:szCs w:val="20"/>
                <w:color w:val="auto"/>
              </w:rPr>
            </w:pPr>
            <w:r>
              <w:rPr>
                <w:rFonts w:ascii="Arial" w:cs="Arial" w:eastAsia="Arial" w:hAnsi="Arial"/>
                <w:sz w:val="14"/>
                <w:szCs w:val="14"/>
                <w:b w:val="1"/>
                <w:bCs w:val="1"/>
                <w:color w:val="auto"/>
              </w:rPr>
              <w:t>Three Months Ended September 30,</w:t>
            </w:r>
          </w:p>
        </w:tc>
        <w:tc>
          <w:tcPr>
            <w:tcW w:w="48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2017</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 w:type="dxa"/>
            <w:vAlign w:val="bottom"/>
            <w:vMerge w:val="restart"/>
          </w:tcPr>
          <w:p>
            <w:pPr>
              <w:spacing w:after="0"/>
              <w:rPr>
                <w:sz w:val="3"/>
                <w:szCs w:val="3"/>
                <w:color w:val="auto"/>
              </w:rPr>
            </w:pPr>
          </w:p>
        </w:tc>
        <w:tc>
          <w:tcPr>
            <w:tcW w:w="3940" w:type="dxa"/>
            <w:vAlign w:val="bottom"/>
          </w:tcPr>
          <w:p>
            <w:pPr>
              <w:spacing w:after="0"/>
              <w:rPr>
                <w:sz w:val="3"/>
                <w:szCs w:val="3"/>
                <w:color w:val="auto"/>
              </w:rPr>
            </w:pPr>
          </w:p>
        </w:tc>
        <w:tc>
          <w:tcPr>
            <w:tcW w:w="4860" w:type="dxa"/>
            <w:vAlign w:val="bottom"/>
          </w:tcPr>
          <w:p>
            <w:pPr>
              <w:spacing w:after="0"/>
              <w:rPr>
                <w:sz w:val="3"/>
                <w:szCs w:val="3"/>
                <w:color w:val="auto"/>
              </w:rPr>
            </w:pPr>
          </w:p>
        </w:tc>
        <w:tc>
          <w:tcPr>
            <w:tcW w:w="460" w:type="dxa"/>
            <w:vAlign w:val="bottom"/>
          </w:tcPr>
          <w:p>
            <w:pPr>
              <w:spacing w:after="0"/>
              <w:rPr>
                <w:sz w:val="3"/>
                <w:szCs w:val="3"/>
                <w:color w:val="auto"/>
              </w:rPr>
            </w:pPr>
          </w:p>
        </w:tc>
        <w:tc>
          <w:tcPr>
            <w:tcW w:w="6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94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Foreign exchange contracts</w:t>
            </w:r>
          </w:p>
        </w:tc>
        <w:tc>
          <w:tcPr>
            <w:tcW w:w="5320" w:type="dxa"/>
            <w:vAlign w:val="bottom"/>
            <w:gridSpan w:val="2"/>
            <w:shd w:val="clear" w:color="auto" w:fill="E5E5E5"/>
          </w:tcPr>
          <w:p>
            <w:pPr>
              <w:jc w:val="right"/>
              <w:ind w:right="360"/>
              <w:spacing w:after="0" w:line="202" w:lineRule="exact"/>
              <w:rPr>
                <w:sz w:val="20"/>
                <w:szCs w:val="20"/>
                <w:color w:val="auto"/>
              </w:rPr>
            </w:pPr>
            <w:r>
              <w:rPr>
                <w:rFonts w:ascii="Arial" w:cs="Arial" w:eastAsia="Arial" w:hAnsi="Arial"/>
                <w:sz w:val="18"/>
                <w:szCs w:val="18"/>
                <w:b w:val="1"/>
                <w:bCs w:val="1"/>
                <w:color w:val="auto"/>
              </w:rPr>
              <w:t>$</w:t>
            </w:r>
          </w:p>
        </w:tc>
        <w:tc>
          <w:tcPr>
            <w:tcW w:w="820" w:type="dxa"/>
            <w:vAlign w:val="bottom"/>
            <w:gridSpan w:val="2"/>
            <w:shd w:val="clear" w:color="auto" w:fill="E5E5E5"/>
          </w:tcPr>
          <w:p>
            <w:pPr>
              <w:jc w:val="right"/>
              <w:ind w:right="80"/>
              <w:spacing w:after="0" w:line="202" w:lineRule="exact"/>
              <w:rPr>
                <w:sz w:val="20"/>
                <w:szCs w:val="20"/>
                <w:color w:val="auto"/>
              </w:rPr>
            </w:pPr>
            <w:r>
              <w:rPr>
                <w:rFonts w:ascii="Arial" w:cs="Arial" w:eastAsia="Arial" w:hAnsi="Arial"/>
                <w:sz w:val="18"/>
                <w:szCs w:val="18"/>
                <w:b w:val="1"/>
                <w:bCs w:val="1"/>
                <w:color w:val="auto"/>
              </w:rPr>
              <w:t>(69)</w:t>
            </w:r>
          </w:p>
        </w:tc>
        <w:tc>
          <w:tcPr>
            <w:tcW w:w="540" w:type="dxa"/>
            <w:vAlign w:val="bottom"/>
            <w:gridSpan w:val="2"/>
            <w:shd w:val="clear" w:color="auto" w:fill="E5E5E5"/>
          </w:tcPr>
          <w:p>
            <w:pPr>
              <w:jc w:val="right"/>
              <w:ind w:right="360"/>
              <w:spacing w:after="0" w:line="202" w:lineRule="exact"/>
              <w:rPr>
                <w:sz w:val="20"/>
                <w:szCs w:val="20"/>
                <w:color w:val="auto"/>
              </w:rPr>
            </w:pPr>
            <w:r>
              <w:rPr>
                <w:rFonts w:ascii="Arial" w:cs="Arial" w:eastAsia="Arial" w:hAnsi="Arial"/>
                <w:sz w:val="18"/>
                <w:szCs w:val="18"/>
                <w:color w:val="auto"/>
              </w:rPr>
              <w:t>$</w:t>
            </w:r>
          </w:p>
        </w:tc>
        <w:tc>
          <w:tcPr>
            <w:tcW w:w="780" w:type="dxa"/>
            <w:vAlign w:val="bottom"/>
            <w:gridSpan w:val="2"/>
            <w:shd w:val="clear" w:color="auto" w:fill="E5E5E5"/>
          </w:tcPr>
          <w:p>
            <w:pPr>
              <w:jc w:val="right"/>
              <w:ind w:right="40"/>
              <w:spacing w:after="0" w:line="202" w:lineRule="exact"/>
              <w:rPr>
                <w:sz w:val="20"/>
                <w:szCs w:val="20"/>
                <w:color w:val="auto"/>
              </w:rPr>
            </w:pPr>
            <w:r>
              <w:rPr>
                <w:rFonts w:ascii="Arial" w:cs="Arial" w:eastAsia="Arial" w:hAnsi="Arial"/>
                <w:sz w:val="18"/>
                <w:szCs w:val="18"/>
                <w:color w:val="auto"/>
              </w:rPr>
              <w:t>(31)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40" w:type="dxa"/>
            <w:vAlign w:val="bottom"/>
          </w:tcPr>
          <w:p>
            <w:pPr>
              <w:spacing w:after="0" w:line="202" w:lineRule="exact"/>
              <w:rPr>
                <w:sz w:val="20"/>
                <w:szCs w:val="20"/>
                <w:color w:val="auto"/>
              </w:rPr>
            </w:pPr>
            <w:r>
              <w:rPr>
                <w:rFonts w:ascii="Arial" w:cs="Arial" w:eastAsia="Arial" w:hAnsi="Arial"/>
                <w:sz w:val="18"/>
                <w:szCs w:val="18"/>
                <w:color w:val="auto"/>
              </w:rPr>
              <w:t>Equity contracts</w:t>
            </w:r>
          </w:p>
        </w:tc>
        <w:tc>
          <w:tcPr>
            <w:tcW w:w="48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20" w:type="dxa"/>
            <w:vAlign w:val="bottom"/>
            <w:gridSpan w:val="2"/>
          </w:tcPr>
          <w:p>
            <w:pPr>
              <w:jc w:val="right"/>
              <w:ind w:right="80"/>
              <w:spacing w:after="0" w:line="202" w:lineRule="exact"/>
              <w:rPr>
                <w:sz w:val="20"/>
                <w:szCs w:val="20"/>
                <w:color w:val="auto"/>
              </w:rPr>
            </w:pPr>
            <w:r>
              <w:rPr>
                <w:rFonts w:ascii="Arial" w:cs="Arial" w:eastAsia="Arial" w:hAnsi="Arial"/>
                <w:sz w:val="18"/>
                <w:szCs w:val="18"/>
                <w:b w:val="1"/>
                <w:bCs w:val="1"/>
                <w:color w:val="auto"/>
              </w:rPr>
              <w:t>(29)</w:t>
            </w: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4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Interest-rate contracts</w:t>
            </w:r>
          </w:p>
        </w:tc>
        <w:tc>
          <w:tcPr>
            <w:tcW w:w="4860" w:type="dxa"/>
            <w:vAlign w:val="bottom"/>
            <w:shd w:val="clear" w:color="auto" w:fill="E5E5E5"/>
          </w:tcPr>
          <w:p>
            <w:pPr>
              <w:spacing w:after="0"/>
              <w:rPr>
                <w:sz w:val="17"/>
                <w:szCs w:val="17"/>
                <w:color w:val="auto"/>
              </w:rPr>
            </w:pPr>
          </w:p>
        </w:tc>
        <w:tc>
          <w:tcPr>
            <w:tcW w:w="460" w:type="dxa"/>
            <w:vAlign w:val="bottom"/>
            <w:shd w:val="clear" w:color="auto" w:fill="E5E5E5"/>
          </w:tcPr>
          <w:p>
            <w:pPr>
              <w:spacing w:after="0"/>
              <w:rPr>
                <w:sz w:val="17"/>
                <w:szCs w:val="17"/>
                <w:color w:val="auto"/>
              </w:rPr>
            </w:pPr>
          </w:p>
        </w:tc>
        <w:tc>
          <w:tcPr>
            <w:tcW w:w="820" w:type="dxa"/>
            <w:vAlign w:val="bottom"/>
            <w:gridSpan w:val="2"/>
            <w:shd w:val="clear" w:color="auto" w:fill="E5E5E5"/>
          </w:tcPr>
          <w:p>
            <w:pPr>
              <w:jc w:val="right"/>
              <w:ind w:right="140"/>
              <w:spacing w:after="0" w:line="202" w:lineRule="exact"/>
              <w:rPr>
                <w:sz w:val="20"/>
                <w:szCs w:val="20"/>
                <w:color w:val="auto"/>
              </w:rPr>
            </w:pPr>
            <w:r>
              <w:rPr>
                <w:rFonts w:ascii="Arial" w:cs="Arial" w:eastAsia="Arial" w:hAnsi="Arial"/>
                <w:sz w:val="18"/>
                <w:szCs w:val="18"/>
                <w:b w:val="1"/>
                <w:bCs w:val="1"/>
                <w:color w:val="auto"/>
              </w:rPr>
              <w:t>11</w:t>
            </w:r>
          </w:p>
        </w:tc>
        <w:tc>
          <w:tcPr>
            <w:tcW w:w="80" w:type="dxa"/>
            <w:vAlign w:val="bottom"/>
            <w:shd w:val="clear" w:color="auto" w:fill="E5E5E5"/>
          </w:tcPr>
          <w:p>
            <w:pPr>
              <w:spacing w:after="0"/>
              <w:rPr>
                <w:sz w:val="17"/>
                <w:szCs w:val="17"/>
                <w:color w:val="auto"/>
              </w:rPr>
            </w:pPr>
          </w:p>
        </w:tc>
        <w:tc>
          <w:tcPr>
            <w:tcW w:w="460" w:type="dxa"/>
            <w:vAlign w:val="bottom"/>
            <w:shd w:val="clear" w:color="auto" w:fill="E5E5E5"/>
          </w:tcPr>
          <w:p>
            <w:pPr>
              <w:spacing w:after="0"/>
              <w:rPr>
                <w:sz w:val="17"/>
                <w:szCs w:val="17"/>
                <w:color w:val="auto"/>
              </w:rPr>
            </w:pPr>
          </w:p>
        </w:tc>
        <w:tc>
          <w:tcPr>
            <w:tcW w:w="78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Credit contracts</w:t>
            </w:r>
          </w:p>
        </w:tc>
        <w:tc>
          <w:tcPr>
            <w:tcW w:w="48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0</w:t>
            </w: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940" w:type="dxa"/>
            <w:vAlign w:val="bottom"/>
            <w:shd w:val="clear" w:color="auto" w:fill="E5E5E5"/>
          </w:tcPr>
          <w:p>
            <w:pPr>
              <w:spacing w:after="0"/>
              <w:rPr>
                <w:sz w:val="20"/>
                <w:szCs w:val="20"/>
                <w:color w:val="auto"/>
              </w:rPr>
            </w:pPr>
            <w:r>
              <w:rPr>
                <w:rFonts w:ascii="Arial" w:cs="Arial" w:eastAsia="Arial" w:hAnsi="Arial"/>
                <w:sz w:val="18"/>
                <w:szCs w:val="18"/>
                <w:color w:val="auto"/>
              </w:rPr>
              <w:t>Other contracts</w:t>
            </w:r>
          </w:p>
        </w:tc>
        <w:tc>
          <w:tcPr>
            <w:tcW w:w="4860" w:type="dxa"/>
            <w:vAlign w:val="bottom"/>
            <w:shd w:val="clear" w:color="auto" w:fill="E5E5E5"/>
          </w:tcPr>
          <w:p>
            <w:pPr>
              <w:spacing w:after="0"/>
              <w:rPr>
                <w:sz w:val="21"/>
                <w:szCs w:val="21"/>
                <w:color w:val="auto"/>
              </w:rPr>
            </w:pPr>
          </w:p>
        </w:tc>
        <w:tc>
          <w:tcPr>
            <w:tcW w:w="460" w:type="dxa"/>
            <w:vAlign w:val="bottom"/>
            <w:shd w:val="clear" w:color="auto" w:fill="E5E5E5"/>
          </w:tcPr>
          <w:p>
            <w:pPr>
              <w:spacing w:after="0"/>
              <w:rPr>
                <w:sz w:val="21"/>
                <w:szCs w:val="21"/>
                <w:color w:val="auto"/>
              </w:rPr>
            </w:pPr>
          </w:p>
        </w:tc>
        <w:tc>
          <w:tcPr>
            <w:tcW w:w="820" w:type="dxa"/>
            <w:vAlign w:val="bottom"/>
            <w:gridSpan w:val="2"/>
            <w:shd w:val="clear" w:color="auto" w:fill="E5E5E5"/>
          </w:tcPr>
          <w:p>
            <w:pPr>
              <w:jc w:val="right"/>
              <w:ind w:right="140"/>
              <w:spacing w:after="0"/>
              <w:rPr>
                <w:sz w:val="20"/>
                <w:szCs w:val="20"/>
                <w:color w:val="auto"/>
              </w:rPr>
            </w:pPr>
            <w:r>
              <w:rPr>
                <w:rFonts w:ascii="Arial" w:cs="Arial" w:eastAsia="Arial" w:hAnsi="Arial"/>
                <w:sz w:val="18"/>
                <w:szCs w:val="18"/>
                <w:b w:val="1"/>
                <w:bCs w:val="1"/>
                <w:color w:val="auto"/>
              </w:rPr>
              <w:t>0</w:t>
            </w:r>
          </w:p>
        </w:tc>
        <w:tc>
          <w:tcPr>
            <w:tcW w:w="80" w:type="dxa"/>
            <w:vAlign w:val="bottom"/>
            <w:shd w:val="clear" w:color="auto" w:fill="E5E5E5"/>
          </w:tcPr>
          <w:p>
            <w:pPr>
              <w:spacing w:after="0"/>
              <w:rPr>
                <w:sz w:val="21"/>
                <w:szCs w:val="21"/>
                <w:color w:val="auto"/>
              </w:rPr>
            </w:pPr>
          </w:p>
        </w:tc>
        <w:tc>
          <w:tcPr>
            <w:tcW w:w="460" w:type="dxa"/>
            <w:vAlign w:val="bottom"/>
            <w:shd w:val="clear" w:color="auto" w:fill="E5E5E5"/>
          </w:tcPr>
          <w:p>
            <w:pPr>
              <w:spacing w:after="0"/>
              <w:rPr>
                <w:sz w:val="21"/>
                <w:szCs w:val="21"/>
                <w:color w:val="auto"/>
              </w:rPr>
            </w:pPr>
          </w:p>
        </w:tc>
        <w:tc>
          <w:tcPr>
            <w:tcW w:w="780" w:type="dxa"/>
            <w:vAlign w:val="bottom"/>
            <w:gridSpan w:val="2"/>
            <w:shd w:val="clear" w:color="auto" w:fill="E5E5E5"/>
          </w:tcPr>
          <w:p>
            <w:pPr>
              <w:jc w:val="right"/>
              <w:ind w:right="40"/>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3940" w:type="dxa"/>
            <w:vAlign w:val="bottom"/>
            <w:tcBorders>
              <w:bottom w:val="single" w:sz="8" w:color="auto"/>
            </w:tcBorders>
          </w:tcPr>
          <w:p>
            <w:pPr>
              <w:spacing w:after="0"/>
              <w:rPr>
                <w:sz w:val="5"/>
                <w:szCs w:val="5"/>
                <w:color w:val="auto"/>
              </w:rPr>
            </w:pPr>
          </w:p>
        </w:tc>
        <w:tc>
          <w:tcPr>
            <w:tcW w:w="486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940" w:type="dxa"/>
            <w:vAlign w:val="bottom"/>
          </w:tcPr>
          <w:p>
            <w:pPr>
              <w:spacing w:after="0"/>
              <w:rPr>
                <w:sz w:val="5"/>
                <w:szCs w:val="5"/>
                <w:color w:val="auto"/>
              </w:rPr>
            </w:pPr>
          </w:p>
        </w:tc>
        <w:tc>
          <w:tcPr>
            <w:tcW w:w="4860" w:type="dxa"/>
            <w:vAlign w:val="bottom"/>
          </w:tcPr>
          <w:p>
            <w:pPr>
              <w:spacing w:after="0"/>
              <w:rPr>
                <w:sz w:val="5"/>
                <w:szCs w:val="5"/>
                <w:color w:val="auto"/>
              </w:rPr>
            </w:pPr>
          </w:p>
        </w:tc>
        <w:tc>
          <w:tcPr>
            <w:tcW w:w="460" w:type="dxa"/>
            <w:vAlign w:val="bottom"/>
          </w:tcPr>
          <w:p>
            <w:pPr>
              <w:spacing w:after="0"/>
              <w:rPr>
                <w:sz w:val="5"/>
                <w:szCs w:val="5"/>
                <w:color w:val="auto"/>
              </w:rPr>
            </w:pPr>
          </w:p>
        </w:tc>
        <w:tc>
          <w:tcPr>
            <w:tcW w:w="68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6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40" w:type="dxa"/>
            <w:vAlign w:val="bottom"/>
            <w:shd w:val="clear" w:color="auto" w:fill="E5E5E5"/>
          </w:tcPr>
          <w:p>
            <w:pPr>
              <w:ind w:left="200"/>
              <w:spacing w:after="0" w:line="202" w:lineRule="exact"/>
              <w:rPr>
                <w:sz w:val="20"/>
                <w:szCs w:val="20"/>
                <w:color w:val="auto"/>
              </w:rPr>
            </w:pPr>
            <w:r>
              <w:rPr>
                <w:rFonts w:ascii="Arial" w:cs="Arial" w:eastAsia="Arial" w:hAnsi="Arial"/>
                <w:sz w:val="18"/>
                <w:szCs w:val="18"/>
                <w:color w:val="auto"/>
              </w:rPr>
              <w:t>Total</w:t>
            </w:r>
          </w:p>
        </w:tc>
        <w:tc>
          <w:tcPr>
            <w:tcW w:w="5320" w:type="dxa"/>
            <w:vAlign w:val="bottom"/>
            <w:gridSpan w:val="2"/>
            <w:shd w:val="clear" w:color="auto" w:fill="E5E5E5"/>
          </w:tcPr>
          <w:p>
            <w:pPr>
              <w:jc w:val="right"/>
              <w:ind w:right="360"/>
              <w:spacing w:after="0" w:line="202" w:lineRule="exact"/>
              <w:rPr>
                <w:sz w:val="20"/>
                <w:szCs w:val="20"/>
                <w:color w:val="auto"/>
              </w:rPr>
            </w:pPr>
            <w:r>
              <w:rPr>
                <w:rFonts w:ascii="Arial" w:cs="Arial" w:eastAsia="Arial" w:hAnsi="Arial"/>
                <w:sz w:val="18"/>
                <w:szCs w:val="18"/>
                <w:b w:val="1"/>
                <w:bCs w:val="1"/>
                <w:color w:val="auto"/>
              </w:rPr>
              <w:t>$</w:t>
            </w:r>
          </w:p>
        </w:tc>
        <w:tc>
          <w:tcPr>
            <w:tcW w:w="820" w:type="dxa"/>
            <w:vAlign w:val="bottom"/>
            <w:gridSpan w:val="2"/>
            <w:shd w:val="clear" w:color="auto" w:fill="E5E5E5"/>
          </w:tcPr>
          <w:p>
            <w:pPr>
              <w:jc w:val="right"/>
              <w:ind w:right="80"/>
              <w:spacing w:after="0" w:line="202" w:lineRule="exact"/>
              <w:rPr>
                <w:sz w:val="20"/>
                <w:szCs w:val="20"/>
                <w:color w:val="auto"/>
              </w:rPr>
            </w:pPr>
            <w:r>
              <w:rPr>
                <w:rFonts w:ascii="Arial" w:cs="Arial" w:eastAsia="Arial" w:hAnsi="Arial"/>
                <w:sz w:val="18"/>
                <w:szCs w:val="18"/>
                <w:b w:val="1"/>
                <w:bCs w:val="1"/>
                <w:color w:val="auto"/>
              </w:rPr>
              <w:t>(87)</w:t>
            </w:r>
          </w:p>
        </w:tc>
        <w:tc>
          <w:tcPr>
            <w:tcW w:w="540" w:type="dxa"/>
            <w:vAlign w:val="bottom"/>
            <w:gridSpan w:val="2"/>
            <w:shd w:val="clear" w:color="auto" w:fill="E5E5E5"/>
          </w:tcPr>
          <w:p>
            <w:pPr>
              <w:jc w:val="right"/>
              <w:ind w:right="360"/>
              <w:spacing w:after="0" w:line="202" w:lineRule="exact"/>
              <w:rPr>
                <w:sz w:val="20"/>
                <w:szCs w:val="20"/>
                <w:color w:val="auto"/>
              </w:rPr>
            </w:pPr>
            <w:r>
              <w:rPr>
                <w:rFonts w:ascii="Arial" w:cs="Arial" w:eastAsia="Arial" w:hAnsi="Arial"/>
                <w:sz w:val="18"/>
                <w:szCs w:val="18"/>
                <w:color w:val="auto"/>
              </w:rPr>
              <w:t>$</w:t>
            </w:r>
          </w:p>
        </w:tc>
        <w:tc>
          <w:tcPr>
            <w:tcW w:w="780" w:type="dxa"/>
            <w:vAlign w:val="bottom"/>
            <w:gridSpan w:val="2"/>
            <w:shd w:val="clear" w:color="auto" w:fill="E5E5E5"/>
          </w:tcPr>
          <w:p>
            <w:pPr>
              <w:jc w:val="right"/>
              <w:ind w:right="40"/>
              <w:spacing w:after="0" w:line="202" w:lineRule="exact"/>
              <w:rPr>
                <w:sz w:val="20"/>
                <w:szCs w:val="20"/>
                <w:color w:val="auto"/>
              </w:rPr>
            </w:pPr>
            <w:r>
              <w:rPr>
                <w:rFonts w:ascii="Arial" w:cs="Arial" w:eastAsia="Arial" w:hAnsi="Arial"/>
                <w:sz w:val="18"/>
                <w:szCs w:val="18"/>
                <w:color w:val="auto"/>
              </w:rPr>
              <w:t>(64)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3940" w:type="dxa"/>
            <w:vAlign w:val="bottom"/>
          </w:tcPr>
          <w:p>
            <w:pPr>
              <w:spacing w:after="0"/>
              <w:rPr>
                <w:sz w:val="6"/>
                <w:szCs w:val="6"/>
                <w:color w:val="auto"/>
              </w:rPr>
            </w:pPr>
          </w:p>
        </w:tc>
        <w:tc>
          <w:tcPr>
            <w:tcW w:w="4860" w:type="dxa"/>
            <w:vAlign w:val="bottom"/>
            <w:vMerge w:val="restart"/>
          </w:tcPr>
          <w:p>
            <w:pPr>
              <w:jc w:val="right"/>
              <w:ind w:right="2936"/>
              <w:spacing w:after="0"/>
              <w:rPr>
                <w:sz w:val="20"/>
                <w:szCs w:val="20"/>
                <w:color w:val="auto"/>
              </w:rPr>
            </w:pPr>
            <w:r>
              <w:rPr>
                <w:rFonts w:ascii="Arial" w:cs="Arial" w:eastAsia="Arial" w:hAnsi="Arial"/>
                <w:sz w:val="14"/>
                <w:szCs w:val="14"/>
                <w:color w:val="auto"/>
              </w:rPr>
              <w:t>21</w:t>
            </w:r>
          </w:p>
        </w:tc>
        <w:tc>
          <w:tcPr>
            <w:tcW w:w="46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67"/>
        </w:trPr>
        <w:tc>
          <w:tcPr>
            <w:tcW w:w="2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4860" w:type="dxa"/>
            <w:vAlign w:val="bottom"/>
            <w:vMerge w:val="continue"/>
          </w:tcPr>
          <w:p>
            <w:pPr>
              <w:spacing w:after="0"/>
              <w:rPr>
                <w:sz w:val="24"/>
                <w:szCs w:val="24"/>
                <w:color w:val="auto"/>
              </w:rPr>
            </w:pPr>
          </w:p>
        </w:tc>
        <w:tc>
          <w:tcPr>
            <w:tcW w:w="4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3940" w:type="dxa"/>
            <w:vAlign w:val="bottom"/>
            <w:tcBorders>
              <w:bottom w:val="single" w:sz="8" w:color="9A9A9A"/>
            </w:tcBorders>
          </w:tcPr>
          <w:p>
            <w:pPr>
              <w:spacing w:after="0"/>
              <w:rPr>
                <w:sz w:val="8"/>
                <w:szCs w:val="8"/>
                <w:color w:val="auto"/>
              </w:rPr>
            </w:pPr>
          </w:p>
        </w:tc>
        <w:tc>
          <w:tcPr>
            <w:tcW w:w="4860" w:type="dxa"/>
            <w:vAlign w:val="bottom"/>
            <w:tcBorders>
              <w:bottom w:val="single" w:sz="8" w:color="9A9A9A"/>
            </w:tcBorders>
          </w:tcPr>
          <w:p>
            <w:pPr>
              <w:spacing w:after="0"/>
              <w:rPr>
                <w:sz w:val="8"/>
                <w:szCs w:val="8"/>
                <w:color w:val="auto"/>
              </w:rPr>
            </w:pPr>
          </w:p>
        </w:tc>
        <w:tc>
          <w:tcPr>
            <w:tcW w:w="460" w:type="dxa"/>
            <w:vAlign w:val="bottom"/>
            <w:tcBorders>
              <w:bottom w:val="single" w:sz="8" w:color="9A9A9A"/>
            </w:tcBorders>
          </w:tcPr>
          <w:p>
            <w:pPr>
              <w:spacing w:after="0"/>
              <w:rPr>
                <w:sz w:val="8"/>
                <w:szCs w:val="8"/>
                <w:color w:val="auto"/>
              </w:rPr>
            </w:pPr>
          </w:p>
        </w:tc>
        <w:tc>
          <w:tcPr>
            <w:tcW w:w="68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460" w:type="dxa"/>
            <w:vAlign w:val="bottom"/>
            <w:tcBorders>
              <w:bottom w:val="single" w:sz="8" w:color="9A9A9A"/>
            </w:tcBorders>
          </w:tcPr>
          <w:p>
            <w:pPr>
              <w:spacing w:after="0"/>
              <w:rPr>
                <w:sz w:val="8"/>
                <w:szCs w:val="8"/>
                <w:color w:val="auto"/>
              </w:rPr>
            </w:pPr>
          </w:p>
        </w:tc>
        <w:tc>
          <w:tcPr>
            <w:tcW w:w="6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21" w:name="page22"/>
    <w:bookmarkEnd w:id="21"/>
    <w:p>
      <w:pPr>
        <w:ind w:left="5500"/>
        <w:spacing w:after="0"/>
        <w:rPr>
          <w:sz w:val="20"/>
          <w:szCs w:val="20"/>
          <w:color w:val="auto"/>
        </w:rPr>
      </w:pPr>
      <w:r>
        <w:rPr>
          <w:rFonts w:ascii="Arial" w:cs="Arial" w:eastAsia="Arial" w:hAnsi="Arial"/>
          <w:sz w:val="14"/>
          <w:szCs w:val="14"/>
          <w:u w:val="single" w:color="auto"/>
          <w:color w:val="auto"/>
        </w:rPr>
        <w:t>PART I</w:t>
      </w:r>
    </w:p>
    <w:p>
      <w:pPr>
        <w:spacing w:after="0" w:line="5" w:lineRule="exact"/>
        <w:rPr>
          <w:sz w:val="20"/>
          <w:szCs w:val="20"/>
          <w:color w:val="auto"/>
        </w:rPr>
      </w:pPr>
    </w:p>
    <w:p>
      <w:pPr>
        <w:ind w:left="5520"/>
        <w:spacing w:after="0"/>
        <w:rPr>
          <w:sz w:val="20"/>
          <w:szCs w:val="20"/>
          <w:color w:val="auto"/>
        </w:rPr>
      </w:pPr>
      <w:r>
        <w:rPr>
          <w:rFonts w:ascii="Arial" w:cs="Arial" w:eastAsia="Arial" w:hAnsi="Arial"/>
          <w:sz w:val="14"/>
          <w:szCs w:val="14"/>
          <w:color w:val="auto"/>
        </w:rPr>
        <w:t>Item 1</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 6 — FAIR VALUE MEASUREMENTS</w:t>
      </w:r>
    </w:p>
    <w:p>
      <w:pPr>
        <w:spacing w:after="0" w:line="15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account for certain assets and liabilities at fair value. The hierarchy below lists three levels of fair value based on the extent to which inputs used in measuring fair value are observable in the market. We categorize each of our fair value measurements in one of these three levels based on the lowest level input that is significant to the fair value measurement in its entirety. These levels are:</w:t>
      </w:r>
    </w:p>
    <w:p>
      <w:pPr>
        <w:spacing w:after="0" w:line="15" w:lineRule="exact"/>
        <w:rPr>
          <w:sz w:val="20"/>
          <w:szCs w:val="20"/>
          <w:color w:val="auto"/>
        </w:rPr>
      </w:pPr>
    </w:p>
    <w:p>
      <w:pPr>
        <w:jc w:val="both"/>
        <w:ind w:left="1060" w:hanging="390"/>
        <w:spacing w:after="0" w:line="255" w:lineRule="auto"/>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 inputs are based upon unadjusted quoted prices for identical instruments in active markets. Our Level 1 non-derivative</w:t>
      </w:r>
      <w:r>
        <w:rPr>
          <w:rFonts w:ascii="Arial" w:cs="Arial" w:eastAsia="Arial" w:hAnsi="Arial"/>
          <w:sz w:val="18"/>
          <w:szCs w:val="18"/>
          <w:i w:val="1"/>
          <w:iCs w:val="1"/>
          <w:color w:val="auto"/>
        </w:rPr>
        <w:t xml:space="preserve"> </w:t>
      </w:r>
      <w:r>
        <w:rPr>
          <w:rFonts w:ascii="Arial" w:cs="Arial" w:eastAsia="Arial" w:hAnsi="Arial"/>
          <w:sz w:val="18"/>
          <w:szCs w:val="18"/>
          <w:color w:val="auto"/>
        </w:rPr>
        <w:t>investments primarily include U.S. government securities, domestic and international equities, and actively traded mutual funds. Our Level 1 derivative assets and liabilities include those actively traded on exchanges.</w:t>
      </w:r>
    </w:p>
    <w:p>
      <w:pPr>
        <w:spacing w:after="0" w:line="15" w:lineRule="exact"/>
        <w:rPr>
          <w:rFonts w:ascii="Arial" w:cs="Arial" w:eastAsia="Arial" w:hAnsi="Arial"/>
          <w:sz w:val="18"/>
          <w:szCs w:val="18"/>
          <w:color w:val="auto"/>
        </w:rPr>
      </w:pPr>
    </w:p>
    <w:p>
      <w:pPr>
        <w:jc w:val="both"/>
        <w:ind w:left="1060" w:hanging="390"/>
        <w:spacing w:after="0"/>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 inputs are based upon quoted prices for similar instruments in active markets, quoted prices for identical or similar</w:t>
      </w:r>
      <w:r>
        <w:rPr>
          <w:rFonts w:ascii="Arial" w:cs="Arial" w:eastAsia="Arial" w:hAnsi="Arial"/>
          <w:sz w:val="18"/>
          <w:szCs w:val="18"/>
          <w:i w:val="1"/>
          <w:iCs w:val="1"/>
          <w:color w:val="auto"/>
        </w:rPr>
        <w:t xml:space="preserve"> </w:t>
      </w:r>
      <w:r>
        <w:rPr>
          <w:rFonts w:ascii="Arial" w:cs="Arial" w:eastAsia="Arial" w:hAnsi="Arial"/>
          <w:sz w:val="18"/>
          <w:szCs w:val="18"/>
          <w:color w:val="auto"/>
        </w:rPr>
        <w:t>instruments in markets that are not active, and model-based valuation techniques (e.g. the Black-Scholes model) for which all significant inputs are observable in the market or can be corroborated by observable market data for substantially the full term of the assets or liabilities. Where applicable, these models project future cash flows and discount the future amounts to a present value using market-based observable inputs including interest rate curves, credit spreads, foreign exchange rates, and forward and spot prices for currencies. Our Level 2 non-derivative investments consist primarily of foreign government bonds, corporate notes and bonds, mortgage- and asset-backed securities, U.S. government and agency securities, certificates of deposit, and common and preferred stock. Our Level 2 derivative assets and liabilities primarily include certain over-the-counter option and swap contracts.</w:t>
      </w:r>
    </w:p>
    <w:p>
      <w:pPr>
        <w:spacing w:after="0" w:line="27" w:lineRule="exact"/>
        <w:rPr>
          <w:rFonts w:ascii="Arial" w:cs="Arial" w:eastAsia="Arial" w:hAnsi="Arial"/>
          <w:sz w:val="18"/>
          <w:szCs w:val="18"/>
          <w:color w:val="auto"/>
        </w:rPr>
      </w:pPr>
    </w:p>
    <w:p>
      <w:pPr>
        <w:jc w:val="both"/>
        <w:ind w:left="1060" w:hanging="390"/>
        <w:spacing w:after="0" w:line="245" w:lineRule="auto"/>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 inputs are generally unobservable and typically reflect management’s estimates of assumptions that market participants</w:t>
      </w:r>
      <w:r>
        <w:rPr>
          <w:rFonts w:ascii="Arial" w:cs="Arial" w:eastAsia="Arial" w:hAnsi="Arial"/>
          <w:sz w:val="18"/>
          <w:szCs w:val="18"/>
          <w:i w:val="1"/>
          <w:iCs w:val="1"/>
          <w:color w:val="auto"/>
        </w:rPr>
        <w:t xml:space="preserve"> </w:t>
      </w:r>
      <w:r>
        <w:rPr>
          <w:rFonts w:ascii="Arial" w:cs="Arial" w:eastAsia="Arial" w:hAnsi="Arial"/>
          <w:sz w:val="18"/>
          <w:szCs w:val="18"/>
          <w:color w:val="auto"/>
        </w:rPr>
        <w:t>would use in pricing the asset or liability. The fair values are therefore determined using model-based techniques, including option pricing models and discounted cash flow models. Our Level 3 non-derivative assets and liabilities primarily comprise investments in common and preferred stock, and goodwill and intangible assets, when they are recorded at fair value due to an impairment charge. Unobservable inputs used in the models are significant to the fair values of the assets and liabilities.</w:t>
      </w:r>
    </w:p>
    <w:p>
      <w:pPr>
        <w:spacing w:after="0" w:line="118"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We measure certain assets, including our cost and equity method investments, at fair value on a nonrecurring basis when they are deemed to be other-than-temporarily impaired. The fair values of these investments are determined based on valuation techniques using the best information available, and may include quoted market prices, market comparables, and discounted cash flow projections. An impairment charge is recorded when the cost of the investment exceeds its fair value and this condition is determined to be other-than-temporary.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Our other current financial assets and current financial liabilities have fair values that approximate their carrying values.</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28916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2" w:name="page23"/>
    <w:bookmarkEnd w:id="22"/>
    <w:p>
      <w:pPr>
        <w:ind w:left="5500"/>
        <w:spacing w:after="0"/>
        <w:rPr>
          <w:sz w:val="20"/>
          <w:szCs w:val="20"/>
          <w:color w:val="auto"/>
        </w:rPr>
      </w:pPr>
      <w:r>
        <w:rPr>
          <w:rFonts w:ascii="Arial" w:cs="Arial" w:eastAsia="Arial" w:hAnsi="Arial"/>
          <w:sz w:val="14"/>
          <w:szCs w:val="14"/>
          <w:u w:val="single" w:color="auto"/>
          <w:color w:val="auto"/>
        </w:rPr>
        <w:t>PART I</w:t>
      </w:r>
    </w:p>
    <w:p>
      <w:pPr>
        <w:spacing w:after="0" w:line="5" w:lineRule="exact"/>
        <w:rPr>
          <w:sz w:val="20"/>
          <w:szCs w:val="20"/>
          <w:color w:val="auto"/>
        </w:rPr>
      </w:pPr>
    </w:p>
    <w:p>
      <w:pPr>
        <w:ind w:left="5520"/>
        <w:spacing w:after="0"/>
        <w:rPr>
          <w:sz w:val="20"/>
          <w:szCs w:val="20"/>
          <w:color w:val="auto"/>
        </w:rPr>
      </w:pPr>
      <w:r>
        <w:rPr>
          <w:rFonts w:ascii="Arial" w:cs="Arial" w:eastAsia="Arial" w:hAnsi="Arial"/>
          <w:sz w:val="14"/>
          <w:szCs w:val="14"/>
          <w:color w:val="auto"/>
        </w:rPr>
        <w:t>Item 1</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Assets and Liabilities Measured at Fair Value on a Recurring Basis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present the fair value of our financial instruments that are measured at fair value on a recurring basis: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w:t>
            </w:r>
          </w:p>
        </w:tc>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gridSpan w:val="2"/>
            <w:vMerge w:val="restart"/>
          </w:tcPr>
          <w:p>
            <w:pPr>
              <w:jc w:val="right"/>
              <w:ind w:right="120"/>
              <w:spacing w:after="0"/>
              <w:rPr>
                <w:sz w:val="20"/>
                <w:szCs w:val="20"/>
                <w:color w:val="auto"/>
              </w:rPr>
            </w:pPr>
            <w:r>
              <w:rPr>
                <w:rFonts w:ascii="Arial" w:cs="Arial" w:eastAsia="Arial" w:hAnsi="Arial"/>
                <w:sz w:val="14"/>
                <w:szCs w:val="14"/>
                <w:b w:val="1"/>
                <w:bCs w:val="1"/>
                <w:color w:val="auto"/>
              </w:rPr>
              <w:t>Level 1</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gridSpan w:val="2"/>
            <w:vMerge w:val="restart"/>
          </w:tcPr>
          <w:p>
            <w:pPr>
              <w:jc w:val="right"/>
              <w:ind w:right="120"/>
              <w:spacing w:after="0"/>
              <w:rPr>
                <w:sz w:val="20"/>
                <w:szCs w:val="20"/>
                <w:color w:val="auto"/>
              </w:rPr>
            </w:pPr>
            <w:r>
              <w:rPr>
                <w:rFonts w:ascii="Arial" w:cs="Arial" w:eastAsia="Arial" w:hAnsi="Arial"/>
                <w:sz w:val="14"/>
                <w:szCs w:val="14"/>
                <w:b w:val="1"/>
                <w:bCs w:val="1"/>
                <w:color w:val="auto"/>
              </w:rPr>
              <w:t>Level 2</w:t>
            </w: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6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Level 3</w:t>
            </w:r>
          </w:p>
        </w:tc>
        <w:tc>
          <w:tcPr>
            <w:tcW w:w="280" w:type="dxa"/>
            <w:vAlign w:val="bottom"/>
          </w:tcPr>
          <w:p>
            <w:pPr>
              <w:spacing w:after="0"/>
              <w:rPr>
                <w:sz w:val="14"/>
                <w:szCs w:val="14"/>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Gross Fair</w:t>
            </w:r>
          </w:p>
        </w:tc>
        <w:tc>
          <w:tcPr>
            <w:tcW w:w="380" w:type="dxa"/>
            <w:vAlign w:val="bottom"/>
          </w:tcPr>
          <w:p>
            <w:pPr>
              <w:spacing w:after="0"/>
              <w:rPr>
                <w:sz w:val="14"/>
                <w:szCs w:val="14"/>
                <w:color w:val="auto"/>
              </w:rPr>
            </w:pPr>
          </w:p>
        </w:tc>
        <w:tc>
          <w:tcPr>
            <w:tcW w:w="980" w:type="dxa"/>
            <w:vAlign w:val="bottom"/>
            <w:gridSpan w:val="2"/>
            <w:vMerge w:val="restart"/>
          </w:tcPr>
          <w:p>
            <w:pPr>
              <w:jc w:val="right"/>
              <w:ind w:right="80"/>
              <w:spacing w:after="0"/>
              <w:rPr>
                <w:sz w:val="20"/>
                <w:szCs w:val="20"/>
                <w:color w:val="auto"/>
              </w:rPr>
            </w:pPr>
            <w:r>
              <w:rPr>
                <w:rFonts w:ascii="Arial" w:cs="Arial" w:eastAsia="Arial" w:hAnsi="Arial"/>
                <w:sz w:val="14"/>
                <w:szCs w:val="14"/>
                <w:b w:val="1"/>
                <w:bCs w:val="1"/>
                <w:color w:val="auto"/>
              </w:rPr>
              <w:t>Netting</w:t>
            </w:r>
            <w:r>
              <w:rPr>
                <w:rFonts w:ascii="Arial" w:cs="Arial" w:eastAsia="Arial" w:hAnsi="Arial"/>
                <w:sz w:val="22"/>
                <w:szCs w:val="22"/>
                <w:b w:val="1"/>
                <w:bCs w:val="1"/>
                <w:color w:val="auto"/>
                <w:vertAlign w:val="superscript"/>
              </w:rPr>
              <w:t>(a)</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Net Fair</w:t>
            </w:r>
          </w:p>
        </w:tc>
        <w:tc>
          <w:tcPr>
            <w:tcW w:w="0" w:type="dxa"/>
            <w:vAlign w:val="bottom"/>
          </w:tcPr>
          <w:p>
            <w:pPr>
              <w:spacing w:after="0"/>
              <w:rPr>
                <w:sz w:val="1"/>
                <w:szCs w:val="1"/>
                <w:color w:val="auto"/>
              </w:rPr>
            </w:pPr>
          </w:p>
        </w:tc>
      </w:tr>
      <w:tr>
        <w:trPr>
          <w:trHeight w:val="235"/>
        </w:trPr>
        <w:tc>
          <w:tcPr>
            <w:tcW w:w="2780" w:type="dxa"/>
            <w:vAlign w:val="bottom"/>
            <w:gridSpan w:val="2"/>
            <w:vMerge w:val="continue"/>
          </w:tcPr>
          <w:p>
            <w:pPr>
              <w:spacing w:after="0"/>
              <w:rPr>
                <w:sz w:val="20"/>
                <w:szCs w:val="20"/>
                <w:color w:val="auto"/>
              </w:rPr>
            </w:pPr>
          </w:p>
        </w:tc>
        <w:tc>
          <w:tcPr>
            <w:tcW w:w="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2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60" w:type="dxa"/>
            <w:vAlign w:val="bottom"/>
            <w:gridSpan w:val="2"/>
            <w:vMerge w:val="continue"/>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Value</w:t>
            </w:r>
          </w:p>
        </w:tc>
        <w:tc>
          <w:tcPr>
            <w:tcW w:w="380" w:type="dxa"/>
            <w:vAlign w:val="bottom"/>
          </w:tcPr>
          <w:p>
            <w:pPr>
              <w:spacing w:after="0"/>
              <w:rPr>
                <w:sz w:val="20"/>
                <w:szCs w:val="20"/>
                <w:color w:val="auto"/>
              </w:rPr>
            </w:pPr>
          </w:p>
        </w:tc>
        <w:tc>
          <w:tcPr>
            <w:tcW w:w="98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33"/>
        </w:trPr>
        <w:tc>
          <w:tcPr>
            <w:tcW w:w="2780" w:type="dxa"/>
            <w:vAlign w:val="bottom"/>
            <w:tcBorders>
              <w:top w:val="single" w:sz="8" w:color="auto"/>
            </w:tcBorders>
            <w:gridSpan w:val="2"/>
          </w:tcPr>
          <w:p>
            <w:pPr>
              <w:spacing w:after="0"/>
              <w:rPr>
                <w:sz w:val="20"/>
                <w:szCs w:val="20"/>
                <w:color w:val="auto"/>
              </w:rPr>
            </w:pPr>
            <w:r>
              <w:rPr>
                <w:rFonts w:ascii="Arial" w:cs="Arial" w:eastAsia="Arial" w:hAnsi="Arial"/>
                <w:sz w:val="14"/>
                <w:szCs w:val="14"/>
                <w:b w:val="1"/>
                <w:bCs w:val="1"/>
                <w:color w:val="auto"/>
              </w:rPr>
              <w:t>September 30, 2017</w:t>
            </w:r>
          </w:p>
        </w:tc>
        <w:tc>
          <w:tcPr>
            <w:tcW w:w="44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780" w:type="dxa"/>
            <w:vAlign w:val="bottom"/>
            <w:gridSpan w:val="2"/>
          </w:tcPr>
          <w:p>
            <w:pPr>
              <w:spacing w:after="0"/>
              <w:rPr>
                <w:sz w:val="20"/>
                <w:szCs w:val="20"/>
                <w:color w:val="auto"/>
              </w:rPr>
            </w:pPr>
            <w:r>
              <w:rPr>
                <w:rFonts w:ascii="Arial" w:cs="Arial" w:eastAsia="Arial" w:hAnsi="Arial"/>
                <w:sz w:val="14"/>
                <w:szCs w:val="14"/>
                <w:b w:val="1"/>
                <w:bCs w:val="1"/>
                <w:color w:val="auto"/>
              </w:rPr>
              <w:t>Assets</w:t>
            </w: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
        </w:trPr>
        <w:tc>
          <w:tcPr>
            <w:tcW w:w="20" w:type="dxa"/>
            <w:vAlign w:val="bottom"/>
            <w:vMerge w:val="restart"/>
          </w:tcPr>
          <w:p>
            <w:pPr>
              <w:spacing w:after="0"/>
              <w:rPr>
                <w:sz w:val="3"/>
                <w:szCs w:val="3"/>
                <w:color w:val="auto"/>
              </w:rPr>
            </w:pPr>
          </w:p>
        </w:tc>
        <w:tc>
          <w:tcPr>
            <w:tcW w:w="2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3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760" w:type="dxa"/>
            <w:vAlign w:val="bottom"/>
          </w:tcPr>
          <w:p>
            <w:pPr>
              <w:spacing w:after="0"/>
              <w:rPr>
                <w:sz w:val="3"/>
                <w:szCs w:val="3"/>
                <w:color w:val="auto"/>
              </w:rPr>
            </w:pPr>
          </w:p>
        </w:tc>
        <w:tc>
          <w:tcPr>
            <w:tcW w:w="2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60" w:type="dxa"/>
            <w:vAlign w:val="bottom"/>
          </w:tcPr>
          <w:p>
            <w:pPr>
              <w:spacing w:after="0"/>
              <w:rPr>
                <w:sz w:val="3"/>
                <w:szCs w:val="3"/>
                <w:color w:val="auto"/>
              </w:rPr>
            </w:pPr>
          </w:p>
        </w:tc>
        <w:tc>
          <w:tcPr>
            <w:tcW w:w="220" w:type="dxa"/>
            <w:vAlign w:val="bottom"/>
          </w:tcPr>
          <w:p>
            <w:pPr>
              <w:spacing w:after="0"/>
              <w:rPr>
                <w:sz w:val="3"/>
                <w:szCs w:val="3"/>
                <w:color w:val="auto"/>
              </w:rPr>
            </w:pPr>
          </w:p>
        </w:tc>
        <w:tc>
          <w:tcPr>
            <w:tcW w:w="380" w:type="dxa"/>
            <w:vAlign w:val="bottom"/>
          </w:tcPr>
          <w:p>
            <w:pPr>
              <w:spacing w:after="0"/>
              <w:rPr>
                <w:sz w:val="3"/>
                <w:szCs w:val="3"/>
                <w:color w:val="auto"/>
              </w:rPr>
            </w:pPr>
          </w:p>
        </w:tc>
        <w:tc>
          <w:tcPr>
            <w:tcW w:w="7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276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Mutual funds</w:t>
            </w:r>
          </w:p>
        </w:tc>
        <w:tc>
          <w:tcPr>
            <w:tcW w:w="740" w:type="dxa"/>
            <w:vAlign w:val="bottom"/>
            <w:gridSpan w:val="2"/>
            <w:shd w:val="clear" w:color="auto" w:fill="E5E5E5"/>
          </w:tcPr>
          <w:p>
            <w:pPr>
              <w:jc w:val="right"/>
              <w:ind w:right="200"/>
              <w:spacing w:after="0" w:line="202" w:lineRule="exact"/>
              <w:rPr>
                <w:sz w:val="20"/>
                <w:szCs w:val="20"/>
                <w:color w:val="auto"/>
              </w:rPr>
            </w:pPr>
            <w:r>
              <w:rPr>
                <w:rFonts w:ascii="Arial" w:cs="Arial" w:eastAsia="Arial" w:hAnsi="Arial"/>
                <w:sz w:val="18"/>
                <w:szCs w:val="18"/>
                <w:b w:val="1"/>
                <w:bCs w:val="1"/>
                <w:color w:val="auto"/>
              </w:rPr>
              <w:t>$</w:t>
            </w:r>
          </w:p>
        </w:tc>
        <w:tc>
          <w:tcPr>
            <w:tcW w:w="980" w:type="dxa"/>
            <w:vAlign w:val="bottom"/>
            <w:gridSpan w:val="2"/>
            <w:shd w:val="clear" w:color="auto" w:fill="E5E5E5"/>
          </w:tcPr>
          <w:p>
            <w:pPr>
              <w:jc w:val="right"/>
              <w:ind w:right="120"/>
              <w:spacing w:after="0" w:line="202" w:lineRule="exact"/>
              <w:rPr>
                <w:sz w:val="20"/>
                <w:szCs w:val="20"/>
                <w:color w:val="auto"/>
              </w:rPr>
            </w:pPr>
            <w:r>
              <w:rPr>
                <w:rFonts w:ascii="Arial" w:cs="Arial" w:eastAsia="Arial" w:hAnsi="Arial"/>
                <w:sz w:val="18"/>
                <w:szCs w:val="18"/>
                <w:b w:val="1"/>
                <w:bCs w:val="1"/>
                <w:color w:val="auto"/>
              </w:rPr>
              <w:t>1,040</w:t>
            </w:r>
          </w:p>
        </w:tc>
        <w:tc>
          <w:tcPr>
            <w:tcW w:w="480" w:type="dxa"/>
            <w:vAlign w:val="bottom"/>
            <w:gridSpan w:val="2"/>
            <w:shd w:val="clear" w:color="auto" w:fill="E5E5E5"/>
          </w:tcPr>
          <w:p>
            <w:pPr>
              <w:jc w:val="right"/>
              <w:ind w:right="260"/>
              <w:spacing w:after="0" w:line="202" w:lineRule="exact"/>
              <w:rPr>
                <w:sz w:val="20"/>
                <w:szCs w:val="20"/>
                <w:color w:val="auto"/>
              </w:rPr>
            </w:pPr>
            <w:r>
              <w:rPr>
                <w:rFonts w:ascii="Arial" w:cs="Arial" w:eastAsia="Arial" w:hAnsi="Arial"/>
                <w:sz w:val="18"/>
                <w:szCs w:val="18"/>
                <w:b w:val="1"/>
                <w:bCs w:val="1"/>
                <w:color w:val="auto"/>
              </w:rPr>
              <w:t>$</w:t>
            </w:r>
          </w:p>
        </w:tc>
        <w:tc>
          <w:tcPr>
            <w:tcW w:w="920" w:type="dxa"/>
            <w:vAlign w:val="bottom"/>
            <w:gridSpan w:val="2"/>
            <w:shd w:val="clear" w:color="auto" w:fill="E5E5E5"/>
          </w:tcPr>
          <w:p>
            <w:pPr>
              <w:jc w:val="right"/>
              <w:ind w:right="120"/>
              <w:spacing w:after="0" w:line="202" w:lineRule="exact"/>
              <w:rPr>
                <w:sz w:val="20"/>
                <w:szCs w:val="20"/>
                <w:color w:val="auto"/>
              </w:rPr>
            </w:pPr>
            <w:r>
              <w:rPr>
                <w:rFonts w:ascii="Arial" w:cs="Arial" w:eastAsia="Arial" w:hAnsi="Arial"/>
                <w:sz w:val="18"/>
                <w:szCs w:val="18"/>
                <w:b w:val="1"/>
                <w:bCs w:val="1"/>
                <w:color w:val="auto"/>
              </w:rPr>
              <w:t>0</w:t>
            </w:r>
          </w:p>
        </w:tc>
        <w:tc>
          <w:tcPr>
            <w:tcW w:w="500" w:type="dxa"/>
            <w:vAlign w:val="bottom"/>
            <w:gridSpan w:val="2"/>
            <w:shd w:val="clear" w:color="auto" w:fill="E5E5E5"/>
          </w:tcPr>
          <w:p>
            <w:pPr>
              <w:jc w:val="right"/>
              <w:ind w:right="280"/>
              <w:spacing w:after="0" w:line="202" w:lineRule="exact"/>
              <w:rPr>
                <w:sz w:val="20"/>
                <w:szCs w:val="20"/>
                <w:color w:val="auto"/>
              </w:rPr>
            </w:pPr>
            <w:r>
              <w:rPr>
                <w:rFonts w:ascii="Arial" w:cs="Arial" w:eastAsia="Arial" w:hAnsi="Arial"/>
                <w:sz w:val="18"/>
                <w:szCs w:val="18"/>
                <w:b w:val="1"/>
                <w:bCs w:val="1"/>
                <w:color w:val="auto"/>
              </w:rPr>
              <w:t>$</w:t>
            </w:r>
          </w:p>
        </w:tc>
        <w:tc>
          <w:tcPr>
            <w:tcW w:w="960" w:type="dxa"/>
            <w:vAlign w:val="bottom"/>
            <w:gridSpan w:val="2"/>
            <w:shd w:val="clear" w:color="auto" w:fill="E5E5E5"/>
          </w:tcPr>
          <w:p>
            <w:pPr>
              <w:jc w:val="right"/>
              <w:ind w:right="200"/>
              <w:spacing w:after="0" w:line="202" w:lineRule="exact"/>
              <w:rPr>
                <w:sz w:val="20"/>
                <w:szCs w:val="20"/>
                <w:color w:val="auto"/>
              </w:rPr>
            </w:pPr>
            <w:r>
              <w:rPr>
                <w:rFonts w:ascii="Arial" w:cs="Arial" w:eastAsia="Arial" w:hAnsi="Arial"/>
                <w:sz w:val="18"/>
                <w:szCs w:val="18"/>
                <w:b w:val="1"/>
                <w:bCs w:val="1"/>
                <w:color w:val="auto"/>
              </w:rPr>
              <w:t>0</w:t>
            </w:r>
          </w:p>
        </w:tc>
        <w:tc>
          <w:tcPr>
            <w:tcW w:w="280" w:type="dxa"/>
            <w:vAlign w:val="bottom"/>
            <w:shd w:val="clear" w:color="auto" w:fill="E5E5E5"/>
          </w:tcPr>
          <w:p>
            <w:pPr>
              <w:jc w:val="right"/>
              <w:ind w:right="90"/>
              <w:spacing w:after="0" w:line="202" w:lineRule="exact"/>
              <w:rPr>
                <w:sz w:val="20"/>
                <w:szCs w:val="20"/>
                <w:color w:val="auto"/>
              </w:rPr>
            </w:pPr>
            <w:r>
              <w:rPr>
                <w:rFonts w:ascii="Arial" w:cs="Arial" w:eastAsia="Arial" w:hAnsi="Arial"/>
                <w:sz w:val="18"/>
                <w:szCs w:val="18"/>
                <w:b w:val="1"/>
                <w:bCs w:val="1"/>
                <w:color w:val="auto"/>
                <w:w w:val="79"/>
              </w:rPr>
              <w:t>$</w:t>
            </w:r>
          </w:p>
        </w:tc>
        <w:tc>
          <w:tcPr>
            <w:tcW w:w="1080" w:type="dxa"/>
            <w:vAlign w:val="bottom"/>
            <w:gridSpan w:val="2"/>
            <w:shd w:val="clear" w:color="auto" w:fill="E5E5E5"/>
          </w:tcPr>
          <w:p>
            <w:pPr>
              <w:jc w:val="right"/>
              <w:ind w:right="220"/>
              <w:spacing w:after="0" w:line="202" w:lineRule="exact"/>
              <w:rPr>
                <w:sz w:val="20"/>
                <w:szCs w:val="20"/>
                <w:color w:val="auto"/>
              </w:rPr>
            </w:pPr>
            <w:r>
              <w:rPr>
                <w:rFonts w:ascii="Arial" w:cs="Arial" w:eastAsia="Arial" w:hAnsi="Arial"/>
                <w:sz w:val="18"/>
                <w:szCs w:val="18"/>
                <w:b w:val="1"/>
                <w:bCs w:val="1"/>
                <w:color w:val="auto"/>
              </w:rPr>
              <w:t>1,040</w:t>
            </w:r>
          </w:p>
        </w:tc>
        <w:tc>
          <w:tcPr>
            <w:tcW w:w="380" w:type="dxa"/>
            <w:vAlign w:val="bottom"/>
            <w:shd w:val="clear" w:color="auto" w:fill="E5E5E5"/>
          </w:tcPr>
          <w:p>
            <w:pPr>
              <w:jc w:val="right"/>
              <w:ind w:right="190"/>
              <w:spacing w:after="0" w:line="202" w:lineRule="exact"/>
              <w:rPr>
                <w:sz w:val="20"/>
                <w:szCs w:val="20"/>
                <w:color w:val="auto"/>
              </w:rPr>
            </w:pPr>
            <w:r>
              <w:rPr>
                <w:rFonts w:ascii="Arial" w:cs="Arial" w:eastAsia="Arial" w:hAnsi="Arial"/>
                <w:sz w:val="18"/>
                <w:szCs w:val="18"/>
                <w:b w:val="1"/>
                <w:bCs w:val="1"/>
                <w:color w:val="auto"/>
                <w:w w:val="79"/>
              </w:rPr>
              <w:t>$</w:t>
            </w:r>
          </w:p>
        </w:tc>
        <w:tc>
          <w:tcPr>
            <w:tcW w:w="980" w:type="dxa"/>
            <w:vAlign w:val="bottom"/>
            <w:gridSpan w:val="2"/>
            <w:shd w:val="clear" w:color="auto" w:fill="E5E5E5"/>
          </w:tcPr>
          <w:p>
            <w:pPr>
              <w:jc w:val="right"/>
              <w:ind w:right="220"/>
              <w:spacing w:after="0" w:line="202" w:lineRule="exact"/>
              <w:rPr>
                <w:sz w:val="20"/>
                <w:szCs w:val="20"/>
                <w:color w:val="auto"/>
              </w:rPr>
            </w:pPr>
            <w:r>
              <w:rPr>
                <w:rFonts w:ascii="Arial" w:cs="Arial" w:eastAsia="Arial" w:hAnsi="Arial"/>
                <w:sz w:val="18"/>
                <w:szCs w:val="18"/>
                <w:b w:val="1"/>
                <w:bCs w:val="1"/>
                <w:color w:val="auto"/>
              </w:rPr>
              <w:t>0</w:t>
            </w:r>
          </w:p>
        </w:tc>
        <w:tc>
          <w:tcPr>
            <w:tcW w:w="380" w:type="dxa"/>
            <w:vAlign w:val="bottom"/>
            <w:gridSpan w:val="2"/>
            <w:shd w:val="clear" w:color="auto" w:fill="E5E5E5"/>
          </w:tcPr>
          <w:p>
            <w:pPr>
              <w:jc w:val="right"/>
              <w:ind w:right="180"/>
              <w:spacing w:after="0" w:line="202" w:lineRule="exact"/>
              <w:rPr>
                <w:sz w:val="20"/>
                <w:szCs w:val="20"/>
                <w:color w:val="auto"/>
              </w:rPr>
            </w:pPr>
            <w:r>
              <w:rPr>
                <w:rFonts w:ascii="Arial" w:cs="Arial" w:eastAsia="Arial" w:hAnsi="Arial"/>
                <w:sz w:val="18"/>
                <w:szCs w:val="18"/>
                <w:b w:val="1"/>
                <w:bCs w:val="1"/>
                <w:color w:val="auto"/>
              </w:rPr>
              <w:t>$</w:t>
            </w:r>
          </w:p>
        </w:tc>
        <w:tc>
          <w:tcPr>
            <w:tcW w:w="96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b w:val="1"/>
                <w:bCs w:val="1"/>
                <w:color w:val="auto"/>
              </w:rPr>
              <w:t>1,040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760" w:type="dxa"/>
            <w:vAlign w:val="bottom"/>
          </w:tcPr>
          <w:p>
            <w:pPr>
              <w:spacing w:after="0" w:line="202" w:lineRule="exact"/>
              <w:rPr>
                <w:sz w:val="20"/>
                <w:szCs w:val="20"/>
                <w:color w:val="auto"/>
              </w:rPr>
            </w:pPr>
            <w:r>
              <w:rPr>
                <w:rFonts w:ascii="Arial" w:cs="Arial" w:eastAsia="Arial" w:hAnsi="Arial"/>
                <w:sz w:val="18"/>
                <w:szCs w:val="18"/>
                <w:color w:val="auto"/>
              </w:rPr>
              <w:t>Commercial paper</w:t>
            </w:r>
          </w:p>
        </w:tc>
        <w:tc>
          <w:tcPr>
            <w:tcW w:w="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gridSpan w:val="2"/>
          </w:tcPr>
          <w:p>
            <w:pPr>
              <w:jc w:val="right"/>
              <w:ind w:right="120"/>
              <w:spacing w:after="0" w:line="202" w:lineRule="exact"/>
              <w:rPr>
                <w:sz w:val="20"/>
                <w:szCs w:val="20"/>
                <w:color w:val="auto"/>
              </w:rPr>
            </w:pPr>
            <w:r>
              <w:rPr>
                <w:rFonts w:ascii="Arial" w:cs="Arial" w:eastAsia="Arial" w:hAnsi="Arial"/>
                <w:sz w:val="18"/>
                <w:szCs w:val="18"/>
                <w:b w:val="1"/>
                <w:bCs w:val="1"/>
                <w:color w:val="auto"/>
              </w:rPr>
              <w:t>0</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20" w:type="dxa"/>
            <w:vAlign w:val="bottom"/>
            <w:gridSpan w:val="2"/>
          </w:tcPr>
          <w:p>
            <w:pPr>
              <w:jc w:val="right"/>
              <w:ind w:right="120"/>
              <w:spacing w:after="0" w:line="202" w:lineRule="exact"/>
              <w:rPr>
                <w:sz w:val="20"/>
                <w:szCs w:val="20"/>
                <w:color w:val="auto"/>
              </w:rPr>
            </w:pPr>
            <w:r>
              <w:rPr>
                <w:rFonts w:ascii="Arial" w:cs="Arial" w:eastAsia="Arial" w:hAnsi="Arial"/>
                <w:sz w:val="18"/>
                <w:szCs w:val="18"/>
                <w:b w:val="1"/>
                <w:bCs w:val="1"/>
                <w:color w:val="auto"/>
              </w:rPr>
              <w:t>833</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60" w:type="dxa"/>
            <w:vAlign w:val="bottom"/>
            <w:gridSpan w:val="2"/>
          </w:tcPr>
          <w:p>
            <w:pPr>
              <w:jc w:val="right"/>
              <w:ind w:right="200"/>
              <w:spacing w:after="0" w:line="202" w:lineRule="exact"/>
              <w:rPr>
                <w:sz w:val="20"/>
                <w:szCs w:val="20"/>
                <w:color w:val="auto"/>
              </w:rPr>
            </w:pPr>
            <w:r>
              <w:rPr>
                <w:rFonts w:ascii="Arial" w:cs="Arial" w:eastAsia="Arial" w:hAnsi="Arial"/>
                <w:sz w:val="18"/>
                <w:szCs w:val="18"/>
                <w:b w:val="1"/>
                <w:bCs w:val="1"/>
                <w:color w:val="auto"/>
              </w:rPr>
              <w:t>0</w:t>
            </w:r>
          </w:p>
        </w:tc>
        <w:tc>
          <w:tcPr>
            <w:tcW w:w="28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833</w:t>
            </w: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80" w:type="dxa"/>
            <w:vAlign w:val="bottom"/>
            <w:gridSpan w:val="2"/>
          </w:tcPr>
          <w:p>
            <w:pPr>
              <w:jc w:val="right"/>
              <w:ind w:right="220"/>
              <w:spacing w:after="0" w:line="202" w:lineRule="exact"/>
              <w:rPr>
                <w:sz w:val="20"/>
                <w:szCs w:val="20"/>
                <w:color w:val="auto"/>
              </w:rPr>
            </w:pPr>
            <w:r>
              <w:rPr>
                <w:rFonts w:ascii="Arial" w:cs="Arial" w:eastAsia="Arial" w:hAnsi="Arial"/>
                <w:sz w:val="18"/>
                <w:szCs w:val="18"/>
                <w:b w:val="1"/>
                <w:bCs w:val="1"/>
                <w:color w:val="auto"/>
              </w:rPr>
              <w:t>0</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gridSpan w:val="2"/>
          </w:tcPr>
          <w:p>
            <w:pPr>
              <w:jc w:val="right"/>
              <w:ind w:right="100"/>
              <w:spacing w:after="0" w:line="202" w:lineRule="exact"/>
              <w:rPr>
                <w:sz w:val="20"/>
                <w:szCs w:val="20"/>
                <w:color w:val="auto"/>
              </w:rPr>
            </w:pPr>
            <w:r>
              <w:rPr>
                <w:rFonts w:ascii="Arial" w:cs="Arial" w:eastAsia="Arial" w:hAnsi="Arial"/>
                <w:sz w:val="18"/>
                <w:szCs w:val="18"/>
                <w:b w:val="1"/>
                <w:bCs w:val="1"/>
                <w:color w:val="auto"/>
              </w:rPr>
              <w:t>833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76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Certificates of deposit</w:t>
            </w:r>
          </w:p>
        </w:tc>
        <w:tc>
          <w:tcPr>
            <w:tcW w:w="440" w:type="dxa"/>
            <w:vAlign w:val="bottom"/>
            <w:shd w:val="clear" w:color="auto" w:fill="E5E5E5"/>
          </w:tcPr>
          <w:p>
            <w:pPr>
              <w:spacing w:after="0"/>
              <w:rPr>
                <w:sz w:val="17"/>
                <w:szCs w:val="17"/>
                <w:color w:val="auto"/>
              </w:rPr>
            </w:pPr>
          </w:p>
        </w:tc>
        <w:tc>
          <w:tcPr>
            <w:tcW w:w="300" w:type="dxa"/>
            <w:vAlign w:val="bottom"/>
            <w:shd w:val="clear" w:color="auto" w:fill="E5E5E5"/>
          </w:tcPr>
          <w:p>
            <w:pPr>
              <w:spacing w:after="0"/>
              <w:rPr>
                <w:sz w:val="17"/>
                <w:szCs w:val="17"/>
                <w:color w:val="auto"/>
              </w:rPr>
            </w:pPr>
          </w:p>
        </w:tc>
        <w:tc>
          <w:tcPr>
            <w:tcW w:w="980" w:type="dxa"/>
            <w:vAlign w:val="bottom"/>
            <w:gridSpan w:val="2"/>
            <w:shd w:val="clear" w:color="auto" w:fill="E5E5E5"/>
          </w:tcPr>
          <w:p>
            <w:pPr>
              <w:jc w:val="right"/>
              <w:ind w:right="120"/>
              <w:spacing w:after="0" w:line="202" w:lineRule="exact"/>
              <w:rPr>
                <w:sz w:val="20"/>
                <w:szCs w:val="20"/>
                <w:color w:val="auto"/>
              </w:rPr>
            </w:pPr>
            <w:r>
              <w:rPr>
                <w:rFonts w:ascii="Arial" w:cs="Arial" w:eastAsia="Arial" w:hAnsi="Arial"/>
                <w:sz w:val="18"/>
                <w:szCs w:val="18"/>
                <w:b w:val="1"/>
                <w:bCs w:val="1"/>
                <w:color w:val="auto"/>
              </w:rPr>
              <w:t>0</w:t>
            </w:r>
          </w:p>
        </w:tc>
        <w:tc>
          <w:tcPr>
            <w:tcW w:w="120" w:type="dxa"/>
            <w:vAlign w:val="bottom"/>
            <w:shd w:val="clear" w:color="auto" w:fill="E5E5E5"/>
          </w:tcPr>
          <w:p>
            <w:pPr>
              <w:spacing w:after="0"/>
              <w:rPr>
                <w:sz w:val="17"/>
                <w:szCs w:val="17"/>
                <w:color w:val="auto"/>
              </w:rPr>
            </w:pPr>
          </w:p>
        </w:tc>
        <w:tc>
          <w:tcPr>
            <w:tcW w:w="360" w:type="dxa"/>
            <w:vAlign w:val="bottom"/>
            <w:shd w:val="clear" w:color="auto" w:fill="E5E5E5"/>
          </w:tcPr>
          <w:p>
            <w:pPr>
              <w:spacing w:after="0"/>
              <w:rPr>
                <w:sz w:val="17"/>
                <w:szCs w:val="17"/>
                <w:color w:val="auto"/>
              </w:rPr>
            </w:pPr>
          </w:p>
        </w:tc>
        <w:tc>
          <w:tcPr>
            <w:tcW w:w="920" w:type="dxa"/>
            <w:vAlign w:val="bottom"/>
            <w:gridSpan w:val="2"/>
            <w:shd w:val="clear" w:color="auto" w:fill="E5E5E5"/>
          </w:tcPr>
          <w:p>
            <w:pPr>
              <w:jc w:val="right"/>
              <w:ind w:right="120"/>
              <w:spacing w:after="0" w:line="202" w:lineRule="exact"/>
              <w:rPr>
                <w:sz w:val="20"/>
                <w:szCs w:val="20"/>
                <w:color w:val="auto"/>
              </w:rPr>
            </w:pPr>
            <w:r>
              <w:rPr>
                <w:rFonts w:ascii="Arial" w:cs="Arial" w:eastAsia="Arial" w:hAnsi="Arial"/>
                <w:sz w:val="18"/>
                <w:szCs w:val="18"/>
                <w:b w:val="1"/>
                <w:bCs w:val="1"/>
                <w:color w:val="auto"/>
              </w:rPr>
              <w:t>1,430</w:t>
            </w:r>
          </w:p>
        </w:tc>
        <w:tc>
          <w:tcPr>
            <w:tcW w:w="120" w:type="dxa"/>
            <w:vAlign w:val="bottom"/>
            <w:shd w:val="clear" w:color="auto" w:fill="E5E5E5"/>
          </w:tcPr>
          <w:p>
            <w:pPr>
              <w:spacing w:after="0"/>
              <w:rPr>
                <w:sz w:val="17"/>
                <w:szCs w:val="17"/>
                <w:color w:val="auto"/>
              </w:rPr>
            </w:pPr>
          </w:p>
        </w:tc>
        <w:tc>
          <w:tcPr>
            <w:tcW w:w="380" w:type="dxa"/>
            <w:vAlign w:val="bottom"/>
            <w:shd w:val="clear" w:color="auto" w:fill="E5E5E5"/>
          </w:tcPr>
          <w:p>
            <w:pPr>
              <w:spacing w:after="0"/>
              <w:rPr>
                <w:sz w:val="17"/>
                <w:szCs w:val="17"/>
                <w:color w:val="auto"/>
              </w:rPr>
            </w:pPr>
          </w:p>
        </w:tc>
        <w:tc>
          <w:tcPr>
            <w:tcW w:w="960" w:type="dxa"/>
            <w:vAlign w:val="bottom"/>
            <w:gridSpan w:val="2"/>
            <w:shd w:val="clear" w:color="auto" w:fill="E5E5E5"/>
          </w:tcPr>
          <w:p>
            <w:pPr>
              <w:jc w:val="right"/>
              <w:ind w:right="200"/>
              <w:spacing w:after="0" w:line="202" w:lineRule="exact"/>
              <w:rPr>
                <w:sz w:val="20"/>
                <w:szCs w:val="20"/>
                <w:color w:val="auto"/>
              </w:rPr>
            </w:pPr>
            <w:r>
              <w:rPr>
                <w:rFonts w:ascii="Arial" w:cs="Arial" w:eastAsia="Arial" w:hAnsi="Arial"/>
                <w:sz w:val="18"/>
                <w:szCs w:val="18"/>
                <w:b w:val="1"/>
                <w:bCs w:val="1"/>
                <w:color w:val="auto"/>
              </w:rPr>
              <w:t>0</w:t>
            </w:r>
          </w:p>
        </w:tc>
        <w:tc>
          <w:tcPr>
            <w:tcW w:w="280" w:type="dxa"/>
            <w:vAlign w:val="bottom"/>
            <w:shd w:val="clear" w:color="auto" w:fill="E5E5E5"/>
          </w:tcPr>
          <w:p>
            <w:pPr>
              <w:spacing w:after="0"/>
              <w:rPr>
                <w:sz w:val="17"/>
                <w:szCs w:val="17"/>
                <w:color w:val="auto"/>
              </w:rPr>
            </w:pPr>
          </w:p>
        </w:tc>
        <w:tc>
          <w:tcPr>
            <w:tcW w:w="1080" w:type="dxa"/>
            <w:vAlign w:val="bottom"/>
            <w:gridSpan w:val="2"/>
            <w:shd w:val="clear" w:color="auto" w:fill="E5E5E5"/>
          </w:tcPr>
          <w:p>
            <w:pPr>
              <w:jc w:val="right"/>
              <w:ind w:right="220"/>
              <w:spacing w:after="0" w:line="202" w:lineRule="exact"/>
              <w:rPr>
                <w:sz w:val="20"/>
                <w:szCs w:val="20"/>
                <w:color w:val="auto"/>
              </w:rPr>
            </w:pPr>
            <w:r>
              <w:rPr>
                <w:rFonts w:ascii="Arial" w:cs="Arial" w:eastAsia="Arial" w:hAnsi="Arial"/>
                <w:sz w:val="18"/>
                <w:szCs w:val="18"/>
                <w:b w:val="1"/>
                <w:bCs w:val="1"/>
                <w:color w:val="auto"/>
              </w:rPr>
              <w:t>1,430</w:t>
            </w:r>
          </w:p>
        </w:tc>
        <w:tc>
          <w:tcPr>
            <w:tcW w:w="380" w:type="dxa"/>
            <w:vAlign w:val="bottom"/>
            <w:shd w:val="clear" w:color="auto" w:fill="E5E5E5"/>
          </w:tcPr>
          <w:p>
            <w:pPr>
              <w:spacing w:after="0"/>
              <w:rPr>
                <w:sz w:val="17"/>
                <w:szCs w:val="17"/>
                <w:color w:val="auto"/>
              </w:rPr>
            </w:pPr>
          </w:p>
        </w:tc>
        <w:tc>
          <w:tcPr>
            <w:tcW w:w="980" w:type="dxa"/>
            <w:vAlign w:val="bottom"/>
            <w:gridSpan w:val="2"/>
            <w:shd w:val="clear" w:color="auto" w:fill="E5E5E5"/>
          </w:tcPr>
          <w:p>
            <w:pPr>
              <w:jc w:val="right"/>
              <w:ind w:right="220"/>
              <w:spacing w:after="0" w:line="202" w:lineRule="exact"/>
              <w:rPr>
                <w:sz w:val="20"/>
                <w:szCs w:val="20"/>
                <w:color w:val="auto"/>
              </w:rPr>
            </w:pPr>
            <w:r>
              <w:rPr>
                <w:rFonts w:ascii="Arial" w:cs="Arial" w:eastAsia="Arial" w:hAnsi="Arial"/>
                <w:sz w:val="18"/>
                <w:szCs w:val="18"/>
                <w:b w:val="1"/>
                <w:bCs w:val="1"/>
                <w:color w:val="auto"/>
              </w:rPr>
              <w:t>0</w:t>
            </w:r>
          </w:p>
        </w:tc>
        <w:tc>
          <w:tcPr>
            <w:tcW w:w="100" w:type="dxa"/>
            <w:vAlign w:val="bottom"/>
            <w:shd w:val="clear" w:color="auto" w:fill="E5E5E5"/>
          </w:tcPr>
          <w:p>
            <w:pPr>
              <w:spacing w:after="0"/>
              <w:rPr>
                <w:sz w:val="17"/>
                <w:szCs w:val="17"/>
                <w:color w:val="auto"/>
              </w:rPr>
            </w:pPr>
          </w:p>
        </w:tc>
        <w:tc>
          <w:tcPr>
            <w:tcW w:w="280" w:type="dxa"/>
            <w:vAlign w:val="bottom"/>
            <w:shd w:val="clear" w:color="auto" w:fill="E5E5E5"/>
          </w:tcPr>
          <w:p>
            <w:pPr>
              <w:spacing w:after="0"/>
              <w:rPr>
                <w:sz w:val="17"/>
                <w:szCs w:val="17"/>
                <w:color w:val="auto"/>
              </w:rPr>
            </w:pPr>
          </w:p>
        </w:tc>
        <w:tc>
          <w:tcPr>
            <w:tcW w:w="96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b w:val="1"/>
                <w:bCs w:val="1"/>
                <w:color w:val="auto"/>
              </w:rPr>
              <w:t>1,430</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760" w:type="dxa"/>
            <w:vAlign w:val="bottom"/>
          </w:tcPr>
          <w:p>
            <w:pPr>
              <w:spacing w:after="0" w:line="180" w:lineRule="exact"/>
              <w:rPr>
                <w:sz w:val="20"/>
                <w:szCs w:val="20"/>
                <w:color w:val="auto"/>
              </w:rPr>
            </w:pPr>
            <w:r>
              <w:rPr>
                <w:rFonts w:ascii="Arial" w:cs="Arial" w:eastAsia="Arial" w:hAnsi="Arial"/>
                <w:sz w:val="18"/>
                <w:szCs w:val="18"/>
                <w:color w:val="auto"/>
              </w:rPr>
              <w:t>U.S. government and agency</w:t>
            </w:r>
          </w:p>
        </w:tc>
        <w:tc>
          <w:tcPr>
            <w:tcW w:w="4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gridSpan w:val="2"/>
            <w:vMerge w:val="restart"/>
          </w:tcPr>
          <w:p>
            <w:pPr>
              <w:jc w:val="right"/>
              <w:ind w:right="120"/>
              <w:spacing w:after="0"/>
              <w:rPr>
                <w:sz w:val="20"/>
                <w:szCs w:val="20"/>
                <w:color w:val="auto"/>
              </w:rPr>
            </w:pPr>
            <w:r>
              <w:rPr>
                <w:rFonts w:ascii="Arial" w:cs="Arial" w:eastAsia="Arial" w:hAnsi="Arial"/>
                <w:sz w:val="18"/>
                <w:szCs w:val="18"/>
                <w:b w:val="1"/>
                <w:bCs w:val="1"/>
                <w:color w:val="auto"/>
              </w:rPr>
              <w:t>114,965</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20" w:type="dxa"/>
            <w:vAlign w:val="bottom"/>
            <w:gridSpan w:val="2"/>
            <w:vMerge w:val="restart"/>
          </w:tcPr>
          <w:p>
            <w:pPr>
              <w:jc w:val="right"/>
              <w:ind w:right="120"/>
              <w:spacing w:after="0"/>
              <w:rPr>
                <w:sz w:val="20"/>
                <w:szCs w:val="20"/>
                <w:color w:val="auto"/>
              </w:rPr>
            </w:pPr>
            <w:r>
              <w:rPr>
                <w:rFonts w:ascii="Arial" w:cs="Arial" w:eastAsia="Arial" w:hAnsi="Arial"/>
                <w:sz w:val="18"/>
                <w:szCs w:val="18"/>
                <w:b w:val="1"/>
                <w:bCs w:val="1"/>
                <w:color w:val="auto"/>
              </w:rPr>
              <w:t>1,979</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60" w:type="dxa"/>
            <w:vAlign w:val="bottom"/>
            <w:gridSpan w:val="2"/>
            <w:vMerge w:val="restart"/>
          </w:tcPr>
          <w:p>
            <w:pPr>
              <w:jc w:val="right"/>
              <w:ind w:right="200"/>
              <w:spacing w:after="0"/>
              <w:rPr>
                <w:sz w:val="20"/>
                <w:szCs w:val="20"/>
                <w:color w:val="auto"/>
              </w:rPr>
            </w:pPr>
            <w:r>
              <w:rPr>
                <w:rFonts w:ascii="Arial" w:cs="Arial" w:eastAsia="Arial" w:hAnsi="Arial"/>
                <w:sz w:val="18"/>
                <w:szCs w:val="18"/>
                <w:b w:val="1"/>
                <w:bCs w:val="1"/>
                <w:color w:val="auto"/>
              </w:rPr>
              <w:t>0</w:t>
            </w:r>
          </w:p>
        </w:tc>
        <w:tc>
          <w:tcPr>
            <w:tcW w:w="28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116,944</w:t>
            </w:r>
          </w:p>
        </w:tc>
        <w:tc>
          <w:tcPr>
            <w:tcW w:w="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80" w:type="dxa"/>
            <w:vAlign w:val="bottom"/>
            <w:gridSpan w:val="2"/>
            <w:vMerge w:val="restart"/>
          </w:tcPr>
          <w:p>
            <w:pPr>
              <w:jc w:val="right"/>
              <w:ind w:right="220"/>
              <w:spacing w:after="0"/>
              <w:rPr>
                <w:sz w:val="20"/>
                <w:szCs w:val="20"/>
                <w:color w:val="auto"/>
              </w:rPr>
            </w:pPr>
            <w:r>
              <w:rPr>
                <w:rFonts w:ascii="Arial" w:cs="Arial" w:eastAsia="Arial" w:hAnsi="Arial"/>
                <w:sz w:val="18"/>
                <w:szCs w:val="18"/>
                <w:b w:val="1"/>
                <w:bCs w:val="1"/>
                <w:color w:val="auto"/>
              </w:rPr>
              <w:t>0</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gridSpan w:val="2"/>
            <w:vMerge w:val="restart"/>
          </w:tcPr>
          <w:p>
            <w:pPr>
              <w:jc w:val="right"/>
              <w:ind w:right="100"/>
              <w:spacing w:after="0"/>
              <w:rPr>
                <w:sz w:val="20"/>
                <w:szCs w:val="20"/>
                <w:color w:val="auto"/>
              </w:rPr>
            </w:pPr>
            <w:r>
              <w:rPr>
                <w:rFonts w:ascii="Arial" w:cs="Arial" w:eastAsia="Arial" w:hAnsi="Arial"/>
                <w:sz w:val="18"/>
                <w:szCs w:val="18"/>
                <w:b w:val="1"/>
                <w:bCs w:val="1"/>
                <w:color w:val="auto"/>
              </w:rPr>
              <w:t>116,944</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2760" w:type="dxa"/>
            <w:vAlign w:val="bottom"/>
          </w:tcPr>
          <w:p>
            <w:pPr>
              <w:ind w:left="200"/>
              <w:spacing w:after="0"/>
              <w:rPr>
                <w:sz w:val="20"/>
                <w:szCs w:val="20"/>
                <w:color w:val="auto"/>
              </w:rPr>
            </w:pPr>
            <w:r>
              <w:rPr>
                <w:rFonts w:ascii="Arial" w:cs="Arial" w:eastAsia="Arial" w:hAnsi="Arial"/>
                <w:sz w:val="18"/>
                <w:szCs w:val="18"/>
                <w:color w:val="auto"/>
              </w:rPr>
              <w:t>securities</w:t>
            </w:r>
          </w:p>
        </w:tc>
        <w:tc>
          <w:tcPr>
            <w:tcW w:w="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gridSpan w:val="2"/>
            <w:vMerge w:val="continue"/>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76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Foreign government bonds</w:t>
            </w:r>
          </w:p>
        </w:tc>
        <w:tc>
          <w:tcPr>
            <w:tcW w:w="440" w:type="dxa"/>
            <w:vAlign w:val="bottom"/>
            <w:shd w:val="clear" w:color="auto" w:fill="E5E5E5"/>
          </w:tcPr>
          <w:p>
            <w:pPr>
              <w:spacing w:after="0"/>
              <w:rPr>
                <w:sz w:val="17"/>
                <w:szCs w:val="17"/>
                <w:color w:val="auto"/>
              </w:rPr>
            </w:pPr>
          </w:p>
        </w:tc>
        <w:tc>
          <w:tcPr>
            <w:tcW w:w="300" w:type="dxa"/>
            <w:vAlign w:val="bottom"/>
            <w:shd w:val="clear" w:color="auto" w:fill="E5E5E5"/>
          </w:tcPr>
          <w:p>
            <w:pPr>
              <w:spacing w:after="0"/>
              <w:rPr>
                <w:sz w:val="17"/>
                <w:szCs w:val="17"/>
                <w:color w:val="auto"/>
              </w:rPr>
            </w:pPr>
          </w:p>
        </w:tc>
        <w:tc>
          <w:tcPr>
            <w:tcW w:w="980" w:type="dxa"/>
            <w:vAlign w:val="bottom"/>
            <w:gridSpan w:val="2"/>
            <w:shd w:val="clear" w:color="auto" w:fill="E5E5E5"/>
          </w:tcPr>
          <w:p>
            <w:pPr>
              <w:jc w:val="right"/>
              <w:ind w:right="120"/>
              <w:spacing w:after="0" w:line="202" w:lineRule="exact"/>
              <w:rPr>
                <w:sz w:val="20"/>
                <w:szCs w:val="20"/>
                <w:color w:val="auto"/>
              </w:rPr>
            </w:pPr>
            <w:r>
              <w:rPr>
                <w:rFonts w:ascii="Arial" w:cs="Arial" w:eastAsia="Arial" w:hAnsi="Arial"/>
                <w:sz w:val="18"/>
                <w:szCs w:val="18"/>
                <w:b w:val="1"/>
                <w:bCs w:val="1"/>
                <w:color w:val="auto"/>
              </w:rPr>
              <w:t>16</w:t>
            </w:r>
          </w:p>
        </w:tc>
        <w:tc>
          <w:tcPr>
            <w:tcW w:w="120" w:type="dxa"/>
            <w:vAlign w:val="bottom"/>
            <w:shd w:val="clear" w:color="auto" w:fill="E5E5E5"/>
          </w:tcPr>
          <w:p>
            <w:pPr>
              <w:spacing w:after="0"/>
              <w:rPr>
                <w:sz w:val="17"/>
                <w:szCs w:val="17"/>
                <w:color w:val="auto"/>
              </w:rPr>
            </w:pPr>
          </w:p>
        </w:tc>
        <w:tc>
          <w:tcPr>
            <w:tcW w:w="360" w:type="dxa"/>
            <w:vAlign w:val="bottom"/>
            <w:shd w:val="clear" w:color="auto" w:fill="E5E5E5"/>
          </w:tcPr>
          <w:p>
            <w:pPr>
              <w:spacing w:after="0"/>
              <w:rPr>
                <w:sz w:val="17"/>
                <w:szCs w:val="17"/>
                <w:color w:val="auto"/>
              </w:rPr>
            </w:pPr>
          </w:p>
        </w:tc>
        <w:tc>
          <w:tcPr>
            <w:tcW w:w="920" w:type="dxa"/>
            <w:vAlign w:val="bottom"/>
            <w:gridSpan w:val="2"/>
            <w:shd w:val="clear" w:color="auto" w:fill="E5E5E5"/>
          </w:tcPr>
          <w:p>
            <w:pPr>
              <w:jc w:val="right"/>
              <w:ind w:right="120"/>
              <w:spacing w:after="0" w:line="202" w:lineRule="exact"/>
              <w:rPr>
                <w:sz w:val="20"/>
                <w:szCs w:val="20"/>
                <w:color w:val="auto"/>
              </w:rPr>
            </w:pPr>
            <w:r>
              <w:rPr>
                <w:rFonts w:ascii="Arial" w:cs="Arial" w:eastAsia="Arial" w:hAnsi="Arial"/>
                <w:sz w:val="18"/>
                <w:szCs w:val="18"/>
                <w:b w:val="1"/>
                <w:bCs w:val="1"/>
                <w:color w:val="auto"/>
              </w:rPr>
              <w:t>5,042</w:t>
            </w:r>
          </w:p>
        </w:tc>
        <w:tc>
          <w:tcPr>
            <w:tcW w:w="120" w:type="dxa"/>
            <w:vAlign w:val="bottom"/>
            <w:shd w:val="clear" w:color="auto" w:fill="E5E5E5"/>
          </w:tcPr>
          <w:p>
            <w:pPr>
              <w:spacing w:after="0"/>
              <w:rPr>
                <w:sz w:val="17"/>
                <w:szCs w:val="17"/>
                <w:color w:val="auto"/>
              </w:rPr>
            </w:pPr>
          </w:p>
        </w:tc>
        <w:tc>
          <w:tcPr>
            <w:tcW w:w="380" w:type="dxa"/>
            <w:vAlign w:val="bottom"/>
            <w:shd w:val="clear" w:color="auto" w:fill="E5E5E5"/>
          </w:tcPr>
          <w:p>
            <w:pPr>
              <w:spacing w:after="0"/>
              <w:rPr>
                <w:sz w:val="17"/>
                <w:szCs w:val="17"/>
                <w:color w:val="auto"/>
              </w:rPr>
            </w:pPr>
          </w:p>
        </w:tc>
        <w:tc>
          <w:tcPr>
            <w:tcW w:w="960" w:type="dxa"/>
            <w:vAlign w:val="bottom"/>
            <w:gridSpan w:val="2"/>
            <w:shd w:val="clear" w:color="auto" w:fill="E5E5E5"/>
          </w:tcPr>
          <w:p>
            <w:pPr>
              <w:jc w:val="right"/>
              <w:ind w:right="200"/>
              <w:spacing w:after="0" w:line="202" w:lineRule="exact"/>
              <w:rPr>
                <w:sz w:val="20"/>
                <w:szCs w:val="20"/>
                <w:color w:val="auto"/>
              </w:rPr>
            </w:pPr>
            <w:r>
              <w:rPr>
                <w:rFonts w:ascii="Arial" w:cs="Arial" w:eastAsia="Arial" w:hAnsi="Arial"/>
                <w:sz w:val="18"/>
                <w:szCs w:val="18"/>
                <w:b w:val="1"/>
                <w:bCs w:val="1"/>
                <w:color w:val="auto"/>
              </w:rPr>
              <w:t>0</w:t>
            </w:r>
          </w:p>
        </w:tc>
        <w:tc>
          <w:tcPr>
            <w:tcW w:w="280" w:type="dxa"/>
            <w:vAlign w:val="bottom"/>
            <w:shd w:val="clear" w:color="auto" w:fill="E5E5E5"/>
          </w:tcPr>
          <w:p>
            <w:pPr>
              <w:spacing w:after="0"/>
              <w:rPr>
                <w:sz w:val="17"/>
                <w:szCs w:val="17"/>
                <w:color w:val="auto"/>
              </w:rPr>
            </w:pPr>
          </w:p>
        </w:tc>
        <w:tc>
          <w:tcPr>
            <w:tcW w:w="1080" w:type="dxa"/>
            <w:vAlign w:val="bottom"/>
            <w:gridSpan w:val="2"/>
            <w:shd w:val="clear" w:color="auto" w:fill="E5E5E5"/>
          </w:tcPr>
          <w:p>
            <w:pPr>
              <w:jc w:val="right"/>
              <w:ind w:right="220"/>
              <w:spacing w:after="0" w:line="202" w:lineRule="exact"/>
              <w:rPr>
                <w:sz w:val="20"/>
                <w:szCs w:val="20"/>
                <w:color w:val="auto"/>
              </w:rPr>
            </w:pPr>
            <w:r>
              <w:rPr>
                <w:rFonts w:ascii="Arial" w:cs="Arial" w:eastAsia="Arial" w:hAnsi="Arial"/>
                <w:sz w:val="18"/>
                <w:szCs w:val="18"/>
                <w:b w:val="1"/>
                <w:bCs w:val="1"/>
                <w:color w:val="auto"/>
              </w:rPr>
              <w:t>5,058</w:t>
            </w:r>
          </w:p>
        </w:tc>
        <w:tc>
          <w:tcPr>
            <w:tcW w:w="380" w:type="dxa"/>
            <w:vAlign w:val="bottom"/>
            <w:shd w:val="clear" w:color="auto" w:fill="E5E5E5"/>
          </w:tcPr>
          <w:p>
            <w:pPr>
              <w:spacing w:after="0"/>
              <w:rPr>
                <w:sz w:val="17"/>
                <w:szCs w:val="17"/>
                <w:color w:val="auto"/>
              </w:rPr>
            </w:pPr>
          </w:p>
        </w:tc>
        <w:tc>
          <w:tcPr>
            <w:tcW w:w="980" w:type="dxa"/>
            <w:vAlign w:val="bottom"/>
            <w:gridSpan w:val="2"/>
            <w:shd w:val="clear" w:color="auto" w:fill="E5E5E5"/>
          </w:tcPr>
          <w:p>
            <w:pPr>
              <w:jc w:val="right"/>
              <w:ind w:right="220"/>
              <w:spacing w:after="0" w:line="202" w:lineRule="exact"/>
              <w:rPr>
                <w:sz w:val="20"/>
                <w:szCs w:val="20"/>
                <w:color w:val="auto"/>
              </w:rPr>
            </w:pPr>
            <w:r>
              <w:rPr>
                <w:rFonts w:ascii="Arial" w:cs="Arial" w:eastAsia="Arial" w:hAnsi="Arial"/>
                <w:sz w:val="18"/>
                <w:szCs w:val="18"/>
                <w:b w:val="1"/>
                <w:bCs w:val="1"/>
                <w:color w:val="auto"/>
              </w:rPr>
              <w:t>0</w:t>
            </w:r>
          </w:p>
        </w:tc>
        <w:tc>
          <w:tcPr>
            <w:tcW w:w="100" w:type="dxa"/>
            <w:vAlign w:val="bottom"/>
            <w:shd w:val="clear" w:color="auto" w:fill="E5E5E5"/>
          </w:tcPr>
          <w:p>
            <w:pPr>
              <w:spacing w:after="0"/>
              <w:rPr>
                <w:sz w:val="17"/>
                <w:szCs w:val="17"/>
                <w:color w:val="auto"/>
              </w:rPr>
            </w:pPr>
          </w:p>
        </w:tc>
        <w:tc>
          <w:tcPr>
            <w:tcW w:w="280" w:type="dxa"/>
            <w:vAlign w:val="bottom"/>
            <w:shd w:val="clear" w:color="auto" w:fill="E5E5E5"/>
          </w:tcPr>
          <w:p>
            <w:pPr>
              <w:spacing w:after="0"/>
              <w:rPr>
                <w:sz w:val="17"/>
                <w:szCs w:val="17"/>
                <w:color w:val="auto"/>
              </w:rPr>
            </w:pPr>
          </w:p>
        </w:tc>
        <w:tc>
          <w:tcPr>
            <w:tcW w:w="96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b w:val="1"/>
                <w:bCs w:val="1"/>
                <w:color w:val="auto"/>
              </w:rPr>
              <w:t>5,058</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760" w:type="dxa"/>
            <w:vAlign w:val="bottom"/>
          </w:tcPr>
          <w:p>
            <w:pPr>
              <w:spacing w:after="0" w:line="180" w:lineRule="exact"/>
              <w:rPr>
                <w:sz w:val="20"/>
                <w:szCs w:val="20"/>
                <w:color w:val="auto"/>
              </w:rPr>
            </w:pPr>
            <w:r>
              <w:rPr>
                <w:rFonts w:ascii="Arial" w:cs="Arial" w:eastAsia="Arial" w:hAnsi="Arial"/>
                <w:sz w:val="18"/>
                <w:szCs w:val="18"/>
                <w:color w:val="auto"/>
              </w:rPr>
              <w:t>Mortgage- and asset-backed</w:t>
            </w:r>
          </w:p>
        </w:tc>
        <w:tc>
          <w:tcPr>
            <w:tcW w:w="4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gridSpan w:val="2"/>
            <w:vMerge w:val="restart"/>
          </w:tcPr>
          <w:p>
            <w:pPr>
              <w:jc w:val="right"/>
              <w:ind w:right="120"/>
              <w:spacing w:after="0"/>
              <w:rPr>
                <w:sz w:val="20"/>
                <w:szCs w:val="20"/>
                <w:color w:val="auto"/>
              </w:rPr>
            </w:pPr>
            <w:r>
              <w:rPr>
                <w:rFonts w:ascii="Arial" w:cs="Arial" w:eastAsia="Arial" w:hAnsi="Arial"/>
                <w:sz w:val="18"/>
                <w:szCs w:val="18"/>
                <w:b w:val="1"/>
                <w:bCs w:val="1"/>
                <w:color w:val="auto"/>
              </w:rPr>
              <w:t>0</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20" w:type="dxa"/>
            <w:vAlign w:val="bottom"/>
            <w:gridSpan w:val="2"/>
            <w:vMerge w:val="restart"/>
          </w:tcPr>
          <w:p>
            <w:pPr>
              <w:jc w:val="right"/>
              <w:ind w:right="120"/>
              <w:spacing w:after="0"/>
              <w:rPr>
                <w:sz w:val="20"/>
                <w:szCs w:val="20"/>
                <w:color w:val="auto"/>
              </w:rPr>
            </w:pPr>
            <w:r>
              <w:rPr>
                <w:rFonts w:ascii="Arial" w:cs="Arial" w:eastAsia="Arial" w:hAnsi="Arial"/>
                <w:sz w:val="18"/>
                <w:szCs w:val="18"/>
                <w:b w:val="1"/>
                <w:bCs w:val="1"/>
                <w:color w:val="auto"/>
              </w:rPr>
              <w:t>3,781</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60" w:type="dxa"/>
            <w:vAlign w:val="bottom"/>
            <w:gridSpan w:val="2"/>
            <w:vMerge w:val="restart"/>
          </w:tcPr>
          <w:p>
            <w:pPr>
              <w:jc w:val="right"/>
              <w:ind w:right="200"/>
              <w:spacing w:after="0"/>
              <w:rPr>
                <w:sz w:val="20"/>
                <w:szCs w:val="20"/>
                <w:color w:val="auto"/>
              </w:rPr>
            </w:pPr>
            <w:r>
              <w:rPr>
                <w:rFonts w:ascii="Arial" w:cs="Arial" w:eastAsia="Arial" w:hAnsi="Arial"/>
                <w:sz w:val="18"/>
                <w:szCs w:val="18"/>
                <w:b w:val="1"/>
                <w:bCs w:val="1"/>
                <w:color w:val="auto"/>
              </w:rPr>
              <w:t>0</w:t>
            </w:r>
          </w:p>
        </w:tc>
        <w:tc>
          <w:tcPr>
            <w:tcW w:w="280" w:type="dxa"/>
            <w:vAlign w:val="bottom"/>
          </w:tcPr>
          <w:p>
            <w:pPr>
              <w:spacing w:after="0"/>
              <w:rPr>
                <w:sz w:val="15"/>
                <w:szCs w:val="15"/>
                <w:color w:val="auto"/>
              </w:rPr>
            </w:pPr>
          </w:p>
        </w:tc>
        <w:tc>
          <w:tcPr>
            <w:tcW w:w="1080" w:type="dxa"/>
            <w:vAlign w:val="bottom"/>
            <w:gridSpan w:val="2"/>
            <w:vMerge w:val="restart"/>
          </w:tcPr>
          <w:p>
            <w:pPr>
              <w:jc w:val="right"/>
              <w:ind w:right="220"/>
              <w:spacing w:after="0"/>
              <w:rPr>
                <w:sz w:val="20"/>
                <w:szCs w:val="20"/>
                <w:color w:val="auto"/>
              </w:rPr>
            </w:pPr>
            <w:r>
              <w:rPr>
                <w:rFonts w:ascii="Arial" w:cs="Arial" w:eastAsia="Arial" w:hAnsi="Arial"/>
                <w:sz w:val="18"/>
                <w:szCs w:val="18"/>
                <w:b w:val="1"/>
                <w:bCs w:val="1"/>
                <w:color w:val="auto"/>
              </w:rPr>
              <w:t>3,781</w:t>
            </w:r>
          </w:p>
        </w:tc>
        <w:tc>
          <w:tcPr>
            <w:tcW w:w="380" w:type="dxa"/>
            <w:vAlign w:val="bottom"/>
          </w:tcPr>
          <w:p>
            <w:pPr>
              <w:spacing w:after="0"/>
              <w:rPr>
                <w:sz w:val="15"/>
                <w:szCs w:val="15"/>
                <w:color w:val="auto"/>
              </w:rPr>
            </w:pPr>
          </w:p>
        </w:tc>
        <w:tc>
          <w:tcPr>
            <w:tcW w:w="980" w:type="dxa"/>
            <w:vAlign w:val="bottom"/>
            <w:gridSpan w:val="2"/>
            <w:vMerge w:val="restart"/>
          </w:tcPr>
          <w:p>
            <w:pPr>
              <w:jc w:val="right"/>
              <w:ind w:right="220"/>
              <w:spacing w:after="0"/>
              <w:rPr>
                <w:sz w:val="20"/>
                <w:szCs w:val="20"/>
                <w:color w:val="auto"/>
              </w:rPr>
            </w:pPr>
            <w:r>
              <w:rPr>
                <w:rFonts w:ascii="Arial" w:cs="Arial" w:eastAsia="Arial" w:hAnsi="Arial"/>
                <w:sz w:val="18"/>
                <w:szCs w:val="18"/>
                <w:b w:val="1"/>
                <w:bCs w:val="1"/>
                <w:color w:val="auto"/>
              </w:rPr>
              <w:t>0</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gridSpan w:val="2"/>
            <w:vMerge w:val="restart"/>
          </w:tcPr>
          <w:p>
            <w:pPr>
              <w:jc w:val="right"/>
              <w:ind w:right="100"/>
              <w:spacing w:after="0"/>
              <w:rPr>
                <w:sz w:val="20"/>
                <w:szCs w:val="20"/>
                <w:color w:val="auto"/>
              </w:rPr>
            </w:pPr>
            <w:r>
              <w:rPr>
                <w:rFonts w:ascii="Arial" w:cs="Arial" w:eastAsia="Arial" w:hAnsi="Arial"/>
                <w:sz w:val="18"/>
                <w:szCs w:val="18"/>
                <w:b w:val="1"/>
                <w:bCs w:val="1"/>
                <w:color w:val="auto"/>
              </w:rPr>
              <w:t>3,781</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2760" w:type="dxa"/>
            <w:vAlign w:val="bottom"/>
          </w:tcPr>
          <w:p>
            <w:pPr>
              <w:ind w:left="200"/>
              <w:spacing w:after="0"/>
              <w:rPr>
                <w:sz w:val="20"/>
                <w:szCs w:val="20"/>
                <w:color w:val="auto"/>
              </w:rPr>
            </w:pPr>
            <w:r>
              <w:rPr>
                <w:rFonts w:ascii="Arial" w:cs="Arial" w:eastAsia="Arial" w:hAnsi="Arial"/>
                <w:sz w:val="18"/>
                <w:szCs w:val="18"/>
                <w:color w:val="auto"/>
              </w:rPr>
              <w:t>securities</w:t>
            </w:r>
          </w:p>
        </w:tc>
        <w:tc>
          <w:tcPr>
            <w:tcW w:w="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gridSpan w:val="2"/>
            <w:vMerge w:val="continue"/>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vMerge w:val="continue"/>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76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Corporate notes and bonds</w:t>
            </w:r>
          </w:p>
        </w:tc>
        <w:tc>
          <w:tcPr>
            <w:tcW w:w="440" w:type="dxa"/>
            <w:vAlign w:val="bottom"/>
            <w:shd w:val="clear" w:color="auto" w:fill="E5E5E5"/>
          </w:tcPr>
          <w:p>
            <w:pPr>
              <w:spacing w:after="0"/>
              <w:rPr>
                <w:sz w:val="17"/>
                <w:szCs w:val="17"/>
                <w:color w:val="auto"/>
              </w:rPr>
            </w:pPr>
          </w:p>
        </w:tc>
        <w:tc>
          <w:tcPr>
            <w:tcW w:w="300" w:type="dxa"/>
            <w:vAlign w:val="bottom"/>
            <w:shd w:val="clear" w:color="auto" w:fill="E5E5E5"/>
          </w:tcPr>
          <w:p>
            <w:pPr>
              <w:spacing w:after="0"/>
              <w:rPr>
                <w:sz w:val="17"/>
                <w:szCs w:val="17"/>
                <w:color w:val="auto"/>
              </w:rPr>
            </w:pPr>
          </w:p>
        </w:tc>
        <w:tc>
          <w:tcPr>
            <w:tcW w:w="980" w:type="dxa"/>
            <w:vAlign w:val="bottom"/>
            <w:gridSpan w:val="2"/>
            <w:shd w:val="clear" w:color="auto" w:fill="E5E5E5"/>
          </w:tcPr>
          <w:p>
            <w:pPr>
              <w:jc w:val="right"/>
              <w:ind w:right="120"/>
              <w:spacing w:after="0" w:line="202" w:lineRule="exact"/>
              <w:rPr>
                <w:sz w:val="20"/>
                <w:szCs w:val="20"/>
                <w:color w:val="auto"/>
              </w:rPr>
            </w:pPr>
            <w:r>
              <w:rPr>
                <w:rFonts w:ascii="Arial" w:cs="Arial" w:eastAsia="Arial" w:hAnsi="Arial"/>
                <w:sz w:val="18"/>
                <w:szCs w:val="18"/>
                <w:b w:val="1"/>
                <w:bCs w:val="1"/>
                <w:color w:val="auto"/>
              </w:rPr>
              <w:t>0</w:t>
            </w:r>
          </w:p>
        </w:tc>
        <w:tc>
          <w:tcPr>
            <w:tcW w:w="120" w:type="dxa"/>
            <w:vAlign w:val="bottom"/>
            <w:shd w:val="clear" w:color="auto" w:fill="E5E5E5"/>
          </w:tcPr>
          <w:p>
            <w:pPr>
              <w:spacing w:after="0"/>
              <w:rPr>
                <w:sz w:val="17"/>
                <w:szCs w:val="17"/>
                <w:color w:val="auto"/>
              </w:rPr>
            </w:pPr>
          </w:p>
        </w:tc>
        <w:tc>
          <w:tcPr>
            <w:tcW w:w="360" w:type="dxa"/>
            <w:vAlign w:val="bottom"/>
            <w:shd w:val="clear" w:color="auto" w:fill="E5E5E5"/>
          </w:tcPr>
          <w:p>
            <w:pPr>
              <w:spacing w:after="0"/>
              <w:rPr>
                <w:sz w:val="17"/>
                <w:szCs w:val="17"/>
                <w:color w:val="auto"/>
              </w:rPr>
            </w:pPr>
          </w:p>
        </w:tc>
        <w:tc>
          <w:tcPr>
            <w:tcW w:w="920" w:type="dxa"/>
            <w:vAlign w:val="bottom"/>
            <w:gridSpan w:val="2"/>
            <w:shd w:val="clear" w:color="auto" w:fill="E5E5E5"/>
          </w:tcPr>
          <w:p>
            <w:pPr>
              <w:jc w:val="right"/>
              <w:ind w:right="120"/>
              <w:spacing w:after="0" w:line="202" w:lineRule="exact"/>
              <w:rPr>
                <w:sz w:val="20"/>
                <w:szCs w:val="20"/>
                <w:color w:val="auto"/>
              </w:rPr>
            </w:pPr>
            <w:r>
              <w:rPr>
                <w:rFonts w:ascii="Arial" w:cs="Arial" w:eastAsia="Arial" w:hAnsi="Arial"/>
                <w:sz w:val="18"/>
                <w:szCs w:val="18"/>
                <w:b w:val="1"/>
                <w:bCs w:val="1"/>
                <w:color w:val="auto"/>
              </w:rPr>
              <w:t>4,915</w:t>
            </w:r>
          </w:p>
        </w:tc>
        <w:tc>
          <w:tcPr>
            <w:tcW w:w="120" w:type="dxa"/>
            <w:vAlign w:val="bottom"/>
            <w:shd w:val="clear" w:color="auto" w:fill="E5E5E5"/>
          </w:tcPr>
          <w:p>
            <w:pPr>
              <w:spacing w:after="0"/>
              <w:rPr>
                <w:sz w:val="17"/>
                <w:szCs w:val="17"/>
                <w:color w:val="auto"/>
              </w:rPr>
            </w:pPr>
          </w:p>
        </w:tc>
        <w:tc>
          <w:tcPr>
            <w:tcW w:w="380" w:type="dxa"/>
            <w:vAlign w:val="bottom"/>
            <w:shd w:val="clear" w:color="auto" w:fill="E5E5E5"/>
          </w:tcPr>
          <w:p>
            <w:pPr>
              <w:spacing w:after="0"/>
              <w:rPr>
                <w:sz w:val="17"/>
                <w:szCs w:val="17"/>
                <w:color w:val="auto"/>
              </w:rPr>
            </w:pPr>
          </w:p>
        </w:tc>
        <w:tc>
          <w:tcPr>
            <w:tcW w:w="960" w:type="dxa"/>
            <w:vAlign w:val="bottom"/>
            <w:gridSpan w:val="2"/>
            <w:shd w:val="clear" w:color="auto" w:fill="E5E5E5"/>
          </w:tcPr>
          <w:p>
            <w:pPr>
              <w:jc w:val="right"/>
              <w:ind w:right="200"/>
              <w:spacing w:after="0" w:line="202" w:lineRule="exact"/>
              <w:rPr>
                <w:sz w:val="20"/>
                <w:szCs w:val="20"/>
                <w:color w:val="auto"/>
              </w:rPr>
            </w:pPr>
            <w:r>
              <w:rPr>
                <w:rFonts w:ascii="Arial" w:cs="Arial" w:eastAsia="Arial" w:hAnsi="Arial"/>
                <w:sz w:val="18"/>
                <w:szCs w:val="18"/>
                <w:b w:val="1"/>
                <w:bCs w:val="1"/>
                <w:color w:val="auto"/>
              </w:rPr>
              <w:t>1</w:t>
            </w:r>
          </w:p>
        </w:tc>
        <w:tc>
          <w:tcPr>
            <w:tcW w:w="280" w:type="dxa"/>
            <w:vAlign w:val="bottom"/>
            <w:shd w:val="clear" w:color="auto" w:fill="E5E5E5"/>
          </w:tcPr>
          <w:p>
            <w:pPr>
              <w:spacing w:after="0"/>
              <w:rPr>
                <w:sz w:val="17"/>
                <w:szCs w:val="17"/>
                <w:color w:val="auto"/>
              </w:rPr>
            </w:pPr>
          </w:p>
        </w:tc>
        <w:tc>
          <w:tcPr>
            <w:tcW w:w="1080" w:type="dxa"/>
            <w:vAlign w:val="bottom"/>
            <w:gridSpan w:val="2"/>
            <w:shd w:val="clear" w:color="auto" w:fill="E5E5E5"/>
          </w:tcPr>
          <w:p>
            <w:pPr>
              <w:jc w:val="right"/>
              <w:ind w:right="220"/>
              <w:spacing w:after="0" w:line="202" w:lineRule="exact"/>
              <w:rPr>
                <w:sz w:val="20"/>
                <w:szCs w:val="20"/>
                <w:color w:val="auto"/>
              </w:rPr>
            </w:pPr>
            <w:r>
              <w:rPr>
                <w:rFonts w:ascii="Arial" w:cs="Arial" w:eastAsia="Arial" w:hAnsi="Arial"/>
                <w:sz w:val="18"/>
                <w:szCs w:val="18"/>
                <w:b w:val="1"/>
                <w:bCs w:val="1"/>
                <w:color w:val="auto"/>
              </w:rPr>
              <w:t>4,916</w:t>
            </w:r>
          </w:p>
        </w:tc>
        <w:tc>
          <w:tcPr>
            <w:tcW w:w="380" w:type="dxa"/>
            <w:vAlign w:val="bottom"/>
            <w:shd w:val="clear" w:color="auto" w:fill="E5E5E5"/>
          </w:tcPr>
          <w:p>
            <w:pPr>
              <w:spacing w:after="0"/>
              <w:rPr>
                <w:sz w:val="17"/>
                <w:szCs w:val="17"/>
                <w:color w:val="auto"/>
              </w:rPr>
            </w:pPr>
          </w:p>
        </w:tc>
        <w:tc>
          <w:tcPr>
            <w:tcW w:w="980" w:type="dxa"/>
            <w:vAlign w:val="bottom"/>
            <w:gridSpan w:val="2"/>
            <w:shd w:val="clear" w:color="auto" w:fill="E5E5E5"/>
          </w:tcPr>
          <w:p>
            <w:pPr>
              <w:jc w:val="right"/>
              <w:ind w:right="220"/>
              <w:spacing w:after="0" w:line="202" w:lineRule="exact"/>
              <w:rPr>
                <w:sz w:val="20"/>
                <w:szCs w:val="20"/>
                <w:color w:val="auto"/>
              </w:rPr>
            </w:pPr>
            <w:r>
              <w:rPr>
                <w:rFonts w:ascii="Arial" w:cs="Arial" w:eastAsia="Arial" w:hAnsi="Arial"/>
                <w:sz w:val="18"/>
                <w:szCs w:val="18"/>
                <w:b w:val="1"/>
                <w:bCs w:val="1"/>
                <w:color w:val="auto"/>
              </w:rPr>
              <w:t>0</w:t>
            </w:r>
          </w:p>
        </w:tc>
        <w:tc>
          <w:tcPr>
            <w:tcW w:w="100" w:type="dxa"/>
            <w:vAlign w:val="bottom"/>
            <w:shd w:val="clear" w:color="auto" w:fill="E5E5E5"/>
          </w:tcPr>
          <w:p>
            <w:pPr>
              <w:spacing w:after="0"/>
              <w:rPr>
                <w:sz w:val="17"/>
                <w:szCs w:val="17"/>
                <w:color w:val="auto"/>
              </w:rPr>
            </w:pPr>
          </w:p>
        </w:tc>
        <w:tc>
          <w:tcPr>
            <w:tcW w:w="280" w:type="dxa"/>
            <w:vAlign w:val="bottom"/>
            <w:shd w:val="clear" w:color="auto" w:fill="E5E5E5"/>
          </w:tcPr>
          <w:p>
            <w:pPr>
              <w:spacing w:after="0"/>
              <w:rPr>
                <w:sz w:val="17"/>
                <w:szCs w:val="17"/>
                <w:color w:val="auto"/>
              </w:rPr>
            </w:pPr>
          </w:p>
        </w:tc>
        <w:tc>
          <w:tcPr>
            <w:tcW w:w="96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b w:val="1"/>
                <w:bCs w:val="1"/>
                <w:color w:val="auto"/>
              </w:rPr>
              <w:t>4,916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760" w:type="dxa"/>
            <w:vAlign w:val="bottom"/>
          </w:tcPr>
          <w:p>
            <w:pPr>
              <w:spacing w:after="0" w:line="202" w:lineRule="exact"/>
              <w:rPr>
                <w:sz w:val="20"/>
                <w:szCs w:val="20"/>
                <w:color w:val="auto"/>
              </w:rPr>
            </w:pPr>
            <w:r>
              <w:rPr>
                <w:rFonts w:ascii="Arial" w:cs="Arial" w:eastAsia="Arial" w:hAnsi="Arial"/>
                <w:sz w:val="18"/>
                <w:szCs w:val="18"/>
                <w:color w:val="auto"/>
              </w:rPr>
              <w:t>Municipal securities</w:t>
            </w:r>
          </w:p>
        </w:tc>
        <w:tc>
          <w:tcPr>
            <w:tcW w:w="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gridSpan w:val="2"/>
          </w:tcPr>
          <w:p>
            <w:pPr>
              <w:jc w:val="right"/>
              <w:ind w:right="120"/>
              <w:spacing w:after="0" w:line="202" w:lineRule="exact"/>
              <w:rPr>
                <w:sz w:val="20"/>
                <w:szCs w:val="20"/>
                <w:color w:val="auto"/>
              </w:rPr>
            </w:pPr>
            <w:r>
              <w:rPr>
                <w:rFonts w:ascii="Arial" w:cs="Arial" w:eastAsia="Arial" w:hAnsi="Arial"/>
                <w:sz w:val="18"/>
                <w:szCs w:val="18"/>
                <w:b w:val="1"/>
                <w:bCs w:val="1"/>
                <w:color w:val="auto"/>
              </w:rPr>
              <w:t>0</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20" w:type="dxa"/>
            <w:vAlign w:val="bottom"/>
            <w:gridSpan w:val="2"/>
          </w:tcPr>
          <w:p>
            <w:pPr>
              <w:jc w:val="right"/>
              <w:ind w:right="120"/>
              <w:spacing w:after="0" w:line="202" w:lineRule="exact"/>
              <w:rPr>
                <w:sz w:val="20"/>
                <w:szCs w:val="20"/>
                <w:color w:val="auto"/>
              </w:rPr>
            </w:pPr>
            <w:r>
              <w:rPr>
                <w:rFonts w:ascii="Arial" w:cs="Arial" w:eastAsia="Arial" w:hAnsi="Arial"/>
                <w:sz w:val="18"/>
                <w:szCs w:val="18"/>
                <w:b w:val="1"/>
                <w:bCs w:val="1"/>
                <w:color w:val="auto"/>
              </w:rPr>
              <w:t>330</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60" w:type="dxa"/>
            <w:vAlign w:val="bottom"/>
            <w:gridSpan w:val="2"/>
          </w:tcPr>
          <w:p>
            <w:pPr>
              <w:jc w:val="right"/>
              <w:ind w:right="200"/>
              <w:spacing w:after="0" w:line="202" w:lineRule="exact"/>
              <w:rPr>
                <w:sz w:val="20"/>
                <w:szCs w:val="20"/>
                <w:color w:val="auto"/>
              </w:rPr>
            </w:pPr>
            <w:r>
              <w:rPr>
                <w:rFonts w:ascii="Arial" w:cs="Arial" w:eastAsia="Arial" w:hAnsi="Arial"/>
                <w:sz w:val="18"/>
                <w:szCs w:val="18"/>
                <w:b w:val="1"/>
                <w:bCs w:val="1"/>
                <w:color w:val="auto"/>
              </w:rPr>
              <w:t>0</w:t>
            </w:r>
          </w:p>
        </w:tc>
        <w:tc>
          <w:tcPr>
            <w:tcW w:w="28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330</w:t>
            </w: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80" w:type="dxa"/>
            <w:vAlign w:val="bottom"/>
            <w:gridSpan w:val="2"/>
          </w:tcPr>
          <w:p>
            <w:pPr>
              <w:jc w:val="right"/>
              <w:ind w:right="220"/>
              <w:spacing w:after="0" w:line="202" w:lineRule="exact"/>
              <w:rPr>
                <w:sz w:val="20"/>
                <w:szCs w:val="20"/>
                <w:color w:val="auto"/>
              </w:rPr>
            </w:pPr>
            <w:r>
              <w:rPr>
                <w:rFonts w:ascii="Arial" w:cs="Arial" w:eastAsia="Arial" w:hAnsi="Arial"/>
                <w:sz w:val="18"/>
                <w:szCs w:val="18"/>
                <w:b w:val="1"/>
                <w:bCs w:val="1"/>
                <w:color w:val="auto"/>
              </w:rPr>
              <w:t>0</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gridSpan w:val="2"/>
          </w:tcPr>
          <w:p>
            <w:pPr>
              <w:jc w:val="right"/>
              <w:ind w:right="100"/>
              <w:spacing w:after="0" w:line="202" w:lineRule="exact"/>
              <w:rPr>
                <w:sz w:val="20"/>
                <w:szCs w:val="20"/>
                <w:color w:val="auto"/>
              </w:rPr>
            </w:pPr>
            <w:r>
              <w:rPr>
                <w:rFonts w:ascii="Arial" w:cs="Arial" w:eastAsia="Arial" w:hAnsi="Arial"/>
                <w:sz w:val="18"/>
                <w:szCs w:val="18"/>
                <w:b w:val="1"/>
                <w:bCs w:val="1"/>
                <w:color w:val="auto"/>
              </w:rPr>
              <w:t>330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76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Common and preferred stock</w:t>
            </w:r>
          </w:p>
        </w:tc>
        <w:tc>
          <w:tcPr>
            <w:tcW w:w="440" w:type="dxa"/>
            <w:vAlign w:val="bottom"/>
            <w:shd w:val="clear" w:color="auto" w:fill="E5E5E5"/>
          </w:tcPr>
          <w:p>
            <w:pPr>
              <w:spacing w:after="0"/>
              <w:rPr>
                <w:sz w:val="17"/>
                <w:szCs w:val="17"/>
                <w:color w:val="auto"/>
              </w:rPr>
            </w:pPr>
          </w:p>
        </w:tc>
        <w:tc>
          <w:tcPr>
            <w:tcW w:w="300" w:type="dxa"/>
            <w:vAlign w:val="bottom"/>
            <w:shd w:val="clear" w:color="auto" w:fill="E5E5E5"/>
          </w:tcPr>
          <w:p>
            <w:pPr>
              <w:spacing w:after="0"/>
              <w:rPr>
                <w:sz w:val="17"/>
                <w:szCs w:val="17"/>
                <w:color w:val="auto"/>
              </w:rPr>
            </w:pPr>
          </w:p>
        </w:tc>
        <w:tc>
          <w:tcPr>
            <w:tcW w:w="980" w:type="dxa"/>
            <w:vAlign w:val="bottom"/>
            <w:gridSpan w:val="2"/>
            <w:shd w:val="clear" w:color="auto" w:fill="E5E5E5"/>
          </w:tcPr>
          <w:p>
            <w:pPr>
              <w:jc w:val="right"/>
              <w:ind w:right="120"/>
              <w:spacing w:after="0" w:line="202" w:lineRule="exact"/>
              <w:rPr>
                <w:sz w:val="20"/>
                <w:szCs w:val="20"/>
                <w:color w:val="auto"/>
              </w:rPr>
            </w:pPr>
            <w:r>
              <w:rPr>
                <w:rFonts w:ascii="Arial" w:cs="Arial" w:eastAsia="Arial" w:hAnsi="Arial"/>
                <w:sz w:val="18"/>
                <w:szCs w:val="18"/>
                <w:b w:val="1"/>
                <w:bCs w:val="1"/>
                <w:color w:val="auto"/>
              </w:rPr>
              <w:t>2,429</w:t>
            </w:r>
          </w:p>
        </w:tc>
        <w:tc>
          <w:tcPr>
            <w:tcW w:w="120" w:type="dxa"/>
            <w:vAlign w:val="bottom"/>
            <w:shd w:val="clear" w:color="auto" w:fill="E5E5E5"/>
          </w:tcPr>
          <w:p>
            <w:pPr>
              <w:spacing w:after="0"/>
              <w:rPr>
                <w:sz w:val="17"/>
                <w:szCs w:val="17"/>
                <w:color w:val="auto"/>
              </w:rPr>
            </w:pPr>
          </w:p>
        </w:tc>
        <w:tc>
          <w:tcPr>
            <w:tcW w:w="360" w:type="dxa"/>
            <w:vAlign w:val="bottom"/>
            <w:shd w:val="clear" w:color="auto" w:fill="E5E5E5"/>
          </w:tcPr>
          <w:p>
            <w:pPr>
              <w:spacing w:after="0"/>
              <w:rPr>
                <w:sz w:val="17"/>
                <w:szCs w:val="17"/>
                <w:color w:val="auto"/>
              </w:rPr>
            </w:pPr>
          </w:p>
        </w:tc>
        <w:tc>
          <w:tcPr>
            <w:tcW w:w="920" w:type="dxa"/>
            <w:vAlign w:val="bottom"/>
            <w:gridSpan w:val="2"/>
            <w:shd w:val="clear" w:color="auto" w:fill="E5E5E5"/>
          </w:tcPr>
          <w:p>
            <w:pPr>
              <w:jc w:val="right"/>
              <w:ind w:right="120"/>
              <w:spacing w:after="0" w:line="202" w:lineRule="exact"/>
              <w:rPr>
                <w:sz w:val="20"/>
                <w:szCs w:val="20"/>
                <w:color w:val="auto"/>
              </w:rPr>
            </w:pPr>
            <w:r>
              <w:rPr>
                <w:rFonts w:ascii="Arial" w:cs="Arial" w:eastAsia="Arial" w:hAnsi="Arial"/>
                <w:sz w:val="18"/>
                <w:szCs w:val="18"/>
                <w:b w:val="1"/>
                <w:bCs w:val="1"/>
                <w:color w:val="auto"/>
              </w:rPr>
              <w:t>1,346</w:t>
            </w:r>
          </w:p>
        </w:tc>
        <w:tc>
          <w:tcPr>
            <w:tcW w:w="120" w:type="dxa"/>
            <w:vAlign w:val="bottom"/>
            <w:shd w:val="clear" w:color="auto" w:fill="E5E5E5"/>
          </w:tcPr>
          <w:p>
            <w:pPr>
              <w:spacing w:after="0"/>
              <w:rPr>
                <w:sz w:val="17"/>
                <w:szCs w:val="17"/>
                <w:color w:val="auto"/>
              </w:rPr>
            </w:pPr>
          </w:p>
        </w:tc>
        <w:tc>
          <w:tcPr>
            <w:tcW w:w="380" w:type="dxa"/>
            <w:vAlign w:val="bottom"/>
            <w:shd w:val="clear" w:color="auto" w:fill="E5E5E5"/>
          </w:tcPr>
          <w:p>
            <w:pPr>
              <w:spacing w:after="0"/>
              <w:rPr>
                <w:sz w:val="17"/>
                <w:szCs w:val="17"/>
                <w:color w:val="auto"/>
              </w:rPr>
            </w:pPr>
          </w:p>
        </w:tc>
        <w:tc>
          <w:tcPr>
            <w:tcW w:w="960" w:type="dxa"/>
            <w:vAlign w:val="bottom"/>
            <w:gridSpan w:val="2"/>
            <w:shd w:val="clear" w:color="auto" w:fill="E5E5E5"/>
          </w:tcPr>
          <w:p>
            <w:pPr>
              <w:jc w:val="right"/>
              <w:ind w:right="200"/>
              <w:spacing w:after="0" w:line="202" w:lineRule="exact"/>
              <w:rPr>
                <w:sz w:val="20"/>
                <w:szCs w:val="20"/>
                <w:color w:val="auto"/>
              </w:rPr>
            </w:pPr>
            <w:r>
              <w:rPr>
                <w:rFonts w:ascii="Arial" w:cs="Arial" w:eastAsia="Arial" w:hAnsi="Arial"/>
                <w:sz w:val="18"/>
                <w:szCs w:val="18"/>
                <w:b w:val="1"/>
                <w:bCs w:val="1"/>
                <w:color w:val="auto"/>
              </w:rPr>
              <w:t>18</w:t>
            </w:r>
          </w:p>
        </w:tc>
        <w:tc>
          <w:tcPr>
            <w:tcW w:w="280" w:type="dxa"/>
            <w:vAlign w:val="bottom"/>
            <w:shd w:val="clear" w:color="auto" w:fill="E5E5E5"/>
          </w:tcPr>
          <w:p>
            <w:pPr>
              <w:spacing w:after="0"/>
              <w:rPr>
                <w:sz w:val="17"/>
                <w:szCs w:val="17"/>
                <w:color w:val="auto"/>
              </w:rPr>
            </w:pPr>
          </w:p>
        </w:tc>
        <w:tc>
          <w:tcPr>
            <w:tcW w:w="1080" w:type="dxa"/>
            <w:vAlign w:val="bottom"/>
            <w:gridSpan w:val="2"/>
            <w:shd w:val="clear" w:color="auto" w:fill="E5E5E5"/>
          </w:tcPr>
          <w:p>
            <w:pPr>
              <w:jc w:val="right"/>
              <w:ind w:right="220"/>
              <w:spacing w:after="0" w:line="202" w:lineRule="exact"/>
              <w:rPr>
                <w:sz w:val="20"/>
                <w:szCs w:val="20"/>
                <w:color w:val="auto"/>
              </w:rPr>
            </w:pPr>
            <w:r>
              <w:rPr>
                <w:rFonts w:ascii="Arial" w:cs="Arial" w:eastAsia="Arial" w:hAnsi="Arial"/>
                <w:sz w:val="18"/>
                <w:szCs w:val="18"/>
                <w:b w:val="1"/>
                <w:bCs w:val="1"/>
                <w:color w:val="auto"/>
              </w:rPr>
              <w:t>3,793</w:t>
            </w:r>
          </w:p>
        </w:tc>
        <w:tc>
          <w:tcPr>
            <w:tcW w:w="380" w:type="dxa"/>
            <w:vAlign w:val="bottom"/>
            <w:shd w:val="clear" w:color="auto" w:fill="E5E5E5"/>
          </w:tcPr>
          <w:p>
            <w:pPr>
              <w:spacing w:after="0"/>
              <w:rPr>
                <w:sz w:val="17"/>
                <w:szCs w:val="17"/>
                <w:color w:val="auto"/>
              </w:rPr>
            </w:pPr>
          </w:p>
        </w:tc>
        <w:tc>
          <w:tcPr>
            <w:tcW w:w="980" w:type="dxa"/>
            <w:vAlign w:val="bottom"/>
            <w:gridSpan w:val="2"/>
            <w:shd w:val="clear" w:color="auto" w:fill="E5E5E5"/>
          </w:tcPr>
          <w:p>
            <w:pPr>
              <w:jc w:val="right"/>
              <w:ind w:right="220"/>
              <w:spacing w:after="0" w:line="202" w:lineRule="exact"/>
              <w:rPr>
                <w:sz w:val="20"/>
                <w:szCs w:val="20"/>
                <w:color w:val="auto"/>
              </w:rPr>
            </w:pPr>
            <w:r>
              <w:rPr>
                <w:rFonts w:ascii="Arial" w:cs="Arial" w:eastAsia="Arial" w:hAnsi="Arial"/>
                <w:sz w:val="18"/>
                <w:szCs w:val="18"/>
                <w:b w:val="1"/>
                <w:bCs w:val="1"/>
                <w:color w:val="auto"/>
              </w:rPr>
              <w:t>0</w:t>
            </w:r>
          </w:p>
        </w:tc>
        <w:tc>
          <w:tcPr>
            <w:tcW w:w="100" w:type="dxa"/>
            <w:vAlign w:val="bottom"/>
            <w:shd w:val="clear" w:color="auto" w:fill="E5E5E5"/>
          </w:tcPr>
          <w:p>
            <w:pPr>
              <w:spacing w:after="0"/>
              <w:rPr>
                <w:sz w:val="17"/>
                <w:szCs w:val="17"/>
                <w:color w:val="auto"/>
              </w:rPr>
            </w:pPr>
          </w:p>
        </w:tc>
        <w:tc>
          <w:tcPr>
            <w:tcW w:w="280" w:type="dxa"/>
            <w:vAlign w:val="bottom"/>
            <w:shd w:val="clear" w:color="auto" w:fill="E5E5E5"/>
          </w:tcPr>
          <w:p>
            <w:pPr>
              <w:spacing w:after="0"/>
              <w:rPr>
                <w:sz w:val="17"/>
                <w:szCs w:val="17"/>
                <w:color w:val="auto"/>
              </w:rPr>
            </w:pPr>
          </w:p>
        </w:tc>
        <w:tc>
          <w:tcPr>
            <w:tcW w:w="96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b w:val="1"/>
                <w:bCs w:val="1"/>
                <w:color w:val="auto"/>
              </w:rPr>
              <w:t>3,793</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2760" w:type="dxa"/>
            <w:vAlign w:val="bottom"/>
          </w:tcPr>
          <w:p>
            <w:pPr>
              <w:spacing w:after="0"/>
              <w:rPr>
                <w:sz w:val="20"/>
                <w:szCs w:val="20"/>
                <w:color w:val="auto"/>
              </w:rPr>
            </w:pPr>
            <w:r>
              <w:rPr>
                <w:rFonts w:ascii="Arial" w:cs="Arial" w:eastAsia="Arial" w:hAnsi="Arial"/>
                <w:sz w:val="18"/>
                <w:szCs w:val="18"/>
                <w:color w:val="auto"/>
              </w:rPr>
              <w:t>Derivatives</w:t>
            </w:r>
          </w:p>
        </w:tc>
        <w:tc>
          <w:tcPr>
            <w:tcW w:w="4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327</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0</w:t>
            </w:r>
          </w:p>
        </w:tc>
        <w:tc>
          <w:tcPr>
            <w:tcW w:w="28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329</w:t>
            </w:r>
          </w:p>
        </w:tc>
        <w:tc>
          <w:tcPr>
            <w:tcW w:w="2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(140)</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189</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760" w:type="dxa"/>
            <w:vAlign w:val="bottom"/>
            <w:tcBorders>
              <w:top w:val="single" w:sz="8" w:color="auto"/>
            </w:tcBorders>
          </w:tcPr>
          <w:p>
            <w:pPr>
              <w:spacing w:after="0"/>
              <w:rPr>
                <w:sz w:val="5"/>
                <w:szCs w:val="5"/>
                <w:color w:val="auto"/>
              </w:rPr>
            </w:pPr>
          </w:p>
        </w:tc>
        <w:tc>
          <w:tcPr>
            <w:tcW w:w="440" w:type="dxa"/>
            <w:vAlign w:val="bottom"/>
            <w:tcBorders>
              <w:top w:val="single" w:sz="8" w:color="auto"/>
            </w:tcBorders>
          </w:tcPr>
          <w:p>
            <w:pPr>
              <w:spacing w:after="0"/>
              <w:rPr>
                <w:sz w:val="5"/>
                <w:szCs w:val="5"/>
                <w:color w:val="auto"/>
              </w:rPr>
            </w:pPr>
          </w:p>
        </w:tc>
        <w:tc>
          <w:tcPr>
            <w:tcW w:w="300" w:type="dxa"/>
            <w:vAlign w:val="bottom"/>
            <w:tcBorders>
              <w:top w:val="single" w:sz="8" w:color="auto"/>
            </w:tcBorders>
          </w:tcPr>
          <w:p>
            <w:pPr>
              <w:spacing w:after="0"/>
              <w:rPr>
                <w:sz w:val="5"/>
                <w:szCs w:val="5"/>
                <w:color w:val="auto"/>
              </w:rPr>
            </w:pPr>
          </w:p>
        </w:tc>
        <w:tc>
          <w:tcPr>
            <w:tcW w:w="860" w:type="dxa"/>
            <w:vAlign w:val="bottom"/>
            <w:tcBorders>
              <w:top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60" w:type="dxa"/>
            <w:vAlign w:val="bottom"/>
            <w:tcBorders>
              <w:top w:val="single" w:sz="8" w:color="auto"/>
            </w:tcBorders>
          </w:tcPr>
          <w:p>
            <w:pPr>
              <w:spacing w:after="0"/>
              <w:rPr>
                <w:sz w:val="5"/>
                <w:szCs w:val="5"/>
                <w:color w:val="auto"/>
              </w:rPr>
            </w:pPr>
          </w:p>
        </w:tc>
        <w:tc>
          <w:tcPr>
            <w:tcW w:w="800" w:type="dxa"/>
            <w:vAlign w:val="bottom"/>
            <w:tcBorders>
              <w:top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80" w:type="dxa"/>
            <w:vAlign w:val="bottom"/>
            <w:tcBorders>
              <w:top w:val="single" w:sz="8" w:color="auto"/>
            </w:tcBorders>
          </w:tcPr>
          <w:p>
            <w:pPr>
              <w:spacing w:after="0"/>
              <w:rPr>
                <w:sz w:val="5"/>
                <w:szCs w:val="5"/>
                <w:color w:val="auto"/>
              </w:rPr>
            </w:pPr>
          </w:p>
        </w:tc>
        <w:tc>
          <w:tcPr>
            <w:tcW w:w="760" w:type="dxa"/>
            <w:vAlign w:val="bottom"/>
            <w:tcBorders>
              <w:top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280" w:type="dxa"/>
            <w:vAlign w:val="bottom"/>
            <w:tcBorders>
              <w:top w:val="single" w:sz="8" w:color="auto"/>
            </w:tcBorders>
          </w:tcPr>
          <w:p>
            <w:pPr>
              <w:spacing w:after="0"/>
              <w:rPr>
                <w:sz w:val="5"/>
                <w:szCs w:val="5"/>
                <w:color w:val="auto"/>
              </w:rPr>
            </w:pPr>
          </w:p>
        </w:tc>
        <w:tc>
          <w:tcPr>
            <w:tcW w:w="860" w:type="dxa"/>
            <w:vAlign w:val="bottom"/>
            <w:tcBorders>
              <w:top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380" w:type="dxa"/>
            <w:vAlign w:val="bottom"/>
            <w:tcBorders>
              <w:top w:val="single" w:sz="8" w:color="auto"/>
            </w:tcBorders>
          </w:tcPr>
          <w:p>
            <w:pPr>
              <w:spacing w:after="0"/>
              <w:rPr>
                <w:sz w:val="5"/>
                <w:szCs w:val="5"/>
                <w:color w:val="auto"/>
              </w:rPr>
            </w:pPr>
          </w:p>
        </w:tc>
        <w:tc>
          <w:tcPr>
            <w:tcW w:w="760" w:type="dxa"/>
            <w:vAlign w:val="bottom"/>
            <w:tcBorders>
              <w:top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Borders>
              <w:top w:val="single" w:sz="8" w:color="auto"/>
            </w:tcBorders>
          </w:tcPr>
          <w:p>
            <w:pPr>
              <w:spacing w:after="0"/>
              <w:rPr>
                <w:sz w:val="5"/>
                <w:szCs w:val="5"/>
                <w:color w:val="auto"/>
              </w:rPr>
            </w:pPr>
          </w:p>
        </w:tc>
        <w:tc>
          <w:tcPr>
            <w:tcW w:w="86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760" w:type="dxa"/>
            <w:vAlign w:val="bottom"/>
            <w:shd w:val="clear" w:color="auto" w:fill="E5E5E5"/>
          </w:tcPr>
          <w:p>
            <w:pPr>
              <w:ind w:left="200"/>
              <w:spacing w:after="0" w:line="202" w:lineRule="exact"/>
              <w:rPr>
                <w:sz w:val="20"/>
                <w:szCs w:val="20"/>
                <w:color w:val="auto"/>
              </w:rPr>
            </w:pPr>
            <w:r>
              <w:rPr>
                <w:rFonts w:ascii="Arial" w:cs="Arial" w:eastAsia="Arial" w:hAnsi="Arial"/>
                <w:sz w:val="18"/>
                <w:szCs w:val="18"/>
                <w:color w:val="auto"/>
              </w:rPr>
              <w:t>Total</w:t>
            </w:r>
          </w:p>
        </w:tc>
        <w:tc>
          <w:tcPr>
            <w:tcW w:w="740" w:type="dxa"/>
            <w:vAlign w:val="bottom"/>
            <w:gridSpan w:val="2"/>
            <w:shd w:val="clear" w:color="auto" w:fill="E5E5E5"/>
          </w:tcPr>
          <w:p>
            <w:pPr>
              <w:jc w:val="right"/>
              <w:ind w:right="200"/>
              <w:spacing w:after="0" w:line="202" w:lineRule="exact"/>
              <w:rPr>
                <w:sz w:val="20"/>
                <w:szCs w:val="20"/>
                <w:color w:val="auto"/>
              </w:rPr>
            </w:pPr>
            <w:r>
              <w:rPr>
                <w:rFonts w:ascii="Arial" w:cs="Arial" w:eastAsia="Arial" w:hAnsi="Arial"/>
                <w:sz w:val="18"/>
                <w:szCs w:val="18"/>
                <w:b w:val="1"/>
                <w:bCs w:val="1"/>
                <w:color w:val="auto"/>
              </w:rPr>
              <w:t>$</w:t>
            </w:r>
          </w:p>
        </w:tc>
        <w:tc>
          <w:tcPr>
            <w:tcW w:w="980" w:type="dxa"/>
            <w:vAlign w:val="bottom"/>
            <w:gridSpan w:val="2"/>
            <w:shd w:val="clear" w:color="auto" w:fill="E5E5E5"/>
          </w:tcPr>
          <w:p>
            <w:pPr>
              <w:jc w:val="right"/>
              <w:ind w:right="120"/>
              <w:spacing w:after="0" w:line="202" w:lineRule="exact"/>
              <w:rPr>
                <w:sz w:val="20"/>
                <w:szCs w:val="20"/>
                <w:color w:val="auto"/>
              </w:rPr>
            </w:pPr>
            <w:r>
              <w:rPr>
                <w:rFonts w:ascii="Arial" w:cs="Arial" w:eastAsia="Arial" w:hAnsi="Arial"/>
                <w:sz w:val="18"/>
                <w:szCs w:val="18"/>
                <w:b w:val="1"/>
                <w:bCs w:val="1"/>
                <w:color w:val="auto"/>
              </w:rPr>
              <w:t>118,452</w:t>
            </w:r>
          </w:p>
        </w:tc>
        <w:tc>
          <w:tcPr>
            <w:tcW w:w="480" w:type="dxa"/>
            <w:vAlign w:val="bottom"/>
            <w:gridSpan w:val="2"/>
            <w:shd w:val="clear" w:color="auto" w:fill="E5E5E5"/>
          </w:tcPr>
          <w:p>
            <w:pPr>
              <w:jc w:val="right"/>
              <w:ind w:right="260"/>
              <w:spacing w:after="0" w:line="202" w:lineRule="exact"/>
              <w:rPr>
                <w:sz w:val="20"/>
                <w:szCs w:val="20"/>
                <w:color w:val="auto"/>
              </w:rPr>
            </w:pPr>
            <w:r>
              <w:rPr>
                <w:rFonts w:ascii="Arial" w:cs="Arial" w:eastAsia="Arial" w:hAnsi="Arial"/>
                <w:sz w:val="18"/>
                <w:szCs w:val="18"/>
                <w:b w:val="1"/>
                <w:bCs w:val="1"/>
                <w:color w:val="auto"/>
              </w:rPr>
              <w:t>$</w:t>
            </w:r>
          </w:p>
        </w:tc>
        <w:tc>
          <w:tcPr>
            <w:tcW w:w="920" w:type="dxa"/>
            <w:vAlign w:val="bottom"/>
            <w:gridSpan w:val="2"/>
            <w:shd w:val="clear" w:color="auto" w:fill="E5E5E5"/>
          </w:tcPr>
          <w:p>
            <w:pPr>
              <w:jc w:val="right"/>
              <w:ind w:right="120"/>
              <w:spacing w:after="0" w:line="202" w:lineRule="exact"/>
              <w:rPr>
                <w:sz w:val="20"/>
                <w:szCs w:val="20"/>
                <w:color w:val="auto"/>
              </w:rPr>
            </w:pPr>
            <w:r>
              <w:rPr>
                <w:rFonts w:ascii="Arial" w:cs="Arial" w:eastAsia="Arial" w:hAnsi="Arial"/>
                <w:sz w:val="18"/>
                <w:szCs w:val="18"/>
                <w:b w:val="1"/>
                <w:bCs w:val="1"/>
                <w:color w:val="auto"/>
              </w:rPr>
              <w:t>19,983</w:t>
            </w:r>
          </w:p>
        </w:tc>
        <w:tc>
          <w:tcPr>
            <w:tcW w:w="500" w:type="dxa"/>
            <w:vAlign w:val="bottom"/>
            <w:gridSpan w:val="2"/>
            <w:shd w:val="clear" w:color="auto" w:fill="E5E5E5"/>
          </w:tcPr>
          <w:p>
            <w:pPr>
              <w:jc w:val="right"/>
              <w:ind w:right="280"/>
              <w:spacing w:after="0" w:line="202" w:lineRule="exact"/>
              <w:rPr>
                <w:sz w:val="20"/>
                <w:szCs w:val="20"/>
                <w:color w:val="auto"/>
              </w:rPr>
            </w:pPr>
            <w:r>
              <w:rPr>
                <w:rFonts w:ascii="Arial" w:cs="Arial" w:eastAsia="Arial" w:hAnsi="Arial"/>
                <w:sz w:val="18"/>
                <w:szCs w:val="18"/>
                <w:b w:val="1"/>
                <w:bCs w:val="1"/>
                <w:color w:val="auto"/>
              </w:rPr>
              <w:t>$</w:t>
            </w:r>
          </w:p>
        </w:tc>
        <w:tc>
          <w:tcPr>
            <w:tcW w:w="960" w:type="dxa"/>
            <w:vAlign w:val="bottom"/>
            <w:gridSpan w:val="2"/>
            <w:shd w:val="clear" w:color="auto" w:fill="E5E5E5"/>
          </w:tcPr>
          <w:p>
            <w:pPr>
              <w:jc w:val="right"/>
              <w:ind w:right="200"/>
              <w:spacing w:after="0" w:line="202" w:lineRule="exact"/>
              <w:rPr>
                <w:sz w:val="20"/>
                <w:szCs w:val="20"/>
                <w:color w:val="auto"/>
              </w:rPr>
            </w:pPr>
            <w:r>
              <w:rPr>
                <w:rFonts w:ascii="Arial" w:cs="Arial" w:eastAsia="Arial" w:hAnsi="Arial"/>
                <w:sz w:val="18"/>
                <w:szCs w:val="18"/>
                <w:b w:val="1"/>
                <w:bCs w:val="1"/>
                <w:color w:val="auto"/>
              </w:rPr>
              <w:t>19</w:t>
            </w:r>
          </w:p>
        </w:tc>
        <w:tc>
          <w:tcPr>
            <w:tcW w:w="280" w:type="dxa"/>
            <w:vAlign w:val="bottom"/>
            <w:shd w:val="clear" w:color="auto" w:fill="E5E5E5"/>
          </w:tcPr>
          <w:p>
            <w:pPr>
              <w:jc w:val="right"/>
              <w:ind w:right="90"/>
              <w:spacing w:after="0" w:line="202" w:lineRule="exact"/>
              <w:rPr>
                <w:sz w:val="20"/>
                <w:szCs w:val="20"/>
                <w:color w:val="auto"/>
              </w:rPr>
            </w:pPr>
            <w:r>
              <w:rPr>
                <w:rFonts w:ascii="Arial" w:cs="Arial" w:eastAsia="Arial" w:hAnsi="Arial"/>
                <w:sz w:val="18"/>
                <w:szCs w:val="18"/>
                <w:b w:val="1"/>
                <w:bCs w:val="1"/>
                <w:color w:val="auto"/>
                <w:w w:val="79"/>
              </w:rPr>
              <w:t>$</w:t>
            </w:r>
          </w:p>
        </w:tc>
        <w:tc>
          <w:tcPr>
            <w:tcW w:w="86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138,454</w:t>
            </w:r>
          </w:p>
        </w:tc>
        <w:tc>
          <w:tcPr>
            <w:tcW w:w="220" w:type="dxa"/>
            <w:vAlign w:val="bottom"/>
            <w:shd w:val="clear" w:color="auto" w:fill="E5E5E5"/>
          </w:tcPr>
          <w:p>
            <w:pPr>
              <w:spacing w:after="0"/>
              <w:rPr>
                <w:sz w:val="17"/>
                <w:szCs w:val="17"/>
                <w:color w:val="auto"/>
              </w:rPr>
            </w:pPr>
          </w:p>
        </w:tc>
        <w:tc>
          <w:tcPr>
            <w:tcW w:w="380" w:type="dxa"/>
            <w:vAlign w:val="bottom"/>
            <w:shd w:val="clear" w:color="auto" w:fill="E5E5E5"/>
          </w:tcPr>
          <w:p>
            <w:pPr>
              <w:jc w:val="right"/>
              <w:ind w:right="190"/>
              <w:spacing w:after="0" w:line="202" w:lineRule="exact"/>
              <w:rPr>
                <w:sz w:val="20"/>
                <w:szCs w:val="20"/>
                <w:color w:val="auto"/>
              </w:rPr>
            </w:pPr>
            <w:r>
              <w:rPr>
                <w:rFonts w:ascii="Arial" w:cs="Arial" w:eastAsia="Arial" w:hAnsi="Arial"/>
                <w:sz w:val="18"/>
                <w:szCs w:val="18"/>
                <w:b w:val="1"/>
                <w:bCs w:val="1"/>
                <w:color w:val="auto"/>
                <w:w w:val="79"/>
              </w:rPr>
              <w:t>$</w:t>
            </w:r>
          </w:p>
        </w:tc>
        <w:tc>
          <w:tcPr>
            <w:tcW w:w="980" w:type="dxa"/>
            <w:vAlign w:val="bottom"/>
            <w:gridSpan w:val="2"/>
            <w:shd w:val="clear" w:color="auto" w:fill="E5E5E5"/>
          </w:tcPr>
          <w:p>
            <w:pPr>
              <w:jc w:val="right"/>
              <w:ind w:right="160"/>
              <w:spacing w:after="0" w:line="202" w:lineRule="exact"/>
              <w:rPr>
                <w:sz w:val="20"/>
                <w:szCs w:val="20"/>
                <w:color w:val="auto"/>
              </w:rPr>
            </w:pPr>
            <w:r>
              <w:rPr>
                <w:rFonts w:ascii="Arial" w:cs="Arial" w:eastAsia="Arial" w:hAnsi="Arial"/>
                <w:sz w:val="18"/>
                <w:szCs w:val="18"/>
                <w:b w:val="1"/>
                <w:bCs w:val="1"/>
                <w:color w:val="auto"/>
              </w:rPr>
              <w:t>(140)</w:t>
            </w:r>
          </w:p>
        </w:tc>
        <w:tc>
          <w:tcPr>
            <w:tcW w:w="380" w:type="dxa"/>
            <w:vAlign w:val="bottom"/>
            <w:gridSpan w:val="2"/>
            <w:shd w:val="clear" w:color="auto" w:fill="E5E5E5"/>
          </w:tcPr>
          <w:p>
            <w:pPr>
              <w:jc w:val="right"/>
              <w:ind w:right="180"/>
              <w:spacing w:after="0" w:line="202" w:lineRule="exact"/>
              <w:rPr>
                <w:sz w:val="20"/>
                <w:szCs w:val="20"/>
                <w:color w:val="auto"/>
              </w:rPr>
            </w:pPr>
            <w:r>
              <w:rPr>
                <w:rFonts w:ascii="Arial" w:cs="Arial" w:eastAsia="Arial" w:hAnsi="Arial"/>
                <w:sz w:val="18"/>
                <w:szCs w:val="18"/>
                <w:b w:val="1"/>
                <w:bCs w:val="1"/>
                <w:color w:val="auto"/>
              </w:rPr>
              <w:t>$</w:t>
            </w:r>
          </w:p>
        </w:tc>
        <w:tc>
          <w:tcPr>
            <w:tcW w:w="96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b w:val="1"/>
                <w:bCs w:val="1"/>
                <w:color w:val="auto"/>
              </w:rPr>
              <w:t>138,314</w:t>
            </w:r>
          </w:p>
        </w:tc>
        <w:tc>
          <w:tcPr>
            <w:tcW w:w="0" w:type="dxa"/>
            <w:vAlign w:val="bottom"/>
          </w:tcPr>
          <w:p>
            <w:pPr>
              <w:spacing w:after="0"/>
              <w:rPr>
                <w:sz w:val="1"/>
                <w:szCs w:val="1"/>
                <w:color w:val="auto"/>
              </w:rPr>
            </w:pPr>
          </w:p>
        </w:tc>
      </w:tr>
      <w:tr>
        <w:trPr>
          <w:trHeight w:val="75"/>
        </w:trPr>
        <w:tc>
          <w:tcPr>
            <w:tcW w:w="27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Liabilities</w:t>
            </w:r>
          </w:p>
        </w:tc>
        <w:tc>
          <w:tcPr>
            <w:tcW w:w="440" w:type="dxa"/>
            <w:vAlign w:val="bottom"/>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9"/>
        </w:trPr>
        <w:tc>
          <w:tcPr>
            <w:tcW w:w="2780" w:type="dxa"/>
            <w:vAlign w:val="bottom"/>
            <w:gridSpan w:val="2"/>
            <w:vMerge w:val="continue"/>
          </w:tcPr>
          <w:p>
            <w:pPr>
              <w:spacing w:after="0"/>
              <w:rPr>
                <w:sz w:val="20"/>
                <w:szCs w:val="20"/>
                <w:color w:val="auto"/>
              </w:rPr>
            </w:pPr>
          </w:p>
        </w:tc>
        <w:tc>
          <w:tcPr>
            <w:tcW w:w="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
        </w:trPr>
        <w:tc>
          <w:tcPr>
            <w:tcW w:w="20" w:type="dxa"/>
            <w:vAlign w:val="bottom"/>
            <w:vMerge w:val="restart"/>
          </w:tcPr>
          <w:p>
            <w:pPr>
              <w:spacing w:after="0"/>
              <w:rPr>
                <w:sz w:val="3"/>
                <w:szCs w:val="3"/>
                <w:color w:val="auto"/>
              </w:rPr>
            </w:pPr>
          </w:p>
        </w:tc>
        <w:tc>
          <w:tcPr>
            <w:tcW w:w="2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3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760" w:type="dxa"/>
            <w:vAlign w:val="bottom"/>
          </w:tcPr>
          <w:p>
            <w:pPr>
              <w:spacing w:after="0"/>
              <w:rPr>
                <w:sz w:val="3"/>
                <w:szCs w:val="3"/>
                <w:color w:val="auto"/>
              </w:rPr>
            </w:pPr>
          </w:p>
        </w:tc>
        <w:tc>
          <w:tcPr>
            <w:tcW w:w="2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60" w:type="dxa"/>
            <w:vAlign w:val="bottom"/>
          </w:tcPr>
          <w:p>
            <w:pPr>
              <w:spacing w:after="0"/>
              <w:rPr>
                <w:sz w:val="3"/>
                <w:szCs w:val="3"/>
                <w:color w:val="auto"/>
              </w:rPr>
            </w:pPr>
          </w:p>
        </w:tc>
        <w:tc>
          <w:tcPr>
            <w:tcW w:w="220" w:type="dxa"/>
            <w:vAlign w:val="bottom"/>
          </w:tcPr>
          <w:p>
            <w:pPr>
              <w:spacing w:after="0"/>
              <w:rPr>
                <w:sz w:val="3"/>
                <w:szCs w:val="3"/>
                <w:color w:val="auto"/>
              </w:rPr>
            </w:pPr>
          </w:p>
        </w:tc>
        <w:tc>
          <w:tcPr>
            <w:tcW w:w="380" w:type="dxa"/>
            <w:vAlign w:val="bottom"/>
          </w:tcPr>
          <w:p>
            <w:pPr>
              <w:spacing w:after="0"/>
              <w:rPr>
                <w:sz w:val="3"/>
                <w:szCs w:val="3"/>
                <w:color w:val="auto"/>
              </w:rPr>
            </w:pPr>
          </w:p>
        </w:tc>
        <w:tc>
          <w:tcPr>
            <w:tcW w:w="7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276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Derivatives and other</w:t>
            </w:r>
          </w:p>
        </w:tc>
        <w:tc>
          <w:tcPr>
            <w:tcW w:w="740" w:type="dxa"/>
            <w:vAlign w:val="bottom"/>
            <w:gridSpan w:val="2"/>
            <w:shd w:val="clear" w:color="auto" w:fill="E5E5E5"/>
          </w:tcPr>
          <w:p>
            <w:pPr>
              <w:jc w:val="right"/>
              <w:ind w:right="200"/>
              <w:spacing w:after="0" w:line="202" w:lineRule="exact"/>
              <w:rPr>
                <w:sz w:val="20"/>
                <w:szCs w:val="20"/>
                <w:color w:val="auto"/>
              </w:rPr>
            </w:pPr>
            <w:r>
              <w:rPr>
                <w:rFonts w:ascii="Arial" w:cs="Arial" w:eastAsia="Arial" w:hAnsi="Arial"/>
                <w:sz w:val="18"/>
                <w:szCs w:val="18"/>
                <w:b w:val="1"/>
                <w:bCs w:val="1"/>
                <w:color w:val="auto"/>
              </w:rPr>
              <w:t>$</w:t>
            </w:r>
          </w:p>
        </w:tc>
        <w:tc>
          <w:tcPr>
            <w:tcW w:w="980" w:type="dxa"/>
            <w:vAlign w:val="bottom"/>
            <w:gridSpan w:val="2"/>
            <w:shd w:val="clear" w:color="auto" w:fill="E5E5E5"/>
          </w:tcPr>
          <w:p>
            <w:pPr>
              <w:jc w:val="right"/>
              <w:ind w:right="120"/>
              <w:spacing w:after="0" w:line="202" w:lineRule="exact"/>
              <w:rPr>
                <w:sz w:val="20"/>
                <w:szCs w:val="20"/>
                <w:color w:val="auto"/>
              </w:rPr>
            </w:pPr>
            <w:r>
              <w:rPr>
                <w:rFonts w:ascii="Arial" w:cs="Arial" w:eastAsia="Arial" w:hAnsi="Arial"/>
                <w:sz w:val="18"/>
                <w:szCs w:val="18"/>
                <w:b w:val="1"/>
                <w:bCs w:val="1"/>
                <w:color w:val="auto"/>
              </w:rPr>
              <w:t>16</w:t>
            </w:r>
          </w:p>
        </w:tc>
        <w:tc>
          <w:tcPr>
            <w:tcW w:w="480" w:type="dxa"/>
            <w:vAlign w:val="bottom"/>
            <w:gridSpan w:val="2"/>
            <w:shd w:val="clear" w:color="auto" w:fill="E5E5E5"/>
          </w:tcPr>
          <w:p>
            <w:pPr>
              <w:jc w:val="right"/>
              <w:ind w:right="260"/>
              <w:spacing w:after="0" w:line="202" w:lineRule="exact"/>
              <w:rPr>
                <w:sz w:val="20"/>
                <w:szCs w:val="20"/>
                <w:color w:val="auto"/>
              </w:rPr>
            </w:pPr>
            <w:r>
              <w:rPr>
                <w:rFonts w:ascii="Arial" w:cs="Arial" w:eastAsia="Arial" w:hAnsi="Arial"/>
                <w:sz w:val="18"/>
                <w:szCs w:val="18"/>
                <w:b w:val="1"/>
                <w:bCs w:val="1"/>
                <w:color w:val="auto"/>
              </w:rPr>
              <w:t>$</w:t>
            </w:r>
          </w:p>
        </w:tc>
        <w:tc>
          <w:tcPr>
            <w:tcW w:w="920" w:type="dxa"/>
            <w:vAlign w:val="bottom"/>
            <w:gridSpan w:val="2"/>
            <w:shd w:val="clear" w:color="auto" w:fill="E5E5E5"/>
          </w:tcPr>
          <w:p>
            <w:pPr>
              <w:jc w:val="right"/>
              <w:ind w:right="120"/>
              <w:spacing w:after="0" w:line="202" w:lineRule="exact"/>
              <w:rPr>
                <w:sz w:val="20"/>
                <w:szCs w:val="20"/>
                <w:color w:val="auto"/>
              </w:rPr>
            </w:pPr>
            <w:r>
              <w:rPr>
                <w:rFonts w:ascii="Arial" w:cs="Arial" w:eastAsia="Arial" w:hAnsi="Arial"/>
                <w:sz w:val="18"/>
                <w:szCs w:val="18"/>
                <w:b w:val="1"/>
                <w:bCs w:val="1"/>
                <w:color w:val="auto"/>
              </w:rPr>
              <w:t>439</w:t>
            </w:r>
          </w:p>
        </w:tc>
        <w:tc>
          <w:tcPr>
            <w:tcW w:w="500" w:type="dxa"/>
            <w:vAlign w:val="bottom"/>
            <w:gridSpan w:val="2"/>
            <w:shd w:val="clear" w:color="auto" w:fill="E5E5E5"/>
          </w:tcPr>
          <w:p>
            <w:pPr>
              <w:jc w:val="right"/>
              <w:ind w:right="280"/>
              <w:spacing w:after="0" w:line="202" w:lineRule="exact"/>
              <w:rPr>
                <w:sz w:val="20"/>
                <w:szCs w:val="20"/>
                <w:color w:val="auto"/>
              </w:rPr>
            </w:pPr>
            <w:r>
              <w:rPr>
                <w:rFonts w:ascii="Arial" w:cs="Arial" w:eastAsia="Arial" w:hAnsi="Arial"/>
                <w:sz w:val="18"/>
                <w:szCs w:val="18"/>
                <w:b w:val="1"/>
                <w:bCs w:val="1"/>
                <w:color w:val="auto"/>
              </w:rPr>
              <w:t>$</w:t>
            </w:r>
          </w:p>
        </w:tc>
        <w:tc>
          <w:tcPr>
            <w:tcW w:w="960" w:type="dxa"/>
            <w:vAlign w:val="bottom"/>
            <w:gridSpan w:val="2"/>
            <w:shd w:val="clear" w:color="auto" w:fill="E5E5E5"/>
          </w:tcPr>
          <w:p>
            <w:pPr>
              <w:jc w:val="right"/>
              <w:ind w:right="200"/>
              <w:spacing w:after="0" w:line="202" w:lineRule="exact"/>
              <w:rPr>
                <w:sz w:val="20"/>
                <w:szCs w:val="20"/>
                <w:color w:val="auto"/>
              </w:rPr>
            </w:pPr>
            <w:r>
              <w:rPr>
                <w:rFonts w:ascii="Arial" w:cs="Arial" w:eastAsia="Arial" w:hAnsi="Arial"/>
                <w:sz w:val="18"/>
                <w:szCs w:val="18"/>
                <w:b w:val="1"/>
                <w:bCs w:val="1"/>
                <w:color w:val="auto"/>
              </w:rPr>
              <w:t>38</w:t>
            </w:r>
          </w:p>
        </w:tc>
        <w:tc>
          <w:tcPr>
            <w:tcW w:w="280" w:type="dxa"/>
            <w:vAlign w:val="bottom"/>
            <w:shd w:val="clear" w:color="auto" w:fill="E5E5E5"/>
          </w:tcPr>
          <w:p>
            <w:pPr>
              <w:jc w:val="right"/>
              <w:ind w:right="90"/>
              <w:spacing w:after="0" w:line="202" w:lineRule="exact"/>
              <w:rPr>
                <w:sz w:val="20"/>
                <w:szCs w:val="20"/>
                <w:color w:val="auto"/>
              </w:rPr>
            </w:pPr>
            <w:r>
              <w:rPr>
                <w:rFonts w:ascii="Arial" w:cs="Arial" w:eastAsia="Arial" w:hAnsi="Arial"/>
                <w:sz w:val="18"/>
                <w:szCs w:val="18"/>
                <w:b w:val="1"/>
                <w:bCs w:val="1"/>
                <w:color w:val="auto"/>
                <w:w w:val="79"/>
              </w:rPr>
              <w:t>$</w:t>
            </w:r>
          </w:p>
        </w:tc>
        <w:tc>
          <w:tcPr>
            <w:tcW w:w="86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493</w:t>
            </w:r>
          </w:p>
        </w:tc>
        <w:tc>
          <w:tcPr>
            <w:tcW w:w="220" w:type="dxa"/>
            <w:vAlign w:val="bottom"/>
            <w:shd w:val="clear" w:color="auto" w:fill="E5E5E5"/>
          </w:tcPr>
          <w:p>
            <w:pPr>
              <w:spacing w:after="0"/>
              <w:rPr>
                <w:sz w:val="17"/>
                <w:szCs w:val="17"/>
                <w:color w:val="auto"/>
              </w:rPr>
            </w:pPr>
          </w:p>
        </w:tc>
        <w:tc>
          <w:tcPr>
            <w:tcW w:w="380" w:type="dxa"/>
            <w:vAlign w:val="bottom"/>
            <w:shd w:val="clear" w:color="auto" w:fill="E5E5E5"/>
          </w:tcPr>
          <w:p>
            <w:pPr>
              <w:jc w:val="right"/>
              <w:ind w:right="190"/>
              <w:spacing w:after="0" w:line="202" w:lineRule="exact"/>
              <w:rPr>
                <w:sz w:val="20"/>
                <w:szCs w:val="20"/>
                <w:color w:val="auto"/>
              </w:rPr>
            </w:pPr>
            <w:r>
              <w:rPr>
                <w:rFonts w:ascii="Arial" w:cs="Arial" w:eastAsia="Arial" w:hAnsi="Arial"/>
                <w:sz w:val="18"/>
                <w:szCs w:val="18"/>
                <w:b w:val="1"/>
                <w:bCs w:val="1"/>
                <w:color w:val="auto"/>
                <w:w w:val="79"/>
              </w:rPr>
              <w:t>$</w:t>
            </w:r>
          </w:p>
        </w:tc>
        <w:tc>
          <w:tcPr>
            <w:tcW w:w="980" w:type="dxa"/>
            <w:vAlign w:val="bottom"/>
            <w:gridSpan w:val="2"/>
            <w:shd w:val="clear" w:color="auto" w:fill="E5E5E5"/>
          </w:tcPr>
          <w:p>
            <w:pPr>
              <w:jc w:val="right"/>
              <w:ind w:right="160"/>
              <w:spacing w:after="0" w:line="202" w:lineRule="exact"/>
              <w:rPr>
                <w:sz w:val="20"/>
                <w:szCs w:val="20"/>
                <w:color w:val="auto"/>
              </w:rPr>
            </w:pPr>
            <w:r>
              <w:rPr>
                <w:rFonts w:ascii="Arial" w:cs="Arial" w:eastAsia="Arial" w:hAnsi="Arial"/>
                <w:sz w:val="18"/>
                <w:szCs w:val="18"/>
                <w:b w:val="1"/>
                <w:bCs w:val="1"/>
                <w:color w:val="auto"/>
              </w:rPr>
              <w:t>(140)</w:t>
            </w:r>
          </w:p>
        </w:tc>
        <w:tc>
          <w:tcPr>
            <w:tcW w:w="380" w:type="dxa"/>
            <w:vAlign w:val="bottom"/>
            <w:gridSpan w:val="2"/>
            <w:shd w:val="clear" w:color="auto" w:fill="E5E5E5"/>
          </w:tcPr>
          <w:p>
            <w:pPr>
              <w:jc w:val="right"/>
              <w:ind w:right="180"/>
              <w:spacing w:after="0" w:line="202" w:lineRule="exact"/>
              <w:rPr>
                <w:sz w:val="20"/>
                <w:szCs w:val="20"/>
                <w:color w:val="auto"/>
              </w:rPr>
            </w:pPr>
            <w:r>
              <w:rPr>
                <w:rFonts w:ascii="Arial" w:cs="Arial" w:eastAsia="Arial" w:hAnsi="Arial"/>
                <w:sz w:val="18"/>
                <w:szCs w:val="18"/>
                <w:b w:val="1"/>
                <w:bCs w:val="1"/>
                <w:color w:val="auto"/>
              </w:rPr>
              <w:t>$</w:t>
            </w:r>
          </w:p>
        </w:tc>
        <w:tc>
          <w:tcPr>
            <w:tcW w:w="96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b w:val="1"/>
                <w:bCs w:val="1"/>
                <w:color w:val="auto"/>
              </w:rPr>
              <w:t>353</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76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6"/>
        </w:trPr>
        <w:tc>
          <w:tcPr>
            <w:tcW w:w="27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w:t>
            </w: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gridSpan w:val="2"/>
            <w:vMerge w:val="restart"/>
          </w:tcPr>
          <w:p>
            <w:pPr>
              <w:jc w:val="right"/>
              <w:ind w:right="120"/>
              <w:spacing w:after="0"/>
              <w:rPr>
                <w:sz w:val="20"/>
                <w:szCs w:val="20"/>
                <w:color w:val="auto"/>
              </w:rPr>
            </w:pPr>
            <w:r>
              <w:rPr>
                <w:rFonts w:ascii="Arial" w:cs="Arial" w:eastAsia="Arial" w:hAnsi="Arial"/>
                <w:sz w:val="14"/>
                <w:szCs w:val="14"/>
                <w:b w:val="1"/>
                <w:bCs w:val="1"/>
                <w:color w:val="auto"/>
              </w:rPr>
              <w:t>Level 1</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gridSpan w:val="2"/>
            <w:vMerge w:val="restart"/>
          </w:tcPr>
          <w:p>
            <w:pPr>
              <w:jc w:val="right"/>
              <w:ind w:right="120"/>
              <w:spacing w:after="0"/>
              <w:rPr>
                <w:sz w:val="20"/>
                <w:szCs w:val="20"/>
                <w:color w:val="auto"/>
              </w:rPr>
            </w:pPr>
            <w:r>
              <w:rPr>
                <w:rFonts w:ascii="Arial" w:cs="Arial" w:eastAsia="Arial" w:hAnsi="Arial"/>
                <w:sz w:val="14"/>
                <w:szCs w:val="14"/>
                <w:b w:val="1"/>
                <w:bCs w:val="1"/>
                <w:color w:val="auto"/>
              </w:rPr>
              <w:t>Level 2</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6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Level 3</w:t>
            </w:r>
          </w:p>
        </w:tc>
        <w:tc>
          <w:tcPr>
            <w:tcW w:w="280" w:type="dxa"/>
            <w:vAlign w:val="bottom"/>
          </w:tcPr>
          <w:p>
            <w:pPr>
              <w:spacing w:after="0"/>
              <w:rPr>
                <w:sz w:val="24"/>
                <w:szCs w:val="24"/>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Gross Fair</w:t>
            </w:r>
          </w:p>
        </w:tc>
        <w:tc>
          <w:tcPr>
            <w:tcW w:w="380" w:type="dxa"/>
            <w:vAlign w:val="bottom"/>
          </w:tcPr>
          <w:p>
            <w:pPr>
              <w:spacing w:after="0"/>
              <w:rPr>
                <w:sz w:val="24"/>
                <w:szCs w:val="24"/>
                <w:color w:val="auto"/>
              </w:rPr>
            </w:pPr>
          </w:p>
        </w:tc>
        <w:tc>
          <w:tcPr>
            <w:tcW w:w="980" w:type="dxa"/>
            <w:vAlign w:val="bottom"/>
            <w:gridSpan w:val="2"/>
            <w:vMerge w:val="restart"/>
          </w:tcPr>
          <w:p>
            <w:pPr>
              <w:jc w:val="right"/>
              <w:ind w:right="80"/>
              <w:spacing w:after="0"/>
              <w:rPr>
                <w:sz w:val="20"/>
                <w:szCs w:val="20"/>
                <w:color w:val="auto"/>
              </w:rPr>
            </w:pPr>
            <w:r>
              <w:rPr>
                <w:rFonts w:ascii="Arial" w:cs="Arial" w:eastAsia="Arial" w:hAnsi="Arial"/>
                <w:sz w:val="14"/>
                <w:szCs w:val="14"/>
                <w:b w:val="1"/>
                <w:bCs w:val="1"/>
                <w:color w:val="auto"/>
              </w:rPr>
              <w:t>Netting</w:t>
            </w:r>
            <w:r>
              <w:rPr>
                <w:rFonts w:ascii="Arial" w:cs="Arial" w:eastAsia="Arial" w:hAnsi="Arial"/>
                <w:sz w:val="22"/>
                <w:szCs w:val="22"/>
                <w:b w:val="1"/>
                <w:bCs w:val="1"/>
                <w:color w:val="auto"/>
                <w:vertAlign w:val="superscript"/>
              </w:rPr>
              <w:t>(a)</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Net Fair</w:t>
            </w:r>
          </w:p>
        </w:tc>
        <w:tc>
          <w:tcPr>
            <w:tcW w:w="0" w:type="dxa"/>
            <w:vAlign w:val="bottom"/>
          </w:tcPr>
          <w:p>
            <w:pPr>
              <w:spacing w:after="0"/>
              <w:rPr>
                <w:sz w:val="1"/>
                <w:szCs w:val="1"/>
                <w:color w:val="auto"/>
              </w:rPr>
            </w:pPr>
          </w:p>
        </w:tc>
      </w:tr>
      <w:tr>
        <w:trPr>
          <w:trHeight w:val="235"/>
        </w:trPr>
        <w:tc>
          <w:tcPr>
            <w:tcW w:w="2780" w:type="dxa"/>
            <w:vAlign w:val="bottom"/>
            <w:gridSpan w:val="2"/>
            <w:vMerge w:val="continue"/>
          </w:tcPr>
          <w:p>
            <w:pPr>
              <w:spacing w:after="0"/>
              <w:rPr>
                <w:sz w:val="20"/>
                <w:szCs w:val="20"/>
                <w:color w:val="auto"/>
              </w:rPr>
            </w:pPr>
          </w:p>
        </w:tc>
        <w:tc>
          <w:tcPr>
            <w:tcW w:w="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2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60" w:type="dxa"/>
            <w:vAlign w:val="bottom"/>
            <w:gridSpan w:val="2"/>
            <w:vMerge w:val="continue"/>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Value</w:t>
            </w:r>
          </w:p>
        </w:tc>
        <w:tc>
          <w:tcPr>
            <w:tcW w:w="380" w:type="dxa"/>
            <w:vAlign w:val="bottom"/>
          </w:tcPr>
          <w:p>
            <w:pPr>
              <w:spacing w:after="0"/>
              <w:rPr>
                <w:sz w:val="20"/>
                <w:szCs w:val="20"/>
                <w:color w:val="auto"/>
              </w:rPr>
            </w:pPr>
          </w:p>
        </w:tc>
        <w:tc>
          <w:tcPr>
            <w:tcW w:w="98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33"/>
        </w:trPr>
        <w:tc>
          <w:tcPr>
            <w:tcW w:w="2780" w:type="dxa"/>
            <w:vAlign w:val="bottom"/>
            <w:tcBorders>
              <w:top w:val="single" w:sz="8" w:color="auto"/>
            </w:tcBorders>
            <w:gridSpan w:val="2"/>
          </w:tcPr>
          <w:p>
            <w:pPr>
              <w:spacing w:after="0"/>
              <w:rPr>
                <w:sz w:val="20"/>
                <w:szCs w:val="20"/>
                <w:color w:val="auto"/>
              </w:rPr>
            </w:pPr>
            <w:r>
              <w:rPr>
                <w:rFonts w:ascii="Arial" w:cs="Arial" w:eastAsia="Arial" w:hAnsi="Arial"/>
                <w:sz w:val="14"/>
                <w:szCs w:val="14"/>
                <w:b w:val="1"/>
                <w:bCs w:val="1"/>
                <w:color w:val="auto"/>
              </w:rPr>
              <w:t>June 30, 2017</w:t>
            </w:r>
          </w:p>
        </w:tc>
        <w:tc>
          <w:tcPr>
            <w:tcW w:w="44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780" w:type="dxa"/>
            <w:vAlign w:val="bottom"/>
            <w:gridSpan w:val="2"/>
          </w:tcPr>
          <w:p>
            <w:pPr>
              <w:spacing w:after="0"/>
              <w:rPr>
                <w:sz w:val="20"/>
                <w:szCs w:val="20"/>
                <w:color w:val="auto"/>
              </w:rPr>
            </w:pPr>
            <w:r>
              <w:rPr>
                <w:rFonts w:ascii="Arial" w:cs="Arial" w:eastAsia="Arial" w:hAnsi="Arial"/>
                <w:sz w:val="14"/>
                <w:szCs w:val="14"/>
                <w:b w:val="1"/>
                <w:bCs w:val="1"/>
                <w:color w:val="auto"/>
              </w:rPr>
              <w:t>Assets</w:t>
            </w: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
        </w:trPr>
        <w:tc>
          <w:tcPr>
            <w:tcW w:w="20" w:type="dxa"/>
            <w:vAlign w:val="bottom"/>
            <w:vMerge w:val="restart"/>
          </w:tcPr>
          <w:p>
            <w:pPr>
              <w:spacing w:after="0"/>
              <w:rPr>
                <w:sz w:val="3"/>
                <w:szCs w:val="3"/>
                <w:color w:val="auto"/>
              </w:rPr>
            </w:pPr>
          </w:p>
        </w:tc>
        <w:tc>
          <w:tcPr>
            <w:tcW w:w="2760" w:type="dxa"/>
            <w:vAlign w:val="bottom"/>
          </w:tcPr>
          <w:p>
            <w:pPr>
              <w:spacing w:after="0"/>
              <w:rPr>
                <w:sz w:val="3"/>
                <w:szCs w:val="3"/>
                <w:color w:val="auto"/>
              </w:rPr>
            </w:pPr>
          </w:p>
        </w:tc>
        <w:tc>
          <w:tcPr>
            <w:tcW w:w="740" w:type="dxa"/>
            <w:vAlign w:val="bottom"/>
            <w:gridSpan w:val="2"/>
          </w:tcPr>
          <w:p>
            <w:pPr>
              <w:spacing w:after="0"/>
              <w:rPr>
                <w:sz w:val="3"/>
                <w:szCs w:val="3"/>
                <w:color w:val="auto"/>
              </w:rPr>
            </w:pPr>
          </w:p>
        </w:tc>
        <w:tc>
          <w:tcPr>
            <w:tcW w:w="980" w:type="dxa"/>
            <w:vAlign w:val="bottom"/>
            <w:gridSpan w:val="2"/>
          </w:tcPr>
          <w:p>
            <w:pPr>
              <w:spacing w:after="0"/>
              <w:rPr>
                <w:sz w:val="3"/>
                <w:szCs w:val="3"/>
                <w:color w:val="auto"/>
              </w:rPr>
            </w:pPr>
          </w:p>
        </w:tc>
        <w:tc>
          <w:tcPr>
            <w:tcW w:w="480" w:type="dxa"/>
            <w:vAlign w:val="bottom"/>
            <w:gridSpan w:val="2"/>
          </w:tcPr>
          <w:p>
            <w:pPr>
              <w:spacing w:after="0"/>
              <w:rPr>
                <w:sz w:val="3"/>
                <w:szCs w:val="3"/>
                <w:color w:val="auto"/>
              </w:rPr>
            </w:pPr>
          </w:p>
        </w:tc>
        <w:tc>
          <w:tcPr>
            <w:tcW w:w="920" w:type="dxa"/>
            <w:vAlign w:val="bottom"/>
            <w:gridSpan w:val="2"/>
          </w:tcPr>
          <w:p>
            <w:pPr>
              <w:spacing w:after="0"/>
              <w:rPr>
                <w:sz w:val="3"/>
                <w:szCs w:val="3"/>
                <w:color w:val="auto"/>
              </w:rPr>
            </w:pPr>
          </w:p>
        </w:tc>
        <w:tc>
          <w:tcPr>
            <w:tcW w:w="500" w:type="dxa"/>
            <w:vAlign w:val="bottom"/>
            <w:gridSpan w:val="2"/>
          </w:tcPr>
          <w:p>
            <w:pPr>
              <w:spacing w:after="0"/>
              <w:rPr>
                <w:sz w:val="3"/>
                <w:szCs w:val="3"/>
                <w:color w:val="auto"/>
              </w:rPr>
            </w:pPr>
          </w:p>
        </w:tc>
        <w:tc>
          <w:tcPr>
            <w:tcW w:w="960" w:type="dxa"/>
            <w:vAlign w:val="bottom"/>
            <w:gridSpan w:val="2"/>
          </w:tcPr>
          <w:p>
            <w:pPr>
              <w:spacing w:after="0"/>
              <w:rPr>
                <w:sz w:val="3"/>
                <w:szCs w:val="3"/>
                <w:color w:val="auto"/>
              </w:rPr>
            </w:pPr>
          </w:p>
        </w:tc>
        <w:tc>
          <w:tcPr>
            <w:tcW w:w="280" w:type="dxa"/>
            <w:vAlign w:val="bottom"/>
          </w:tcPr>
          <w:p>
            <w:pPr>
              <w:spacing w:after="0"/>
              <w:rPr>
                <w:sz w:val="3"/>
                <w:szCs w:val="3"/>
                <w:color w:val="auto"/>
              </w:rPr>
            </w:pPr>
          </w:p>
        </w:tc>
        <w:tc>
          <w:tcPr>
            <w:tcW w:w="1080" w:type="dxa"/>
            <w:vAlign w:val="bottom"/>
            <w:gridSpan w:val="2"/>
          </w:tcPr>
          <w:p>
            <w:pPr>
              <w:spacing w:after="0"/>
              <w:rPr>
                <w:sz w:val="3"/>
                <w:szCs w:val="3"/>
                <w:color w:val="auto"/>
              </w:rPr>
            </w:pPr>
          </w:p>
        </w:tc>
        <w:tc>
          <w:tcPr>
            <w:tcW w:w="380" w:type="dxa"/>
            <w:vAlign w:val="bottom"/>
          </w:tcPr>
          <w:p>
            <w:pPr>
              <w:spacing w:after="0"/>
              <w:rPr>
                <w:sz w:val="3"/>
                <w:szCs w:val="3"/>
                <w:color w:val="auto"/>
              </w:rPr>
            </w:pPr>
          </w:p>
        </w:tc>
        <w:tc>
          <w:tcPr>
            <w:tcW w:w="980" w:type="dxa"/>
            <w:vAlign w:val="bottom"/>
            <w:gridSpan w:val="2"/>
          </w:tcPr>
          <w:p>
            <w:pPr>
              <w:spacing w:after="0"/>
              <w:rPr>
                <w:sz w:val="3"/>
                <w:szCs w:val="3"/>
                <w:color w:val="auto"/>
              </w:rPr>
            </w:pPr>
          </w:p>
        </w:tc>
        <w:tc>
          <w:tcPr>
            <w:tcW w:w="380" w:type="dxa"/>
            <w:vAlign w:val="bottom"/>
            <w:gridSpan w:val="2"/>
          </w:tcPr>
          <w:p>
            <w:pPr>
              <w:spacing w:after="0"/>
              <w:rPr>
                <w:sz w:val="3"/>
                <w:szCs w:val="3"/>
                <w:color w:val="auto"/>
              </w:rPr>
            </w:pPr>
          </w:p>
        </w:tc>
        <w:tc>
          <w:tcPr>
            <w:tcW w:w="96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276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Mutual funds</w:t>
            </w:r>
          </w:p>
        </w:tc>
        <w:tc>
          <w:tcPr>
            <w:tcW w:w="740" w:type="dxa"/>
            <w:vAlign w:val="bottom"/>
            <w:gridSpan w:val="2"/>
            <w:shd w:val="clear" w:color="auto" w:fill="E5E5E5"/>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980" w:type="dxa"/>
            <w:vAlign w:val="bottom"/>
            <w:gridSpan w:val="2"/>
            <w:shd w:val="clear" w:color="auto" w:fill="E5E5E5"/>
          </w:tcPr>
          <w:p>
            <w:pPr>
              <w:jc w:val="right"/>
              <w:ind w:right="120"/>
              <w:spacing w:after="0" w:line="202" w:lineRule="exact"/>
              <w:rPr>
                <w:sz w:val="20"/>
                <w:szCs w:val="20"/>
                <w:color w:val="auto"/>
              </w:rPr>
            </w:pPr>
            <w:r>
              <w:rPr>
                <w:rFonts w:ascii="Arial" w:cs="Arial" w:eastAsia="Arial" w:hAnsi="Arial"/>
                <w:sz w:val="18"/>
                <w:szCs w:val="18"/>
                <w:color w:val="auto"/>
              </w:rPr>
              <w:t>1,478</w:t>
            </w:r>
          </w:p>
        </w:tc>
        <w:tc>
          <w:tcPr>
            <w:tcW w:w="480" w:type="dxa"/>
            <w:vAlign w:val="bottom"/>
            <w:gridSpan w:val="2"/>
            <w:shd w:val="clear" w:color="auto" w:fill="E5E5E5"/>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920" w:type="dxa"/>
            <w:vAlign w:val="bottom"/>
            <w:gridSpan w:val="2"/>
            <w:shd w:val="clear" w:color="auto" w:fill="E5E5E5"/>
          </w:tcPr>
          <w:p>
            <w:pPr>
              <w:jc w:val="right"/>
              <w:ind w:right="120"/>
              <w:spacing w:after="0" w:line="202" w:lineRule="exact"/>
              <w:rPr>
                <w:sz w:val="20"/>
                <w:szCs w:val="20"/>
                <w:color w:val="auto"/>
              </w:rPr>
            </w:pPr>
            <w:r>
              <w:rPr>
                <w:rFonts w:ascii="Arial" w:cs="Arial" w:eastAsia="Arial" w:hAnsi="Arial"/>
                <w:sz w:val="18"/>
                <w:szCs w:val="18"/>
                <w:color w:val="auto"/>
              </w:rPr>
              <w:t>0</w:t>
            </w:r>
          </w:p>
        </w:tc>
        <w:tc>
          <w:tcPr>
            <w:tcW w:w="500" w:type="dxa"/>
            <w:vAlign w:val="bottom"/>
            <w:gridSpan w:val="2"/>
            <w:shd w:val="clear" w:color="auto" w:fill="E5E5E5"/>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960" w:type="dxa"/>
            <w:vAlign w:val="bottom"/>
            <w:gridSpan w:val="2"/>
            <w:shd w:val="clear" w:color="auto" w:fill="E5E5E5"/>
          </w:tcPr>
          <w:p>
            <w:pPr>
              <w:jc w:val="right"/>
              <w:ind w:right="200"/>
              <w:spacing w:after="0" w:line="202" w:lineRule="exact"/>
              <w:rPr>
                <w:sz w:val="20"/>
                <w:szCs w:val="20"/>
                <w:color w:val="auto"/>
              </w:rPr>
            </w:pPr>
            <w:r>
              <w:rPr>
                <w:rFonts w:ascii="Arial" w:cs="Arial" w:eastAsia="Arial" w:hAnsi="Arial"/>
                <w:sz w:val="18"/>
                <w:szCs w:val="18"/>
                <w:color w:val="auto"/>
              </w:rPr>
              <w:t>0</w:t>
            </w:r>
          </w:p>
        </w:tc>
        <w:tc>
          <w:tcPr>
            <w:tcW w:w="280" w:type="dxa"/>
            <w:vAlign w:val="bottom"/>
            <w:shd w:val="clear" w:color="auto" w:fill="E5E5E5"/>
          </w:tcPr>
          <w:p>
            <w:pPr>
              <w:jc w:val="right"/>
              <w:ind w:right="90"/>
              <w:spacing w:after="0" w:line="202" w:lineRule="exact"/>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E5E5E5"/>
          </w:tcPr>
          <w:p>
            <w:pPr>
              <w:jc w:val="right"/>
              <w:ind w:right="220"/>
              <w:spacing w:after="0" w:line="202" w:lineRule="exact"/>
              <w:rPr>
                <w:sz w:val="20"/>
                <w:szCs w:val="20"/>
                <w:color w:val="auto"/>
              </w:rPr>
            </w:pPr>
            <w:r>
              <w:rPr>
                <w:rFonts w:ascii="Arial" w:cs="Arial" w:eastAsia="Arial" w:hAnsi="Arial"/>
                <w:sz w:val="18"/>
                <w:szCs w:val="18"/>
                <w:color w:val="auto"/>
              </w:rPr>
              <w:t>1,478</w:t>
            </w:r>
          </w:p>
        </w:tc>
        <w:tc>
          <w:tcPr>
            <w:tcW w:w="380" w:type="dxa"/>
            <w:vAlign w:val="bottom"/>
            <w:shd w:val="clear" w:color="auto" w:fill="E5E5E5"/>
          </w:tcPr>
          <w:p>
            <w:pPr>
              <w:jc w:val="right"/>
              <w:ind w:right="190"/>
              <w:spacing w:after="0" w:line="202" w:lineRule="exact"/>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E5E5E5"/>
          </w:tcPr>
          <w:p>
            <w:pPr>
              <w:jc w:val="right"/>
              <w:ind w:right="220"/>
              <w:spacing w:after="0" w:line="202" w:lineRule="exact"/>
              <w:rPr>
                <w:sz w:val="20"/>
                <w:szCs w:val="20"/>
                <w:color w:val="auto"/>
              </w:rPr>
            </w:pPr>
            <w:r>
              <w:rPr>
                <w:rFonts w:ascii="Arial" w:cs="Arial" w:eastAsia="Arial" w:hAnsi="Arial"/>
                <w:sz w:val="18"/>
                <w:szCs w:val="18"/>
                <w:color w:val="auto"/>
              </w:rPr>
              <w:t>0</w:t>
            </w:r>
          </w:p>
        </w:tc>
        <w:tc>
          <w:tcPr>
            <w:tcW w:w="380" w:type="dxa"/>
            <w:vAlign w:val="bottom"/>
            <w:gridSpan w:val="2"/>
            <w:shd w:val="clear" w:color="auto" w:fill="E5E5E5"/>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96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1,478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760" w:type="dxa"/>
            <w:vAlign w:val="bottom"/>
          </w:tcPr>
          <w:p>
            <w:pPr>
              <w:spacing w:after="0" w:line="202" w:lineRule="exact"/>
              <w:rPr>
                <w:sz w:val="20"/>
                <w:szCs w:val="20"/>
                <w:color w:val="auto"/>
              </w:rPr>
            </w:pPr>
            <w:r>
              <w:rPr>
                <w:rFonts w:ascii="Arial" w:cs="Arial" w:eastAsia="Arial" w:hAnsi="Arial"/>
                <w:sz w:val="18"/>
                <w:szCs w:val="18"/>
                <w:color w:val="auto"/>
              </w:rPr>
              <w:t>Commercial paper</w:t>
            </w:r>
          </w:p>
        </w:tc>
        <w:tc>
          <w:tcPr>
            <w:tcW w:w="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0</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319</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0</w:t>
            </w:r>
          </w:p>
        </w:tc>
        <w:tc>
          <w:tcPr>
            <w:tcW w:w="28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319</w:t>
            </w: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0</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319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76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Certificates of deposit</w:t>
            </w:r>
          </w:p>
        </w:tc>
        <w:tc>
          <w:tcPr>
            <w:tcW w:w="440" w:type="dxa"/>
            <w:vAlign w:val="bottom"/>
            <w:shd w:val="clear" w:color="auto" w:fill="E5E5E5"/>
          </w:tcPr>
          <w:p>
            <w:pPr>
              <w:spacing w:after="0"/>
              <w:rPr>
                <w:sz w:val="17"/>
                <w:szCs w:val="17"/>
                <w:color w:val="auto"/>
              </w:rPr>
            </w:pPr>
          </w:p>
        </w:tc>
        <w:tc>
          <w:tcPr>
            <w:tcW w:w="300" w:type="dxa"/>
            <w:vAlign w:val="bottom"/>
            <w:shd w:val="clear" w:color="auto" w:fill="E5E5E5"/>
          </w:tcPr>
          <w:p>
            <w:pPr>
              <w:spacing w:after="0"/>
              <w:rPr>
                <w:sz w:val="17"/>
                <w:szCs w:val="17"/>
                <w:color w:val="auto"/>
              </w:rPr>
            </w:pPr>
          </w:p>
        </w:tc>
        <w:tc>
          <w:tcPr>
            <w:tcW w:w="980" w:type="dxa"/>
            <w:vAlign w:val="bottom"/>
            <w:gridSpan w:val="2"/>
            <w:shd w:val="clear" w:color="auto" w:fill="E5E5E5"/>
          </w:tcPr>
          <w:p>
            <w:pPr>
              <w:jc w:val="right"/>
              <w:ind w:right="120"/>
              <w:spacing w:after="0" w:line="202" w:lineRule="exact"/>
              <w:rPr>
                <w:sz w:val="20"/>
                <w:szCs w:val="20"/>
                <w:color w:val="auto"/>
              </w:rPr>
            </w:pPr>
            <w:r>
              <w:rPr>
                <w:rFonts w:ascii="Arial" w:cs="Arial" w:eastAsia="Arial" w:hAnsi="Arial"/>
                <w:sz w:val="18"/>
                <w:szCs w:val="18"/>
                <w:color w:val="auto"/>
              </w:rPr>
              <w:t>0</w:t>
            </w:r>
          </w:p>
        </w:tc>
        <w:tc>
          <w:tcPr>
            <w:tcW w:w="120" w:type="dxa"/>
            <w:vAlign w:val="bottom"/>
            <w:shd w:val="clear" w:color="auto" w:fill="E5E5E5"/>
          </w:tcPr>
          <w:p>
            <w:pPr>
              <w:spacing w:after="0"/>
              <w:rPr>
                <w:sz w:val="17"/>
                <w:szCs w:val="17"/>
                <w:color w:val="auto"/>
              </w:rPr>
            </w:pPr>
          </w:p>
        </w:tc>
        <w:tc>
          <w:tcPr>
            <w:tcW w:w="360" w:type="dxa"/>
            <w:vAlign w:val="bottom"/>
            <w:shd w:val="clear" w:color="auto" w:fill="E5E5E5"/>
          </w:tcPr>
          <w:p>
            <w:pPr>
              <w:spacing w:after="0"/>
              <w:rPr>
                <w:sz w:val="17"/>
                <w:szCs w:val="17"/>
                <w:color w:val="auto"/>
              </w:rPr>
            </w:pPr>
          </w:p>
        </w:tc>
        <w:tc>
          <w:tcPr>
            <w:tcW w:w="920" w:type="dxa"/>
            <w:vAlign w:val="bottom"/>
            <w:gridSpan w:val="2"/>
            <w:shd w:val="clear" w:color="auto" w:fill="E5E5E5"/>
          </w:tcPr>
          <w:p>
            <w:pPr>
              <w:jc w:val="right"/>
              <w:ind w:right="120"/>
              <w:spacing w:after="0" w:line="202" w:lineRule="exact"/>
              <w:rPr>
                <w:sz w:val="20"/>
                <w:szCs w:val="20"/>
                <w:color w:val="auto"/>
              </w:rPr>
            </w:pPr>
            <w:r>
              <w:rPr>
                <w:rFonts w:ascii="Arial" w:cs="Arial" w:eastAsia="Arial" w:hAnsi="Arial"/>
                <w:sz w:val="18"/>
                <w:szCs w:val="18"/>
                <w:color w:val="auto"/>
              </w:rPr>
              <w:t>1,358</w:t>
            </w:r>
          </w:p>
        </w:tc>
        <w:tc>
          <w:tcPr>
            <w:tcW w:w="120" w:type="dxa"/>
            <w:vAlign w:val="bottom"/>
            <w:shd w:val="clear" w:color="auto" w:fill="E5E5E5"/>
          </w:tcPr>
          <w:p>
            <w:pPr>
              <w:spacing w:after="0"/>
              <w:rPr>
                <w:sz w:val="17"/>
                <w:szCs w:val="17"/>
                <w:color w:val="auto"/>
              </w:rPr>
            </w:pPr>
          </w:p>
        </w:tc>
        <w:tc>
          <w:tcPr>
            <w:tcW w:w="380" w:type="dxa"/>
            <w:vAlign w:val="bottom"/>
            <w:shd w:val="clear" w:color="auto" w:fill="E5E5E5"/>
          </w:tcPr>
          <w:p>
            <w:pPr>
              <w:spacing w:after="0"/>
              <w:rPr>
                <w:sz w:val="17"/>
                <w:szCs w:val="17"/>
                <w:color w:val="auto"/>
              </w:rPr>
            </w:pPr>
          </w:p>
        </w:tc>
        <w:tc>
          <w:tcPr>
            <w:tcW w:w="960" w:type="dxa"/>
            <w:vAlign w:val="bottom"/>
            <w:gridSpan w:val="2"/>
            <w:shd w:val="clear" w:color="auto" w:fill="E5E5E5"/>
          </w:tcPr>
          <w:p>
            <w:pPr>
              <w:jc w:val="right"/>
              <w:ind w:right="200"/>
              <w:spacing w:after="0" w:line="202" w:lineRule="exact"/>
              <w:rPr>
                <w:sz w:val="20"/>
                <w:szCs w:val="20"/>
                <w:color w:val="auto"/>
              </w:rPr>
            </w:pPr>
            <w:r>
              <w:rPr>
                <w:rFonts w:ascii="Arial" w:cs="Arial" w:eastAsia="Arial" w:hAnsi="Arial"/>
                <w:sz w:val="18"/>
                <w:szCs w:val="18"/>
                <w:color w:val="auto"/>
              </w:rPr>
              <w:t>0</w:t>
            </w:r>
          </w:p>
        </w:tc>
        <w:tc>
          <w:tcPr>
            <w:tcW w:w="280" w:type="dxa"/>
            <w:vAlign w:val="bottom"/>
            <w:shd w:val="clear" w:color="auto" w:fill="E5E5E5"/>
          </w:tcPr>
          <w:p>
            <w:pPr>
              <w:spacing w:after="0"/>
              <w:rPr>
                <w:sz w:val="17"/>
                <w:szCs w:val="17"/>
                <w:color w:val="auto"/>
              </w:rPr>
            </w:pPr>
          </w:p>
        </w:tc>
        <w:tc>
          <w:tcPr>
            <w:tcW w:w="1080" w:type="dxa"/>
            <w:vAlign w:val="bottom"/>
            <w:gridSpan w:val="2"/>
            <w:shd w:val="clear" w:color="auto" w:fill="E5E5E5"/>
          </w:tcPr>
          <w:p>
            <w:pPr>
              <w:jc w:val="right"/>
              <w:ind w:right="220"/>
              <w:spacing w:after="0" w:line="202" w:lineRule="exact"/>
              <w:rPr>
                <w:sz w:val="20"/>
                <w:szCs w:val="20"/>
                <w:color w:val="auto"/>
              </w:rPr>
            </w:pPr>
            <w:r>
              <w:rPr>
                <w:rFonts w:ascii="Arial" w:cs="Arial" w:eastAsia="Arial" w:hAnsi="Arial"/>
                <w:sz w:val="18"/>
                <w:szCs w:val="18"/>
                <w:color w:val="auto"/>
              </w:rPr>
              <w:t>1,358</w:t>
            </w:r>
          </w:p>
        </w:tc>
        <w:tc>
          <w:tcPr>
            <w:tcW w:w="380" w:type="dxa"/>
            <w:vAlign w:val="bottom"/>
            <w:shd w:val="clear" w:color="auto" w:fill="E5E5E5"/>
          </w:tcPr>
          <w:p>
            <w:pPr>
              <w:spacing w:after="0"/>
              <w:rPr>
                <w:sz w:val="17"/>
                <w:szCs w:val="17"/>
                <w:color w:val="auto"/>
              </w:rPr>
            </w:pPr>
          </w:p>
        </w:tc>
        <w:tc>
          <w:tcPr>
            <w:tcW w:w="980" w:type="dxa"/>
            <w:vAlign w:val="bottom"/>
            <w:gridSpan w:val="2"/>
            <w:shd w:val="clear" w:color="auto" w:fill="E5E5E5"/>
          </w:tcPr>
          <w:p>
            <w:pPr>
              <w:jc w:val="right"/>
              <w:ind w:right="220"/>
              <w:spacing w:after="0" w:line="202" w:lineRule="exact"/>
              <w:rPr>
                <w:sz w:val="20"/>
                <w:szCs w:val="20"/>
                <w:color w:val="auto"/>
              </w:rPr>
            </w:pPr>
            <w:r>
              <w:rPr>
                <w:rFonts w:ascii="Arial" w:cs="Arial" w:eastAsia="Arial" w:hAnsi="Arial"/>
                <w:sz w:val="18"/>
                <w:szCs w:val="18"/>
                <w:color w:val="auto"/>
              </w:rPr>
              <w:t>0</w:t>
            </w:r>
          </w:p>
        </w:tc>
        <w:tc>
          <w:tcPr>
            <w:tcW w:w="100" w:type="dxa"/>
            <w:vAlign w:val="bottom"/>
            <w:shd w:val="clear" w:color="auto" w:fill="E5E5E5"/>
          </w:tcPr>
          <w:p>
            <w:pPr>
              <w:spacing w:after="0"/>
              <w:rPr>
                <w:sz w:val="17"/>
                <w:szCs w:val="17"/>
                <w:color w:val="auto"/>
              </w:rPr>
            </w:pPr>
          </w:p>
        </w:tc>
        <w:tc>
          <w:tcPr>
            <w:tcW w:w="280" w:type="dxa"/>
            <w:vAlign w:val="bottom"/>
            <w:shd w:val="clear" w:color="auto" w:fill="E5E5E5"/>
          </w:tcPr>
          <w:p>
            <w:pPr>
              <w:spacing w:after="0"/>
              <w:rPr>
                <w:sz w:val="17"/>
                <w:szCs w:val="17"/>
                <w:color w:val="auto"/>
              </w:rPr>
            </w:pPr>
          </w:p>
        </w:tc>
        <w:tc>
          <w:tcPr>
            <w:tcW w:w="96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1,358</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760" w:type="dxa"/>
            <w:vAlign w:val="bottom"/>
          </w:tcPr>
          <w:p>
            <w:pPr>
              <w:spacing w:after="0" w:line="180" w:lineRule="exact"/>
              <w:rPr>
                <w:sz w:val="20"/>
                <w:szCs w:val="20"/>
                <w:color w:val="auto"/>
              </w:rPr>
            </w:pPr>
            <w:r>
              <w:rPr>
                <w:rFonts w:ascii="Arial" w:cs="Arial" w:eastAsia="Arial" w:hAnsi="Arial"/>
                <w:sz w:val="18"/>
                <w:szCs w:val="18"/>
                <w:color w:val="auto"/>
              </w:rPr>
              <w:t>U.S. government and agency</w:t>
            </w:r>
          </w:p>
        </w:tc>
        <w:tc>
          <w:tcPr>
            <w:tcW w:w="4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2760" w:type="dxa"/>
            <w:vAlign w:val="bottom"/>
          </w:tcPr>
          <w:p>
            <w:pPr>
              <w:ind w:left="200"/>
              <w:spacing w:after="0"/>
              <w:rPr>
                <w:sz w:val="20"/>
                <w:szCs w:val="20"/>
                <w:color w:val="auto"/>
              </w:rPr>
            </w:pPr>
            <w:r>
              <w:rPr>
                <w:rFonts w:ascii="Arial" w:cs="Arial" w:eastAsia="Arial" w:hAnsi="Arial"/>
                <w:sz w:val="18"/>
                <w:szCs w:val="18"/>
                <w:color w:val="auto"/>
              </w:rPr>
              <w:t>securities</w:t>
            </w:r>
          </w:p>
        </w:tc>
        <w:tc>
          <w:tcPr>
            <w:tcW w:w="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109,228</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2,616</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0</w:t>
            </w:r>
          </w:p>
        </w:tc>
        <w:tc>
          <w:tcPr>
            <w:tcW w:w="28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111,844</w:t>
            </w:r>
          </w:p>
        </w:tc>
        <w:tc>
          <w:tcPr>
            <w:tcW w:w="380" w:type="dxa"/>
            <w:vAlign w:val="bottom"/>
          </w:tcPr>
          <w:p>
            <w:pPr>
              <w:spacing w:after="0"/>
              <w:rPr>
                <w:sz w:val="19"/>
                <w:szCs w:val="19"/>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111,844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76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Foreign government bonds</w:t>
            </w:r>
          </w:p>
        </w:tc>
        <w:tc>
          <w:tcPr>
            <w:tcW w:w="440" w:type="dxa"/>
            <w:vAlign w:val="bottom"/>
            <w:shd w:val="clear" w:color="auto" w:fill="E5E5E5"/>
          </w:tcPr>
          <w:p>
            <w:pPr>
              <w:spacing w:after="0"/>
              <w:rPr>
                <w:sz w:val="17"/>
                <w:szCs w:val="17"/>
                <w:color w:val="auto"/>
              </w:rPr>
            </w:pPr>
          </w:p>
        </w:tc>
        <w:tc>
          <w:tcPr>
            <w:tcW w:w="300" w:type="dxa"/>
            <w:vAlign w:val="bottom"/>
            <w:shd w:val="clear" w:color="auto" w:fill="E5E5E5"/>
          </w:tcPr>
          <w:p>
            <w:pPr>
              <w:spacing w:after="0"/>
              <w:rPr>
                <w:sz w:val="17"/>
                <w:szCs w:val="17"/>
                <w:color w:val="auto"/>
              </w:rPr>
            </w:pPr>
          </w:p>
        </w:tc>
        <w:tc>
          <w:tcPr>
            <w:tcW w:w="980" w:type="dxa"/>
            <w:vAlign w:val="bottom"/>
            <w:gridSpan w:val="2"/>
            <w:shd w:val="clear" w:color="auto" w:fill="E5E5E5"/>
          </w:tcPr>
          <w:p>
            <w:pPr>
              <w:jc w:val="right"/>
              <w:ind w:right="120"/>
              <w:spacing w:after="0" w:line="202" w:lineRule="exact"/>
              <w:rPr>
                <w:sz w:val="20"/>
                <w:szCs w:val="20"/>
                <w:color w:val="auto"/>
              </w:rPr>
            </w:pPr>
            <w:r>
              <w:rPr>
                <w:rFonts w:ascii="Arial" w:cs="Arial" w:eastAsia="Arial" w:hAnsi="Arial"/>
                <w:sz w:val="18"/>
                <w:szCs w:val="18"/>
                <w:color w:val="auto"/>
              </w:rPr>
              <w:t>0</w:t>
            </w:r>
          </w:p>
        </w:tc>
        <w:tc>
          <w:tcPr>
            <w:tcW w:w="120" w:type="dxa"/>
            <w:vAlign w:val="bottom"/>
            <w:shd w:val="clear" w:color="auto" w:fill="E5E5E5"/>
          </w:tcPr>
          <w:p>
            <w:pPr>
              <w:spacing w:after="0"/>
              <w:rPr>
                <w:sz w:val="17"/>
                <w:szCs w:val="17"/>
                <w:color w:val="auto"/>
              </w:rPr>
            </w:pPr>
          </w:p>
        </w:tc>
        <w:tc>
          <w:tcPr>
            <w:tcW w:w="360" w:type="dxa"/>
            <w:vAlign w:val="bottom"/>
            <w:shd w:val="clear" w:color="auto" w:fill="E5E5E5"/>
          </w:tcPr>
          <w:p>
            <w:pPr>
              <w:spacing w:after="0"/>
              <w:rPr>
                <w:sz w:val="17"/>
                <w:szCs w:val="17"/>
                <w:color w:val="auto"/>
              </w:rPr>
            </w:pPr>
          </w:p>
        </w:tc>
        <w:tc>
          <w:tcPr>
            <w:tcW w:w="920" w:type="dxa"/>
            <w:vAlign w:val="bottom"/>
            <w:gridSpan w:val="2"/>
            <w:shd w:val="clear" w:color="auto" w:fill="E5E5E5"/>
          </w:tcPr>
          <w:p>
            <w:pPr>
              <w:jc w:val="right"/>
              <w:ind w:right="120"/>
              <w:spacing w:after="0" w:line="202" w:lineRule="exact"/>
              <w:rPr>
                <w:sz w:val="20"/>
                <w:szCs w:val="20"/>
                <w:color w:val="auto"/>
              </w:rPr>
            </w:pPr>
            <w:r>
              <w:rPr>
                <w:rFonts w:ascii="Arial" w:cs="Arial" w:eastAsia="Arial" w:hAnsi="Arial"/>
                <w:sz w:val="18"/>
                <w:szCs w:val="18"/>
                <w:color w:val="auto"/>
              </w:rPr>
              <w:t>5,187</w:t>
            </w:r>
          </w:p>
        </w:tc>
        <w:tc>
          <w:tcPr>
            <w:tcW w:w="120" w:type="dxa"/>
            <w:vAlign w:val="bottom"/>
            <w:shd w:val="clear" w:color="auto" w:fill="E5E5E5"/>
          </w:tcPr>
          <w:p>
            <w:pPr>
              <w:spacing w:after="0"/>
              <w:rPr>
                <w:sz w:val="17"/>
                <w:szCs w:val="17"/>
                <w:color w:val="auto"/>
              </w:rPr>
            </w:pPr>
          </w:p>
        </w:tc>
        <w:tc>
          <w:tcPr>
            <w:tcW w:w="380" w:type="dxa"/>
            <w:vAlign w:val="bottom"/>
            <w:shd w:val="clear" w:color="auto" w:fill="E5E5E5"/>
          </w:tcPr>
          <w:p>
            <w:pPr>
              <w:spacing w:after="0"/>
              <w:rPr>
                <w:sz w:val="17"/>
                <w:szCs w:val="17"/>
                <w:color w:val="auto"/>
              </w:rPr>
            </w:pPr>
          </w:p>
        </w:tc>
        <w:tc>
          <w:tcPr>
            <w:tcW w:w="960" w:type="dxa"/>
            <w:vAlign w:val="bottom"/>
            <w:gridSpan w:val="2"/>
            <w:shd w:val="clear" w:color="auto" w:fill="E5E5E5"/>
          </w:tcPr>
          <w:p>
            <w:pPr>
              <w:jc w:val="right"/>
              <w:ind w:right="200"/>
              <w:spacing w:after="0" w:line="202" w:lineRule="exact"/>
              <w:rPr>
                <w:sz w:val="20"/>
                <w:szCs w:val="20"/>
                <w:color w:val="auto"/>
              </w:rPr>
            </w:pPr>
            <w:r>
              <w:rPr>
                <w:rFonts w:ascii="Arial" w:cs="Arial" w:eastAsia="Arial" w:hAnsi="Arial"/>
                <w:sz w:val="18"/>
                <w:szCs w:val="18"/>
                <w:color w:val="auto"/>
              </w:rPr>
              <w:t>0</w:t>
            </w:r>
          </w:p>
        </w:tc>
        <w:tc>
          <w:tcPr>
            <w:tcW w:w="280" w:type="dxa"/>
            <w:vAlign w:val="bottom"/>
            <w:shd w:val="clear" w:color="auto" w:fill="E5E5E5"/>
          </w:tcPr>
          <w:p>
            <w:pPr>
              <w:spacing w:after="0"/>
              <w:rPr>
                <w:sz w:val="17"/>
                <w:szCs w:val="17"/>
                <w:color w:val="auto"/>
              </w:rPr>
            </w:pPr>
          </w:p>
        </w:tc>
        <w:tc>
          <w:tcPr>
            <w:tcW w:w="1080" w:type="dxa"/>
            <w:vAlign w:val="bottom"/>
            <w:gridSpan w:val="2"/>
            <w:shd w:val="clear" w:color="auto" w:fill="E5E5E5"/>
          </w:tcPr>
          <w:p>
            <w:pPr>
              <w:jc w:val="right"/>
              <w:ind w:right="220"/>
              <w:spacing w:after="0" w:line="202" w:lineRule="exact"/>
              <w:rPr>
                <w:sz w:val="20"/>
                <w:szCs w:val="20"/>
                <w:color w:val="auto"/>
              </w:rPr>
            </w:pPr>
            <w:r>
              <w:rPr>
                <w:rFonts w:ascii="Arial" w:cs="Arial" w:eastAsia="Arial" w:hAnsi="Arial"/>
                <w:sz w:val="18"/>
                <w:szCs w:val="18"/>
                <w:color w:val="auto"/>
              </w:rPr>
              <w:t>5,187</w:t>
            </w:r>
          </w:p>
        </w:tc>
        <w:tc>
          <w:tcPr>
            <w:tcW w:w="380" w:type="dxa"/>
            <w:vAlign w:val="bottom"/>
            <w:shd w:val="clear" w:color="auto" w:fill="E5E5E5"/>
          </w:tcPr>
          <w:p>
            <w:pPr>
              <w:spacing w:after="0"/>
              <w:rPr>
                <w:sz w:val="17"/>
                <w:szCs w:val="17"/>
                <w:color w:val="auto"/>
              </w:rPr>
            </w:pPr>
          </w:p>
        </w:tc>
        <w:tc>
          <w:tcPr>
            <w:tcW w:w="980" w:type="dxa"/>
            <w:vAlign w:val="bottom"/>
            <w:gridSpan w:val="2"/>
            <w:shd w:val="clear" w:color="auto" w:fill="E5E5E5"/>
          </w:tcPr>
          <w:p>
            <w:pPr>
              <w:jc w:val="right"/>
              <w:ind w:right="220"/>
              <w:spacing w:after="0" w:line="202" w:lineRule="exact"/>
              <w:rPr>
                <w:sz w:val="20"/>
                <w:szCs w:val="20"/>
                <w:color w:val="auto"/>
              </w:rPr>
            </w:pPr>
            <w:r>
              <w:rPr>
                <w:rFonts w:ascii="Arial" w:cs="Arial" w:eastAsia="Arial" w:hAnsi="Arial"/>
                <w:sz w:val="18"/>
                <w:szCs w:val="18"/>
                <w:color w:val="auto"/>
              </w:rPr>
              <w:t>0</w:t>
            </w:r>
          </w:p>
        </w:tc>
        <w:tc>
          <w:tcPr>
            <w:tcW w:w="100" w:type="dxa"/>
            <w:vAlign w:val="bottom"/>
            <w:shd w:val="clear" w:color="auto" w:fill="E5E5E5"/>
          </w:tcPr>
          <w:p>
            <w:pPr>
              <w:spacing w:after="0"/>
              <w:rPr>
                <w:sz w:val="17"/>
                <w:szCs w:val="17"/>
                <w:color w:val="auto"/>
              </w:rPr>
            </w:pPr>
          </w:p>
        </w:tc>
        <w:tc>
          <w:tcPr>
            <w:tcW w:w="280" w:type="dxa"/>
            <w:vAlign w:val="bottom"/>
            <w:shd w:val="clear" w:color="auto" w:fill="E5E5E5"/>
          </w:tcPr>
          <w:p>
            <w:pPr>
              <w:spacing w:after="0"/>
              <w:rPr>
                <w:sz w:val="17"/>
                <w:szCs w:val="17"/>
                <w:color w:val="auto"/>
              </w:rPr>
            </w:pPr>
          </w:p>
        </w:tc>
        <w:tc>
          <w:tcPr>
            <w:tcW w:w="96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5,187</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760" w:type="dxa"/>
            <w:vAlign w:val="bottom"/>
          </w:tcPr>
          <w:p>
            <w:pPr>
              <w:spacing w:after="0" w:line="180" w:lineRule="exact"/>
              <w:rPr>
                <w:sz w:val="20"/>
                <w:szCs w:val="20"/>
                <w:color w:val="auto"/>
              </w:rPr>
            </w:pPr>
            <w:r>
              <w:rPr>
                <w:rFonts w:ascii="Arial" w:cs="Arial" w:eastAsia="Arial" w:hAnsi="Arial"/>
                <w:sz w:val="18"/>
                <w:szCs w:val="18"/>
                <w:color w:val="auto"/>
              </w:rPr>
              <w:t>Mortgage- and asset-backed</w:t>
            </w:r>
          </w:p>
        </w:tc>
        <w:tc>
          <w:tcPr>
            <w:tcW w:w="4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2760" w:type="dxa"/>
            <w:vAlign w:val="bottom"/>
          </w:tcPr>
          <w:p>
            <w:pPr>
              <w:ind w:left="200"/>
              <w:spacing w:after="0"/>
              <w:rPr>
                <w:sz w:val="20"/>
                <w:szCs w:val="20"/>
                <w:color w:val="auto"/>
              </w:rPr>
            </w:pPr>
            <w:r>
              <w:rPr>
                <w:rFonts w:ascii="Arial" w:cs="Arial" w:eastAsia="Arial" w:hAnsi="Arial"/>
                <w:sz w:val="18"/>
                <w:szCs w:val="18"/>
                <w:color w:val="auto"/>
              </w:rPr>
              <w:t>securities</w:t>
            </w:r>
          </w:p>
        </w:tc>
        <w:tc>
          <w:tcPr>
            <w:tcW w:w="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3,934</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0</w:t>
            </w:r>
          </w:p>
        </w:tc>
        <w:tc>
          <w:tcPr>
            <w:tcW w:w="28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3,934</w:t>
            </w:r>
          </w:p>
        </w:tc>
        <w:tc>
          <w:tcPr>
            <w:tcW w:w="380" w:type="dxa"/>
            <w:vAlign w:val="bottom"/>
          </w:tcPr>
          <w:p>
            <w:pPr>
              <w:spacing w:after="0"/>
              <w:rPr>
                <w:sz w:val="19"/>
                <w:szCs w:val="19"/>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3,934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76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Corporate notes and bonds</w:t>
            </w:r>
          </w:p>
        </w:tc>
        <w:tc>
          <w:tcPr>
            <w:tcW w:w="440" w:type="dxa"/>
            <w:vAlign w:val="bottom"/>
            <w:shd w:val="clear" w:color="auto" w:fill="E5E5E5"/>
          </w:tcPr>
          <w:p>
            <w:pPr>
              <w:spacing w:after="0"/>
              <w:rPr>
                <w:sz w:val="17"/>
                <w:szCs w:val="17"/>
                <w:color w:val="auto"/>
              </w:rPr>
            </w:pPr>
          </w:p>
        </w:tc>
        <w:tc>
          <w:tcPr>
            <w:tcW w:w="300" w:type="dxa"/>
            <w:vAlign w:val="bottom"/>
            <w:shd w:val="clear" w:color="auto" w:fill="E5E5E5"/>
          </w:tcPr>
          <w:p>
            <w:pPr>
              <w:spacing w:after="0"/>
              <w:rPr>
                <w:sz w:val="17"/>
                <w:szCs w:val="17"/>
                <w:color w:val="auto"/>
              </w:rPr>
            </w:pPr>
          </w:p>
        </w:tc>
        <w:tc>
          <w:tcPr>
            <w:tcW w:w="980" w:type="dxa"/>
            <w:vAlign w:val="bottom"/>
            <w:gridSpan w:val="2"/>
            <w:shd w:val="clear" w:color="auto" w:fill="E5E5E5"/>
          </w:tcPr>
          <w:p>
            <w:pPr>
              <w:jc w:val="right"/>
              <w:ind w:right="120"/>
              <w:spacing w:after="0" w:line="202" w:lineRule="exact"/>
              <w:rPr>
                <w:sz w:val="20"/>
                <w:szCs w:val="20"/>
                <w:color w:val="auto"/>
              </w:rPr>
            </w:pPr>
            <w:r>
              <w:rPr>
                <w:rFonts w:ascii="Arial" w:cs="Arial" w:eastAsia="Arial" w:hAnsi="Arial"/>
                <w:sz w:val="18"/>
                <w:szCs w:val="18"/>
                <w:color w:val="auto"/>
              </w:rPr>
              <w:t>0</w:t>
            </w:r>
          </w:p>
        </w:tc>
        <w:tc>
          <w:tcPr>
            <w:tcW w:w="120" w:type="dxa"/>
            <w:vAlign w:val="bottom"/>
            <w:shd w:val="clear" w:color="auto" w:fill="E5E5E5"/>
          </w:tcPr>
          <w:p>
            <w:pPr>
              <w:spacing w:after="0"/>
              <w:rPr>
                <w:sz w:val="17"/>
                <w:szCs w:val="17"/>
                <w:color w:val="auto"/>
              </w:rPr>
            </w:pPr>
          </w:p>
        </w:tc>
        <w:tc>
          <w:tcPr>
            <w:tcW w:w="360" w:type="dxa"/>
            <w:vAlign w:val="bottom"/>
            <w:shd w:val="clear" w:color="auto" w:fill="E5E5E5"/>
          </w:tcPr>
          <w:p>
            <w:pPr>
              <w:spacing w:after="0"/>
              <w:rPr>
                <w:sz w:val="17"/>
                <w:szCs w:val="17"/>
                <w:color w:val="auto"/>
              </w:rPr>
            </w:pPr>
          </w:p>
        </w:tc>
        <w:tc>
          <w:tcPr>
            <w:tcW w:w="920" w:type="dxa"/>
            <w:vAlign w:val="bottom"/>
            <w:gridSpan w:val="2"/>
            <w:shd w:val="clear" w:color="auto" w:fill="E5E5E5"/>
          </w:tcPr>
          <w:p>
            <w:pPr>
              <w:jc w:val="right"/>
              <w:ind w:right="120"/>
              <w:spacing w:after="0" w:line="202" w:lineRule="exact"/>
              <w:rPr>
                <w:sz w:val="20"/>
                <w:szCs w:val="20"/>
                <w:color w:val="auto"/>
              </w:rPr>
            </w:pPr>
            <w:r>
              <w:rPr>
                <w:rFonts w:ascii="Arial" w:cs="Arial" w:eastAsia="Arial" w:hAnsi="Arial"/>
                <w:sz w:val="18"/>
                <w:szCs w:val="18"/>
                <w:color w:val="auto"/>
              </w:rPr>
              <w:t>4,829</w:t>
            </w:r>
          </w:p>
        </w:tc>
        <w:tc>
          <w:tcPr>
            <w:tcW w:w="120" w:type="dxa"/>
            <w:vAlign w:val="bottom"/>
            <w:shd w:val="clear" w:color="auto" w:fill="E5E5E5"/>
          </w:tcPr>
          <w:p>
            <w:pPr>
              <w:spacing w:after="0"/>
              <w:rPr>
                <w:sz w:val="17"/>
                <w:szCs w:val="17"/>
                <w:color w:val="auto"/>
              </w:rPr>
            </w:pPr>
          </w:p>
        </w:tc>
        <w:tc>
          <w:tcPr>
            <w:tcW w:w="380" w:type="dxa"/>
            <w:vAlign w:val="bottom"/>
            <w:shd w:val="clear" w:color="auto" w:fill="E5E5E5"/>
          </w:tcPr>
          <w:p>
            <w:pPr>
              <w:spacing w:after="0"/>
              <w:rPr>
                <w:sz w:val="17"/>
                <w:szCs w:val="17"/>
                <w:color w:val="auto"/>
              </w:rPr>
            </w:pPr>
          </w:p>
        </w:tc>
        <w:tc>
          <w:tcPr>
            <w:tcW w:w="960" w:type="dxa"/>
            <w:vAlign w:val="bottom"/>
            <w:gridSpan w:val="2"/>
            <w:shd w:val="clear" w:color="auto" w:fill="E5E5E5"/>
          </w:tcPr>
          <w:p>
            <w:pPr>
              <w:jc w:val="right"/>
              <w:ind w:right="200"/>
              <w:spacing w:after="0" w:line="202" w:lineRule="exact"/>
              <w:rPr>
                <w:sz w:val="20"/>
                <w:szCs w:val="20"/>
                <w:color w:val="auto"/>
              </w:rPr>
            </w:pPr>
            <w:r>
              <w:rPr>
                <w:rFonts w:ascii="Arial" w:cs="Arial" w:eastAsia="Arial" w:hAnsi="Arial"/>
                <w:sz w:val="18"/>
                <w:szCs w:val="18"/>
                <w:color w:val="auto"/>
              </w:rPr>
              <w:t>1</w:t>
            </w:r>
          </w:p>
        </w:tc>
        <w:tc>
          <w:tcPr>
            <w:tcW w:w="280" w:type="dxa"/>
            <w:vAlign w:val="bottom"/>
            <w:shd w:val="clear" w:color="auto" w:fill="E5E5E5"/>
          </w:tcPr>
          <w:p>
            <w:pPr>
              <w:spacing w:after="0"/>
              <w:rPr>
                <w:sz w:val="17"/>
                <w:szCs w:val="17"/>
                <w:color w:val="auto"/>
              </w:rPr>
            </w:pPr>
          </w:p>
        </w:tc>
        <w:tc>
          <w:tcPr>
            <w:tcW w:w="1080" w:type="dxa"/>
            <w:vAlign w:val="bottom"/>
            <w:gridSpan w:val="2"/>
            <w:shd w:val="clear" w:color="auto" w:fill="E5E5E5"/>
          </w:tcPr>
          <w:p>
            <w:pPr>
              <w:jc w:val="right"/>
              <w:ind w:right="220"/>
              <w:spacing w:after="0" w:line="202" w:lineRule="exact"/>
              <w:rPr>
                <w:sz w:val="20"/>
                <w:szCs w:val="20"/>
                <w:color w:val="auto"/>
              </w:rPr>
            </w:pPr>
            <w:r>
              <w:rPr>
                <w:rFonts w:ascii="Arial" w:cs="Arial" w:eastAsia="Arial" w:hAnsi="Arial"/>
                <w:sz w:val="18"/>
                <w:szCs w:val="18"/>
                <w:color w:val="auto"/>
              </w:rPr>
              <w:t>4,830</w:t>
            </w:r>
          </w:p>
        </w:tc>
        <w:tc>
          <w:tcPr>
            <w:tcW w:w="380" w:type="dxa"/>
            <w:vAlign w:val="bottom"/>
            <w:shd w:val="clear" w:color="auto" w:fill="E5E5E5"/>
          </w:tcPr>
          <w:p>
            <w:pPr>
              <w:spacing w:after="0"/>
              <w:rPr>
                <w:sz w:val="17"/>
                <w:szCs w:val="17"/>
                <w:color w:val="auto"/>
              </w:rPr>
            </w:pPr>
          </w:p>
        </w:tc>
        <w:tc>
          <w:tcPr>
            <w:tcW w:w="980" w:type="dxa"/>
            <w:vAlign w:val="bottom"/>
            <w:gridSpan w:val="2"/>
            <w:shd w:val="clear" w:color="auto" w:fill="E5E5E5"/>
          </w:tcPr>
          <w:p>
            <w:pPr>
              <w:jc w:val="right"/>
              <w:ind w:right="220"/>
              <w:spacing w:after="0" w:line="202" w:lineRule="exact"/>
              <w:rPr>
                <w:sz w:val="20"/>
                <w:szCs w:val="20"/>
                <w:color w:val="auto"/>
              </w:rPr>
            </w:pPr>
            <w:r>
              <w:rPr>
                <w:rFonts w:ascii="Arial" w:cs="Arial" w:eastAsia="Arial" w:hAnsi="Arial"/>
                <w:sz w:val="18"/>
                <w:szCs w:val="18"/>
                <w:color w:val="auto"/>
              </w:rPr>
              <w:t>0</w:t>
            </w:r>
          </w:p>
        </w:tc>
        <w:tc>
          <w:tcPr>
            <w:tcW w:w="100" w:type="dxa"/>
            <w:vAlign w:val="bottom"/>
            <w:shd w:val="clear" w:color="auto" w:fill="E5E5E5"/>
          </w:tcPr>
          <w:p>
            <w:pPr>
              <w:spacing w:after="0"/>
              <w:rPr>
                <w:sz w:val="17"/>
                <w:szCs w:val="17"/>
                <w:color w:val="auto"/>
              </w:rPr>
            </w:pPr>
          </w:p>
        </w:tc>
        <w:tc>
          <w:tcPr>
            <w:tcW w:w="280" w:type="dxa"/>
            <w:vAlign w:val="bottom"/>
            <w:shd w:val="clear" w:color="auto" w:fill="E5E5E5"/>
          </w:tcPr>
          <w:p>
            <w:pPr>
              <w:spacing w:after="0"/>
              <w:rPr>
                <w:sz w:val="17"/>
                <w:szCs w:val="17"/>
                <w:color w:val="auto"/>
              </w:rPr>
            </w:pPr>
          </w:p>
        </w:tc>
        <w:tc>
          <w:tcPr>
            <w:tcW w:w="96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4,830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760" w:type="dxa"/>
            <w:vAlign w:val="bottom"/>
          </w:tcPr>
          <w:p>
            <w:pPr>
              <w:spacing w:after="0" w:line="202" w:lineRule="exact"/>
              <w:rPr>
                <w:sz w:val="20"/>
                <w:szCs w:val="20"/>
                <w:color w:val="auto"/>
              </w:rPr>
            </w:pPr>
            <w:r>
              <w:rPr>
                <w:rFonts w:ascii="Arial" w:cs="Arial" w:eastAsia="Arial" w:hAnsi="Arial"/>
                <w:sz w:val="18"/>
                <w:szCs w:val="18"/>
                <w:color w:val="auto"/>
              </w:rPr>
              <w:t>Municipal securities</w:t>
            </w:r>
          </w:p>
        </w:tc>
        <w:tc>
          <w:tcPr>
            <w:tcW w:w="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0</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327</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0</w:t>
            </w:r>
          </w:p>
        </w:tc>
        <w:tc>
          <w:tcPr>
            <w:tcW w:w="28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327</w:t>
            </w: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0</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327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76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Common and preferred stock</w:t>
            </w:r>
          </w:p>
        </w:tc>
        <w:tc>
          <w:tcPr>
            <w:tcW w:w="440" w:type="dxa"/>
            <w:vAlign w:val="bottom"/>
            <w:shd w:val="clear" w:color="auto" w:fill="E5E5E5"/>
          </w:tcPr>
          <w:p>
            <w:pPr>
              <w:spacing w:after="0"/>
              <w:rPr>
                <w:sz w:val="17"/>
                <w:szCs w:val="17"/>
                <w:color w:val="auto"/>
              </w:rPr>
            </w:pPr>
          </w:p>
        </w:tc>
        <w:tc>
          <w:tcPr>
            <w:tcW w:w="300" w:type="dxa"/>
            <w:vAlign w:val="bottom"/>
            <w:shd w:val="clear" w:color="auto" w:fill="E5E5E5"/>
          </w:tcPr>
          <w:p>
            <w:pPr>
              <w:spacing w:after="0"/>
              <w:rPr>
                <w:sz w:val="17"/>
                <w:szCs w:val="17"/>
                <w:color w:val="auto"/>
              </w:rPr>
            </w:pPr>
          </w:p>
        </w:tc>
        <w:tc>
          <w:tcPr>
            <w:tcW w:w="980" w:type="dxa"/>
            <w:vAlign w:val="bottom"/>
            <w:gridSpan w:val="2"/>
            <w:shd w:val="clear" w:color="auto" w:fill="E5E5E5"/>
          </w:tcPr>
          <w:p>
            <w:pPr>
              <w:jc w:val="right"/>
              <w:ind w:right="120"/>
              <w:spacing w:after="0" w:line="202" w:lineRule="exact"/>
              <w:rPr>
                <w:sz w:val="20"/>
                <w:szCs w:val="20"/>
                <w:color w:val="auto"/>
              </w:rPr>
            </w:pPr>
            <w:r>
              <w:rPr>
                <w:rFonts w:ascii="Arial" w:cs="Arial" w:eastAsia="Arial" w:hAnsi="Arial"/>
                <w:sz w:val="18"/>
                <w:szCs w:val="18"/>
                <w:color w:val="auto"/>
              </w:rPr>
              <w:t>2,414</w:t>
            </w:r>
          </w:p>
        </w:tc>
        <w:tc>
          <w:tcPr>
            <w:tcW w:w="120" w:type="dxa"/>
            <w:vAlign w:val="bottom"/>
            <w:shd w:val="clear" w:color="auto" w:fill="E5E5E5"/>
          </w:tcPr>
          <w:p>
            <w:pPr>
              <w:spacing w:after="0"/>
              <w:rPr>
                <w:sz w:val="17"/>
                <w:szCs w:val="17"/>
                <w:color w:val="auto"/>
              </w:rPr>
            </w:pPr>
          </w:p>
        </w:tc>
        <w:tc>
          <w:tcPr>
            <w:tcW w:w="360" w:type="dxa"/>
            <w:vAlign w:val="bottom"/>
            <w:shd w:val="clear" w:color="auto" w:fill="E5E5E5"/>
          </w:tcPr>
          <w:p>
            <w:pPr>
              <w:spacing w:after="0"/>
              <w:rPr>
                <w:sz w:val="17"/>
                <w:szCs w:val="17"/>
                <w:color w:val="auto"/>
              </w:rPr>
            </w:pPr>
          </w:p>
        </w:tc>
        <w:tc>
          <w:tcPr>
            <w:tcW w:w="920" w:type="dxa"/>
            <w:vAlign w:val="bottom"/>
            <w:gridSpan w:val="2"/>
            <w:shd w:val="clear" w:color="auto" w:fill="E5E5E5"/>
          </w:tcPr>
          <w:p>
            <w:pPr>
              <w:jc w:val="right"/>
              <w:ind w:right="120"/>
              <w:spacing w:after="0" w:line="202" w:lineRule="exact"/>
              <w:rPr>
                <w:sz w:val="20"/>
                <w:szCs w:val="20"/>
                <w:color w:val="auto"/>
              </w:rPr>
            </w:pPr>
            <w:r>
              <w:rPr>
                <w:rFonts w:ascii="Arial" w:cs="Arial" w:eastAsia="Arial" w:hAnsi="Arial"/>
                <w:sz w:val="18"/>
                <w:szCs w:val="18"/>
                <w:color w:val="auto"/>
              </w:rPr>
              <w:t>1,994</w:t>
            </w:r>
          </w:p>
        </w:tc>
        <w:tc>
          <w:tcPr>
            <w:tcW w:w="120" w:type="dxa"/>
            <w:vAlign w:val="bottom"/>
            <w:shd w:val="clear" w:color="auto" w:fill="E5E5E5"/>
          </w:tcPr>
          <w:p>
            <w:pPr>
              <w:spacing w:after="0"/>
              <w:rPr>
                <w:sz w:val="17"/>
                <w:szCs w:val="17"/>
                <w:color w:val="auto"/>
              </w:rPr>
            </w:pPr>
          </w:p>
        </w:tc>
        <w:tc>
          <w:tcPr>
            <w:tcW w:w="380" w:type="dxa"/>
            <w:vAlign w:val="bottom"/>
            <w:shd w:val="clear" w:color="auto" w:fill="E5E5E5"/>
          </w:tcPr>
          <w:p>
            <w:pPr>
              <w:spacing w:after="0"/>
              <w:rPr>
                <w:sz w:val="17"/>
                <w:szCs w:val="17"/>
                <w:color w:val="auto"/>
              </w:rPr>
            </w:pPr>
          </w:p>
        </w:tc>
        <w:tc>
          <w:tcPr>
            <w:tcW w:w="960" w:type="dxa"/>
            <w:vAlign w:val="bottom"/>
            <w:gridSpan w:val="2"/>
            <w:shd w:val="clear" w:color="auto" w:fill="E5E5E5"/>
          </w:tcPr>
          <w:p>
            <w:pPr>
              <w:jc w:val="right"/>
              <w:ind w:right="200"/>
              <w:spacing w:after="0" w:line="202" w:lineRule="exact"/>
              <w:rPr>
                <w:sz w:val="20"/>
                <w:szCs w:val="20"/>
                <w:color w:val="auto"/>
              </w:rPr>
            </w:pPr>
            <w:r>
              <w:rPr>
                <w:rFonts w:ascii="Arial" w:cs="Arial" w:eastAsia="Arial" w:hAnsi="Arial"/>
                <w:sz w:val="18"/>
                <w:szCs w:val="18"/>
                <w:color w:val="auto"/>
              </w:rPr>
              <w:t>18</w:t>
            </w:r>
          </w:p>
        </w:tc>
        <w:tc>
          <w:tcPr>
            <w:tcW w:w="280" w:type="dxa"/>
            <w:vAlign w:val="bottom"/>
            <w:shd w:val="clear" w:color="auto" w:fill="E5E5E5"/>
          </w:tcPr>
          <w:p>
            <w:pPr>
              <w:spacing w:after="0"/>
              <w:rPr>
                <w:sz w:val="17"/>
                <w:szCs w:val="17"/>
                <w:color w:val="auto"/>
              </w:rPr>
            </w:pPr>
          </w:p>
        </w:tc>
        <w:tc>
          <w:tcPr>
            <w:tcW w:w="1080" w:type="dxa"/>
            <w:vAlign w:val="bottom"/>
            <w:gridSpan w:val="2"/>
            <w:shd w:val="clear" w:color="auto" w:fill="E5E5E5"/>
          </w:tcPr>
          <w:p>
            <w:pPr>
              <w:jc w:val="right"/>
              <w:ind w:right="220"/>
              <w:spacing w:after="0" w:line="202" w:lineRule="exact"/>
              <w:rPr>
                <w:sz w:val="20"/>
                <w:szCs w:val="20"/>
                <w:color w:val="auto"/>
              </w:rPr>
            </w:pPr>
            <w:r>
              <w:rPr>
                <w:rFonts w:ascii="Arial" w:cs="Arial" w:eastAsia="Arial" w:hAnsi="Arial"/>
                <w:sz w:val="18"/>
                <w:szCs w:val="18"/>
                <w:color w:val="auto"/>
              </w:rPr>
              <w:t>4,426</w:t>
            </w:r>
          </w:p>
        </w:tc>
        <w:tc>
          <w:tcPr>
            <w:tcW w:w="380" w:type="dxa"/>
            <w:vAlign w:val="bottom"/>
            <w:shd w:val="clear" w:color="auto" w:fill="E5E5E5"/>
          </w:tcPr>
          <w:p>
            <w:pPr>
              <w:spacing w:after="0"/>
              <w:rPr>
                <w:sz w:val="17"/>
                <w:szCs w:val="17"/>
                <w:color w:val="auto"/>
              </w:rPr>
            </w:pPr>
          </w:p>
        </w:tc>
        <w:tc>
          <w:tcPr>
            <w:tcW w:w="980" w:type="dxa"/>
            <w:vAlign w:val="bottom"/>
            <w:gridSpan w:val="2"/>
            <w:shd w:val="clear" w:color="auto" w:fill="E5E5E5"/>
          </w:tcPr>
          <w:p>
            <w:pPr>
              <w:jc w:val="right"/>
              <w:ind w:right="220"/>
              <w:spacing w:after="0" w:line="202" w:lineRule="exact"/>
              <w:rPr>
                <w:sz w:val="20"/>
                <w:szCs w:val="20"/>
                <w:color w:val="auto"/>
              </w:rPr>
            </w:pPr>
            <w:r>
              <w:rPr>
                <w:rFonts w:ascii="Arial" w:cs="Arial" w:eastAsia="Arial" w:hAnsi="Arial"/>
                <w:sz w:val="18"/>
                <w:szCs w:val="18"/>
                <w:color w:val="auto"/>
              </w:rPr>
              <w:t>0</w:t>
            </w:r>
          </w:p>
        </w:tc>
        <w:tc>
          <w:tcPr>
            <w:tcW w:w="100" w:type="dxa"/>
            <w:vAlign w:val="bottom"/>
            <w:shd w:val="clear" w:color="auto" w:fill="E5E5E5"/>
          </w:tcPr>
          <w:p>
            <w:pPr>
              <w:spacing w:after="0"/>
              <w:rPr>
                <w:sz w:val="17"/>
                <w:szCs w:val="17"/>
                <w:color w:val="auto"/>
              </w:rPr>
            </w:pPr>
          </w:p>
        </w:tc>
        <w:tc>
          <w:tcPr>
            <w:tcW w:w="280" w:type="dxa"/>
            <w:vAlign w:val="bottom"/>
            <w:shd w:val="clear" w:color="auto" w:fill="E5E5E5"/>
          </w:tcPr>
          <w:p>
            <w:pPr>
              <w:spacing w:after="0"/>
              <w:rPr>
                <w:sz w:val="17"/>
                <w:szCs w:val="17"/>
                <w:color w:val="auto"/>
              </w:rPr>
            </w:pPr>
          </w:p>
        </w:tc>
        <w:tc>
          <w:tcPr>
            <w:tcW w:w="96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4,426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760" w:type="dxa"/>
            <w:vAlign w:val="bottom"/>
          </w:tcPr>
          <w:p>
            <w:pPr>
              <w:spacing w:after="0"/>
              <w:rPr>
                <w:sz w:val="20"/>
                <w:szCs w:val="20"/>
                <w:color w:val="auto"/>
              </w:rPr>
            </w:pPr>
            <w:r>
              <w:rPr>
                <w:rFonts w:ascii="Arial" w:cs="Arial" w:eastAsia="Arial" w:hAnsi="Arial"/>
                <w:sz w:val="18"/>
                <w:szCs w:val="18"/>
                <w:color w:val="auto"/>
              </w:rPr>
              <w:t>Derivatives</w:t>
            </w:r>
          </w:p>
        </w:tc>
        <w:tc>
          <w:tcPr>
            <w:tcW w:w="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508</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0</w:t>
            </w: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509</w:t>
            </w: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(227)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282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76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980" w:type="dxa"/>
            <w:vAlign w:val="bottom"/>
            <w:gridSpan w:val="2"/>
          </w:tcPr>
          <w:p>
            <w:pPr>
              <w:spacing w:after="0"/>
              <w:rPr>
                <w:sz w:val="2"/>
                <w:szCs w:val="2"/>
                <w:color w:val="auto"/>
              </w:rPr>
            </w:pPr>
          </w:p>
        </w:tc>
        <w:tc>
          <w:tcPr>
            <w:tcW w:w="480" w:type="dxa"/>
            <w:vAlign w:val="bottom"/>
            <w:gridSpan w:val="2"/>
          </w:tcPr>
          <w:p>
            <w:pPr>
              <w:spacing w:after="0"/>
              <w:rPr>
                <w:sz w:val="2"/>
                <w:szCs w:val="2"/>
                <w:color w:val="auto"/>
              </w:rPr>
            </w:pPr>
          </w:p>
        </w:tc>
        <w:tc>
          <w:tcPr>
            <w:tcW w:w="920" w:type="dxa"/>
            <w:vAlign w:val="bottom"/>
            <w:gridSpan w:val="2"/>
          </w:tcPr>
          <w:p>
            <w:pPr>
              <w:spacing w:after="0"/>
              <w:rPr>
                <w:sz w:val="2"/>
                <w:szCs w:val="2"/>
                <w:color w:val="auto"/>
              </w:rPr>
            </w:pPr>
          </w:p>
        </w:tc>
        <w:tc>
          <w:tcPr>
            <w:tcW w:w="500" w:type="dxa"/>
            <w:vAlign w:val="bottom"/>
            <w:gridSpan w:val="2"/>
          </w:tcPr>
          <w:p>
            <w:pPr>
              <w:spacing w:after="0"/>
              <w:rPr>
                <w:sz w:val="2"/>
                <w:szCs w:val="2"/>
                <w:color w:val="auto"/>
              </w:rPr>
            </w:pPr>
          </w:p>
        </w:tc>
        <w:tc>
          <w:tcPr>
            <w:tcW w:w="96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380" w:type="dxa"/>
            <w:vAlign w:val="bottom"/>
            <w:gridSpan w:val="2"/>
          </w:tcPr>
          <w:p>
            <w:pPr>
              <w:spacing w:after="0"/>
              <w:rPr>
                <w:sz w:val="2"/>
                <w:szCs w:val="2"/>
                <w:color w:val="auto"/>
              </w:rPr>
            </w:pPr>
          </w:p>
        </w:tc>
        <w:tc>
          <w:tcPr>
            <w:tcW w:w="96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760" w:type="dxa"/>
            <w:vAlign w:val="bottom"/>
            <w:tcBorders>
              <w:top w:val="single" w:sz="8" w:color="auto"/>
            </w:tcBorders>
          </w:tcPr>
          <w:p>
            <w:pPr>
              <w:spacing w:after="0"/>
              <w:rPr>
                <w:sz w:val="5"/>
                <w:szCs w:val="5"/>
                <w:color w:val="auto"/>
              </w:rPr>
            </w:pPr>
          </w:p>
        </w:tc>
        <w:tc>
          <w:tcPr>
            <w:tcW w:w="440" w:type="dxa"/>
            <w:vAlign w:val="bottom"/>
            <w:tcBorders>
              <w:top w:val="single" w:sz="8" w:color="auto"/>
            </w:tcBorders>
          </w:tcPr>
          <w:p>
            <w:pPr>
              <w:spacing w:after="0"/>
              <w:rPr>
                <w:sz w:val="5"/>
                <w:szCs w:val="5"/>
                <w:color w:val="auto"/>
              </w:rPr>
            </w:pPr>
          </w:p>
        </w:tc>
        <w:tc>
          <w:tcPr>
            <w:tcW w:w="300" w:type="dxa"/>
            <w:vAlign w:val="bottom"/>
            <w:tcBorders>
              <w:top w:val="single" w:sz="8" w:color="auto"/>
            </w:tcBorders>
          </w:tcPr>
          <w:p>
            <w:pPr>
              <w:spacing w:after="0"/>
              <w:rPr>
                <w:sz w:val="5"/>
                <w:szCs w:val="5"/>
                <w:color w:val="auto"/>
              </w:rPr>
            </w:pPr>
          </w:p>
        </w:tc>
        <w:tc>
          <w:tcPr>
            <w:tcW w:w="860" w:type="dxa"/>
            <w:vAlign w:val="bottom"/>
            <w:tcBorders>
              <w:top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60" w:type="dxa"/>
            <w:vAlign w:val="bottom"/>
            <w:tcBorders>
              <w:top w:val="single" w:sz="8" w:color="auto"/>
            </w:tcBorders>
          </w:tcPr>
          <w:p>
            <w:pPr>
              <w:spacing w:after="0"/>
              <w:rPr>
                <w:sz w:val="5"/>
                <w:szCs w:val="5"/>
                <w:color w:val="auto"/>
              </w:rPr>
            </w:pPr>
          </w:p>
        </w:tc>
        <w:tc>
          <w:tcPr>
            <w:tcW w:w="800" w:type="dxa"/>
            <w:vAlign w:val="bottom"/>
            <w:tcBorders>
              <w:top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80" w:type="dxa"/>
            <w:vAlign w:val="bottom"/>
            <w:tcBorders>
              <w:top w:val="single" w:sz="8" w:color="auto"/>
            </w:tcBorders>
          </w:tcPr>
          <w:p>
            <w:pPr>
              <w:spacing w:after="0"/>
              <w:rPr>
                <w:sz w:val="5"/>
                <w:szCs w:val="5"/>
                <w:color w:val="auto"/>
              </w:rPr>
            </w:pPr>
          </w:p>
        </w:tc>
        <w:tc>
          <w:tcPr>
            <w:tcW w:w="760" w:type="dxa"/>
            <w:vAlign w:val="bottom"/>
            <w:tcBorders>
              <w:top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280" w:type="dxa"/>
            <w:vAlign w:val="bottom"/>
            <w:tcBorders>
              <w:top w:val="single" w:sz="8" w:color="auto"/>
            </w:tcBorders>
          </w:tcPr>
          <w:p>
            <w:pPr>
              <w:spacing w:after="0"/>
              <w:rPr>
                <w:sz w:val="5"/>
                <w:szCs w:val="5"/>
                <w:color w:val="auto"/>
              </w:rPr>
            </w:pPr>
          </w:p>
        </w:tc>
        <w:tc>
          <w:tcPr>
            <w:tcW w:w="860" w:type="dxa"/>
            <w:vAlign w:val="bottom"/>
            <w:tcBorders>
              <w:top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380" w:type="dxa"/>
            <w:vAlign w:val="bottom"/>
            <w:tcBorders>
              <w:top w:val="single" w:sz="8" w:color="auto"/>
            </w:tcBorders>
          </w:tcPr>
          <w:p>
            <w:pPr>
              <w:spacing w:after="0"/>
              <w:rPr>
                <w:sz w:val="5"/>
                <w:szCs w:val="5"/>
                <w:color w:val="auto"/>
              </w:rPr>
            </w:pPr>
          </w:p>
        </w:tc>
        <w:tc>
          <w:tcPr>
            <w:tcW w:w="760" w:type="dxa"/>
            <w:vAlign w:val="bottom"/>
            <w:tcBorders>
              <w:top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Borders>
              <w:top w:val="single" w:sz="8" w:color="auto"/>
            </w:tcBorders>
          </w:tcPr>
          <w:p>
            <w:pPr>
              <w:spacing w:after="0"/>
              <w:rPr>
                <w:sz w:val="5"/>
                <w:szCs w:val="5"/>
                <w:color w:val="auto"/>
              </w:rPr>
            </w:pPr>
          </w:p>
        </w:tc>
        <w:tc>
          <w:tcPr>
            <w:tcW w:w="86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760" w:type="dxa"/>
            <w:vAlign w:val="bottom"/>
            <w:shd w:val="clear" w:color="auto" w:fill="E5E5E5"/>
          </w:tcPr>
          <w:p>
            <w:pPr>
              <w:ind w:left="200"/>
              <w:spacing w:after="0" w:line="202" w:lineRule="exact"/>
              <w:rPr>
                <w:sz w:val="20"/>
                <w:szCs w:val="20"/>
                <w:color w:val="auto"/>
              </w:rPr>
            </w:pPr>
            <w:r>
              <w:rPr>
                <w:rFonts w:ascii="Arial" w:cs="Arial" w:eastAsia="Arial" w:hAnsi="Arial"/>
                <w:sz w:val="18"/>
                <w:szCs w:val="18"/>
                <w:color w:val="auto"/>
              </w:rPr>
              <w:t>Total</w:t>
            </w:r>
          </w:p>
        </w:tc>
        <w:tc>
          <w:tcPr>
            <w:tcW w:w="740" w:type="dxa"/>
            <w:vAlign w:val="bottom"/>
            <w:gridSpan w:val="2"/>
            <w:shd w:val="clear" w:color="auto" w:fill="E5E5E5"/>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980" w:type="dxa"/>
            <w:vAlign w:val="bottom"/>
            <w:gridSpan w:val="2"/>
            <w:shd w:val="clear" w:color="auto" w:fill="E5E5E5"/>
          </w:tcPr>
          <w:p>
            <w:pPr>
              <w:jc w:val="right"/>
              <w:ind w:right="120"/>
              <w:spacing w:after="0" w:line="202" w:lineRule="exact"/>
              <w:rPr>
                <w:sz w:val="20"/>
                <w:szCs w:val="20"/>
                <w:color w:val="auto"/>
              </w:rPr>
            </w:pPr>
            <w:r>
              <w:rPr>
                <w:rFonts w:ascii="Arial" w:cs="Arial" w:eastAsia="Arial" w:hAnsi="Arial"/>
                <w:sz w:val="18"/>
                <w:szCs w:val="18"/>
                <w:color w:val="auto"/>
              </w:rPr>
              <w:t>113,121</w:t>
            </w:r>
          </w:p>
        </w:tc>
        <w:tc>
          <w:tcPr>
            <w:tcW w:w="480" w:type="dxa"/>
            <w:vAlign w:val="bottom"/>
            <w:gridSpan w:val="2"/>
            <w:shd w:val="clear" w:color="auto" w:fill="E5E5E5"/>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920" w:type="dxa"/>
            <w:vAlign w:val="bottom"/>
            <w:gridSpan w:val="2"/>
            <w:shd w:val="clear" w:color="auto" w:fill="E5E5E5"/>
          </w:tcPr>
          <w:p>
            <w:pPr>
              <w:jc w:val="right"/>
              <w:ind w:right="120"/>
              <w:spacing w:after="0" w:line="202" w:lineRule="exact"/>
              <w:rPr>
                <w:sz w:val="20"/>
                <w:szCs w:val="20"/>
                <w:color w:val="auto"/>
              </w:rPr>
            </w:pPr>
            <w:r>
              <w:rPr>
                <w:rFonts w:ascii="Arial" w:cs="Arial" w:eastAsia="Arial" w:hAnsi="Arial"/>
                <w:sz w:val="18"/>
                <w:szCs w:val="18"/>
                <w:color w:val="auto"/>
              </w:rPr>
              <w:t>21,072</w:t>
            </w:r>
          </w:p>
        </w:tc>
        <w:tc>
          <w:tcPr>
            <w:tcW w:w="500" w:type="dxa"/>
            <w:vAlign w:val="bottom"/>
            <w:gridSpan w:val="2"/>
            <w:shd w:val="clear" w:color="auto" w:fill="E5E5E5"/>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960" w:type="dxa"/>
            <w:vAlign w:val="bottom"/>
            <w:gridSpan w:val="2"/>
            <w:shd w:val="clear" w:color="auto" w:fill="E5E5E5"/>
          </w:tcPr>
          <w:p>
            <w:pPr>
              <w:jc w:val="right"/>
              <w:ind w:right="200"/>
              <w:spacing w:after="0" w:line="202" w:lineRule="exact"/>
              <w:rPr>
                <w:sz w:val="20"/>
                <w:szCs w:val="20"/>
                <w:color w:val="auto"/>
              </w:rPr>
            </w:pPr>
            <w:r>
              <w:rPr>
                <w:rFonts w:ascii="Arial" w:cs="Arial" w:eastAsia="Arial" w:hAnsi="Arial"/>
                <w:sz w:val="18"/>
                <w:szCs w:val="18"/>
                <w:color w:val="auto"/>
              </w:rPr>
              <w:t>19</w:t>
            </w:r>
          </w:p>
        </w:tc>
        <w:tc>
          <w:tcPr>
            <w:tcW w:w="280" w:type="dxa"/>
            <w:vAlign w:val="bottom"/>
            <w:shd w:val="clear" w:color="auto" w:fill="E5E5E5"/>
          </w:tcPr>
          <w:p>
            <w:pPr>
              <w:jc w:val="right"/>
              <w:ind w:right="90"/>
              <w:spacing w:after="0" w:line="202" w:lineRule="exact"/>
              <w:rPr>
                <w:sz w:val="20"/>
                <w:szCs w:val="20"/>
                <w:color w:val="auto"/>
              </w:rPr>
            </w:pPr>
            <w:r>
              <w:rPr>
                <w:rFonts w:ascii="Arial" w:cs="Arial" w:eastAsia="Arial" w:hAnsi="Arial"/>
                <w:sz w:val="18"/>
                <w:szCs w:val="18"/>
                <w:color w:val="auto"/>
                <w:w w:val="79"/>
              </w:rPr>
              <w:t>$</w:t>
            </w:r>
          </w:p>
        </w:tc>
        <w:tc>
          <w:tcPr>
            <w:tcW w:w="86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134,212</w:t>
            </w:r>
          </w:p>
        </w:tc>
        <w:tc>
          <w:tcPr>
            <w:tcW w:w="220" w:type="dxa"/>
            <w:vAlign w:val="bottom"/>
            <w:shd w:val="clear" w:color="auto" w:fill="E5E5E5"/>
          </w:tcPr>
          <w:p>
            <w:pPr>
              <w:spacing w:after="0"/>
              <w:rPr>
                <w:sz w:val="17"/>
                <w:szCs w:val="17"/>
                <w:color w:val="auto"/>
              </w:rPr>
            </w:pPr>
          </w:p>
        </w:tc>
        <w:tc>
          <w:tcPr>
            <w:tcW w:w="380" w:type="dxa"/>
            <w:vAlign w:val="bottom"/>
            <w:shd w:val="clear" w:color="auto" w:fill="E5E5E5"/>
          </w:tcPr>
          <w:p>
            <w:pPr>
              <w:jc w:val="right"/>
              <w:ind w:right="190"/>
              <w:spacing w:after="0" w:line="202" w:lineRule="exact"/>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E5E5E5"/>
          </w:tcPr>
          <w:p>
            <w:pPr>
              <w:jc w:val="right"/>
              <w:ind w:right="160"/>
              <w:spacing w:after="0" w:line="202" w:lineRule="exact"/>
              <w:rPr>
                <w:sz w:val="20"/>
                <w:szCs w:val="20"/>
                <w:color w:val="auto"/>
              </w:rPr>
            </w:pPr>
            <w:r>
              <w:rPr>
                <w:rFonts w:ascii="Arial" w:cs="Arial" w:eastAsia="Arial" w:hAnsi="Arial"/>
                <w:sz w:val="18"/>
                <w:szCs w:val="18"/>
                <w:color w:val="auto"/>
              </w:rPr>
              <w:t>(227)</w:t>
            </w:r>
          </w:p>
        </w:tc>
        <w:tc>
          <w:tcPr>
            <w:tcW w:w="380" w:type="dxa"/>
            <w:vAlign w:val="bottom"/>
            <w:gridSpan w:val="2"/>
            <w:shd w:val="clear" w:color="auto" w:fill="E5E5E5"/>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96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133,985</w:t>
            </w:r>
          </w:p>
        </w:tc>
        <w:tc>
          <w:tcPr>
            <w:tcW w:w="0" w:type="dxa"/>
            <w:vAlign w:val="bottom"/>
          </w:tcPr>
          <w:p>
            <w:pPr>
              <w:spacing w:after="0"/>
              <w:rPr>
                <w:sz w:val="1"/>
                <w:szCs w:val="1"/>
                <w:color w:val="auto"/>
              </w:rPr>
            </w:pPr>
          </w:p>
        </w:tc>
      </w:tr>
      <w:tr>
        <w:trPr>
          <w:trHeight w:val="75"/>
        </w:trPr>
        <w:tc>
          <w:tcPr>
            <w:tcW w:w="27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Liabilities</w:t>
            </w:r>
          </w:p>
        </w:tc>
        <w:tc>
          <w:tcPr>
            <w:tcW w:w="440" w:type="dxa"/>
            <w:vAlign w:val="bottom"/>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9"/>
        </w:trPr>
        <w:tc>
          <w:tcPr>
            <w:tcW w:w="2780" w:type="dxa"/>
            <w:vAlign w:val="bottom"/>
            <w:gridSpan w:val="2"/>
            <w:vMerge w:val="continue"/>
          </w:tcPr>
          <w:p>
            <w:pPr>
              <w:spacing w:after="0"/>
              <w:rPr>
                <w:sz w:val="20"/>
                <w:szCs w:val="20"/>
                <w:color w:val="auto"/>
              </w:rPr>
            </w:pPr>
          </w:p>
        </w:tc>
        <w:tc>
          <w:tcPr>
            <w:tcW w:w="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
        </w:trPr>
        <w:tc>
          <w:tcPr>
            <w:tcW w:w="20" w:type="dxa"/>
            <w:vAlign w:val="bottom"/>
            <w:vMerge w:val="restart"/>
          </w:tcPr>
          <w:p>
            <w:pPr>
              <w:spacing w:after="0"/>
              <w:rPr>
                <w:sz w:val="3"/>
                <w:szCs w:val="3"/>
                <w:color w:val="auto"/>
              </w:rPr>
            </w:pPr>
          </w:p>
        </w:tc>
        <w:tc>
          <w:tcPr>
            <w:tcW w:w="2760" w:type="dxa"/>
            <w:vAlign w:val="bottom"/>
          </w:tcPr>
          <w:p>
            <w:pPr>
              <w:spacing w:after="0"/>
              <w:rPr>
                <w:sz w:val="3"/>
                <w:szCs w:val="3"/>
                <w:color w:val="auto"/>
              </w:rPr>
            </w:pPr>
          </w:p>
        </w:tc>
        <w:tc>
          <w:tcPr>
            <w:tcW w:w="740" w:type="dxa"/>
            <w:vAlign w:val="bottom"/>
            <w:gridSpan w:val="2"/>
          </w:tcPr>
          <w:p>
            <w:pPr>
              <w:spacing w:after="0"/>
              <w:rPr>
                <w:sz w:val="3"/>
                <w:szCs w:val="3"/>
                <w:color w:val="auto"/>
              </w:rPr>
            </w:pPr>
          </w:p>
        </w:tc>
        <w:tc>
          <w:tcPr>
            <w:tcW w:w="980" w:type="dxa"/>
            <w:vAlign w:val="bottom"/>
            <w:gridSpan w:val="2"/>
          </w:tcPr>
          <w:p>
            <w:pPr>
              <w:spacing w:after="0"/>
              <w:rPr>
                <w:sz w:val="3"/>
                <w:szCs w:val="3"/>
                <w:color w:val="auto"/>
              </w:rPr>
            </w:pPr>
          </w:p>
        </w:tc>
        <w:tc>
          <w:tcPr>
            <w:tcW w:w="480" w:type="dxa"/>
            <w:vAlign w:val="bottom"/>
            <w:gridSpan w:val="2"/>
          </w:tcPr>
          <w:p>
            <w:pPr>
              <w:spacing w:after="0"/>
              <w:rPr>
                <w:sz w:val="3"/>
                <w:szCs w:val="3"/>
                <w:color w:val="auto"/>
              </w:rPr>
            </w:pPr>
          </w:p>
        </w:tc>
        <w:tc>
          <w:tcPr>
            <w:tcW w:w="920" w:type="dxa"/>
            <w:vAlign w:val="bottom"/>
            <w:gridSpan w:val="2"/>
          </w:tcPr>
          <w:p>
            <w:pPr>
              <w:spacing w:after="0"/>
              <w:rPr>
                <w:sz w:val="3"/>
                <w:szCs w:val="3"/>
                <w:color w:val="auto"/>
              </w:rPr>
            </w:pPr>
          </w:p>
        </w:tc>
        <w:tc>
          <w:tcPr>
            <w:tcW w:w="500" w:type="dxa"/>
            <w:vAlign w:val="bottom"/>
            <w:gridSpan w:val="2"/>
          </w:tcPr>
          <w:p>
            <w:pPr>
              <w:spacing w:after="0"/>
              <w:rPr>
                <w:sz w:val="3"/>
                <w:szCs w:val="3"/>
                <w:color w:val="auto"/>
              </w:rPr>
            </w:pPr>
          </w:p>
        </w:tc>
        <w:tc>
          <w:tcPr>
            <w:tcW w:w="960" w:type="dxa"/>
            <w:vAlign w:val="bottom"/>
            <w:gridSpan w:val="2"/>
          </w:tcPr>
          <w:p>
            <w:pPr>
              <w:spacing w:after="0"/>
              <w:rPr>
                <w:sz w:val="3"/>
                <w:szCs w:val="3"/>
                <w:color w:val="auto"/>
              </w:rPr>
            </w:pPr>
          </w:p>
        </w:tc>
        <w:tc>
          <w:tcPr>
            <w:tcW w:w="280" w:type="dxa"/>
            <w:vAlign w:val="bottom"/>
          </w:tcPr>
          <w:p>
            <w:pPr>
              <w:spacing w:after="0"/>
              <w:rPr>
                <w:sz w:val="3"/>
                <w:szCs w:val="3"/>
                <w:color w:val="auto"/>
              </w:rPr>
            </w:pPr>
          </w:p>
        </w:tc>
        <w:tc>
          <w:tcPr>
            <w:tcW w:w="860" w:type="dxa"/>
            <w:vAlign w:val="bottom"/>
          </w:tcPr>
          <w:p>
            <w:pPr>
              <w:spacing w:after="0"/>
              <w:rPr>
                <w:sz w:val="3"/>
                <w:szCs w:val="3"/>
                <w:color w:val="auto"/>
              </w:rPr>
            </w:pPr>
          </w:p>
        </w:tc>
        <w:tc>
          <w:tcPr>
            <w:tcW w:w="220" w:type="dxa"/>
            <w:vAlign w:val="bottom"/>
          </w:tcPr>
          <w:p>
            <w:pPr>
              <w:spacing w:after="0"/>
              <w:rPr>
                <w:sz w:val="3"/>
                <w:szCs w:val="3"/>
                <w:color w:val="auto"/>
              </w:rPr>
            </w:pPr>
          </w:p>
        </w:tc>
        <w:tc>
          <w:tcPr>
            <w:tcW w:w="380" w:type="dxa"/>
            <w:vAlign w:val="bottom"/>
          </w:tcPr>
          <w:p>
            <w:pPr>
              <w:spacing w:after="0"/>
              <w:rPr>
                <w:sz w:val="3"/>
                <w:szCs w:val="3"/>
                <w:color w:val="auto"/>
              </w:rPr>
            </w:pPr>
          </w:p>
        </w:tc>
        <w:tc>
          <w:tcPr>
            <w:tcW w:w="980" w:type="dxa"/>
            <w:vAlign w:val="bottom"/>
            <w:gridSpan w:val="2"/>
          </w:tcPr>
          <w:p>
            <w:pPr>
              <w:spacing w:after="0"/>
              <w:rPr>
                <w:sz w:val="3"/>
                <w:szCs w:val="3"/>
                <w:color w:val="auto"/>
              </w:rPr>
            </w:pPr>
          </w:p>
        </w:tc>
        <w:tc>
          <w:tcPr>
            <w:tcW w:w="380" w:type="dxa"/>
            <w:vAlign w:val="bottom"/>
            <w:gridSpan w:val="2"/>
          </w:tcPr>
          <w:p>
            <w:pPr>
              <w:spacing w:after="0"/>
              <w:rPr>
                <w:sz w:val="3"/>
                <w:szCs w:val="3"/>
                <w:color w:val="auto"/>
              </w:rPr>
            </w:pPr>
          </w:p>
        </w:tc>
        <w:tc>
          <w:tcPr>
            <w:tcW w:w="96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276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Derivatives and other</w:t>
            </w:r>
          </w:p>
        </w:tc>
        <w:tc>
          <w:tcPr>
            <w:tcW w:w="740" w:type="dxa"/>
            <w:vAlign w:val="bottom"/>
            <w:gridSpan w:val="2"/>
            <w:shd w:val="clear" w:color="auto" w:fill="E5E5E5"/>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980" w:type="dxa"/>
            <w:vAlign w:val="bottom"/>
            <w:gridSpan w:val="2"/>
            <w:shd w:val="clear" w:color="auto" w:fill="E5E5E5"/>
          </w:tcPr>
          <w:p>
            <w:pPr>
              <w:jc w:val="right"/>
              <w:ind w:right="120"/>
              <w:spacing w:after="0" w:line="202" w:lineRule="exact"/>
              <w:rPr>
                <w:sz w:val="20"/>
                <w:szCs w:val="20"/>
                <w:color w:val="auto"/>
              </w:rPr>
            </w:pPr>
            <w:r>
              <w:rPr>
                <w:rFonts w:ascii="Arial" w:cs="Arial" w:eastAsia="Arial" w:hAnsi="Arial"/>
                <w:sz w:val="18"/>
                <w:szCs w:val="18"/>
                <w:color w:val="auto"/>
              </w:rPr>
              <w:t>0</w:t>
            </w:r>
          </w:p>
        </w:tc>
        <w:tc>
          <w:tcPr>
            <w:tcW w:w="480" w:type="dxa"/>
            <w:vAlign w:val="bottom"/>
            <w:gridSpan w:val="2"/>
            <w:shd w:val="clear" w:color="auto" w:fill="E5E5E5"/>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920" w:type="dxa"/>
            <w:vAlign w:val="bottom"/>
            <w:gridSpan w:val="2"/>
            <w:shd w:val="clear" w:color="auto" w:fill="E5E5E5"/>
          </w:tcPr>
          <w:p>
            <w:pPr>
              <w:jc w:val="right"/>
              <w:ind w:right="120"/>
              <w:spacing w:after="0" w:line="202" w:lineRule="exact"/>
              <w:rPr>
                <w:sz w:val="20"/>
                <w:szCs w:val="20"/>
                <w:color w:val="auto"/>
              </w:rPr>
            </w:pPr>
            <w:r>
              <w:rPr>
                <w:rFonts w:ascii="Arial" w:cs="Arial" w:eastAsia="Arial" w:hAnsi="Arial"/>
                <w:sz w:val="18"/>
                <w:szCs w:val="18"/>
                <w:color w:val="auto"/>
              </w:rPr>
              <w:t>345</w:t>
            </w:r>
          </w:p>
        </w:tc>
        <w:tc>
          <w:tcPr>
            <w:tcW w:w="500" w:type="dxa"/>
            <w:vAlign w:val="bottom"/>
            <w:gridSpan w:val="2"/>
            <w:shd w:val="clear" w:color="auto" w:fill="E5E5E5"/>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960" w:type="dxa"/>
            <w:vAlign w:val="bottom"/>
            <w:gridSpan w:val="2"/>
            <w:shd w:val="clear" w:color="auto" w:fill="E5E5E5"/>
          </w:tcPr>
          <w:p>
            <w:pPr>
              <w:jc w:val="right"/>
              <w:ind w:right="200"/>
              <w:spacing w:after="0" w:line="202" w:lineRule="exact"/>
              <w:rPr>
                <w:sz w:val="20"/>
                <w:szCs w:val="20"/>
                <w:color w:val="auto"/>
              </w:rPr>
            </w:pPr>
            <w:r>
              <w:rPr>
                <w:rFonts w:ascii="Arial" w:cs="Arial" w:eastAsia="Arial" w:hAnsi="Arial"/>
                <w:sz w:val="18"/>
                <w:szCs w:val="18"/>
                <w:color w:val="auto"/>
              </w:rPr>
              <w:t>39</w:t>
            </w:r>
          </w:p>
        </w:tc>
        <w:tc>
          <w:tcPr>
            <w:tcW w:w="280" w:type="dxa"/>
            <w:vAlign w:val="bottom"/>
            <w:shd w:val="clear" w:color="auto" w:fill="E5E5E5"/>
          </w:tcPr>
          <w:p>
            <w:pPr>
              <w:jc w:val="right"/>
              <w:ind w:right="90"/>
              <w:spacing w:after="0" w:line="202" w:lineRule="exact"/>
              <w:rPr>
                <w:sz w:val="20"/>
                <w:szCs w:val="20"/>
                <w:color w:val="auto"/>
              </w:rPr>
            </w:pPr>
            <w:r>
              <w:rPr>
                <w:rFonts w:ascii="Arial" w:cs="Arial" w:eastAsia="Arial" w:hAnsi="Arial"/>
                <w:sz w:val="18"/>
                <w:szCs w:val="18"/>
                <w:color w:val="auto"/>
                <w:w w:val="79"/>
              </w:rPr>
              <w:t>$</w:t>
            </w:r>
          </w:p>
        </w:tc>
        <w:tc>
          <w:tcPr>
            <w:tcW w:w="86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384</w:t>
            </w:r>
          </w:p>
        </w:tc>
        <w:tc>
          <w:tcPr>
            <w:tcW w:w="220" w:type="dxa"/>
            <w:vAlign w:val="bottom"/>
            <w:shd w:val="clear" w:color="auto" w:fill="E5E5E5"/>
          </w:tcPr>
          <w:p>
            <w:pPr>
              <w:spacing w:after="0"/>
              <w:rPr>
                <w:sz w:val="17"/>
                <w:szCs w:val="17"/>
                <w:color w:val="auto"/>
              </w:rPr>
            </w:pPr>
          </w:p>
        </w:tc>
        <w:tc>
          <w:tcPr>
            <w:tcW w:w="380" w:type="dxa"/>
            <w:vAlign w:val="bottom"/>
            <w:shd w:val="clear" w:color="auto" w:fill="E5E5E5"/>
          </w:tcPr>
          <w:p>
            <w:pPr>
              <w:jc w:val="right"/>
              <w:ind w:right="190"/>
              <w:spacing w:after="0" w:line="202" w:lineRule="exact"/>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E5E5E5"/>
          </w:tcPr>
          <w:p>
            <w:pPr>
              <w:jc w:val="right"/>
              <w:ind w:right="160"/>
              <w:spacing w:after="0" w:line="202" w:lineRule="exact"/>
              <w:rPr>
                <w:sz w:val="20"/>
                <w:szCs w:val="20"/>
                <w:color w:val="auto"/>
              </w:rPr>
            </w:pPr>
            <w:r>
              <w:rPr>
                <w:rFonts w:ascii="Arial" w:cs="Arial" w:eastAsia="Arial" w:hAnsi="Arial"/>
                <w:sz w:val="18"/>
                <w:szCs w:val="18"/>
                <w:color w:val="auto"/>
              </w:rPr>
              <w:t>(228)</w:t>
            </w:r>
          </w:p>
        </w:tc>
        <w:tc>
          <w:tcPr>
            <w:tcW w:w="380" w:type="dxa"/>
            <w:vAlign w:val="bottom"/>
            <w:gridSpan w:val="2"/>
            <w:shd w:val="clear" w:color="auto" w:fill="E5E5E5"/>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96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76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60" w:lineRule="exact"/>
        <w:rPr>
          <w:sz w:val="20"/>
          <w:szCs w:val="20"/>
          <w:color w:val="auto"/>
        </w:rPr>
      </w:pPr>
    </w:p>
    <w:p>
      <w:pPr>
        <w:ind w:left="540" w:hanging="532"/>
        <w:spacing w:after="0" w:line="274" w:lineRule="auto"/>
        <w:tabs>
          <w:tab w:leader="none" w:pos="54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These amounts represent the impact of netting derivative assets and derivative liabilities when a legally enforceable master netting agreement exists and fair value adjustments related to our own credit risk and counterparty credit risk.</w:t>
      </w:r>
    </w:p>
    <w:p>
      <w:pPr>
        <w:spacing w:after="0" w:line="79" w:lineRule="exact"/>
        <w:rPr>
          <w:sz w:val="20"/>
          <w:szCs w:val="20"/>
          <w:color w:val="auto"/>
        </w:rPr>
      </w:pPr>
    </w:p>
    <w:p>
      <w:pPr>
        <w:spacing w:after="0" w:line="276" w:lineRule="auto"/>
        <w:rPr>
          <w:sz w:val="20"/>
          <w:szCs w:val="20"/>
          <w:color w:val="auto"/>
        </w:rPr>
      </w:pPr>
      <w:r>
        <w:rPr>
          <w:rFonts w:ascii="Arial" w:cs="Arial" w:eastAsia="Arial" w:hAnsi="Arial"/>
          <w:sz w:val="18"/>
          <w:szCs w:val="18"/>
          <w:color w:val="auto"/>
        </w:rPr>
        <w:t>The changes in our Level 3 financial instruments that are measured at fair value on a recurring basis were immaterial during the periods presented.</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28916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3" w:name="page24"/>
    <w:bookmarkEnd w:id="23"/>
    <w:p>
      <w:pPr>
        <w:ind w:left="5500"/>
        <w:spacing w:after="0"/>
        <w:rPr>
          <w:sz w:val="20"/>
          <w:szCs w:val="20"/>
          <w:color w:val="auto"/>
        </w:rPr>
      </w:pPr>
      <w:r>
        <w:rPr>
          <w:rFonts w:ascii="Arial" w:cs="Arial" w:eastAsia="Arial" w:hAnsi="Arial"/>
          <w:sz w:val="14"/>
          <w:szCs w:val="14"/>
          <w:u w:val="single" w:color="auto"/>
          <w:color w:val="auto"/>
        </w:rPr>
        <w:t>PART I</w:t>
      </w:r>
    </w:p>
    <w:p>
      <w:pPr>
        <w:spacing w:after="0" w:line="5" w:lineRule="exact"/>
        <w:rPr>
          <w:sz w:val="20"/>
          <w:szCs w:val="20"/>
          <w:color w:val="auto"/>
        </w:rPr>
      </w:pPr>
    </w:p>
    <w:p>
      <w:pPr>
        <w:ind w:left="5520"/>
        <w:spacing w:after="0"/>
        <w:rPr>
          <w:sz w:val="20"/>
          <w:szCs w:val="20"/>
          <w:color w:val="auto"/>
        </w:rPr>
      </w:pPr>
      <w:r>
        <w:rPr>
          <w:rFonts w:ascii="Arial" w:cs="Arial" w:eastAsia="Arial" w:hAnsi="Arial"/>
          <w:sz w:val="14"/>
          <w:szCs w:val="14"/>
          <w:color w:val="auto"/>
        </w:rPr>
        <w:t>Item 1</w:t>
      </w:r>
    </w:p>
    <w:p>
      <w:pPr>
        <w:spacing w:after="0" w:line="127"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The following table reconciles the total “Net Fair Value” of assets above to the balance sheet presentation of these same assets in Note 4 – Investments.</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46990</wp:posOffset>
            </wp:positionV>
            <wp:extent cx="717804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8040" cy="8890"/>
                    </a:xfrm>
                    <a:prstGeom prst="rect">
                      <a:avLst/>
                    </a:prstGeom>
                    <a:noFill/>
                  </pic:spPr>
                </pic:pic>
              </a:graphicData>
            </a:graphic>
          </wp:anchor>
        </w:drawing>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September 30,</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4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2017</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45"/>
        </w:trPr>
        <w:tc>
          <w:tcPr>
            <w:tcW w:w="20" w:type="dxa"/>
            <w:vAlign w:val="bottom"/>
            <w:vMerge w:val="restart"/>
          </w:tcPr>
          <w:p>
            <w:pPr>
              <w:spacing w:after="0"/>
              <w:rPr>
                <w:sz w:val="3"/>
                <w:szCs w:val="3"/>
                <w:color w:val="auto"/>
              </w:rPr>
            </w:pPr>
          </w:p>
        </w:tc>
        <w:tc>
          <w:tcPr>
            <w:tcW w:w="7440" w:type="dxa"/>
            <w:vAlign w:val="bottom"/>
          </w:tcPr>
          <w:p>
            <w:pPr>
              <w:spacing w:after="0"/>
              <w:rPr>
                <w:sz w:val="3"/>
                <w:szCs w:val="3"/>
                <w:color w:val="auto"/>
              </w:rPr>
            </w:pPr>
          </w:p>
        </w:tc>
        <w:tc>
          <w:tcPr>
            <w:tcW w:w="1360" w:type="dxa"/>
            <w:vAlign w:val="bottom"/>
          </w:tcPr>
          <w:p>
            <w:pPr>
              <w:spacing w:after="0"/>
              <w:rPr>
                <w:sz w:val="3"/>
                <w:szCs w:val="3"/>
                <w:color w:val="auto"/>
              </w:rPr>
            </w:pPr>
          </w:p>
        </w:tc>
        <w:tc>
          <w:tcPr>
            <w:tcW w:w="160" w:type="dxa"/>
            <w:vAlign w:val="bottom"/>
          </w:tcPr>
          <w:p>
            <w:pPr>
              <w:spacing w:after="0"/>
              <w:rPr>
                <w:sz w:val="3"/>
                <w:szCs w:val="3"/>
                <w:color w:val="auto"/>
              </w:rPr>
            </w:pPr>
          </w:p>
        </w:tc>
        <w:tc>
          <w:tcPr>
            <w:tcW w:w="9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44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Net fair value of assets measured at fair value on a recurring basis</w:t>
            </w:r>
          </w:p>
        </w:tc>
        <w:tc>
          <w:tcPr>
            <w:tcW w:w="1520" w:type="dxa"/>
            <w:vAlign w:val="bottom"/>
            <w:gridSpan w:val="2"/>
            <w:shd w:val="clear" w:color="auto" w:fill="E5E5E5"/>
          </w:tcPr>
          <w:p>
            <w:pPr>
              <w:jc w:val="right"/>
              <w:ind w:right="60"/>
              <w:spacing w:after="0" w:line="202" w:lineRule="exact"/>
              <w:rPr>
                <w:sz w:val="20"/>
                <w:szCs w:val="20"/>
                <w:color w:val="auto"/>
              </w:rPr>
            </w:pPr>
            <w:r>
              <w:rPr>
                <w:rFonts w:ascii="Arial" w:cs="Arial" w:eastAsia="Arial" w:hAnsi="Arial"/>
                <w:sz w:val="18"/>
                <w:szCs w:val="18"/>
                <w:b w:val="1"/>
                <w:bCs w:val="1"/>
                <w:color w:val="auto"/>
              </w:rPr>
              <w:t>$</w:t>
            </w:r>
          </w:p>
        </w:tc>
        <w:tc>
          <w:tcPr>
            <w:tcW w:w="1120" w:type="dxa"/>
            <w:vAlign w:val="bottom"/>
            <w:gridSpan w:val="2"/>
            <w:shd w:val="clear" w:color="auto" w:fill="E5E5E5"/>
          </w:tcPr>
          <w:p>
            <w:pPr>
              <w:jc w:val="right"/>
              <w:ind w:right="140"/>
              <w:spacing w:after="0" w:line="202" w:lineRule="exact"/>
              <w:rPr>
                <w:sz w:val="20"/>
                <w:szCs w:val="20"/>
                <w:color w:val="auto"/>
              </w:rPr>
            </w:pPr>
            <w:r>
              <w:rPr>
                <w:rFonts w:ascii="Arial" w:cs="Arial" w:eastAsia="Arial" w:hAnsi="Arial"/>
                <w:sz w:val="18"/>
                <w:szCs w:val="18"/>
                <w:b w:val="1"/>
                <w:bCs w:val="1"/>
                <w:color w:val="auto"/>
              </w:rPr>
              <w:t>138,314</w:t>
            </w:r>
          </w:p>
        </w:tc>
        <w:tc>
          <w:tcPr>
            <w:tcW w:w="360" w:type="dxa"/>
            <w:vAlign w:val="bottom"/>
            <w:gridSpan w:val="2"/>
            <w:shd w:val="clear" w:color="auto" w:fill="E5E5E5"/>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96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133,985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40" w:type="dxa"/>
            <w:vAlign w:val="bottom"/>
          </w:tcPr>
          <w:p>
            <w:pPr>
              <w:spacing w:after="0" w:line="202" w:lineRule="exact"/>
              <w:rPr>
                <w:sz w:val="20"/>
                <w:szCs w:val="20"/>
                <w:color w:val="auto"/>
              </w:rPr>
            </w:pPr>
            <w:r>
              <w:rPr>
                <w:rFonts w:ascii="Arial" w:cs="Arial" w:eastAsia="Arial" w:hAnsi="Arial"/>
                <w:sz w:val="18"/>
                <w:szCs w:val="18"/>
                <w:color w:val="auto"/>
              </w:rPr>
              <w:t>Cash</w:t>
            </w:r>
          </w:p>
        </w:tc>
        <w:tc>
          <w:tcPr>
            <w:tcW w:w="1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gridSpan w:val="2"/>
          </w:tcPr>
          <w:p>
            <w:pPr>
              <w:jc w:val="right"/>
              <w:ind w:right="140"/>
              <w:spacing w:after="0" w:line="202" w:lineRule="exact"/>
              <w:rPr>
                <w:sz w:val="20"/>
                <w:szCs w:val="20"/>
                <w:color w:val="auto"/>
              </w:rPr>
            </w:pPr>
            <w:r>
              <w:rPr>
                <w:rFonts w:ascii="Arial" w:cs="Arial" w:eastAsia="Arial" w:hAnsi="Arial"/>
                <w:sz w:val="18"/>
                <w:szCs w:val="18"/>
                <w:b w:val="1"/>
                <w:bCs w:val="1"/>
                <w:color w:val="auto"/>
              </w:rPr>
              <w:t>4,052</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3,624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4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Common and preferred stock measured at fair value on a nonrecurring basis</w:t>
            </w:r>
          </w:p>
        </w:tc>
        <w:tc>
          <w:tcPr>
            <w:tcW w:w="136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1120" w:type="dxa"/>
            <w:vAlign w:val="bottom"/>
            <w:gridSpan w:val="2"/>
            <w:shd w:val="clear" w:color="auto" w:fill="E5E5E5"/>
          </w:tcPr>
          <w:p>
            <w:pPr>
              <w:jc w:val="right"/>
              <w:ind w:right="140"/>
              <w:spacing w:after="0" w:line="202" w:lineRule="exact"/>
              <w:rPr>
                <w:sz w:val="20"/>
                <w:szCs w:val="20"/>
                <w:color w:val="auto"/>
              </w:rPr>
            </w:pPr>
            <w:r>
              <w:rPr>
                <w:rFonts w:ascii="Arial" w:cs="Arial" w:eastAsia="Arial" w:hAnsi="Arial"/>
                <w:sz w:val="18"/>
                <w:szCs w:val="18"/>
                <w:b w:val="1"/>
                <w:bCs w:val="1"/>
                <w:color w:val="auto"/>
              </w:rPr>
              <w:t>1,020</w:t>
            </w:r>
          </w:p>
        </w:tc>
        <w:tc>
          <w:tcPr>
            <w:tcW w:w="80" w:type="dxa"/>
            <w:vAlign w:val="bottom"/>
            <w:shd w:val="clear" w:color="auto" w:fill="E5E5E5"/>
          </w:tcPr>
          <w:p>
            <w:pPr>
              <w:spacing w:after="0"/>
              <w:rPr>
                <w:sz w:val="17"/>
                <w:szCs w:val="17"/>
                <w:color w:val="auto"/>
              </w:rPr>
            </w:pPr>
          </w:p>
        </w:tc>
        <w:tc>
          <w:tcPr>
            <w:tcW w:w="280" w:type="dxa"/>
            <w:vAlign w:val="bottom"/>
            <w:shd w:val="clear" w:color="auto" w:fill="E5E5E5"/>
          </w:tcPr>
          <w:p>
            <w:pPr>
              <w:spacing w:after="0"/>
              <w:rPr>
                <w:sz w:val="17"/>
                <w:szCs w:val="17"/>
                <w:color w:val="auto"/>
              </w:rPr>
            </w:pPr>
          </w:p>
        </w:tc>
        <w:tc>
          <w:tcPr>
            <w:tcW w:w="96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1,073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40" w:type="dxa"/>
            <w:vAlign w:val="bottom"/>
          </w:tcPr>
          <w:p>
            <w:pPr>
              <w:spacing w:after="0" w:line="202" w:lineRule="exact"/>
              <w:rPr>
                <w:sz w:val="20"/>
                <w:szCs w:val="20"/>
                <w:color w:val="auto"/>
              </w:rPr>
            </w:pPr>
            <w:r>
              <w:rPr>
                <w:rFonts w:ascii="Arial" w:cs="Arial" w:eastAsia="Arial" w:hAnsi="Arial"/>
                <w:sz w:val="18"/>
                <w:szCs w:val="18"/>
                <w:color w:val="auto"/>
              </w:rPr>
              <w:t>Other investments measured at fair value on a nonrecurring basis</w:t>
            </w:r>
          </w:p>
        </w:tc>
        <w:tc>
          <w:tcPr>
            <w:tcW w:w="1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gridSpan w:val="2"/>
          </w:tcPr>
          <w:p>
            <w:pPr>
              <w:jc w:val="right"/>
              <w:ind w:right="140"/>
              <w:spacing w:after="0" w:line="202" w:lineRule="exact"/>
              <w:rPr>
                <w:sz w:val="20"/>
                <w:szCs w:val="20"/>
                <w:color w:val="auto"/>
              </w:rPr>
            </w:pPr>
            <w:r>
              <w:rPr>
                <w:rFonts w:ascii="Arial" w:cs="Arial" w:eastAsia="Arial" w:hAnsi="Arial"/>
                <w:sz w:val="18"/>
                <w:szCs w:val="18"/>
                <w:b w:val="1"/>
                <w:bCs w:val="1"/>
                <w:color w:val="auto"/>
              </w:rPr>
              <w:t>528</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523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4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Less derivative net assets classified as other current and long-term assets</w:t>
            </w:r>
          </w:p>
        </w:tc>
        <w:tc>
          <w:tcPr>
            <w:tcW w:w="136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1120" w:type="dxa"/>
            <w:vAlign w:val="bottom"/>
            <w:gridSpan w:val="2"/>
            <w:shd w:val="clear" w:color="auto" w:fill="E5E5E5"/>
          </w:tcPr>
          <w:p>
            <w:pPr>
              <w:jc w:val="right"/>
              <w:ind w:right="80"/>
              <w:spacing w:after="0" w:line="202" w:lineRule="exact"/>
              <w:rPr>
                <w:sz w:val="20"/>
                <w:szCs w:val="20"/>
                <w:color w:val="auto"/>
              </w:rPr>
            </w:pPr>
            <w:r>
              <w:rPr>
                <w:rFonts w:ascii="Arial" w:cs="Arial" w:eastAsia="Arial" w:hAnsi="Arial"/>
                <w:sz w:val="18"/>
                <w:szCs w:val="18"/>
                <w:b w:val="1"/>
                <w:bCs w:val="1"/>
                <w:color w:val="auto"/>
              </w:rPr>
              <w:t>(103)</w:t>
            </w:r>
          </w:p>
        </w:tc>
        <w:tc>
          <w:tcPr>
            <w:tcW w:w="80" w:type="dxa"/>
            <w:vAlign w:val="bottom"/>
            <w:shd w:val="clear" w:color="auto" w:fill="E5E5E5"/>
          </w:tcPr>
          <w:p>
            <w:pPr>
              <w:spacing w:after="0"/>
              <w:rPr>
                <w:sz w:val="17"/>
                <w:szCs w:val="17"/>
                <w:color w:val="auto"/>
              </w:rPr>
            </w:pPr>
          </w:p>
        </w:tc>
        <w:tc>
          <w:tcPr>
            <w:tcW w:w="280" w:type="dxa"/>
            <w:vAlign w:val="bottom"/>
            <w:shd w:val="clear" w:color="auto" w:fill="E5E5E5"/>
          </w:tcPr>
          <w:p>
            <w:pPr>
              <w:spacing w:after="0"/>
              <w:rPr>
                <w:sz w:val="17"/>
                <w:szCs w:val="17"/>
                <w:color w:val="auto"/>
              </w:rPr>
            </w:pPr>
          </w:p>
        </w:tc>
        <w:tc>
          <w:tcPr>
            <w:tcW w:w="960" w:type="dxa"/>
            <w:vAlign w:val="bottom"/>
            <w:gridSpan w:val="2"/>
            <w:shd w:val="clear" w:color="auto" w:fill="E5E5E5"/>
          </w:tcPr>
          <w:p>
            <w:pPr>
              <w:jc w:val="right"/>
              <w:ind w:right="40"/>
              <w:spacing w:after="0" w:line="202" w:lineRule="exact"/>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7440" w:type="dxa"/>
            <w:vAlign w:val="bottom"/>
          </w:tcPr>
          <w:p>
            <w:pPr>
              <w:spacing w:after="0"/>
              <w:rPr>
                <w:sz w:val="20"/>
                <w:szCs w:val="20"/>
                <w:color w:val="auto"/>
              </w:rPr>
            </w:pPr>
            <w:r>
              <w:rPr>
                <w:rFonts w:ascii="Arial" w:cs="Arial" w:eastAsia="Arial" w:hAnsi="Arial"/>
                <w:sz w:val="18"/>
                <w:szCs w:val="18"/>
                <w:color w:val="auto"/>
              </w:rPr>
              <w:t>Other</w:t>
            </w:r>
          </w:p>
        </w:tc>
        <w:tc>
          <w:tcPr>
            <w:tcW w:w="13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3</w:t>
            </w: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40" w:type="dxa"/>
            <w:vAlign w:val="bottom"/>
            <w:tcBorders>
              <w:top w:val="single" w:sz="8" w:color="auto"/>
            </w:tcBorders>
          </w:tcPr>
          <w:p>
            <w:pPr>
              <w:spacing w:after="0"/>
              <w:rPr>
                <w:sz w:val="5"/>
                <w:szCs w:val="5"/>
                <w:color w:val="auto"/>
              </w:rPr>
            </w:pPr>
          </w:p>
        </w:tc>
        <w:tc>
          <w:tcPr>
            <w:tcW w:w="1360" w:type="dxa"/>
            <w:vAlign w:val="bottom"/>
            <w:tcBorders>
              <w:top w:val="single" w:sz="8" w:color="auto"/>
            </w:tcBorders>
          </w:tcPr>
          <w:p>
            <w:pPr>
              <w:spacing w:after="0"/>
              <w:rPr>
                <w:sz w:val="5"/>
                <w:szCs w:val="5"/>
                <w:color w:val="auto"/>
              </w:rPr>
            </w:pPr>
          </w:p>
        </w:tc>
        <w:tc>
          <w:tcPr>
            <w:tcW w:w="160" w:type="dxa"/>
            <w:vAlign w:val="bottom"/>
            <w:tcBorders>
              <w:top w:val="single" w:sz="8" w:color="auto"/>
            </w:tcBorders>
          </w:tcPr>
          <w:p>
            <w:pPr>
              <w:spacing w:after="0"/>
              <w:rPr>
                <w:sz w:val="5"/>
                <w:szCs w:val="5"/>
                <w:color w:val="auto"/>
              </w:rPr>
            </w:pPr>
          </w:p>
        </w:tc>
        <w:tc>
          <w:tcPr>
            <w:tcW w:w="980" w:type="dxa"/>
            <w:vAlign w:val="bottom"/>
            <w:tcBorders>
              <w:top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Borders>
              <w:top w:val="single" w:sz="8" w:color="auto"/>
            </w:tcBorders>
          </w:tcPr>
          <w:p>
            <w:pPr>
              <w:spacing w:after="0"/>
              <w:rPr>
                <w:sz w:val="5"/>
                <w:szCs w:val="5"/>
                <w:color w:val="auto"/>
              </w:rPr>
            </w:pPr>
          </w:p>
        </w:tc>
        <w:tc>
          <w:tcPr>
            <w:tcW w:w="86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40" w:type="dxa"/>
            <w:vAlign w:val="bottom"/>
            <w:shd w:val="clear" w:color="auto" w:fill="E5E5E5"/>
          </w:tcPr>
          <w:p>
            <w:pPr>
              <w:ind w:left="200"/>
              <w:spacing w:after="0" w:line="202" w:lineRule="exact"/>
              <w:rPr>
                <w:sz w:val="20"/>
                <w:szCs w:val="20"/>
                <w:color w:val="auto"/>
              </w:rPr>
            </w:pPr>
            <w:r>
              <w:rPr>
                <w:rFonts w:ascii="Arial" w:cs="Arial" w:eastAsia="Arial" w:hAnsi="Arial"/>
                <w:sz w:val="18"/>
                <w:szCs w:val="18"/>
                <w:color w:val="auto"/>
              </w:rPr>
              <w:t>Recorded basis of investment components</w:t>
            </w:r>
          </w:p>
        </w:tc>
        <w:tc>
          <w:tcPr>
            <w:tcW w:w="1520" w:type="dxa"/>
            <w:vAlign w:val="bottom"/>
            <w:gridSpan w:val="2"/>
            <w:shd w:val="clear" w:color="auto" w:fill="E5E5E5"/>
          </w:tcPr>
          <w:p>
            <w:pPr>
              <w:jc w:val="right"/>
              <w:ind w:right="60"/>
              <w:spacing w:after="0" w:line="202" w:lineRule="exact"/>
              <w:rPr>
                <w:sz w:val="20"/>
                <w:szCs w:val="20"/>
                <w:color w:val="auto"/>
              </w:rPr>
            </w:pPr>
            <w:r>
              <w:rPr>
                <w:rFonts w:ascii="Arial" w:cs="Arial" w:eastAsia="Arial" w:hAnsi="Arial"/>
                <w:sz w:val="18"/>
                <w:szCs w:val="18"/>
                <w:b w:val="1"/>
                <w:bCs w:val="1"/>
                <w:color w:val="auto"/>
              </w:rPr>
              <w:t>$</w:t>
            </w:r>
          </w:p>
        </w:tc>
        <w:tc>
          <w:tcPr>
            <w:tcW w:w="1120" w:type="dxa"/>
            <w:vAlign w:val="bottom"/>
            <w:gridSpan w:val="2"/>
            <w:shd w:val="clear" w:color="auto" w:fill="E5E5E5"/>
          </w:tcPr>
          <w:p>
            <w:pPr>
              <w:jc w:val="right"/>
              <w:ind w:right="140"/>
              <w:spacing w:after="0" w:line="202" w:lineRule="exact"/>
              <w:rPr>
                <w:sz w:val="20"/>
                <w:szCs w:val="20"/>
                <w:color w:val="auto"/>
              </w:rPr>
            </w:pPr>
            <w:r>
              <w:rPr>
                <w:rFonts w:ascii="Arial" w:cs="Arial" w:eastAsia="Arial" w:hAnsi="Arial"/>
                <w:sz w:val="18"/>
                <w:szCs w:val="18"/>
                <w:b w:val="1"/>
                <w:bCs w:val="1"/>
                <w:color w:val="auto"/>
              </w:rPr>
              <w:t>143,814</w:t>
            </w:r>
          </w:p>
        </w:tc>
        <w:tc>
          <w:tcPr>
            <w:tcW w:w="360" w:type="dxa"/>
            <w:vAlign w:val="bottom"/>
            <w:gridSpan w:val="2"/>
            <w:shd w:val="clear" w:color="auto" w:fill="E5E5E5"/>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96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139,004</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440" w:type="dxa"/>
            <w:vAlign w:val="bottom"/>
          </w:tcPr>
          <w:p>
            <w:pPr>
              <w:spacing w:after="0"/>
              <w:rPr>
                <w:sz w:val="6"/>
                <w:szCs w:val="6"/>
                <w:color w:val="auto"/>
              </w:rPr>
            </w:pPr>
          </w:p>
        </w:tc>
        <w:tc>
          <w:tcPr>
            <w:tcW w:w="1360" w:type="dxa"/>
            <w:vAlign w:val="bottom"/>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Assets and Liabilities Measured at Fair Value on a Nonrecurring Basis</w:t>
      </w:r>
    </w:p>
    <w:p>
      <w:pPr>
        <w:spacing w:after="0" w:line="160"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During the three months ended September 30, 2017 and 2016, we did not record any material other-than-temporary impairments on financial assets required to be measured at fair value on a nonrecurring basis.</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 7 — INVENTORIES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inventories were as follows:</w:t>
      </w:r>
    </w:p>
    <w:p>
      <w:pPr>
        <w:spacing w:after="0" w:line="20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55245</wp:posOffset>
            </wp:positionV>
            <wp:extent cx="724662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September 30,</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5040" w:type="dxa"/>
            <w:vAlign w:val="bottom"/>
          </w:tcPr>
          <w:p>
            <w:pPr>
              <w:spacing w:after="0"/>
              <w:rPr>
                <w:sz w:val="16"/>
                <w:szCs w:val="16"/>
                <w:color w:val="auto"/>
              </w:rPr>
            </w:pPr>
          </w:p>
        </w:tc>
        <w:tc>
          <w:tcPr>
            <w:tcW w:w="3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 w:type="dxa"/>
            <w:vAlign w:val="bottom"/>
            <w:vMerge w:val="restart"/>
          </w:tcPr>
          <w:p>
            <w:pPr>
              <w:spacing w:after="0"/>
              <w:rPr>
                <w:sz w:val="3"/>
                <w:szCs w:val="3"/>
                <w:color w:val="auto"/>
              </w:rPr>
            </w:pPr>
          </w:p>
        </w:tc>
        <w:tc>
          <w:tcPr>
            <w:tcW w:w="5040" w:type="dxa"/>
            <w:vAlign w:val="bottom"/>
          </w:tcPr>
          <w:p>
            <w:pPr>
              <w:spacing w:after="0"/>
              <w:rPr>
                <w:sz w:val="3"/>
                <w:szCs w:val="3"/>
                <w:color w:val="auto"/>
              </w:rPr>
            </w:pPr>
          </w:p>
        </w:tc>
        <w:tc>
          <w:tcPr>
            <w:tcW w:w="3760" w:type="dxa"/>
            <w:vAlign w:val="bottom"/>
          </w:tcPr>
          <w:p>
            <w:pPr>
              <w:spacing w:after="0"/>
              <w:rPr>
                <w:sz w:val="3"/>
                <w:szCs w:val="3"/>
                <w:color w:val="auto"/>
              </w:rPr>
            </w:pPr>
          </w:p>
        </w:tc>
        <w:tc>
          <w:tcPr>
            <w:tcW w:w="16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04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Raw materials</w:t>
            </w:r>
          </w:p>
        </w:tc>
        <w:tc>
          <w:tcPr>
            <w:tcW w:w="3920" w:type="dxa"/>
            <w:vAlign w:val="bottom"/>
            <w:gridSpan w:val="2"/>
            <w:shd w:val="clear" w:color="auto" w:fill="E5E5E5"/>
          </w:tcPr>
          <w:p>
            <w:pPr>
              <w:jc w:val="right"/>
              <w:ind w:right="60"/>
              <w:spacing w:after="0" w:line="202" w:lineRule="exact"/>
              <w:rPr>
                <w:sz w:val="20"/>
                <w:szCs w:val="20"/>
                <w:color w:val="auto"/>
              </w:rPr>
            </w:pPr>
            <w:r>
              <w:rPr>
                <w:rFonts w:ascii="Arial" w:cs="Arial" w:eastAsia="Arial" w:hAnsi="Arial"/>
                <w:sz w:val="18"/>
                <w:szCs w:val="18"/>
                <w:b w:val="1"/>
                <w:bCs w:val="1"/>
                <w:color w:val="auto"/>
              </w:rPr>
              <w:t>$</w:t>
            </w:r>
          </w:p>
        </w:tc>
        <w:tc>
          <w:tcPr>
            <w:tcW w:w="108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b w:val="1"/>
                <w:bCs w:val="1"/>
                <w:color w:val="auto"/>
              </w:rPr>
              <w:t>766</w:t>
            </w:r>
          </w:p>
        </w:tc>
        <w:tc>
          <w:tcPr>
            <w:tcW w:w="460" w:type="dxa"/>
            <w:vAlign w:val="bottom"/>
            <w:gridSpan w:val="2"/>
            <w:shd w:val="clear" w:color="auto" w:fill="E5E5E5"/>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90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797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40" w:type="dxa"/>
            <w:vAlign w:val="bottom"/>
          </w:tcPr>
          <w:p>
            <w:pPr>
              <w:spacing w:after="0" w:line="202" w:lineRule="exact"/>
              <w:rPr>
                <w:sz w:val="20"/>
                <w:szCs w:val="20"/>
                <w:color w:val="auto"/>
              </w:rPr>
            </w:pPr>
            <w:r>
              <w:rPr>
                <w:rFonts w:ascii="Arial" w:cs="Arial" w:eastAsia="Arial" w:hAnsi="Arial"/>
                <w:sz w:val="18"/>
                <w:szCs w:val="18"/>
                <w:color w:val="auto"/>
              </w:rPr>
              <w:t>Work in process</w:t>
            </w:r>
          </w:p>
        </w:tc>
        <w:tc>
          <w:tcPr>
            <w:tcW w:w="3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tcPr>
          <w:p>
            <w:pPr>
              <w:jc w:val="right"/>
              <w:ind w:right="100"/>
              <w:spacing w:after="0" w:line="202" w:lineRule="exact"/>
              <w:rPr>
                <w:sz w:val="20"/>
                <w:szCs w:val="20"/>
                <w:color w:val="auto"/>
              </w:rPr>
            </w:pPr>
            <w:r>
              <w:rPr>
                <w:rFonts w:ascii="Arial" w:cs="Arial" w:eastAsia="Arial" w:hAnsi="Arial"/>
                <w:sz w:val="18"/>
                <w:szCs w:val="18"/>
                <w:b w:val="1"/>
                <w:bCs w:val="1"/>
                <w:color w:val="auto"/>
              </w:rPr>
              <w:t>112</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4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Finished goods</w:t>
            </w:r>
          </w:p>
        </w:tc>
        <w:tc>
          <w:tcPr>
            <w:tcW w:w="376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108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b w:val="1"/>
                <w:bCs w:val="1"/>
                <w:color w:val="auto"/>
              </w:rPr>
              <w:t>2,333</w:t>
            </w:r>
          </w:p>
        </w:tc>
        <w:tc>
          <w:tcPr>
            <w:tcW w:w="120" w:type="dxa"/>
            <w:vAlign w:val="bottom"/>
            <w:shd w:val="clear" w:color="auto" w:fill="E5E5E5"/>
          </w:tcPr>
          <w:p>
            <w:pPr>
              <w:spacing w:after="0"/>
              <w:rPr>
                <w:sz w:val="17"/>
                <w:szCs w:val="17"/>
                <w:color w:val="auto"/>
              </w:rPr>
            </w:pPr>
          </w:p>
        </w:tc>
        <w:tc>
          <w:tcPr>
            <w:tcW w:w="340" w:type="dxa"/>
            <w:vAlign w:val="bottom"/>
            <w:shd w:val="clear" w:color="auto" w:fill="E5E5E5"/>
          </w:tcPr>
          <w:p>
            <w:pPr>
              <w:spacing w:after="0"/>
              <w:rPr>
                <w:sz w:val="17"/>
                <w:szCs w:val="17"/>
                <w:color w:val="auto"/>
              </w:rPr>
            </w:pPr>
          </w:p>
        </w:tc>
        <w:tc>
          <w:tcPr>
            <w:tcW w:w="90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1,239</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5040" w:type="dxa"/>
            <w:vAlign w:val="bottom"/>
            <w:tcBorders>
              <w:bottom w:val="single" w:sz="8" w:color="auto"/>
            </w:tcBorders>
          </w:tcPr>
          <w:p>
            <w:pPr>
              <w:spacing w:after="0"/>
              <w:rPr>
                <w:sz w:val="7"/>
                <w:szCs w:val="7"/>
                <w:color w:val="auto"/>
              </w:rPr>
            </w:pPr>
          </w:p>
        </w:tc>
        <w:tc>
          <w:tcPr>
            <w:tcW w:w="376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98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5040" w:type="dxa"/>
            <w:vAlign w:val="bottom"/>
          </w:tcPr>
          <w:p>
            <w:pPr>
              <w:spacing w:after="0"/>
              <w:rPr>
                <w:sz w:val="6"/>
                <w:szCs w:val="6"/>
                <w:color w:val="auto"/>
              </w:rPr>
            </w:pPr>
          </w:p>
        </w:tc>
        <w:tc>
          <w:tcPr>
            <w:tcW w:w="3760" w:type="dxa"/>
            <w:vAlign w:val="bottom"/>
          </w:tcPr>
          <w:p>
            <w:pPr>
              <w:spacing w:after="0"/>
              <w:rPr>
                <w:sz w:val="6"/>
                <w:szCs w:val="6"/>
                <w:color w:val="auto"/>
              </w:rPr>
            </w:pPr>
          </w:p>
        </w:tc>
        <w:tc>
          <w:tcPr>
            <w:tcW w:w="160" w:type="dxa"/>
            <w:vAlign w:val="bottom"/>
          </w:tcPr>
          <w:p>
            <w:pPr>
              <w:spacing w:after="0"/>
              <w:rPr>
                <w:sz w:val="6"/>
                <w:szCs w:val="6"/>
                <w:color w:val="auto"/>
              </w:rPr>
            </w:pPr>
          </w:p>
        </w:tc>
        <w:tc>
          <w:tcPr>
            <w:tcW w:w="9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40" w:type="dxa"/>
            <w:vAlign w:val="bottom"/>
            <w:shd w:val="clear" w:color="auto" w:fill="E5E5E5"/>
          </w:tcPr>
          <w:p>
            <w:pPr>
              <w:ind w:left="200"/>
              <w:spacing w:after="0" w:line="202" w:lineRule="exact"/>
              <w:rPr>
                <w:sz w:val="20"/>
                <w:szCs w:val="20"/>
                <w:color w:val="auto"/>
              </w:rPr>
            </w:pPr>
            <w:r>
              <w:rPr>
                <w:rFonts w:ascii="Arial" w:cs="Arial" w:eastAsia="Arial" w:hAnsi="Arial"/>
                <w:sz w:val="18"/>
                <w:szCs w:val="18"/>
                <w:color w:val="auto"/>
              </w:rPr>
              <w:t>Total</w:t>
            </w:r>
          </w:p>
        </w:tc>
        <w:tc>
          <w:tcPr>
            <w:tcW w:w="3920" w:type="dxa"/>
            <w:vAlign w:val="bottom"/>
            <w:gridSpan w:val="2"/>
            <w:shd w:val="clear" w:color="auto" w:fill="E5E5E5"/>
          </w:tcPr>
          <w:p>
            <w:pPr>
              <w:jc w:val="right"/>
              <w:ind w:right="60"/>
              <w:spacing w:after="0" w:line="202" w:lineRule="exact"/>
              <w:rPr>
                <w:sz w:val="20"/>
                <w:szCs w:val="20"/>
                <w:color w:val="auto"/>
              </w:rPr>
            </w:pPr>
            <w:r>
              <w:rPr>
                <w:rFonts w:ascii="Arial" w:cs="Arial" w:eastAsia="Arial" w:hAnsi="Arial"/>
                <w:sz w:val="18"/>
                <w:szCs w:val="18"/>
                <w:b w:val="1"/>
                <w:bCs w:val="1"/>
                <w:color w:val="auto"/>
              </w:rPr>
              <w:t>$</w:t>
            </w:r>
          </w:p>
        </w:tc>
        <w:tc>
          <w:tcPr>
            <w:tcW w:w="108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b w:val="1"/>
                <w:bCs w:val="1"/>
                <w:color w:val="auto"/>
              </w:rPr>
              <w:t>3,211</w:t>
            </w:r>
          </w:p>
        </w:tc>
        <w:tc>
          <w:tcPr>
            <w:tcW w:w="460" w:type="dxa"/>
            <w:vAlign w:val="bottom"/>
            <w:gridSpan w:val="2"/>
            <w:shd w:val="clear" w:color="auto" w:fill="E5E5E5"/>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90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2,181</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5040" w:type="dxa"/>
            <w:vAlign w:val="bottom"/>
          </w:tcPr>
          <w:p>
            <w:pPr>
              <w:spacing w:after="0"/>
              <w:rPr>
                <w:sz w:val="6"/>
                <w:szCs w:val="6"/>
                <w:color w:val="auto"/>
              </w:rPr>
            </w:pPr>
          </w:p>
        </w:tc>
        <w:tc>
          <w:tcPr>
            <w:tcW w:w="3760" w:type="dxa"/>
            <w:vAlign w:val="bottom"/>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 8 — BUSINESS COMBINATIONS</w:t>
      </w:r>
    </w:p>
    <w:p>
      <w:pPr>
        <w:spacing w:after="0" w:line="158"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On December 8, 2016, we completed our acquisition of all issued and outstanding shares of LinkedIn Corporation, the world’s largest professional network on the Internet, for a total purchase price of $27.0 billion. The purchase price consisted primarily of cash of $ 26.9 billion. The acquisition is expected to accelerate the growth of LinkedIn, Office 365, and Dynamics 365. The financial results of LinkedIn have been included in our consolidated financial statements since the date of the acquisition.</w:t>
      </w:r>
    </w:p>
    <w:p>
      <w:pPr>
        <w:spacing w:after="0" w:line="225" w:lineRule="exact"/>
        <w:rPr>
          <w:sz w:val="20"/>
          <w:szCs w:val="20"/>
          <w:color w:val="auto"/>
        </w:rPr>
      </w:pPr>
    </w:p>
    <w:p>
      <w:pPr>
        <w:ind w:left="4760"/>
        <w:spacing w:after="0"/>
        <w:rPr>
          <w:sz w:val="20"/>
          <w:szCs w:val="20"/>
          <w:color w:val="auto"/>
        </w:rPr>
      </w:pPr>
      <w:r>
        <w:rPr>
          <w:rFonts w:ascii="Arial" w:cs="Arial" w:eastAsia="Arial" w:hAnsi="Arial"/>
          <w:sz w:val="18"/>
          <w:szCs w:val="18"/>
          <w:u w:val="single" w:color="auto"/>
          <w:color w:val="auto"/>
        </w:rPr>
        <w:t>NOTE 9 — GOODWILL</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carrying amount of goodwill were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w:t>
            </w:r>
          </w:p>
        </w:tc>
        <w:tc>
          <w:tcPr>
            <w:tcW w:w="1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June 30,</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Acquisitions</w:t>
            </w:r>
          </w:p>
        </w:tc>
        <w:tc>
          <w:tcPr>
            <w:tcW w:w="440" w:type="dxa"/>
            <w:vAlign w:val="bottom"/>
          </w:tcPr>
          <w:p>
            <w:pPr>
              <w:spacing w:after="0"/>
              <w:rPr>
                <w:sz w:val="14"/>
                <w:szCs w:val="14"/>
                <w:color w:val="auto"/>
              </w:rPr>
            </w:pPr>
          </w:p>
        </w:tc>
        <w:tc>
          <w:tcPr>
            <w:tcW w:w="84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rPr>
              <w:t>Other</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98"/>
              </w:rPr>
              <w:t>September 30,</w:t>
            </w:r>
          </w:p>
        </w:tc>
        <w:tc>
          <w:tcPr>
            <w:tcW w:w="0" w:type="dxa"/>
            <w:vAlign w:val="bottom"/>
          </w:tcPr>
          <w:p>
            <w:pPr>
              <w:spacing w:after="0"/>
              <w:rPr>
                <w:sz w:val="1"/>
                <w:szCs w:val="1"/>
                <w:color w:val="auto"/>
              </w:rPr>
            </w:pPr>
          </w:p>
        </w:tc>
      </w:tr>
      <w:tr>
        <w:trPr>
          <w:trHeight w:val="190"/>
        </w:trPr>
        <w:tc>
          <w:tcPr>
            <w:tcW w:w="4520" w:type="dxa"/>
            <w:vAlign w:val="bottom"/>
            <w:gridSpan w:val="2"/>
            <w:vMerge w:val="continue"/>
          </w:tcPr>
          <w:p>
            <w:pPr>
              <w:spacing w:after="0"/>
              <w:rPr>
                <w:sz w:val="16"/>
                <w:szCs w:val="16"/>
                <w:color w:val="auto"/>
              </w:rPr>
            </w:pPr>
          </w:p>
        </w:tc>
        <w:tc>
          <w:tcPr>
            <w:tcW w:w="15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44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4500" w:type="dxa"/>
            <w:vAlign w:val="bottom"/>
            <w:tcBorders>
              <w:bottom w:val="single" w:sz="8" w:color="auto"/>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4500" w:type="dxa"/>
            <w:vAlign w:val="bottom"/>
          </w:tcPr>
          <w:p>
            <w:pPr>
              <w:spacing w:after="0"/>
              <w:rPr>
                <w:sz w:val="5"/>
                <w:szCs w:val="5"/>
                <w:color w:val="auto"/>
              </w:rPr>
            </w:pPr>
          </w:p>
        </w:tc>
        <w:tc>
          <w:tcPr>
            <w:tcW w:w="1560" w:type="dxa"/>
            <w:vAlign w:val="bottom"/>
          </w:tcPr>
          <w:p>
            <w:pPr>
              <w:spacing w:after="0"/>
              <w:rPr>
                <w:sz w:val="5"/>
                <w:szCs w:val="5"/>
                <w:color w:val="auto"/>
              </w:rPr>
            </w:pPr>
          </w:p>
        </w:tc>
        <w:tc>
          <w:tcPr>
            <w:tcW w:w="3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940" w:type="dxa"/>
            <w:vAlign w:val="bottom"/>
          </w:tcPr>
          <w:p>
            <w:pPr>
              <w:spacing w:after="0"/>
              <w:rPr>
                <w:sz w:val="5"/>
                <w:szCs w:val="5"/>
                <w:color w:val="auto"/>
              </w:rPr>
            </w:pPr>
          </w:p>
        </w:tc>
        <w:tc>
          <w:tcPr>
            <w:tcW w:w="20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98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50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Productivity and Business Processes</w:t>
            </w:r>
          </w:p>
        </w:tc>
        <w:tc>
          <w:tcPr>
            <w:tcW w:w="1900" w:type="dxa"/>
            <w:vAlign w:val="bottom"/>
            <w:gridSpan w:val="2"/>
            <w:shd w:val="clear" w:color="auto" w:fill="E5E5E5"/>
          </w:tcPr>
          <w:p>
            <w:pPr>
              <w:jc w:val="right"/>
              <w:ind w:right="240"/>
              <w:spacing w:after="0" w:line="202" w:lineRule="exact"/>
              <w:rPr>
                <w:sz w:val="20"/>
                <w:szCs w:val="20"/>
                <w:color w:val="auto"/>
              </w:rPr>
            </w:pPr>
            <w:r>
              <w:rPr>
                <w:rFonts w:ascii="Arial" w:cs="Arial" w:eastAsia="Arial" w:hAnsi="Arial"/>
                <w:sz w:val="18"/>
                <w:szCs w:val="18"/>
                <w:b w:val="1"/>
                <w:bCs w:val="1"/>
                <w:color w:val="auto"/>
              </w:rPr>
              <w:t>$</w:t>
            </w:r>
          </w:p>
        </w:tc>
        <w:tc>
          <w:tcPr>
            <w:tcW w:w="940" w:type="dxa"/>
            <w:vAlign w:val="bottom"/>
            <w:gridSpan w:val="2"/>
            <w:shd w:val="clear" w:color="auto" w:fill="E5E5E5"/>
          </w:tcPr>
          <w:p>
            <w:pPr>
              <w:jc w:val="right"/>
              <w:ind w:right="120"/>
              <w:spacing w:after="0" w:line="202" w:lineRule="exact"/>
              <w:rPr>
                <w:sz w:val="20"/>
                <w:szCs w:val="20"/>
                <w:color w:val="auto"/>
              </w:rPr>
            </w:pPr>
            <w:r>
              <w:rPr>
                <w:rFonts w:ascii="Arial" w:cs="Arial" w:eastAsia="Arial" w:hAnsi="Arial"/>
                <w:sz w:val="18"/>
                <w:szCs w:val="18"/>
                <w:b w:val="1"/>
                <w:bCs w:val="1"/>
                <w:color w:val="auto"/>
              </w:rPr>
              <w:t>23,739</w:t>
            </w:r>
          </w:p>
        </w:tc>
        <w:tc>
          <w:tcPr>
            <w:tcW w:w="32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b w:val="1"/>
                <w:bCs w:val="1"/>
                <w:color w:val="auto"/>
              </w:rPr>
              <w:t>$</w:t>
            </w:r>
          </w:p>
        </w:tc>
        <w:tc>
          <w:tcPr>
            <w:tcW w:w="1140" w:type="dxa"/>
            <w:vAlign w:val="bottom"/>
            <w:gridSpan w:val="2"/>
            <w:shd w:val="clear" w:color="auto" w:fill="E5E5E5"/>
          </w:tcPr>
          <w:p>
            <w:pPr>
              <w:jc w:val="right"/>
              <w:ind w:right="200"/>
              <w:spacing w:after="0" w:line="202" w:lineRule="exact"/>
              <w:rPr>
                <w:sz w:val="20"/>
                <w:szCs w:val="20"/>
                <w:color w:val="auto"/>
              </w:rPr>
            </w:pPr>
            <w:r>
              <w:rPr>
                <w:rFonts w:ascii="Arial" w:cs="Arial" w:eastAsia="Arial" w:hAnsi="Arial"/>
                <w:sz w:val="18"/>
                <w:szCs w:val="18"/>
                <w:b w:val="1"/>
                <w:bCs w:val="1"/>
                <w:color w:val="auto"/>
              </w:rPr>
              <w:t>0</w:t>
            </w:r>
          </w:p>
        </w:tc>
        <w:tc>
          <w:tcPr>
            <w:tcW w:w="440" w:type="dxa"/>
            <w:vAlign w:val="bottom"/>
            <w:shd w:val="clear" w:color="auto" w:fill="E5E5E5"/>
          </w:tcPr>
          <w:p>
            <w:pPr>
              <w:jc w:val="right"/>
              <w:ind w:right="250"/>
              <w:spacing w:after="0" w:line="202" w:lineRule="exact"/>
              <w:rPr>
                <w:sz w:val="20"/>
                <w:szCs w:val="20"/>
                <w:color w:val="auto"/>
              </w:rPr>
            </w:pPr>
            <w:r>
              <w:rPr>
                <w:rFonts w:ascii="Arial" w:cs="Arial" w:eastAsia="Arial" w:hAnsi="Arial"/>
                <w:sz w:val="18"/>
                <w:szCs w:val="18"/>
                <w:b w:val="1"/>
                <w:bCs w:val="1"/>
                <w:color w:val="auto"/>
                <w:w w:val="79"/>
              </w:rPr>
              <w:t>$</w:t>
            </w:r>
          </w:p>
        </w:tc>
        <w:tc>
          <w:tcPr>
            <w:tcW w:w="840" w:type="dxa"/>
            <w:vAlign w:val="bottom"/>
            <w:gridSpan w:val="2"/>
            <w:shd w:val="clear" w:color="auto" w:fill="E5E5E5"/>
          </w:tcPr>
          <w:p>
            <w:pPr>
              <w:jc w:val="right"/>
              <w:ind w:right="140"/>
              <w:spacing w:after="0" w:line="202" w:lineRule="exact"/>
              <w:rPr>
                <w:sz w:val="20"/>
                <w:szCs w:val="20"/>
                <w:color w:val="auto"/>
              </w:rPr>
            </w:pPr>
            <w:r>
              <w:rPr>
                <w:rFonts w:ascii="Arial" w:cs="Arial" w:eastAsia="Arial" w:hAnsi="Arial"/>
                <w:sz w:val="18"/>
                <w:szCs w:val="18"/>
                <w:b w:val="1"/>
                <w:bCs w:val="1"/>
                <w:color w:val="auto"/>
              </w:rPr>
              <w:t>51</w:t>
            </w:r>
          </w:p>
        </w:tc>
        <w:tc>
          <w:tcPr>
            <w:tcW w:w="240" w:type="dxa"/>
            <w:vAlign w:val="bottom"/>
            <w:gridSpan w:val="2"/>
            <w:shd w:val="clear" w:color="auto" w:fill="E5E5E5"/>
          </w:tcPr>
          <w:p>
            <w:pPr>
              <w:jc w:val="right"/>
              <w:ind w:right="60"/>
              <w:spacing w:after="0" w:line="202" w:lineRule="exact"/>
              <w:rPr>
                <w:sz w:val="20"/>
                <w:szCs w:val="20"/>
                <w:color w:val="auto"/>
              </w:rPr>
            </w:pPr>
            <w:r>
              <w:rPr>
                <w:rFonts w:ascii="Arial" w:cs="Arial" w:eastAsia="Arial" w:hAnsi="Arial"/>
                <w:sz w:val="18"/>
                <w:szCs w:val="18"/>
                <w:b w:val="1"/>
                <w:bCs w:val="1"/>
                <w:color w:val="auto"/>
              </w:rPr>
              <w:t>$</w:t>
            </w:r>
          </w:p>
        </w:tc>
        <w:tc>
          <w:tcPr>
            <w:tcW w:w="108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b w:val="1"/>
                <w:bCs w:val="1"/>
                <w:color w:val="auto"/>
              </w:rPr>
              <w:t>23,790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500" w:type="dxa"/>
            <w:vAlign w:val="bottom"/>
          </w:tcPr>
          <w:p>
            <w:pPr>
              <w:spacing w:after="0" w:line="189" w:lineRule="exact"/>
              <w:rPr>
                <w:sz w:val="20"/>
                <w:szCs w:val="20"/>
                <w:color w:val="auto"/>
              </w:rPr>
            </w:pPr>
            <w:r>
              <w:rPr>
                <w:rFonts w:ascii="Arial" w:cs="Arial" w:eastAsia="Arial" w:hAnsi="Arial"/>
                <w:sz w:val="18"/>
                <w:szCs w:val="18"/>
                <w:color w:val="auto"/>
              </w:rPr>
              <w:t>Intelligent Cloud</w:t>
            </w:r>
          </w:p>
        </w:tc>
        <w:tc>
          <w:tcPr>
            <w:tcW w:w="15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40" w:type="dxa"/>
            <w:vAlign w:val="bottom"/>
            <w:gridSpan w:val="2"/>
          </w:tcPr>
          <w:p>
            <w:pPr>
              <w:jc w:val="right"/>
              <w:ind w:right="120"/>
              <w:spacing w:after="0" w:line="189" w:lineRule="exact"/>
              <w:rPr>
                <w:sz w:val="20"/>
                <w:szCs w:val="20"/>
                <w:color w:val="auto"/>
              </w:rPr>
            </w:pPr>
            <w:r>
              <w:rPr>
                <w:rFonts w:ascii="Arial" w:cs="Arial" w:eastAsia="Arial" w:hAnsi="Arial"/>
                <w:sz w:val="18"/>
                <w:szCs w:val="18"/>
                <w:b w:val="1"/>
                <w:bCs w:val="1"/>
                <w:color w:val="auto"/>
              </w:rPr>
              <w:t>5,555</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gridSpan w:val="2"/>
          </w:tcPr>
          <w:p>
            <w:pPr>
              <w:jc w:val="right"/>
              <w:ind w:right="200"/>
              <w:spacing w:after="0" w:line="189" w:lineRule="exact"/>
              <w:rPr>
                <w:sz w:val="20"/>
                <w:szCs w:val="20"/>
                <w:color w:val="auto"/>
              </w:rPr>
            </w:pPr>
            <w:r>
              <w:rPr>
                <w:rFonts w:ascii="Arial" w:cs="Arial" w:eastAsia="Arial" w:hAnsi="Arial"/>
                <w:sz w:val="18"/>
                <w:szCs w:val="18"/>
                <w:b w:val="1"/>
                <w:bCs w:val="1"/>
                <w:color w:val="auto"/>
              </w:rPr>
              <w:t>68</w:t>
            </w:r>
          </w:p>
        </w:tc>
        <w:tc>
          <w:tcPr>
            <w:tcW w:w="440" w:type="dxa"/>
            <w:vAlign w:val="bottom"/>
          </w:tcPr>
          <w:p>
            <w:pPr>
              <w:spacing w:after="0"/>
              <w:rPr>
                <w:sz w:val="16"/>
                <w:szCs w:val="16"/>
                <w:color w:val="auto"/>
              </w:rPr>
            </w:pPr>
          </w:p>
        </w:tc>
        <w:tc>
          <w:tcPr>
            <w:tcW w:w="840" w:type="dxa"/>
            <w:vAlign w:val="bottom"/>
            <w:gridSpan w:val="2"/>
          </w:tcPr>
          <w:p>
            <w:pPr>
              <w:jc w:val="right"/>
              <w:ind w:right="80"/>
              <w:spacing w:after="0" w:line="189" w:lineRule="exact"/>
              <w:rPr>
                <w:sz w:val="20"/>
                <w:szCs w:val="20"/>
                <w:color w:val="auto"/>
              </w:rPr>
            </w:pPr>
            <w:r>
              <w:rPr>
                <w:rFonts w:ascii="Arial" w:cs="Arial" w:eastAsia="Arial" w:hAnsi="Arial"/>
                <w:sz w:val="18"/>
                <w:szCs w:val="18"/>
                <w:b w:val="1"/>
                <w:bCs w:val="1"/>
                <w:color w:val="auto"/>
              </w:rPr>
              <w:t>(2)</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right"/>
              <w:ind w:right="100"/>
              <w:spacing w:after="0" w:line="189" w:lineRule="exact"/>
              <w:rPr>
                <w:sz w:val="20"/>
                <w:szCs w:val="20"/>
                <w:color w:val="auto"/>
              </w:rPr>
            </w:pPr>
            <w:r>
              <w:rPr>
                <w:rFonts w:ascii="Arial" w:cs="Arial" w:eastAsia="Arial" w:hAnsi="Arial"/>
                <w:sz w:val="18"/>
                <w:szCs w:val="18"/>
                <w:b w:val="1"/>
                <w:bCs w:val="1"/>
                <w:color w:val="auto"/>
              </w:rPr>
              <w:t>5,621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50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More Personal Computing</w:t>
            </w:r>
          </w:p>
        </w:tc>
        <w:tc>
          <w:tcPr>
            <w:tcW w:w="1560" w:type="dxa"/>
            <w:vAlign w:val="bottom"/>
            <w:shd w:val="clear" w:color="auto" w:fill="E5E5E5"/>
          </w:tcPr>
          <w:p>
            <w:pPr>
              <w:spacing w:after="0"/>
              <w:rPr>
                <w:sz w:val="16"/>
                <w:szCs w:val="16"/>
                <w:color w:val="auto"/>
              </w:rPr>
            </w:pPr>
          </w:p>
        </w:tc>
        <w:tc>
          <w:tcPr>
            <w:tcW w:w="340" w:type="dxa"/>
            <w:vAlign w:val="bottom"/>
            <w:shd w:val="clear" w:color="auto" w:fill="E5E5E5"/>
          </w:tcPr>
          <w:p>
            <w:pPr>
              <w:spacing w:after="0"/>
              <w:rPr>
                <w:sz w:val="16"/>
                <w:szCs w:val="16"/>
                <w:color w:val="auto"/>
              </w:rPr>
            </w:pPr>
          </w:p>
        </w:tc>
        <w:tc>
          <w:tcPr>
            <w:tcW w:w="94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5,828</w:t>
            </w:r>
          </w:p>
        </w:tc>
        <w:tc>
          <w:tcPr>
            <w:tcW w:w="12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1140" w:type="dxa"/>
            <w:vAlign w:val="bottom"/>
            <w:gridSpan w:val="2"/>
            <w:shd w:val="clear" w:color="auto" w:fill="E5E5E5"/>
          </w:tcPr>
          <w:p>
            <w:pPr>
              <w:jc w:val="right"/>
              <w:ind w:right="200"/>
              <w:spacing w:after="0" w:line="189" w:lineRule="exact"/>
              <w:rPr>
                <w:sz w:val="20"/>
                <w:szCs w:val="20"/>
                <w:color w:val="auto"/>
              </w:rPr>
            </w:pPr>
            <w:r>
              <w:rPr>
                <w:rFonts w:ascii="Arial" w:cs="Arial" w:eastAsia="Arial" w:hAnsi="Arial"/>
                <w:sz w:val="18"/>
                <w:szCs w:val="18"/>
                <w:b w:val="1"/>
                <w:bCs w:val="1"/>
                <w:color w:val="auto"/>
              </w:rPr>
              <w:t>57</w:t>
            </w:r>
          </w:p>
        </w:tc>
        <w:tc>
          <w:tcPr>
            <w:tcW w:w="440" w:type="dxa"/>
            <w:vAlign w:val="bottom"/>
            <w:shd w:val="clear" w:color="auto" w:fill="E5E5E5"/>
          </w:tcPr>
          <w:p>
            <w:pPr>
              <w:spacing w:after="0"/>
              <w:rPr>
                <w:sz w:val="16"/>
                <w:szCs w:val="16"/>
                <w:color w:val="auto"/>
              </w:rPr>
            </w:pPr>
          </w:p>
        </w:tc>
        <w:tc>
          <w:tcPr>
            <w:tcW w:w="84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b w:val="1"/>
                <w:bCs w:val="1"/>
                <w:color w:val="auto"/>
              </w:rPr>
              <w:t>93</w:t>
            </w:r>
          </w:p>
        </w:tc>
        <w:tc>
          <w:tcPr>
            <w:tcW w:w="80" w:type="dxa"/>
            <w:vAlign w:val="bottom"/>
            <w:shd w:val="clear" w:color="auto" w:fill="E5E5E5"/>
          </w:tcPr>
          <w:p>
            <w:pPr>
              <w:spacing w:after="0"/>
              <w:rPr>
                <w:sz w:val="16"/>
                <w:szCs w:val="16"/>
                <w:color w:val="auto"/>
              </w:rPr>
            </w:pPr>
          </w:p>
        </w:tc>
        <w:tc>
          <w:tcPr>
            <w:tcW w:w="160" w:type="dxa"/>
            <w:vAlign w:val="bottom"/>
            <w:shd w:val="clear" w:color="auto" w:fill="E5E5E5"/>
          </w:tcPr>
          <w:p>
            <w:pPr>
              <w:spacing w:after="0"/>
              <w:rPr>
                <w:sz w:val="16"/>
                <w:szCs w:val="16"/>
                <w:color w:val="auto"/>
              </w:rPr>
            </w:pPr>
          </w:p>
        </w:tc>
        <w:tc>
          <w:tcPr>
            <w:tcW w:w="108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5,978</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4500" w:type="dxa"/>
            <w:vAlign w:val="bottom"/>
            <w:tcBorders>
              <w:bottom w:val="single" w:sz="8" w:color="auto"/>
            </w:tcBorders>
          </w:tcPr>
          <w:p>
            <w:pPr>
              <w:spacing w:after="0"/>
              <w:rPr>
                <w:sz w:val="5"/>
                <w:szCs w:val="5"/>
                <w:color w:val="auto"/>
              </w:rPr>
            </w:pPr>
          </w:p>
        </w:tc>
        <w:tc>
          <w:tcPr>
            <w:tcW w:w="156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500" w:type="dxa"/>
            <w:vAlign w:val="bottom"/>
          </w:tcPr>
          <w:p>
            <w:pPr>
              <w:spacing w:after="0"/>
              <w:rPr>
                <w:sz w:val="5"/>
                <w:szCs w:val="5"/>
                <w:color w:val="auto"/>
              </w:rPr>
            </w:pPr>
          </w:p>
        </w:tc>
        <w:tc>
          <w:tcPr>
            <w:tcW w:w="1560" w:type="dxa"/>
            <w:vAlign w:val="bottom"/>
          </w:tcPr>
          <w:p>
            <w:pPr>
              <w:spacing w:after="0"/>
              <w:rPr>
                <w:sz w:val="5"/>
                <w:szCs w:val="5"/>
                <w:color w:val="auto"/>
              </w:rPr>
            </w:pPr>
          </w:p>
        </w:tc>
        <w:tc>
          <w:tcPr>
            <w:tcW w:w="3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940" w:type="dxa"/>
            <w:vAlign w:val="bottom"/>
          </w:tcPr>
          <w:p>
            <w:pPr>
              <w:spacing w:after="0"/>
              <w:rPr>
                <w:sz w:val="5"/>
                <w:szCs w:val="5"/>
                <w:color w:val="auto"/>
              </w:rPr>
            </w:pPr>
          </w:p>
        </w:tc>
        <w:tc>
          <w:tcPr>
            <w:tcW w:w="20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98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500" w:type="dxa"/>
            <w:vAlign w:val="bottom"/>
            <w:shd w:val="clear" w:color="auto" w:fill="E5E5E5"/>
          </w:tcPr>
          <w:p>
            <w:pPr>
              <w:ind w:left="200"/>
              <w:spacing w:after="0" w:line="189" w:lineRule="exact"/>
              <w:rPr>
                <w:sz w:val="20"/>
                <w:szCs w:val="20"/>
                <w:color w:val="auto"/>
              </w:rPr>
            </w:pPr>
            <w:r>
              <w:rPr>
                <w:rFonts w:ascii="Arial" w:cs="Arial" w:eastAsia="Arial" w:hAnsi="Arial"/>
                <w:sz w:val="18"/>
                <w:szCs w:val="18"/>
                <w:color w:val="auto"/>
              </w:rPr>
              <w:t>Total</w:t>
            </w:r>
          </w:p>
        </w:tc>
        <w:tc>
          <w:tcPr>
            <w:tcW w:w="1900" w:type="dxa"/>
            <w:vAlign w:val="bottom"/>
            <w:gridSpan w:val="2"/>
            <w:shd w:val="clear" w:color="auto" w:fill="E5E5E5"/>
          </w:tcPr>
          <w:p>
            <w:pPr>
              <w:jc w:val="right"/>
              <w:ind w:right="240"/>
              <w:spacing w:after="0" w:line="189" w:lineRule="exact"/>
              <w:rPr>
                <w:sz w:val="20"/>
                <w:szCs w:val="20"/>
                <w:color w:val="auto"/>
              </w:rPr>
            </w:pPr>
            <w:r>
              <w:rPr>
                <w:rFonts w:ascii="Arial" w:cs="Arial" w:eastAsia="Arial" w:hAnsi="Arial"/>
                <w:sz w:val="18"/>
                <w:szCs w:val="18"/>
                <w:b w:val="1"/>
                <w:bCs w:val="1"/>
                <w:color w:val="auto"/>
              </w:rPr>
              <w:t>$</w:t>
            </w:r>
          </w:p>
        </w:tc>
        <w:tc>
          <w:tcPr>
            <w:tcW w:w="94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35,122</w:t>
            </w:r>
          </w:p>
        </w:tc>
        <w:tc>
          <w:tcPr>
            <w:tcW w:w="32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w:t>
            </w:r>
          </w:p>
        </w:tc>
        <w:tc>
          <w:tcPr>
            <w:tcW w:w="94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rPr>
              <w:t>125</w:t>
            </w:r>
          </w:p>
        </w:tc>
        <w:tc>
          <w:tcPr>
            <w:tcW w:w="200" w:type="dxa"/>
            <w:vAlign w:val="bottom"/>
            <w:shd w:val="clear" w:color="auto" w:fill="E5E5E5"/>
          </w:tcPr>
          <w:p>
            <w:pPr>
              <w:spacing w:after="0"/>
              <w:rPr>
                <w:sz w:val="16"/>
                <w:szCs w:val="16"/>
                <w:color w:val="auto"/>
              </w:rPr>
            </w:pPr>
          </w:p>
        </w:tc>
        <w:tc>
          <w:tcPr>
            <w:tcW w:w="440" w:type="dxa"/>
            <w:vAlign w:val="bottom"/>
            <w:shd w:val="clear" w:color="auto" w:fill="E5E5E5"/>
          </w:tcPr>
          <w:p>
            <w:pPr>
              <w:jc w:val="right"/>
              <w:ind w:right="250"/>
              <w:spacing w:after="0" w:line="189" w:lineRule="exact"/>
              <w:rPr>
                <w:sz w:val="20"/>
                <w:szCs w:val="20"/>
                <w:color w:val="auto"/>
              </w:rPr>
            </w:pPr>
            <w:r>
              <w:rPr>
                <w:rFonts w:ascii="Arial" w:cs="Arial" w:eastAsia="Arial" w:hAnsi="Arial"/>
                <w:sz w:val="18"/>
                <w:szCs w:val="18"/>
                <w:b w:val="1"/>
                <w:bCs w:val="1"/>
                <w:color w:val="auto"/>
                <w:w w:val="79"/>
              </w:rPr>
              <w:t>$</w:t>
            </w:r>
          </w:p>
        </w:tc>
        <w:tc>
          <w:tcPr>
            <w:tcW w:w="84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b w:val="1"/>
                <w:bCs w:val="1"/>
                <w:color w:val="auto"/>
              </w:rPr>
              <w:t>142</w:t>
            </w:r>
          </w:p>
        </w:tc>
        <w:tc>
          <w:tcPr>
            <w:tcW w:w="24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b w:val="1"/>
                <w:bCs w:val="1"/>
                <w:color w:val="auto"/>
              </w:rPr>
              <w:t>$</w:t>
            </w:r>
          </w:p>
        </w:tc>
        <w:tc>
          <w:tcPr>
            <w:tcW w:w="108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35,389</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4500" w:type="dxa"/>
            <w:vAlign w:val="bottom"/>
          </w:tcPr>
          <w:p>
            <w:pPr>
              <w:spacing w:after="0"/>
              <w:rPr>
                <w:sz w:val="6"/>
                <w:szCs w:val="6"/>
                <w:color w:val="auto"/>
              </w:rPr>
            </w:pPr>
          </w:p>
        </w:tc>
        <w:tc>
          <w:tcPr>
            <w:tcW w:w="1560" w:type="dxa"/>
            <w:vAlign w:val="bottom"/>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The measurement periods for the valuation of assets acquired and liabilities assumed end as soon as information on the facts and circumstances that existed as of the acquisition dates becomes available, but do not exceed 12 months. Adjustments in purchase price allocations may require a change in the amounts allocated to goodwill during the periods in which the adjustments are determined.</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28916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4" w:name="page25"/>
    <w:bookmarkEnd w:id="24"/>
    <w:p>
      <w:pPr>
        <w:ind w:left="5500"/>
        <w:spacing w:after="0"/>
        <w:rPr>
          <w:sz w:val="20"/>
          <w:szCs w:val="20"/>
          <w:color w:val="auto"/>
        </w:rPr>
      </w:pPr>
      <w:r>
        <w:rPr>
          <w:rFonts w:ascii="Arial" w:cs="Arial" w:eastAsia="Arial" w:hAnsi="Arial"/>
          <w:sz w:val="14"/>
          <w:szCs w:val="14"/>
          <w:u w:val="single" w:color="auto"/>
          <w:color w:val="auto"/>
        </w:rPr>
        <w:t>PART I</w:t>
      </w:r>
    </w:p>
    <w:p>
      <w:pPr>
        <w:spacing w:after="0" w:line="5" w:lineRule="exact"/>
        <w:rPr>
          <w:sz w:val="20"/>
          <w:szCs w:val="20"/>
          <w:color w:val="auto"/>
        </w:rPr>
      </w:pPr>
    </w:p>
    <w:p>
      <w:pPr>
        <w:ind w:left="5520"/>
        <w:spacing w:after="0"/>
        <w:rPr>
          <w:sz w:val="20"/>
          <w:szCs w:val="20"/>
          <w:color w:val="auto"/>
        </w:rPr>
      </w:pPr>
      <w:r>
        <w:rPr>
          <w:rFonts w:ascii="Arial" w:cs="Arial" w:eastAsia="Arial" w:hAnsi="Arial"/>
          <w:sz w:val="14"/>
          <w:szCs w:val="14"/>
          <w:color w:val="auto"/>
        </w:rPr>
        <w:t>Item 1</w:t>
      </w:r>
    </w:p>
    <w:p>
      <w:pPr>
        <w:spacing w:after="0" w:line="127"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Any change in the goodwill amounts resulting from foreign currency translations and purchase accounting adjustments are presented as “Other” in the above table. Also included in “Other” are business dispositions and transfers between business segments due to reorganizations, as applicable.</w:t>
      </w:r>
    </w:p>
    <w:p>
      <w:pPr>
        <w:spacing w:after="0" w:line="218" w:lineRule="exact"/>
        <w:rPr>
          <w:sz w:val="20"/>
          <w:szCs w:val="20"/>
          <w:color w:val="auto"/>
        </w:rPr>
      </w:pPr>
    </w:p>
    <w:p>
      <w:pPr>
        <w:ind w:left="4300"/>
        <w:spacing w:after="0"/>
        <w:rPr>
          <w:sz w:val="20"/>
          <w:szCs w:val="20"/>
          <w:color w:val="auto"/>
        </w:rPr>
      </w:pPr>
      <w:r>
        <w:rPr>
          <w:rFonts w:ascii="Arial" w:cs="Arial" w:eastAsia="Arial" w:hAnsi="Arial"/>
          <w:sz w:val="18"/>
          <w:szCs w:val="18"/>
          <w:u w:val="single" w:color="auto"/>
          <w:color w:val="auto"/>
        </w:rPr>
        <w:t>NOTE 10 — INTANGIBLE ASSETS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intangible assets, all of which are finite-lived, were as follows: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Gross</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w w:val="97"/>
              </w:rPr>
              <w:t>Accumulated</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Net</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Gross</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vMerge w:val="restart"/>
          </w:tcPr>
          <w:p>
            <w:pPr>
              <w:jc w:val="right"/>
              <w:ind w:right="140"/>
              <w:spacing w:after="0"/>
              <w:rPr>
                <w:sz w:val="20"/>
                <w:szCs w:val="20"/>
                <w:color w:val="auto"/>
              </w:rPr>
            </w:pPr>
            <w:r>
              <w:rPr>
                <w:rFonts w:ascii="Arial" w:cs="Arial" w:eastAsia="Arial" w:hAnsi="Arial"/>
                <w:sz w:val="14"/>
                <w:szCs w:val="14"/>
                <w:b w:val="1"/>
                <w:bCs w:val="1"/>
                <w:color w:val="auto"/>
                <w:w w:val="95"/>
              </w:rPr>
              <w:t>Accumulated</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49"/>
        </w:trPr>
        <w:tc>
          <w:tcPr>
            <w:tcW w:w="28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w:t>
            </w:r>
          </w:p>
        </w:tc>
        <w:tc>
          <w:tcPr>
            <w:tcW w:w="1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gridSpan w:val="2"/>
          </w:tcPr>
          <w:p>
            <w:pPr>
              <w:jc w:val="right"/>
              <w:ind w:right="140"/>
              <w:spacing w:after="0" w:line="149" w:lineRule="exact"/>
              <w:rPr>
                <w:sz w:val="20"/>
                <w:szCs w:val="20"/>
                <w:color w:val="auto"/>
              </w:rPr>
            </w:pPr>
            <w:r>
              <w:rPr>
                <w:rFonts w:ascii="Arial" w:cs="Arial" w:eastAsia="Arial" w:hAnsi="Arial"/>
                <w:sz w:val="14"/>
                <w:szCs w:val="14"/>
                <w:b w:val="1"/>
                <w:bCs w:val="1"/>
                <w:color w:val="auto"/>
              </w:rPr>
              <w:t>Carrying</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Carrying</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Carrying</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Carrying</w:t>
            </w:r>
          </w:p>
        </w:tc>
        <w:tc>
          <w:tcPr>
            <w:tcW w:w="0" w:type="dxa"/>
            <w:vAlign w:val="bottom"/>
          </w:tcPr>
          <w:p>
            <w:pPr>
              <w:spacing w:after="0"/>
              <w:rPr>
                <w:sz w:val="1"/>
                <w:szCs w:val="1"/>
                <w:color w:val="auto"/>
              </w:rPr>
            </w:pPr>
          </w:p>
        </w:tc>
      </w:tr>
      <w:tr>
        <w:trPr>
          <w:trHeight w:val="190"/>
        </w:trPr>
        <w:tc>
          <w:tcPr>
            <w:tcW w:w="2860" w:type="dxa"/>
            <w:vAlign w:val="bottom"/>
            <w:gridSpan w:val="2"/>
            <w:vMerge w:val="continue"/>
          </w:tcPr>
          <w:p>
            <w:pPr>
              <w:spacing w:after="0"/>
              <w:rPr>
                <w:sz w:val="16"/>
                <w:szCs w:val="16"/>
                <w:color w:val="auto"/>
              </w:rPr>
            </w:pPr>
          </w:p>
        </w:tc>
        <w:tc>
          <w:tcPr>
            <w:tcW w:w="1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Amortization</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98"/>
              </w:rPr>
              <w:t>Amortization</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284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gridSpan w:val="2"/>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96"/>
              </w:rPr>
              <w:t>September 30,</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 w:type="dxa"/>
            <w:vAlign w:val="bottom"/>
            <w:vMerge w:val="restart"/>
          </w:tcPr>
          <w:p>
            <w:pPr>
              <w:spacing w:after="0"/>
              <w:rPr>
                <w:sz w:val="3"/>
                <w:szCs w:val="3"/>
                <w:color w:val="auto"/>
              </w:rPr>
            </w:pPr>
          </w:p>
        </w:tc>
        <w:tc>
          <w:tcPr>
            <w:tcW w:w="28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2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284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 xml:space="preserve">Technology-based </w:t>
            </w:r>
            <w:r>
              <w:rPr>
                <w:rFonts w:ascii="Arial" w:cs="Arial" w:eastAsia="Arial" w:hAnsi="Arial"/>
                <w:sz w:val="15"/>
                <w:szCs w:val="15"/>
                <w:color w:val="auto"/>
              </w:rPr>
              <w:t>(a)</w:t>
            </w:r>
          </w:p>
        </w:tc>
        <w:tc>
          <w:tcPr>
            <w:tcW w:w="1440" w:type="dxa"/>
            <w:vAlign w:val="bottom"/>
            <w:gridSpan w:val="2"/>
            <w:shd w:val="clear" w:color="auto" w:fill="E5E5E5"/>
          </w:tcPr>
          <w:p>
            <w:pPr>
              <w:jc w:val="right"/>
              <w:ind w:right="180"/>
              <w:spacing w:after="0" w:line="202" w:lineRule="exact"/>
              <w:rPr>
                <w:sz w:val="20"/>
                <w:szCs w:val="20"/>
                <w:color w:val="auto"/>
              </w:rPr>
            </w:pPr>
            <w:r>
              <w:rPr>
                <w:rFonts w:ascii="Arial" w:cs="Arial" w:eastAsia="Arial" w:hAnsi="Arial"/>
                <w:sz w:val="18"/>
                <w:szCs w:val="18"/>
                <w:b w:val="1"/>
                <w:bCs w:val="1"/>
                <w:color w:val="auto"/>
              </w:rPr>
              <w:t>$</w:t>
            </w:r>
          </w:p>
        </w:tc>
        <w:tc>
          <w:tcPr>
            <w:tcW w:w="880" w:type="dxa"/>
            <w:vAlign w:val="bottom"/>
            <w:gridSpan w:val="2"/>
            <w:shd w:val="clear" w:color="auto" w:fill="E5E5E5"/>
          </w:tcPr>
          <w:p>
            <w:pPr>
              <w:jc w:val="right"/>
              <w:ind w:right="120"/>
              <w:spacing w:after="0" w:line="202" w:lineRule="exact"/>
              <w:rPr>
                <w:sz w:val="20"/>
                <w:szCs w:val="20"/>
                <w:color w:val="auto"/>
              </w:rPr>
            </w:pPr>
            <w:r>
              <w:rPr>
                <w:rFonts w:ascii="Arial" w:cs="Arial" w:eastAsia="Arial" w:hAnsi="Arial"/>
                <w:sz w:val="18"/>
                <w:szCs w:val="18"/>
                <w:b w:val="1"/>
                <w:bCs w:val="1"/>
                <w:color w:val="auto"/>
              </w:rPr>
              <w:t>7,833</w:t>
            </w:r>
          </w:p>
        </w:tc>
        <w:tc>
          <w:tcPr>
            <w:tcW w:w="280" w:type="dxa"/>
            <w:vAlign w:val="bottom"/>
            <w:gridSpan w:val="2"/>
            <w:shd w:val="clear" w:color="auto" w:fill="E5E5E5"/>
          </w:tcPr>
          <w:p>
            <w:pPr>
              <w:jc w:val="right"/>
              <w:ind w:right="60"/>
              <w:spacing w:after="0" w:line="202" w:lineRule="exact"/>
              <w:rPr>
                <w:sz w:val="20"/>
                <w:szCs w:val="20"/>
                <w:color w:val="auto"/>
              </w:rPr>
            </w:pPr>
            <w:r>
              <w:rPr>
                <w:rFonts w:ascii="Arial" w:cs="Arial" w:eastAsia="Arial" w:hAnsi="Arial"/>
                <w:sz w:val="18"/>
                <w:szCs w:val="18"/>
                <w:b w:val="1"/>
                <w:bCs w:val="1"/>
                <w:color w:val="auto"/>
              </w:rPr>
              <w:t>$</w:t>
            </w:r>
          </w:p>
        </w:tc>
        <w:tc>
          <w:tcPr>
            <w:tcW w:w="104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b w:val="1"/>
                <w:bCs w:val="1"/>
                <w:color w:val="auto"/>
              </w:rPr>
              <w:t>(4,686)</w:t>
            </w:r>
          </w:p>
        </w:tc>
        <w:tc>
          <w:tcPr>
            <w:tcW w:w="180" w:type="dxa"/>
            <w:vAlign w:val="bottom"/>
            <w:gridSpan w:val="2"/>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1060" w:type="dxa"/>
            <w:vAlign w:val="bottom"/>
            <w:gridSpan w:val="2"/>
            <w:shd w:val="clear" w:color="auto" w:fill="E5E5E5"/>
          </w:tcPr>
          <w:p>
            <w:pPr>
              <w:jc w:val="right"/>
              <w:ind w:right="120"/>
              <w:spacing w:after="0" w:line="202" w:lineRule="exact"/>
              <w:rPr>
                <w:sz w:val="20"/>
                <w:szCs w:val="20"/>
                <w:color w:val="auto"/>
              </w:rPr>
            </w:pPr>
            <w:r>
              <w:rPr>
                <w:rFonts w:ascii="Arial" w:cs="Arial" w:eastAsia="Arial" w:hAnsi="Arial"/>
                <w:sz w:val="18"/>
                <w:szCs w:val="18"/>
                <w:b w:val="1"/>
                <w:bCs w:val="1"/>
                <w:color w:val="auto"/>
              </w:rPr>
              <w:t>3,147</w:t>
            </w:r>
          </w:p>
        </w:tc>
        <w:tc>
          <w:tcPr>
            <w:tcW w:w="380" w:type="dxa"/>
            <w:vAlign w:val="bottom"/>
            <w:gridSpan w:val="2"/>
            <w:shd w:val="clear" w:color="auto" w:fill="E5E5E5"/>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84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7,765</w:t>
            </w:r>
          </w:p>
        </w:tc>
        <w:tc>
          <w:tcPr>
            <w:tcW w:w="260" w:type="dxa"/>
            <w:vAlign w:val="bottom"/>
            <w:gridSpan w:val="2"/>
            <w:shd w:val="clear" w:color="auto" w:fill="E5E5E5"/>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1000" w:type="dxa"/>
            <w:vAlign w:val="bottom"/>
            <w:gridSpan w:val="2"/>
            <w:shd w:val="clear" w:color="auto" w:fill="E5E5E5"/>
          </w:tcPr>
          <w:p>
            <w:pPr>
              <w:jc w:val="right"/>
              <w:ind w:right="80"/>
              <w:spacing w:after="0" w:line="202" w:lineRule="exact"/>
              <w:rPr>
                <w:sz w:val="20"/>
                <w:szCs w:val="20"/>
                <w:color w:val="auto"/>
              </w:rPr>
            </w:pPr>
            <w:r>
              <w:rPr>
                <w:rFonts w:ascii="Arial" w:cs="Arial" w:eastAsia="Arial" w:hAnsi="Arial"/>
                <w:sz w:val="18"/>
                <w:szCs w:val="18"/>
                <w:color w:val="auto"/>
              </w:rPr>
              <w:t>(4,318)</w:t>
            </w:r>
          </w:p>
        </w:tc>
        <w:tc>
          <w:tcPr>
            <w:tcW w:w="360" w:type="dxa"/>
            <w:vAlign w:val="bottom"/>
            <w:gridSpan w:val="2"/>
            <w:shd w:val="clear" w:color="auto" w:fill="E5E5E5"/>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84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3,447</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840" w:type="dxa"/>
            <w:vAlign w:val="bottom"/>
          </w:tcPr>
          <w:p>
            <w:pPr>
              <w:spacing w:after="0" w:line="189" w:lineRule="exact"/>
              <w:rPr>
                <w:sz w:val="20"/>
                <w:szCs w:val="20"/>
                <w:color w:val="auto"/>
              </w:rPr>
            </w:pPr>
            <w:r>
              <w:rPr>
                <w:rFonts w:ascii="Arial" w:cs="Arial" w:eastAsia="Arial" w:hAnsi="Arial"/>
                <w:sz w:val="18"/>
                <w:szCs w:val="18"/>
                <w:color w:val="auto"/>
              </w:rPr>
              <w:t>Marketing-related</w:t>
            </w:r>
          </w:p>
        </w:tc>
        <w:tc>
          <w:tcPr>
            <w:tcW w:w="1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gridSpan w:val="2"/>
          </w:tcPr>
          <w:p>
            <w:pPr>
              <w:jc w:val="right"/>
              <w:ind w:right="120"/>
              <w:spacing w:after="0" w:line="189" w:lineRule="exact"/>
              <w:rPr>
                <w:sz w:val="20"/>
                <w:szCs w:val="20"/>
                <w:color w:val="auto"/>
              </w:rPr>
            </w:pPr>
            <w:r>
              <w:rPr>
                <w:rFonts w:ascii="Arial" w:cs="Arial" w:eastAsia="Arial" w:hAnsi="Arial"/>
                <w:sz w:val="18"/>
                <w:szCs w:val="18"/>
                <w:b w:val="1"/>
                <w:bCs w:val="1"/>
                <w:color w:val="auto"/>
              </w:rPr>
              <w:t>4,040</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gridSpan w:val="2"/>
          </w:tcPr>
          <w:p>
            <w:pPr>
              <w:jc w:val="right"/>
              <w:ind w:right="100"/>
              <w:spacing w:after="0" w:line="189" w:lineRule="exact"/>
              <w:rPr>
                <w:sz w:val="20"/>
                <w:szCs w:val="20"/>
                <w:color w:val="auto"/>
              </w:rPr>
            </w:pPr>
            <w:r>
              <w:rPr>
                <w:rFonts w:ascii="Arial" w:cs="Arial" w:eastAsia="Arial" w:hAnsi="Arial"/>
                <w:sz w:val="18"/>
                <w:szCs w:val="18"/>
                <w:b w:val="1"/>
                <w:bCs w:val="1"/>
                <w:color w:val="auto"/>
              </w:rPr>
              <w:t>(902)</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2"/>
          </w:tcPr>
          <w:p>
            <w:pPr>
              <w:jc w:val="right"/>
              <w:ind w:right="120"/>
              <w:spacing w:after="0" w:line="189" w:lineRule="exact"/>
              <w:rPr>
                <w:sz w:val="20"/>
                <w:szCs w:val="20"/>
                <w:color w:val="auto"/>
              </w:rPr>
            </w:pPr>
            <w:r>
              <w:rPr>
                <w:rFonts w:ascii="Arial" w:cs="Arial" w:eastAsia="Arial" w:hAnsi="Arial"/>
                <w:sz w:val="18"/>
                <w:szCs w:val="18"/>
                <w:b w:val="1"/>
                <w:bCs w:val="1"/>
                <w:color w:val="auto"/>
              </w:rPr>
              <w:t>3,138</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gridSpan w:val="2"/>
          </w:tcPr>
          <w:p>
            <w:pPr>
              <w:jc w:val="right"/>
              <w:ind w:right="100"/>
              <w:spacing w:after="0" w:line="189" w:lineRule="exact"/>
              <w:rPr>
                <w:sz w:val="20"/>
                <w:szCs w:val="20"/>
                <w:color w:val="auto"/>
              </w:rPr>
            </w:pPr>
            <w:r>
              <w:rPr>
                <w:rFonts w:ascii="Arial" w:cs="Arial" w:eastAsia="Arial" w:hAnsi="Arial"/>
                <w:sz w:val="18"/>
                <w:szCs w:val="18"/>
                <w:color w:val="auto"/>
              </w:rPr>
              <w:t>4,016</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gridSpan w:val="2"/>
          </w:tcPr>
          <w:p>
            <w:pPr>
              <w:jc w:val="right"/>
              <w:ind w:right="80"/>
              <w:spacing w:after="0" w:line="189" w:lineRule="exact"/>
              <w:rPr>
                <w:sz w:val="20"/>
                <w:szCs w:val="20"/>
                <w:color w:val="auto"/>
              </w:rPr>
            </w:pPr>
            <w:r>
              <w:rPr>
                <w:rFonts w:ascii="Arial" w:cs="Arial" w:eastAsia="Arial" w:hAnsi="Arial"/>
                <w:sz w:val="18"/>
                <w:szCs w:val="18"/>
                <w:color w:val="auto"/>
              </w:rPr>
              <w:t>(829)</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gridSpan w:val="2"/>
          </w:tcPr>
          <w:p>
            <w:pPr>
              <w:jc w:val="right"/>
              <w:ind w:right="100"/>
              <w:spacing w:after="0" w:line="189" w:lineRule="exact"/>
              <w:rPr>
                <w:sz w:val="20"/>
                <w:szCs w:val="20"/>
                <w:color w:val="auto"/>
              </w:rPr>
            </w:pPr>
            <w:r>
              <w:rPr>
                <w:rFonts w:ascii="Arial" w:cs="Arial" w:eastAsia="Arial" w:hAnsi="Arial"/>
                <w:sz w:val="18"/>
                <w:szCs w:val="18"/>
                <w:color w:val="auto"/>
              </w:rPr>
              <w:t>3,187</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84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Contract-based</w:t>
            </w:r>
          </w:p>
        </w:tc>
        <w:tc>
          <w:tcPr>
            <w:tcW w:w="1160" w:type="dxa"/>
            <w:vAlign w:val="bottom"/>
            <w:shd w:val="clear" w:color="auto" w:fill="E5E5E5"/>
          </w:tcPr>
          <w:p>
            <w:pPr>
              <w:spacing w:after="0"/>
              <w:rPr>
                <w:sz w:val="16"/>
                <w:szCs w:val="16"/>
                <w:color w:val="auto"/>
              </w:rPr>
            </w:pPr>
          </w:p>
        </w:tc>
        <w:tc>
          <w:tcPr>
            <w:tcW w:w="280" w:type="dxa"/>
            <w:vAlign w:val="bottom"/>
            <w:shd w:val="clear" w:color="auto" w:fill="E5E5E5"/>
          </w:tcPr>
          <w:p>
            <w:pPr>
              <w:spacing w:after="0"/>
              <w:rPr>
                <w:sz w:val="16"/>
                <w:szCs w:val="16"/>
                <w:color w:val="auto"/>
              </w:rPr>
            </w:pPr>
          </w:p>
        </w:tc>
        <w:tc>
          <w:tcPr>
            <w:tcW w:w="88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819</w:t>
            </w:r>
          </w:p>
        </w:tc>
        <w:tc>
          <w:tcPr>
            <w:tcW w:w="120" w:type="dxa"/>
            <w:vAlign w:val="bottom"/>
            <w:shd w:val="clear" w:color="auto" w:fill="E5E5E5"/>
          </w:tcPr>
          <w:p>
            <w:pPr>
              <w:spacing w:after="0"/>
              <w:rPr>
                <w:sz w:val="16"/>
                <w:szCs w:val="16"/>
                <w:color w:val="auto"/>
              </w:rPr>
            </w:pPr>
          </w:p>
        </w:tc>
        <w:tc>
          <w:tcPr>
            <w:tcW w:w="160" w:type="dxa"/>
            <w:vAlign w:val="bottom"/>
            <w:shd w:val="clear" w:color="auto" w:fill="E5E5E5"/>
          </w:tcPr>
          <w:p>
            <w:pPr>
              <w:spacing w:after="0"/>
              <w:rPr>
                <w:sz w:val="16"/>
                <w:szCs w:val="16"/>
                <w:color w:val="auto"/>
              </w:rPr>
            </w:pPr>
          </w:p>
        </w:tc>
        <w:tc>
          <w:tcPr>
            <w:tcW w:w="104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(725)</w:t>
            </w:r>
          </w:p>
        </w:tc>
        <w:tc>
          <w:tcPr>
            <w:tcW w:w="8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106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94</w:t>
            </w:r>
          </w:p>
        </w:tc>
        <w:tc>
          <w:tcPr>
            <w:tcW w:w="100" w:type="dxa"/>
            <w:vAlign w:val="bottom"/>
            <w:shd w:val="clear" w:color="auto" w:fill="E5E5E5"/>
          </w:tcPr>
          <w:p>
            <w:pPr>
              <w:spacing w:after="0"/>
              <w:rPr>
                <w:sz w:val="16"/>
                <w:szCs w:val="16"/>
                <w:color w:val="auto"/>
              </w:rPr>
            </w:pPr>
          </w:p>
        </w:tc>
        <w:tc>
          <w:tcPr>
            <w:tcW w:w="280" w:type="dxa"/>
            <w:vAlign w:val="bottom"/>
            <w:shd w:val="clear" w:color="auto" w:fill="E5E5E5"/>
          </w:tcPr>
          <w:p>
            <w:pPr>
              <w:spacing w:after="0"/>
              <w:rPr>
                <w:sz w:val="16"/>
                <w:szCs w:val="16"/>
                <w:color w:val="auto"/>
              </w:rPr>
            </w:pPr>
          </w:p>
        </w:tc>
        <w:tc>
          <w:tcPr>
            <w:tcW w:w="84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841</w:t>
            </w:r>
          </w:p>
        </w:tc>
        <w:tc>
          <w:tcPr>
            <w:tcW w:w="120" w:type="dxa"/>
            <w:vAlign w:val="bottom"/>
            <w:shd w:val="clear" w:color="auto" w:fill="E5E5E5"/>
          </w:tcPr>
          <w:p>
            <w:pPr>
              <w:spacing w:after="0"/>
              <w:rPr>
                <w:sz w:val="16"/>
                <w:szCs w:val="16"/>
                <w:color w:val="auto"/>
              </w:rPr>
            </w:pPr>
          </w:p>
        </w:tc>
        <w:tc>
          <w:tcPr>
            <w:tcW w:w="140" w:type="dxa"/>
            <w:vAlign w:val="bottom"/>
            <w:shd w:val="clear" w:color="auto" w:fill="E5E5E5"/>
          </w:tcPr>
          <w:p>
            <w:pPr>
              <w:spacing w:after="0"/>
              <w:rPr>
                <w:sz w:val="16"/>
                <w:szCs w:val="16"/>
                <w:color w:val="auto"/>
              </w:rPr>
            </w:pPr>
          </w:p>
        </w:tc>
        <w:tc>
          <w:tcPr>
            <w:tcW w:w="1000" w:type="dxa"/>
            <w:vAlign w:val="bottom"/>
            <w:gridSpan w:val="2"/>
            <w:shd w:val="clear" w:color="auto" w:fill="E5E5E5"/>
          </w:tcPr>
          <w:p>
            <w:pPr>
              <w:jc w:val="right"/>
              <w:ind w:right="80"/>
              <w:spacing w:after="0" w:line="189" w:lineRule="exact"/>
              <w:rPr>
                <w:sz w:val="20"/>
                <w:szCs w:val="20"/>
                <w:color w:val="auto"/>
              </w:rPr>
            </w:pPr>
            <w:r>
              <w:rPr>
                <w:rFonts w:ascii="Arial" w:cs="Arial" w:eastAsia="Arial" w:hAnsi="Arial"/>
                <w:sz w:val="18"/>
                <w:szCs w:val="18"/>
                <w:color w:val="auto"/>
              </w:rPr>
              <w:t>(722)</w:t>
            </w:r>
          </w:p>
        </w:tc>
        <w:tc>
          <w:tcPr>
            <w:tcW w:w="80" w:type="dxa"/>
            <w:vAlign w:val="bottom"/>
            <w:shd w:val="clear" w:color="auto" w:fill="E5E5E5"/>
          </w:tcPr>
          <w:p>
            <w:pPr>
              <w:spacing w:after="0"/>
              <w:rPr>
                <w:sz w:val="16"/>
                <w:szCs w:val="16"/>
                <w:color w:val="auto"/>
              </w:rPr>
            </w:pPr>
          </w:p>
        </w:tc>
        <w:tc>
          <w:tcPr>
            <w:tcW w:w="280" w:type="dxa"/>
            <w:vAlign w:val="bottom"/>
            <w:shd w:val="clear" w:color="auto" w:fill="E5E5E5"/>
          </w:tcPr>
          <w:p>
            <w:pPr>
              <w:spacing w:after="0"/>
              <w:rPr>
                <w:sz w:val="16"/>
                <w:szCs w:val="16"/>
                <w:color w:val="auto"/>
              </w:rPr>
            </w:pPr>
          </w:p>
        </w:tc>
        <w:tc>
          <w:tcPr>
            <w:tcW w:w="84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Customer-related</w:t>
            </w:r>
          </w:p>
        </w:tc>
        <w:tc>
          <w:tcPr>
            <w:tcW w:w="11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4,049</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(830)</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3,219</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4,045</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(692)</w:t>
            </w: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3,353</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840" w:type="dxa"/>
            <w:vAlign w:val="bottom"/>
            <w:tcBorders>
              <w:top w:val="single" w:sz="8" w:color="auto"/>
            </w:tcBorders>
          </w:tcPr>
          <w:p>
            <w:pPr>
              <w:spacing w:after="0"/>
              <w:rPr>
                <w:sz w:val="5"/>
                <w:szCs w:val="5"/>
                <w:color w:val="auto"/>
              </w:rPr>
            </w:pPr>
          </w:p>
        </w:tc>
        <w:tc>
          <w:tcPr>
            <w:tcW w:w="1160" w:type="dxa"/>
            <w:vAlign w:val="bottom"/>
            <w:tcBorders>
              <w:top w:val="single" w:sz="8" w:color="auto"/>
            </w:tcBorders>
          </w:tcPr>
          <w:p>
            <w:pPr>
              <w:spacing w:after="0"/>
              <w:rPr>
                <w:sz w:val="5"/>
                <w:szCs w:val="5"/>
                <w:color w:val="auto"/>
              </w:rPr>
            </w:pPr>
          </w:p>
        </w:tc>
        <w:tc>
          <w:tcPr>
            <w:tcW w:w="280" w:type="dxa"/>
            <w:vAlign w:val="bottom"/>
            <w:tcBorders>
              <w:top w:val="single" w:sz="8" w:color="auto"/>
            </w:tcBorders>
          </w:tcPr>
          <w:p>
            <w:pPr>
              <w:spacing w:after="0"/>
              <w:rPr>
                <w:sz w:val="5"/>
                <w:szCs w:val="5"/>
                <w:color w:val="auto"/>
              </w:rPr>
            </w:pPr>
          </w:p>
        </w:tc>
        <w:tc>
          <w:tcPr>
            <w:tcW w:w="760" w:type="dxa"/>
            <w:vAlign w:val="bottom"/>
            <w:tcBorders>
              <w:top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Borders>
              <w:top w:val="single" w:sz="8" w:color="auto"/>
            </w:tcBorders>
          </w:tcPr>
          <w:p>
            <w:pPr>
              <w:spacing w:after="0"/>
              <w:rPr>
                <w:sz w:val="5"/>
                <w:szCs w:val="5"/>
                <w:color w:val="auto"/>
              </w:rPr>
            </w:pPr>
          </w:p>
        </w:tc>
        <w:tc>
          <w:tcPr>
            <w:tcW w:w="880" w:type="dxa"/>
            <w:vAlign w:val="bottom"/>
            <w:tcBorders>
              <w:top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940" w:type="dxa"/>
            <w:vAlign w:val="bottom"/>
            <w:tcBorders>
              <w:top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Borders>
              <w:top w:val="single" w:sz="8" w:color="auto"/>
            </w:tcBorders>
          </w:tcPr>
          <w:p>
            <w:pPr>
              <w:spacing w:after="0"/>
              <w:rPr>
                <w:sz w:val="5"/>
                <w:szCs w:val="5"/>
                <w:color w:val="auto"/>
              </w:rPr>
            </w:pPr>
          </w:p>
        </w:tc>
        <w:tc>
          <w:tcPr>
            <w:tcW w:w="74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Borders>
              <w:top w:val="single" w:sz="8" w:color="auto"/>
            </w:tcBorders>
          </w:tcPr>
          <w:p>
            <w:pPr>
              <w:spacing w:after="0"/>
              <w:rPr>
                <w:sz w:val="5"/>
                <w:szCs w:val="5"/>
                <w:color w:val="auto"/>
              </w:rPr>
            </w:pPr>
          </w:p>
        </w:tc>
        <w:tc>
          <w:tcPr>
            <w:tcW w:w="860" w:type="dxa"/>
            <w:vAlign w:val="bottom"/>
            <w:tcBorders>
              <w:top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Borders>
              <w:top w:val="single" w:sz="8" w:color="auto"/>
            </w:tcBorders>
          </w:tcPr>
          <w:p>
            <w:pPr>
              <w:spacing w:after="0"/>
              <w:rPr>
                <w:sz w:val="5"/>
                <w:szCs w:val="5"/>
                <w:color w:val="auto"/>
              </w:rPr>
            </w:pPr>
          </w:p>
        </w:tc>
        <w:tc>
          <w:tcPr>
            <w:tcW w:w="74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840" w:type="dxa"/>
            <w:vAlign w:val="bottom"/>
            <w:shd w:val="clear" w:color="auto" w:fill="E5E5E5"/>
          </w:tcPr>
          <w:p>
            <w:pPr>
              <w:ind w:left="200"/>
              <w:spacing w:after="0" w:line="189" w:lineRule="exact"/>
              <w:rPr>
                <w:sz w:val="20"/>
                <w:szCs w:val="20"/>
                <w:color w:val="auto"/>
              </w:rPr>
            </w:pPr>
            <w:r>
              <w:rPr>
                <w:rFonts w:ascii="Arial" w:cs="Arial" w:eastAsia="Arial" w:hAnsi="Arial"/>
                <w:sz w:val="18"/>
                <w:szCs w:val="18"/>
                <w:color w:val="auto"/>
              </w:rPr>
              <w:t>Total</w:t>
            </w:r>
          </w:p>
        </w:tc>
        <w:tc>
          <w:tcPr>
            <w:tcW w:w="1440" w:type="dxa"/>
            <w:vAlign w:val="bottom"/>
            <w:gridSpan w:val="2"/>
            <w:shd w:val="clear" w:color="auto" w:fill="E5E5E5"/>
          </w:tcPr>
          <w:p>
            <w:pPr>
              <w:jc w:val="right"/>
              <w:ind w:right="180"/>
              <w:spacing w:after="0" w:line="189" w:lineRule="exact"/>
              <w:rPr>
                <w:sz w:val="20"/>
                <w:szCs w:val="20"/>
                <w:color w:val="auto"/>
              </w:rPr>
            </w:pPr>
            <w:r>
              <w:rPr>
                <w:rFonts w:ascii="Arial" w:cs="Arial" w:eastAsia="Arial" w:hAnsi="Arial"/>
                <w:sz w:val="18"/>
                <w:szCs w:val="18"/>
                <w:b w:val="1"/>
                <w:bCs w:val="1"/>
                <w:color w:val="auto"/>
              </w:rPr>
              <w:t>$</w:t>
            </w:r>
          </w:p>
        </w:tc>
        <w:tc>
          <w:tcPr>
            <w:tcW w:w="88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16,741</w:t>
            </w:r>
          </w:p>
        </w:tc>
        <w:tc>
          <w:tcPr>
            <w:tcW w:w="28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b w:val="1"/>
                <w:bCs w:val="1"/>
                <w:color w:val="auto"/>
              </w:rPr>
              <w:t>$</w:t>
            </w:r>
          </w:p>
        </w:tc>
        <w:tc>
          <w:tcPr>
            <w:tcW w:w="104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(7,143)</w:t>
            </w:r>
          </w:p>
        </w:tc>
        <w:tc>
          <w:tcPr>
            <w:tcW w:w="180" w:type="dxa"/>
            <w:vAlign w:val="bottom"/>
            <w:gridSpan w:val="2"/>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rPr>
              <w:t>$</w:t>
            </w:r>
          </w:p>
        </w:tc>
        <w:tc>
          <w:tcPr>
            <w:tcW w:w="106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9,598</w:t>
            </w:r>
          </w:p>
        </w:tc>
        <w:tc>
          <w:tcPr>
            <w:tcW w:w="380" w:type="dxa"/>
            <w:vAlign w:val="bottom"/>
            <w:gridSpan w:val="2"/>
            <w:shd w:val="clear" w:color="auto" w:fill="E5E5E5"/>
          </w:tcPr>
          <w:p>
            <w:pPr>
              <w:jc w:val="right"/>
              <w:ind w:right="180"/>
              <w:spacing w:after="0" w:line="189" w:lineRule="exact"/>
              <w:rPr>
                <w:sz w:val="20"/>
                <w:szCs w:val="20"/>
                <w:color w:val="auto"/>
              </w:rPr>
            </w:pPr>
            <w:r>
              <w:rPr>
                <w:rFonts w:ascii="Arial" w:cs="Arial" w:eastAsia="Arial" w:hAnsi="Arial"/>
                <w:sz w:val="18"/>
                <w:szCs w:val="18"/>
                <w:color w:val="auto"/>
              </w:rPr>
              <w:t>$</w:t>
            </w:r>
          </w:p>
        </w:tc>
        <w:tc>
          <w:tcPr>
            <w:tcW w:w="84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16,667</w:t>
            </w:r>
          </w:p>
        </w:tc>
        <w:tc>
          <w:tcPr>
            <w:tcW w:w="260" w:type="dxa"/>
            <w:vAlign w:val="bottom"/>
            <w:gridSpan w:val="2"/>
            <w:shd w:val="clear" w:color="auto" w:fill="E5E5E5"/>
          </w:tcPr>
          <w:p>
            <w:pPr>
              <w:jc w:val="right"/>
              <w:ind w:right="40"/>
              <w:spacing w:after="0" w:line="189" w:lineRule="exact"/>
              <w:rPr>
                <w:sz w:val="20"/>
                <w:szCs w:val="20"/>
                <w:color w:val="auto"/>
              </w:rPr>
            </w:pPr>
            <w:r>
              <w:rPr>
                <w:rFonts w:ascii="Arial" w:cs="Arial" w:eastAsia="Arial" w:hAnsi="Arial"/>
                <w:sz w:val="18"/>
                <w:szCs w:val="18"/>
                <w:color w:val="auto"/>
              </w:rPr>
              <w:t>$</w:t>
            </w:r>
          </w:p>
        </w:tc>
        <w:tc>
          <w:tcPr>
            <w:tcW w:w="1000" w:type="dxa"/>
            <w:vAlign w:val="bottom"/>
            <w:gridSpan w:val="2"/>
            <w:shd w:val="clear" w:color="auto" w:fill="E5E5E5"/>
          </w:tcPr>
          <w:p>
            <w:pPr>
              <w:jc w:val="right"/>
              <w:ind w:right="80"/>
              <w:spacing w:after="0" w:line="189" w:lineRule="exact"/>
              <w:rPr>
                <w:sz w:val="20"/>
                <w:szCs w:val="20"/>
                <w:color w:val="auto"/>
              </w:rPr>
            </w:pPr>
            <w:r>
              <w:rPr>
                <w:rFonts w:ascii="Arial" w:cs="Arial" w:eastAsia="Arial" w:hAnsi="Arial"/>
                <w:sz w:val="18"/>
                <w:szCs w:val="18"/>
                <w:color w:val="auto"/>
              </w:rPr>
              <w:t>(6,561)</w:t>
            </w:r>
          </w:p>
        </w:tc>
        <w:tc>
          <w:tcPr>
            <w:tcW w:w="360" w:type="dxa"/>
            <w:vAlign w:val="bottom"/>
            <w:gridSpan w:val="2"/>
            <w:shd w:val="clear" w:color="auto" w:fill="E5E5E5"/>
          </w:tcPr>
          <w:p>
            <w:pPr>
              <w:jc w:val="right"/>
              <w:ind w:right="180"/>
              <w:spacing w:after="0" w:line="189" w:lineRule="exact"/>
              <w:rPr>
                <w:sz w:val="20"/>
                <w:szCs w:val="20"/>
                <w:color w:val="auto"/>
              </w:rPr>
            </w:pPr>
            <w:r>
              <w:rPr>
                <w:rFonts w:ascii="Arial" w:cs="Arial" w:eastAsia="Arial" w:hAnsi="Arial"/>
                <w:sz w:val="18"/>
                <w:szCs w:val="18"/>
                <w:color w:val="auto"/>
              </w:rPr>
              <w:t>$</w:t>
            </w:r>
          </w:p>
        </w:tc>
        <w:tc>
          <w:tcPr>
            <w:tcW w:w="84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10,106</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2840" w:type="dxa"/>
            <w:vAlign w:val="bottom"/>
          </w:tcPr>
          <w:p>
            <w:pPr>
              <w:spacing w:after="0"/>
              <w:rPr>
                <w:sz w:val="6"/>
                <w:szCs w:val="6"/>
                <w:color w:val="auto"/>
              </w:rPr>
            </w:pPr>
          </w:p>
        </w:tc>
        <w:tc>
          <w:tcPr>
            <w:tcW w:w="1160" w:type="dxa"/>
            <w:vAlign w:val="bottom"/>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47" w:lineRule="exact"/>
        <w:rPr>
          <w:sz w:val="20"/>
          <w:szCs w:val="20"/>
          <w:color w:val="auto"/>
        </w:rPr>
      </w:pPr>
    </w:p>
    <w:p>
      <w:pPr>
        <w:ind w:left="540" w:right="40" w:hanging="532"/>
        <w:spacing w:after="0" w:line="274" w:lineRule="auto"/>
        <w:tabs>
          <w:tab w:leader="none" w:pos="540"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Technology-based intangible assets included $46 million and $59 million of net carrying amount of software to be sold, leased, or otherwise marketed as of September 30, 2017 and June 30, 2017, respectively.</w:t>
      </w:r>
    </w:p>
    <w:p>
      <w:pPr>
        <w:spacing w:after="0" w:line="93" w:lineRule="exact"/>
        <w:rPr>
          <w:sz w:val="20"/>
          <w:szCs w:val="20"/>
          <w:color w:val="auto"/>
        </w:rPr>
      </w:pPr>
    </w:p>
    <w:p>
      <w:pPr>
        <w:ind w:right="20"/>
        <w:spacing w:after="0" w:line="276" w:lineRule="auto"/>
        <w:rPr>
          <w:sz w:val="20"/>
          <w:szCs w:val="20"/>
          <w:color w:val="auto"/>
        </w:rPr>
      </w:pPr>
      <w:r>
        <w:rPr>
          <w:rFonts w:ascii="Arial" w:cs="Arial" w:eastAsia="Arial" w:hAnsi="Arial"/>
          <w:sz w:val="18"/>
          <w:szCs w:val="18"/>
          <w:color w:val="auto"/>
        </w:rPr>
        <w:t>Intangible assets amortization expense was $563 million and $214 million for the three months ended September 30, 2017 and 2016, respectively.</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outlines the estimated future amortization expense related to intangible assets held as of September 30, 2017:</w:t>
      </w:r>
    </w:p>
    <w:p>
      <w:pPr>
        <w:spacing w:after="0" w:line="20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46990</wp:posOffset>
            </wp:positionV>
            <wp:extent cx="717804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8040" cy="8890"/>
                    </a:xfrm>
                    <a:prstGeom prst="rect">
                      <a:avLst/>
                    </a:prstGeom>
                    <a:noFill/>
                  </pic:spPr>
                </pic:pic>
              </a:graphicData>
            </a:graphic>
          </wp:anchor>
        </w:drawing>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300" w:type="dxa"/>
            <w:vAlign w:val="bottom"/>
            <w:gridSpan w:val="2"/>
          </w:tcPr>
          <w:p>
            <w:pPr>
              <w:spacing w:after="0"/>
              <w:rPr>
                <w:sz w:val="20"/>
                <w:szCs w:val="20"/>
                <w:color w:val="auto"/>
              </w:rPr>
            </w:pPr>
            <w:r>
              <w:rPr>
                <w:rFonts w:ascii="Arial" w:cs="Arial" w:eastAsia="Arial" w:hAnsi="Arial"/>
                <w:sz w:val="14"/>
                <w:szCs w:val="14"/>
                <w:b w:val="1"/>
                <w:bCs w:val="1"/>
                <w:color w:val="auto"/>
              </w:rPr>
              <w:t>Year Ending June 30,</w:t>
            </w:r>
          </w:p>
        </w:tc>
        <w:tc>
          <w:tcPr>
            <w:tcW w:w="47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 w:type="dxa"/>
            <w:vAlign w:val="bottom"/>
            <w:vMerge w:val="restart"/>
          </w:tcPr>
          <w:p>
            <w:pPr>
              <w:spacing w:after="0"/>
              <w:rPr>
                <w:sz w:val="3"/>
                <w:szCs w:val="3"/>
                <w:color w:val="auto"/>
              </w:rPr>
            </w:pPr>
          </w:p>
        </w:tc>
        <w:tc>
          <w:tcPr>
            <w:tcW w:w="5280" w:type="dxa"/>
            <w:vAlign w:val="bottom"/>
          </w:tcPr>
          <w:p>
            <w:pPr>
              <w:spacing w:after="0"/>
              <w:rPr>
                <w:sz w:val="3"/>
                <w:szCs w:val="3"/>
                <w:color w:val="auto"/>
              </w:rPr>
            </w:pPr>
          </w:p>
        </w:tc>
        <w:tc>
          <w:tcPr>
            <w:tcW w:w="476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28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2018 (excluding the three months ended September 30, 2017)</w:t>
            </w:r>
          </w:p>
        </w:tc>
        <w:tc>
          <w:tcPr>
            <w:tcW w:w="5220" w:type="dxa"/>
            <w:vAlign w:val="bottom"/>
            <w:gridSpan w:val="2"/>
            <w:shd w:val="clear" w:color="auto" w:fill="E5E5E5"/>
          </w:tcPr>
          <w:p>
            <w:pPr>
              <w:jc w:val="right"/>
              <w:ind w:right="360"/>
              <w:spacing w:after="0" w:line="202" w:lineRule="exact"/>
              <w:rPr>
                <w:sz w:val="20"/>
                <w:szCs w:val="20"/>
                <w:color w:val="auto"/>
              </w:rPr>
            </w:pPr>
            <w:r>
              <w:rPr>
                <w:rFonts w:ascii="Arial" w:cs="Arial" w:eastAsia="Arial" w:hAnsi="Arial"/>
                <w:sz w:val="18"/>
                <w:szCs w:val="18"/>
                <w:color w:val="auto"/>
              </w:rPr>
              <w:t>$</w:t>
            </w:r>
          </w:p>
        </w:tc>
        <w:tc>
          <w:tcPr>
            <w:tcW w:w="90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1,661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80" w:type="dxa"/>
            <w:vAlign w:val="bottom"/>
          </w:tcPr>
          <w:p>
            <w:pPr>
              <w:spacing w:after="0" w:line="202" w:lineRule="exact"/>
              <w:rPr>
                <w:sz w:val="20"/>
                <w:szCs w:val="20"/>
                <w:color w:val="auto"/>
              </w:rPr>
            </w:pPr>
            <w:r>
              <w:rPr>
                <w:rFonts w:ascii="Arial" w:cs="Arial" w:eastAsia="Arial" w:hAnsi="Arial"/>
                <w:sz w:val="18"/>
                <w:szCs w:val="18"/>
                <w:color w:val="auto"/>
              </w:rPr>
              <w:t>2019</w:t>
            </w:r>
          </w:p>
        </w:tc>
        <w:tc>
          <w:tcPr>
            <w:tcW w:w="47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1,701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8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2020</w:t>
            </w:r>
          </w:p>
        </w:tc>
        <w:tc>
          <w:tcPr>
            <w:tcW w:w="4760" w:type="dxa"/>
            <w:vAlign w:val="bottom"/>
            <w:shd w:val="clear" w:color="auto" w:fill="E5E5E5"/>
          </w:tcPr>
          <w:p>
            <w:pPr>
              <w:spacing w:after="0"/>
              <w:rPr>
                <w:sz w:val="17"/>
                <w:szCs w:val="17"/>
                <w:color w:val="auto"/>
              </w:rPr>
            </w:pPr>
          </w:p>
        </w:tc>
        <w:tc>
          <w:tcPr>
            <w:tcW w:w="460" w:type="dxa"/>
            <w:vAlign w:val="bottom"/>
            <w:shd w:val="clear" w:color="auto" w:fill="E5E5E5"/>
          </w:tcPr>
          <w:p>
            <w:pPr>
              <w:spacing w:after="0"/>
              <w:rPr>
                <w:sz w:val="17"/>
                <w:szCs w:val="17"/>
                <w:color w:val="auto"/>
              </w:rPr>
            </w:pPr>
          </w:p>
        </w:tc>
        <w:tc>
          <w:tcPr>
            <w:tcW w:w="90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1,193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80" w:type="dxa"/>
            <w:vAlign w:val="bottom"/>
          </w:tcPr>
          <w:p>
            <w:pPr>
              <w:spacing w:after="0" w:line="202" w:lineRule="exact"/>
              <w:rPr>
                <w:sz w:val="20"/>
                <w:szCs w:val="20"/>
                <w:color w:val="auto"/>
              </w:rPr>
            </w:pPr>
            <w:r>
              <w:rPr>
                <w:rFonts w:ascii="Arial" w:cs="Arial" w:eastAsia="Arial" w:hAnsi="Arial"/>
                <w:sz w:val="18"/>
                <w:szCs w:val="18"/>
                <w:color w:val="auto"/>
              </w:rPr>
              <w:t>2021</w:t>
            </w:r>
          </w:p>
        </w:tc>
        <w:tc>
          <w:tcPr>
            <w:tcW w:w="47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1,006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8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2022</w:t>
            </w:r>
          </w:p>
        </w:tc>
        <w:tc>
          <w:tcPr>
            <w:tcW w:w="4760" w:type="dxa"/>
            <w:vAlign w:val="bottom"/>
            <w:shd w:val="clear" w:color="auto" w:fill="E5E5E5"/>
          </w:tcPr>
          <w:p>
            <w:pPr>
              <w:spacing w:after="0"/>
              <w:rPr>
                <w:sz w:val="17"/>
                <w:szCs w:val="17"/>
                <w:color w:val="auto"/>
              </w:rPr>
            </w:pPr>
          </w:p>
        </w:tc>
        <w:tc>
          <w:tcPr>
            <w:tcW w:w="460" w:type="dxa"/>
            <w:vAlign w:val="bottom"/>
            <w:shd w:val="clear" w:color="auto" w:fill="E5E5E5"/>
          </w:tcPr>
          <w:p>
            <w:pPr>
              <w:spacing w:after="0"/>
              <w:rPr>
                <w:sz w:val="17"/>
                <w:szCs w:val="17"/>
                <w:color w:val="auto"/>
              </w:rPr>
            </w:pPr>
          </w:p>
        </w:tc>
        <w:tc>
          <w:tcPr>
            <w:tcW w:w="90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934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Thereafter</w:t>
            </w:r>
          </w:p>
        </w:tc>
        <w:tc>
          <w:tcPr>
            <w:tcW w:w="47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3,103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280" w:type="dxa"/>
            <w:vAlign w:val="bottom"/>
            <w:tcBorders>
              <w:bottom w:val="single" w:sz="8" w:color="auto"/>
            </w:tcBorders>
          </w:tcPr>
          <w:p>
            <w:pPr>
              <w:spacing w:after="0"/>
              <w:rPr>
                <w:sz w:val="2"/>
                <w:szCs w:val="2"/>
                <w:color w:val="auto"/>
              </w:rPr>
            </w:pPr>
          </w:p>
        </w:tc>
        <w:tc>
          <w:tcPr>
            <w:tcW w:w="47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280" w:type="dxa"/>
            <w:vAlign w:val="bottom"/>
          </w:tcPr>
          <w:p>
            <w:pPr>
              <w:spacing w:after="0"/>
              <w:rPr>
                <w:sz w:val="5"/>
                <w:szCs w:val="5"/>
                <w:color w:val="auto"/>
              </w:rPr>
            </w:pPr>
          </w:p>
        </w:tc>
        <w:tc>
          <w:tcPr>
            <w:tcW w:w="4760" w:type="dxa"/>
            <w:vAlign w:val="bottom"/>
          </w:tcPr>
          <w:p>
            <w:pPr>
              <w:spacing w:after="0"/>
              <w:rPr>
                <w:sz w:val="5"/>
                <w:szCs w:val="5"/>
                <w:color w:val="auto"/>
              </w:rPr>
            </w:pPr>
          </w:p>
        </w:tc>
        <w:tc>
          <w:tcPr>
            <w:tcW w:w="46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80" w:type="dxa"/>
            <w:vAlign w:val="bottom"/>
            <w:shd w:val="clear" w:color="auto" w:fill="E5E5E5"/>
          </w:tcPr>
          <w:p>
            <w:pPr>
              <w:ind w:left="200"/>
              <w:spacing w:after="0" w:line="202" w:lineRule="exact"/>
              <w:rPr>
                <w:sz w:val="20"/>
                <w:szCs w:val="20"/>
                <w:color w:val="auto"/>
              </w:rPr>
            </w:pPr>
            <w:r>
              <w:rPr>
                <w:rFonts w:ascii="Arial" w:cs="Arial" w:eastAsia="Arial" w:hAnsi="Arial"/>
                <w:sz w:val="18"/>
                <w:szCs w:val="18"/>
                <w:color w:val="auto"/>
              </w:rPr>
              <w:t>Total</w:t>
            </w:r>
          </w:p>
        </w:tc>
        <w:tc>
          <w:tcPr>
            <w:tcW w:w="5220" w:type="dxa"/>
            <w:vAlign w:val="bottom"/>
            <w:gridSpan w:val="2"/>
            <w:shd w:val="clear" w:color="auto" w:fill="E5E5E5"/>
          </w:tcPr>
          <w:p>
            <w:pPr>
              <w:jc w:val="right"/>
              <w:ind w:right="360"/>
              <w:spacing w:after="0" w:line="202" w:lineRule="exact"/>
              <w:rPr>
                <w:sz w:val="20"/>
                <w:szCs w:val="20"/>
                <w:color w:val="auto"/>
              </w:rPr>
            </w:pPr>
            <w:r>
              <w:rPr>
                <w:rFonts w:ascii="Arial" w:cs="Arial" w:eastAsia="Arial" w:hAnsi="Arial"/>
                <w:sz w:val="18"/>
                <w:szCs w:val="18"/>
                <w:color w:val="auto"/>
              </w:rPr>
              <w:t>$</w:t>
            </w:r>
          </w:p>
        </w:tc>
        <w:tc>
          <w:tcPr>
            <w:tcW w:w="90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9,598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5280" w:type="dxa"/>
            <w:vAlign w:val="bottom"/>
          </w:tcPr>
          <w:p>
            <w:pPr>
              <w:spacing w:after="0"/>
              <w:rPr>
                <w:sz w:val="6"/>
                <w:szCs w:val="6"/>
                <w:color w:val="auto"/>
              </w:rPr>
            </w:pPr>
          </w:p>
        </w:tc>
        <w:tc>
          <w:tcPr>
            <w:tcW w:w="4760" w:type="dxa"/>
            <w:vAlign w:val="bottom"/>
            <w:vMerge w:val="restart"/>
          </w:tcPr>
          <w:p>
            <w:pPr>
              <w:jc w:val="right"/>
              <w:ind w:right="4176"/>
              <w:spacing w:after="0"/>
              <w:rPr>
                <w:sz w:val="20"/>
                <w:szCs w:val="20"/>
                <w:color w:val="auto"/>
              </w:rPr>
            </w:pPr>
            <w:r>
              <w:rPr>
                <w:rFonts w:ascii="Arial" w:cs="Arial" w:eastAsia="Arial" w:hAnsi="Arial"/>
                <w:sz w:val="14"/>
                <w:szCs w:val="14"/>
                <w:color w:val="auto"/>
              </w:rPr>
              <w:t>25</w:t>
            </w:r>
          </w:p>
        </w:tc>
        <w:tc>
          <w:tcPr>
            <w:tcW w:w="46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67"/>
        </w:trPr>
        <w:tc>
          <w:tcPr>
            <w:tcW w:w="20" w:type="dxa"/>
            <w:vAlign w:val="bottom"/>
          </w:tcPr>
          <w:p>
            <w:pPr>
              <w:spacing w:after="0"/>
              <w:rPr>
                <w:sz w:val="24"/>
                <w:szCs w:val="24"/>
                <w:color w:val="auto"/>
              </w:rPr>
            </w:pPr>
          </w:p>
        </w:tc>
        <w:tc>
          <w:tcPr>
            <w:tcW w:w="5280" w:type="dxa"/>
            <w:vAlign w:val="bottom"/>
          </w:tcPr>
          <w:p>
            <w:pPr>
              <w:spacing w:after="0"/>
              <w:rPr>
                <w:sz w:val="24"/>
                <w:szCs w:val="24"/>
                <w:color w:val="auto"/>
              </w:rPr>
            </w:pPr>
          </w:p>
        </w:tc>
        <w:tc>
          <w:tcPr>
            <w:tcW w:w="4760" w:type="dxa"/>
            <w:vAlign w:val="bottom"/>
            <w:vMerge w:val="continue"/>
          </w:tcPr>
          <w:p>
            <w:pPr>
              <w:spacing w:after="0"/>
              <w:rPr>
                <w:sz w:val="24"/>
                <w:szCs w:val="24"/>
                <w:color w:val="auto"/>
              </w:rPr>
            </w:pPr>
          </w:p>
        </w:tc>
        <w:tc>
          <w:tcPr>
            <w:tcW w:w="4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5280" w:type="dxa"/>
            <w:vAlign w:val="bottom"/>
            <w:tcBorders>
              <w:bottom w:val="single" w:sz="8" w:color="9A9A9A"/>
            </w:tcBorders>
          </w:tcPr>
          <w:p>
            <w:pPr>
              <w:spacing w:after="0"/>
              <w:rPr>
                <w:sz w:val="8"/>
                <w:szCs w:val="8"/>
                <w:color w:val="auto"/>
              </w:rPr>
            </w:pPr>
          </w:p>
        </w:tc>
        <w:tc>
          <w:tcPr>
            <w:tcW w:w="4760" w:type="dxa"/>
            <w:vAlign w:val="bottom"/>
            <w:tcBorders>
              <w:bottom w:val="single" w:sz="8" w:color="9A9A9A"/>
            </w:tcBorders>
          </w:tcPr>
          <w:p>
            <w:pPr>
              <w:spacing w:after="0"/>
              <w:rPr>
                <w:sz w:val="8"/>
                <w:szCs w:val="8"/>
                <w:color w:val="auto"/>
              </w:rPr>
            </w:pPr>
          </w:p>
        </w:tc>
        <w:tc>
          <w:tcPr>
            <w:tcW w:w="460" w:type="dxa"/>
            <w:vAlign w:val="bottom"/>
            <w:tcBorders>
              <w:bottom w:val="single" w:sz="8" w:color="9A9A9A"/>
            </w:tcBorders>
          </w:tcPr>
          <w:p>
            <w:pPr>
              <w:spacing w:after="0"/>
              <w:rPr>
                <w:sz w:val="8"/>
                <w:szCs w:val="8"/>
                <w:color w:val="auto"/>
              </w:rPr>
            </w:pPr>
          </w:p>
        </w:tc>
        <w:tc>
          <w:tcPr>
            <w:tcW w:w="8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25" w:name="page26"/>
    <w:bookmarkEnd w:id="25"/>
    <w:p>
      <w:pPr>
        <w:ind w:left="5500"/>
        <w:spacing w:after="0"/>
        <w:rPr>
          <w:sz w:val="20"/>
          <w:szCs w:val="20"/>
          <w:color w:val="auto"/>
        </w:rPr>
      </w:pPr>
      <w:r>
        <w:rPr>
          <w:rFonts w:ascii="Arial" w:cs="Arial" w:eastAsia="Arial" w:hAnsi="Arial"/>
          <w:sz w:val="14"/>
          <w:szCs w:val="14"/>
          <w:u w:val="single" w:color="auto"/>
          <w:color w:val="auto"/>
        </w:rPr>
        <w:t>PART I</w:t>
      </w:r>
    </w:p>
    <w:p>
      <w:pPr>
        <w:spacing w:after="0" w:line="5" w:lineRule="exact"/>
        <w:rPr>
          <w:sz w:val="20"/>
          <w:szCs w:val="20"/>
          <w:color w:val="auto"/>
        </w:rPr>
      </w:pPr>
    </w:p>
    <w:p>
      <w:pPr>
        <w:ind w:left="5520"/>
        <w:spacing w:after="0"/>
        <w:rPr>
          <w:sz w:val="20"/>
          <w:szCs w:val="20"/>
          <w:color w:val="auto"/>
        </w:rPr>
      </w:pPr>
      <w:r>
        <w:rPr>
          <w:rFonts w:ascii="Arial" w:cs="Arial" w:eastAsia="Arial" w:hAnsi="Arial"/>
          <w:sz w:val="14"/>
          <w:szCs w:val="14"/>
          <w:color w:val="auto"/>
        </w:rPr>
        <w:t>Item 1</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 11 — DEBT</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Short-term Debt</w:t>
      </w:r>
    </w:p>
    <w:p>
      <w:pPr>
        <w:spacing w:after="0" w:line="160"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As of September 30, 2017, we had $8.2 billion of commercial paper issued and outstanding, with a weighted average interest rate of 1.20% and maturities ranging from 34 days to 196 days. As of June 30, 2017, we had $9.1 billion of commercial paper issued and outstanding, with a weighted average interest rate of 1.01% and maturities ranging from 25 days to 264 days. The estimated fair value of this commercial paper approximates its carrying value.</w:t>
      </w:r>
    </w:p>
    <w:p>
      <w:pPr>
        <w:spacing w:after="0" w:line="117"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We have two $5.0 billion credit facilities that expire on October 31, 2017 and November 14, 2018, respectively. We expect to enter into two new $5.0 billion credit facilities in October 2017 which will replace each of our existing facilities. These credit facilities serve as a back-up for our commercial paper program. As of September 30, 2017, we were in compliance with the only financial covenant in both credit agreements, which requires us to maintain a coverage ratio of at least three times earnings before interest, taxes, depreciation, and amortization to interest expense, as defined in the credit agreements. No amounts were drawn against these credit facilities during any of the periods presented.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Long-term Debt</w:t>
      </w:r>
    </w:p>
    <w:p>
      <w:pPr>
        <w:spacing w:after="0" w:line="16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of September 30, 2017, the total carrying value and estimated fair value of our long-term debt, including the current portion, were $77.3 billion and $81.3 billion, respectively. As of June 30, 2017, the total carrying value and estimated fair value of our long-term debt, including the current portion, were $77.1 billion and $80.3 billion, respectively. These estimated fair values are based on Level 2 inputs.</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28916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6" w:name="page27"/>
    <w:bookmarkEnd w:id="26"/>
    <w:p>
      <w:pPr>
        <w:ind w:left="5500"/>
        <w:spacing w:after="0"/>
        <w:rPr>
          <w:sz w:val="20"/>
          <w:szCs w:val="20"/>
          <w:color w:val="auto"/>
        </w:rPr>
      </w:pPr>
      <w:r>
        <w:rPr>
          <w:rFonts w:ascii="Arial" w:cs="Arial" w:eastAsia="Arial" w:hAnsi="Arial"/>
          <w:sz w:val="14"/>
          <w:szCs w:val="14"/>
          <w:u w:val="single" w:color="auto"/>
          <w:color w:val="auto"/>
        </w:rPr>
        <w:t>PART I</w:t>
      </w:r>
    </w:p>
    <w:p>
      <w:pPr>
        <w:spacing w:after="0" w:line="5" w:lineRule="exact"/>
        <w:rPr>
          <w:sz w:val="20"/>
          <w:szCs w:val="20"/>
          <w:color w:val="auto"/>
        </w:rPr>
      </w:pPr>
    </w:p>
    <w:p>
      <w:pPr>
        <w:ind w:left="5520"/>
        <w:spacing w:after="0"/>
        <w:rPr>
          <w:sz w:val="20"/>
          <w:szCs w:val="20"/>
          <w:color w:val="auto"/>
        </w:rPr>
      </w:pPr>
      <w:r>
        <w:rPr>
          <w:rFonts w:ascii="Arial" w:cs="Arial" w:eastAsia="Arial" w:hAnsi="Arial"/>
          <w:sz w:val="14"/>
          <w:szCs w:val="14"/>
          <w:color w:val="auto"/>
        </w:rPr>
        <w:t>Item 1</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our long-term debt, including the current portion, and the associated interest rates were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Face Value</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Face Value</w:t>
            </w:r>
          </w:p>
        </w:tc>
        <w:tc>
          <w:tcPr>
            <w:tcW w:w="1340" w:type="dxa"/>
            <w:vAlign w:val="bottom"/>
          </w:tcPr>
          <w:p>
            <w:pPr>
              <w:jc w:val="right"/>
              <w:ind w:right="291"/>
              <w:spacing w:after="0"/>
              <w:rPr>
                <w:sz w:val="20"/>
                <w:szCs w:val="20"/>
                <w:color w:val="auto"/>
              </w:rPr>
            </w:pPr>
            <w:r>
              <w:rPr>
                <w:rFonts w:ascii="Arial" w:cs="Arial" w:eastAsia="Arial" w:hAnsi="Arial"/>
                <w:sz w:val="14"/>
                <w:szCs w:val="14"/>
                <w:b w:val="1"/>
                <w:bCs w:val="1"/>
                <w:color w:val="auto"/>
              </w:rPr>
              <w:t>Stated</w:t>
            </w:r>
          </w:p>
        </w:tc>
        <w:tc>
          <w:tcPr>
            <w:tcW w:w="1040" w:type="dxa"/>
            <w:vAlign w:val="bottom"/>
            <w:gridSpan w:val="2"/>
          </w:tcPr>
          <w:p>
            <w:pPr>
              <w:jc w:val="center"/>
              <w:ind w:left="271"/>
              <w:spacing w:after="0"/>
              <w:rPr>
                <w:sz w:val="20"/>
                <w:szCs w:val="20"/>
                <w:color w:val="auto"/>
              </w:rPr>
            </w:pPr>
            <w:r>
              <w:rPr>
                <w:rFonts w:ascii="Arial" w:cs="Arial" w:eastAsia="Arial" w:hAnsi="Arial"/>
                <w:sz w:val="14"/>
                <w:szCs w:val="14"/>
                <w:b w:val="1"/>
                <w:bCs w:val="1"/>
                <w:color w:val="auto"/>
                <w:w w:val="95"/>
              </w:rPr>
              <w:t>Effective</w:t>
            </w:r>
          </w:p>
        </w:tc>
        <w:tc>
          <w:tcPr>
            <w:tcW w:w="0" w:type="dxa"/>
            <w:vAlign w:val="bottom"/>
          </w:tcPr>
          <w:p>
            <w:pPr>
              <w:spacing w:after="0"/>
              <w:rPr>
                <w:sz w:val="1"/>
                <w:szCs w:val="1"/>
                <w:color w:val="auto"/>
              </w:rPr>
            </w:pPr>
          </w:p>
        </w:tc>
      </w:tr>
      <w:tr>
        <w:trPr>
          <w:trHeight w:val="149"/>
        </w:trPr>
        <w:tc>
          <w:tcPr>
            <w:tcW w:w="61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 except interest rates)</w:t>
            </w:r>
          </w:p>
        </w:tc>
        <w:tc>
          <w:tcPr>
            <w:tcW w:w="160" w:type="dxa"/>
            <w:vAlign w:val="bottom"/>
          </w:tcPr>
          <w:p>
            <w:pPr>
              <w:spacing w:after="0"/>
              <w:rPr>
                <w:sz w:val="12"/>
                <w:szCs w:val="12"/>
                <w:color w:val="auto"/>
              </w:rPr>
            </w:pPr>
          </w:p>
        </w:tc>
        <w:tc>
          <w:tcPr>
            <w:tcW w:w="108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September 30,</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40" w:type="dxa"/>
            <w:vAlign w:val="bottom"/>
            <w:gridSpan w:val="2"/>
          </w:tcPr>
          <w:p>
            <w:pPr>
              <w:jc w:val="right"/>
              <w:ind w:right="380"/>
              <w:spacing w:after="0" w:line="149" w:lineRule="exact"/>
              <w:rPr>
                <w:sz w:val="20"/>
                <w:szCs w:val="20"/>
                <w:color w:val="auto"/>
              </w:rPr>
            </w:pPr>
            <w:r>
              <w:rPr>
                <w:rFonts w:ascii="Arial" w:cs="Arial" w:eastAsia="Arial" w:hAnsi="Arial"/>
                <w:sz w:val="14"/>
                <w:szCs w:val="14"/>
                <w:b w:val="1"/>
                <w:bCs w:val="1"/>
                <w:color w:val="auto"/>
              </w:rPr>
              <w:t>June 30,</w:t>
            </w:r>
          </w:p>
        </w:tc>
        <w:tc>
          <w:tcPr>
            <w:tcW w:w="1340" w:type="dxa"/>
            <w:vAlign w:val="bottom"/>
          </w:tcPr>
          <w:p>
            <w:pPr>
              <w:jc w:val="right"/>
              <w:ind w:right="291"/>
              <w:spacing w:after="0" w:line="149" w:lineRule="exact"/>
              <w:rPr>
                <w:sz w:val="20"/>
                <w:szCs w:val="20"/>
                <w:color w:val="auto"/>
              </w:rPr>
            </w:pPr>
            <w:r>
              <w:rPr>
                <w:rFonts w:ascii="Arial" w:cs="Arial" w:eastAsia="Arial" w:hAnsi="Arial"/>
                <w:sz w:val="14"/>
                <w:szCs w:val="14"/>
                <w:b w:val="1"/>
                <w:bCs w:val="1"/>
                <w:color w:val="auto"/>
              </w:rPr>
              <w:t>Interest</w:t>
            </w:r>
          </w:p>
        </w:tc>
        <w:tc>
          <w:tcPr>
            <w:tcW w:w="1040" w:type="dxa"/>
            <w:vAlign w:val="bottom"/>
            <w:gridSpan w:val="2"/>
          </w:tcPr>
          <w:p>
            <w:pPr>
              <w:jc w:val="right"/>
              <w:ind w:right="60"/>
              <w:spacing w:after="0" w:line="149" w:lineRule="exact"/>
              <w:rPr>
                <w:sz w:val="20"/>
                <w:szCs w:val="20"/>
                <w:color w:val="auto"/>
              </w:rPr>
            </w:pPr>
            <w:r>
              <w:rPr>
                <w:rFonts w:ascii="Arial" w:cs="Arial" w:eastAsia="Arial" w:hAnsi="Arial"/>
                <w:sz w:val="14"/>
                <w:szCs w:val="14"/>
                <w:b w:val="1"/>
                <w:bCs w:val="1"/>
                <w:color w:val="auto"/>
              </w:rPr>
              <w:t>Interest</w:t>
            </w:r>
          </w:p>
        </w:tc>
        <w:tc>
          <w:tcPr>
            <w:tcW w:w="0" w:type="dxa"/>
            <w:vAlign w:val="bottom"/>
          </w:tcPr>
          <w:p>
            <w:pPr>
              <w:spacing w:after="0"/>
              <w:rPr>
                <w:sz w:val="1"/>
                <w:szCs w:val="1"/>
                <w:color w:val="auto"/>
              </w:rPr>
            </w:pPr>
          </w:p>
        </w:tc>
      </w:tr>
      <w:tr>
        <w:trPr>
          <w:trHeight w:val="190"/>
        </w:trPr>
        <w:tc>
          <w:tcPr>
            <w:tcW w:w="61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2017</w:t>
            </w:r>
          </w:p>
        </w:tc>
        <w:tc>
          <w:tcPr>
            <w:tcW w:w="380" w:type="dxa"/>
            <w:vAlign w:val="bottom"/>
          </w:tcPr>
          <w:p>
            <w:pPr>
              <w:spacing w:after="0"/>
              <w:rPr>
                <w:sz w:val="16"/>
                <w:szCs w:val="16"/>
                <w:color w:val="auto"/>
              </w:rPr>
            </w:pPr>
          </w:p>
        </w:tc>
        <w:tc>
          <w:tcPr>
            <w:tcW w:w="1340" w:type="dxa"/>
            <w:vAlign w:val="bottom"/>
          </w:tcPr>
          <w:p>
            <w:pPr>
              <w:jc w:val="right"/>
              <w:ind w:right="291"/>
              <w:spacing w:after="0"/>
              <w:rPr>
                <w:sz w:val="20"/>
                <w:szCs w:val="20"/>
                <w:color w:val="auto"/>
              </w:rPr>
            </w:pPr>
            <w:r>
              <w:rPr>
                <w:rFonts w:ascii="Arial" w:cs="Arial" w:eastAsia="Arial" w:hAnsi="Arial"/>
                <w:sz w:val="14"/>
                <w:szCs w:val="14"/>
                <w:b w:val="1"/>
                <w:bCs w:val="1"/>
                <w:color w:val="auto"/>
              </w:rPr>
              <w:t>Rate</w:t>
            </w:r>
          </w:p>
        </w:tc>
        <w:tc>
          <w:tcPr>
            <w:tcW w:w="104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Rate</w:t>
            </w:r>
          </w:p>
        </w:tc>
        <w:tc>
          <w:tcPr>
            <w:tcW w:w="0" w:type="dxa"/>
            <w:vAlign w:val="bottom"/>
          </w:tcPr>
          <w:p>
            <w:pPr>
              <w:spacing w:after="0"/>
              <w:rPr>
                <w:sz w:val="1"/>
                <w:szCs w:val="1"/>
                <w:color w:val="auto"/>
              </w:rPr>
            </w:pPr>
          </w:p>
        </w:tc>
      </w:tr>
      <w:tr>
        <w:trPr>
          <w:trHeight w:val="45"/>
        </w:trPr>
        <w:tc>
          <w:tcPr>
            <w:tcW w:w="6180" w:type="dxa"/>
            <w:vAlign w:val="bottom"/>
            <w:tcBorders>
              <w:bottom w:val="single" w:sz="8" w:color="auto"/>
            </w:tcBorders>
            <w:gridSpan w:val="2"/>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3"/>
        </w:trPr>
        <w:tc>
          <w:tcPr>
            <w:tcW w:w="6180" w:type="dxa"/>
            <w:vAlign w:val="bottom"/>
            <w:gridSpan w:val="2"/>
          </w:tcPr>
          <w:p>
            <w:pPr>
              <w:spacing w:after="0"/>
              <w:rPr>
                <w:sz w:val="20"/>
                <w:szCs w:val="20"/>
                <w:color w:val="auto"/>
              </w:rPr>
            </w:pPr>
            <w:r>
              <w:rPr>
                <w:rFonts w:ascii="Arial" w:cs="Arial" w:eastAsia="Arial" w:hAnsi="Arial"/>
                <w:sz w:val="14"/>
                <w:szCs w:val="14"/>
                <w:b w:val="1"/>
                <w:bCs w:val="1"/>
                <w:color w:val="auto"/>
              </w:rPr>
              <w:t>Notes</w:t>
            </w: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
        </w:trPr>
        <w:tc>
          <w:tcPr>
            <w:tcW w:w="20" w:type="dxa"/>
            <w:vAlign w:val="bottom"/>
            <w:vMerge w:val="restart"/>
          </w:tcPr>
          <w:p>
            <w:pPr>
              <w:spacing w:after="0"/>
              <w:rPr>
                <w:sz w:val="3"/>
                <w:szCs w:val="3"/>
                <w:color w:val="auto"/>
              </w:rPr>
            </w:pPr>
          </w:p>
        </w:tc>
        <w:tc>
          <w:tcPr>
            <w:tcW w:w="6160" w:type="dxa"/>
            <w:vAlign w:val="bottom"/>
          </w:tcPr>
          <w:p>
            <w:pPr>
              <w:spacing w:after="0"/>
              <w:rPr>
                <w:sz w:val="3"/>
                <w:szCs w:val="3"/>
                <w:color w:val="auto"/>
              </w:rPr>
            </w:pPr>
          </w:p>
        </w:tc>
        <w:tc>
          <w:tcPr>
            <w:tcW w:w="16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860" w:type="dxa"/>
            <w:vAlign w:val="bottom"/>
          </w:tcPr>
          <w:p>
            <w:pPr>
              <w:spacing w:after="0"/>
              <w:rPr>
                <w:sz w:val="3"/>
                <w:szCs w:val="3"/>
                <w:color w:val="auto"/>
              </w:rPr>
            </w:pPr>
          </w:p>
        </w:tc>
        <w:tc>
          <w:tcPr>
            <w:tcW w:w="3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98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16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November 15, 2017</w:t>
            </w:r>
          </w:p>
        </w:tc>
        <w:tc>
          <w:tcPr>
            <w:tcW w:w="16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w w:val="79"/>
              </w:rPr>
              <w:t>$</w:t>
            </w:r>
          </w:p>
        </w:tc>
        <w:tc>
          <w:tcPr>
            <w:tcW w:w="108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b w:val="1"/>
                <w:bCs w:val="1"/>
                <w:color w:val="auto"/>
              </w:rPr>
              <w:t>600</w:t>
            </w:r>
          </w:p>
        </w:tc>
        <w:tc>
          <w:tcPr>
            <w:tcW w:w="380" w:type="dxa"/>
            <w:vAlign w:val="bottom"/>
            <w:gridSpan w:val="2"/>
            <w:shd w:val="clear" w:color="auto" w:fill="E5E5E5"/>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1240" w:type="dxa"/>
            <w:vAlign w:val="bottom"/>
            <w:gridSpan w:val="2"/>
            <w:shd w:val="clear" w:color="auto" w:fill="E5E5E5"/>
          </w:tcPr>
          <w:p>
            <w:pPr>
              <w:jc w:val="right"/>
              <w:ind w:right="380"/>
              <w:spacing w:after="0" w:line="202" w:lineRule="exact"/>
              <w:rPr>
                <w:sz w:val="20"/>
                <w:szCs w:val="20"/>
                <w:color w:val="auto"/>
              </w:rPr>
            </w:pPr>
            <w:r>
              <w:rPr>
                <w:rFonts w:ascii="Arial" w:cs="Arial" w:eastAsia="Arial" w:hAnsi="Arial"/>
                <w:sz w:val="18"/>
                <w:szCs w:val="18"/>
                <w:color w:val="auto"/>
              </w:rPr>
              <w:t>600</w:t>
            </w:r>
          </w:p>
        </w:tc>
        <w:tc>
          <w:tcPr>
            <w:tcW w:w="1340" w:type="dxa"/>
            <w:vAlign w:val="bottom"/>
            <w:shd w:val="clear" w:color="auto" w:fill="E5E5E5"/>
          </w:tcPr>
          <w:p>
            <w:pPr>
              <w:jc w:val="right"/>
              <w:ind w:right="271"/>
              <w:spacing w:after="0" w:line="202" w:lineRule="exact"/>
              <w:rPr>
                <w:sz w:val="20"/>
                <w:szCs w:val="20"/>
                <w:color w:val="auto"/>
              </w:rPr>
            </w:pPr>
            <w:r>
              <w:rPr>
                <w:rFonts w:ascii="Arial" w:cs="Arial" w:eastAsia="Arial" w:hAnsi="Arial"/>
                <w:sz w:val="18"/>
                <w:szCs w:val="18"/>
                <w:b w:val="1"/>
                <w:bCs w:val="1"/>
                <w:color w:val="auto"/>
              </w:rPr>
              <w:t>0.875%</w:t>
            </w:r>
          </w:p>
        </w:tc>
        <w:tc>
          <w:tcPr>
            <w:tcW w:w="1040" w:type="dxa"/>
            <w:vAlign w:val="bottom"/>
            <w:gridSpan w:val="2"/>
            <w:shd w:val="clear" w:color="auto" w:fill="E5E5E5"/>
          </w:tcPr>
          <w:p>
            <w:pPr>
              <w:jc w:val="center"/>
              <w:ind w:left="231"/>
              <w:spacing w:after="0" w:line="202" w:lineRule="exact"/>
              <w:rPr>
                <w:sz w:val="20"/>
                <w:szCs w:val="20"/>
                <w:color w:val="auto"/>
              </w:rPr>
            </w:pPr>
            <w:r>
              <w:rPr>
                <w:rFonts w:ascii="Arial" w:cs="Arial" w:eastAsia="Arial" w:hAnsi="Arial"/>
                <w:sz w:val="18"/>
                <w:szCs w:val="18"/>
                <w:b w:val="1"/>
                <w:bCs w:val="1"/>
                <w:color w:val="auto"/>
                <w:w w:val="98"/>
              </w:rPr>
              <w:t>1.084%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60" w:type="dxa"/>
            <w:vAlign w:val="bottom"/>
          </w:tcPr>
          <w:p>
            <w:pPr>
              <w:spacing w:after="0" w:line="202" w:lineRule="exact"/>
              <w:rPr>
                <w:sz w:val="20"/>
                <w:szCs w:val="20"/>
                <w:color w:val="auto"/>
              </w:rPr>
            </w:pPr>
            <w:r>
              <w:rPr>
                <w:rFonts w:ascii="Arial" w:cs="Arial" w:eastAsia="Arial" w:hAnsi="Arial"/>
                <w:sz w:val="18"/>
                <w:szCs w:val="18"/>
                <w:color w:val="auto"/>
              </w:rPr>
              <w:t>May 1, 2018</w:t>
            </w:r>
          </w:p>
        </w:tc>
        <w:tc>
          <w:tcPr>
            <w:tcW w:w="160" w:type="dxa"/>
            <w:vAlign w:val="bottom"/>
          </w:tcPr>
          <w:p>
            <w:pPr>
              <w:spacing w:after="0"/>
              <w:rPr>
                <w:sz w:val="17"/>
                <w:szCs w:val="17"/>
                <w:color w:val="auto"/>
              </w:rPr>
            </w:pPr>
          </w:p>
        </w:tc>
        <w:tc>
          <w:tcPr>
            <w:tcW w:w="1080" w:type="dxa"/>
            <w:vAlign w:val="bottom"/>
            <w:gridSpan w:val="2"/>
          </w:tcPr>
          <w:p>
            <w:pPr>
              <w:jc w:val="right"/>
              <w:ind w:right="100"/>
              <w:spacing w:after="0" w:line="202" w:lineRule="exact"/>
              <w:rPr>
                <w:sz w:val="20"/>
                <w:szCs w:val="20"/>
                <w:color w:val="auto"/>
              </w:rPr>
            </w:pPr>
            <w:r>
              <w:rPr>
                <w:rFonts w:ascii="Arial" w:cs="Arial" w:eastAsia="Arial" w:hAnsi="Arial"/>
                <w:sz w:val="18"/>
                <w:szCs w:val="18"/>
                <w:b w:val="1"/>
                <w:bCs w:val="1"/>
                <w:color w:val="auto"/>
              </w:rPr>
              <w:t>450</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450</w:t>
            </w:r>
          </w:p>
        </w:tc>
        <w:tc>
          <w:tcPr>
            <w:tcW w:w="1340" w:type="dxa"/>
            <w:vAlign w:val="bottom"/>
          </w:tcPr>
          <w:p>
            <w:pPr>
              <w:jc w:val="right"/>
              <w:ind w:right="271"/>
              <w:spacing w:after="0" w:line="202" w:lineRule="exact"/>
              <w:rPr>
                <w:sz w:val="20"/>
                <w:szCs w:val="20"/>
                <w:color w:val="auto"/>
              </w:rPr>
            </w:pPr>
            <w:r>
              <w:rPr>
                <w:rFonts w:ascii="Arial" w:cs="Arial" w:eastAsia="Arial" w:hAnsi="Arial"/>
                <w:sz w:val="18"/>
                <w:szCs w:val="18"/>
                <w:b w:val="1"/>
                <w:bCs w:val="1"/>
                <w:color w:val="auto"/>
              </w:rPr>
              <w:t>1.000%</w:t>
            </w:r>
          </w:p>
        </w:tc>
        <w:tc>
          <w:tcPr>
            <w:tcW w:w="1040" w:type="dxa"/>
            <w:vAlign w:val="bottom"/>
            <w:gridSpan w:val="2"/>
          </w:tcPr>
          <w:p>
            <w:pPr>
              <w:jc w:val="center"/>
              <w:ind w:left="231"/>
              <w:spacing w:after="0" w:line="202" w:lineRule="exact"/>
              <w:rPr>
                <w:sz w:val="20"/>
                <w:szCs w:val="20"/>
                <w:color w:val="auto"/>
              </w:rPr>
            </w:pPr>
            <w:r>
              <w:rPr>
                <w:rFonts w:ascii="Arial" w:cs="Arial" w:eastAsia="Arial" w:hAnsi="Arial"/>
                <w:sz w:val="18"/>
                <w:szCs w:val="18"/>
                <w:b w:val="1"/>
                <w:bCs w:val="1"/>
                <w:color w:val="auto"/>
                <w:w w:val="98"/>
              </w:rPr>
              <w:t>1.106%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6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November 3, 2018</w:t>
            </w:r>
          </w:p>
        </w:tc>
        <w:tc>
          <w:tcPr>
            <w:tcW w:w="160" w:type="dxa"/>
            <w:vAlign w:val="bottom"/>
            <w:shd w:val="clear" w:color="auto" w:fill="E5E5E5"/>
          </w:tcPr>
          <w:p>
            <w:pPr>
              <w:spacing w:after="0"/>
              <w:rPr>
                <w:sz w:val="17"/>
                <w:szCs w:val="17"/>
                <w:color w:val="auto"/>
              </w:rPr>
            </w:pPr>
          </w:p>
        </w:tc>
        <w:tc>
          <w:tcPr>
            <w:tcW w:w="108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b w:val="1"/>
                <w:bCs w:val="1"/>
                <w:color w:val="auto"/>
              </w:rPr>
              <w:t>1,750</w:t>
            </w:r>
          </w:p>
        </w:tc>
        <w:tc>
          <w:tcPr>
            <w:tcW w:w="120" w:type="dxa"/>
            <w:vAlign w:val="bottom"/>
            <w:shd w:val="clear" w:color="auto" w:fill="E5E5E5"/>
          </w:tcPr>
          <w:p>
            <w:pPr>
              <w:spacing w:after="0"/>
              <w:rPr>
                <w:sz w:val="17"/>
                <w:szCs w:val="17"/>
                <w:color w:val="auto"/>
              </w:rPr>
            </w:pPr>
          </w:p>
        </w:tc>
        <w:tc>
          <w:tcPr>
            <w:tcW w:w="260" w:type="dxa"/>
            <w:vAlign w:val="bottom"/>
            <w:shd w:val="clear" w:color="auto" w:fill="E5E5E5"/>
          </w:tcPr>
          <w:p>
            <w:pPr>
              <w:spacing w:after="0"/>
              <w:rPr>
                <w:sz w:val="17"/>
                <w:szCs w:val="17"/>
                <w:color w:val="auto"/>
              </w:rPr>
            </w:pPr>
          </w:p>
        </w:tc>
        <w:tc>
          <w:tcPr>
            <w:tcW w:w="1240" w:type="dxa"/>
            <w:vAlign w:val="bottom"/>
            <w:gridSpan w:val="2"/>
            <w:shd w:val="clear" w:color="auto" w:fill="E5E5E5"/>
          </w:tcPr>
          <w:p>
            <w:pPr>
              <w:jc w:val="right"/>
              <w:ind w:right="380"/>
              <w:spacing w:after="0" w:line="202" w:lineRule="exact"/>
              <w:rPr>
                <w:sz w:val="20"/>
                <w:szCs w:val="20"/>
                <w:color w:val="auto"/>
              </w:rPr>
            </w:pPr>
            <w:r>
              <w:rPr>
                <w:rFonts w:ascii="Arial" w:cs="Arial" w:eastAsia="Arial" w:hAnsi="Arial"/>
                <w:sz w:val="18"/>
                <w:szCs w:val="18"/>
                <w:color w:val="auto"/>
              </w:rPr>
              <w:t>1,750</w:t>
            </w:r>
          </w:p>
        </w:tc>
        <w:tc>
          <w:tcPr>
            <w:tcW w:w="1340" w:type="dxa"/>
            <w:vAlign w:val="bottom"/>
            <w:shd w:val="clear" w:color="auto" w:fill="E5E5E5"/>
          </w:tcPr>
          <w:p>
            <w:pPr>
              <w:jc w:val="right"/>
              <w:ind w:right="271"/>
              <w:spacing w:after="0" w:line="202" w:lineRule="exact"/>
              <w:rPr>
                <w:sz w:val="20"/>
                <w:szCs w:val="20"/>
                <w:color w:val="auto"/>
              </w:rPr>
            </w:pPr>
            <w:r>
              <w:rPr>
                <w:rFonts w:ascii="Arial" w:cs="Arial" w:eastAsia="Arial" w:hAnsi="Arial"/>
                <w:sz w:val="18"/>
                <w:szCs w:val="18"/>
                <w:b w:val="1"/>
                <w:bCs w:val="1"/>
                <w:color w:val="auto"/>
              </w:rPr>
              <w:t>1.300%</w:t>
            </w:r>
          </w:p>
        </w:tc>
        <w:tc>
          <w:tcPr>
            <w:tcW w:w="1040" w:type="dxa"/>
            <w:vAlign w:val="bottom"/>
            <w:gridSpan w:val="2"/>
            <w:shd w:val="clear" w:color="auto" w:fill="E5E5E5"/>
          </w:tcPr>
          <w:p>
            <w:pPr>
              <w:jc w:val="center"/>
              <w:ind w:left="231"/>
              <w:spacing w:after="0" w:line="202" w:lineRule="exact"/>
              <w:rPr>
                <w:sz w:val="20"/>
                <w:szCs w:val="20"/>
                <w:color w:val="auto"/>
              </w:rPr>
            </w:pPr>
            <w:r>
              <w:rPr>
                <w:rFonts w:ascii="Arial" w:cs="Arial" w:eastAsia="Arial" w:hAnsi="Arial"/>
                <w:sz w:val="18"/>
                <w:szCs w:val="18"/>
                <w:b w:val="1"/>
                <w:bCs w:val="1"/>
                <w:color w:val="auto"/>
                <w:w w:val="98"/>
              </w:rPr>
              <w:t>1.396%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60" w:type="dxa"/>
            <w:vAlign w:val="bottom"/>
          </w:tcPr>
          <w:p>
            <w:pPr>
              <w:spacing w:after="0" w:line="202" w:lineRule="exact"/>
              <w:rPr>
                <w:sz w:val="20"/>
                <w:szCs w:val="20"/>
                <w:color w:val="auto"/>
              </w:rPr>
            </w:pPr>
            <w:r>
              <w:rPr>
                <w:rFonts w:ascii="Arial" w:cs="Arial" w:eastAsia="Arial" w:hAnsi="Arial"/>
                <w:sz w:val="18"/>
                <w:szCs w:val="18"/>
                <w:color w:val="auto"/>
              </w:rPr>
              <w:t>December 6, 2018</w:t>
            </w:r>
          </w:p>
        </w:tc>
        <w:tc>
          <w:tcPr>
            <w:tcW w:w="160" w:type="dxa"/>
            <w:vAlign w:val="bottom"/>
          </w:tcPr>
          <w:p>
            <w:pPr>
              <w:spacing w:after="0"/>
              <w:rPr>
                <w:sz w:val="17"/>
                <w:szCs w:val="17"/>
                <w:color w:val="auto"/>
              </w:rPr>
            </w:pPr>
          </w:p>
        </w:tc>
        <w:tc>
          <w:tcPr>
            <w:tcW w:w="1080" w:type="dxa"/>
            <w:vAlign w:val="bottom"/>
            <w:gridSpan w:val="2"/>
          </w:tcPr>
          <w:p>
            <w:pPr>
              <w:jc w:val="right"/>
              <w:ind w:right="100"/>
              <w:spacing w:after="0" w:line="202" w:lineRule="exact"/>
              <w:rPr>
                <w:sz w:val="20"/>
                <w:szCs w:val="20"/>
                <w:color w:val="auto"/>
              </w:rPr>
            </w:pPr>
            <w:r>
              <w:rPr>
                <w:rFonts w:ascii="Arial" w:cs="Arial" w:eastAsia="Arial" w:hAnsi="Arial"/>
                <w:sz w:val="18"/>
                <w:szCs w:val="18"/>
                <w:b w:val="1"/>
                <w:bCs w:val="1"/>
                <w:color w:val="auto"/>
              </w:rPr>
              <w:t>1,250</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1,250</w:t>
            </w:r>
          </w:p>
        </w:tc>
        <w:tc>
          <w:tcPr>
            <w:tcW w:w="1340" w:type="dxa"/>
            <w:vAlign w:val="bottom"/>
          </w:tcPr>
          <w:p>
            <w:pPr>
              <w:jc w:val="right"/>
              <w:ind w:right="271"/>
              <w:spacing w:after="0" w:line="202" w:lineRule="exact"/>
              <w:rPr>
                <w:sz w:val="20"/>
                <w:szCs w:val="20"/>
                <w:color w:val="auto"/>
              </w:rPr>
            </w:pPr>
            <w:r>
              <w:rPr>
                <w:rFonts w:ascii="Arial" w:cs="Arial" w:eastAsia="Arial" w:hAnsi="Arial"/>
                <w:sz w:val="18"/>
                <w:szCs w:val="18"/>
                <w:b w:val="1"/>
                <w:bCs w:val="1"/>
                <w:color w:val="auto"/>
              </w:rPr>
              <w:t>1.625%</w:t>
            </w:r>
          </w:p>
        </w:tc>
        <w:tc>
          <w:tcPr>
            <w:tcW w:w="1040" w:type="dxa"/>
            <w:vAlign w:val="bottom"/>
            <w:gridSpan w:val="2"/>
          </w:tcPr>
          <w:p>
            <w:pPr>
              <w:jc w:val="center"/>
              <w:ind w:left="231"/>
              <w:spacing w:after="0" w:line="202" w:lineRule="exact"/>
              <w:rPr>
                <w:sz w:val="20"/>
                <w:szCs w:val="20"/>
                <w:color w:val="auto"/>
              </w:rPr>
            </w:pPr>
            <w:r>
              <w:rPr>
                <w:rFonts w:ascii="Arial" w:cs="Arial" w:eastAsia="Arial" w:hAnsi="Arial"/>
                <w:sz w:val="18"/>
                <w:szCs w:val="18"/>
                <w:b w:val="1"/>
                <w:bCs w:val="1"/>
                <w:color w:val="auto"/>
                <w:w w:val="98"/>
              </w:rPr>
              <w:t>1.824%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6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June 1, 2019</w:t>
            </w:r>
          </w:p>
        </w:tc>
        <w:tc>
          <w:tcPr>
            <w:tcW w:w="160" w:type="dxa"/>
            <w:vAlign w:val="bottom"/>
            <w:shd w:val="clear" w:color="auto" w:fill="E5E5E5"/>
          </w:tcPr>
          <w:p>
            <w:pPr>
              <w:spacing w:after="0"/>
              <w:rPr>
                <w:sz w:val="17"/>
                <w:szCs w:val="17"/>
                <w:color w:val="auto"/>
              </w:rPr>
            </w:pPr>
          </w:p>
        </w:tc>
        <w:tc>
          <w:tcPr>
            <w:tcW w:w="108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b w:val="1"/>
                <w:bCs w:val="1"/>
                <w:color w:val="auto"/>
              </w:rPr>
              <w:t>1,000</w:t>
            </w:r>
          </w:p>
        </w:tc>
        <w:tc>
          <w:tcPr>
            <w:tcW w:w="120" w:type="dxa"/>
            <w:vAlign w:val="bottom"/>
            <w:shd w:val="clear" w:color="auto" w:fill="E5E5E5"/>
          </w:tcPr>
          <w:p>
            <w:pPr>
              <w:spacing w:after="0"/>
              <w:rPr>
                <w:sz w:val="17"/>
                <w:szCs w:val="17"/>
                <w:color w:val="auto"/>
              </w:rPr>
            </w:pPr>
          </w:p>
        </w:tc>
        <w:tc>
          <w:tcPr>
            <w:tcW w:w="260" w:type="dxa"/>
            <w:vAlign w:val="bottom"/>
            <w:shd w:val="clear" w:color="auto" w:fill="E5E5E5"/>
          </w:tcPr>
          <w:p>
            <w:pPr>
              <w:spacing w:after="0"/>
              <w:rPr>
                <w:sz w:val="17"/>
                <w:szCs w:val="17"/>
                <w:color w:val="auto"/>
              </w:rPr>
            </w:pPr>
          </w:p>
        </w:tc>
        <w:tc>
          <w:tcPr>
            <w:tcW w:w="1240" w:type="dxa"/>
            <w:vAlign w:val="bottom"/>
            <w:gridSpan w:val="2"/>
            <w:shd w:val="clear" w:color="auto" w:fill="E5E5E5"/>
          </w:tcPr>
          <w:p>
            <w:pPr>
              <w:jc w:val="right"/>
              <w:ind w:right="380"/>
              <w:spacing w:after="0" w:line="202" w:lineRule="exact"/>
              <w:rPr>
                <w:sz w:val="20"/>
                <w:szCs w:val="20"/>
                <w:color w:val="auto"/>
              </w:rPr>
            </w:pPr>
            <w:r>
              <w:rPr>
                <w:rFonts w:ascii="Arial" w:cs="Arial" w:eastAsia="Arial" w:hAnsi="Arial"/>
                <w:sz w:val="18"/>
                <w:szCs w:val="18"/>
                <w:color w:val="auto"/>
              </w:rPr>
              <w:t>1,000</w:t>
            </w:r>
          </w:p>
        </w:tc>
        <w:tc>
          <w:tcPr>
            <w:tcW w:w="1340" w:type="dxa"/>
            <w:vAlign w:val="bottom"/>
            <w:shd w:val="clear" w:color="auto" w:fill="E5E5E5"/>
          </w:tcPr>
          <w:p>
            <w:pPr>
              <w:jc w:val="right"/>
              <w:ind w:right="271"/>
              <w:spacing w:after="0" w:line="202" w:lineRule="exact"/>
              <w:rPr>
                <w:sz w:val="20"/>
                <w:szCs w:val="20"/>
                <w:color w:val="auto"/>
              </w:rPr>
            </w:pPr>
            <w:r>
              <w:rPr>
                <w:rFonts w:ascii="Arial" w:cs="Arial" w:eastAsia="Arial" w:hAnsi="Arial"/>
                <w:sz w:val="18"/>
                <w:szCs w:val="18"/>
                <w:b w:val="1"/>
                <w:bCs w:val="1"/>
                <w:color w:val="auto"/>
              </w:rPr>
              <w:t>4.200%</w:t>
            </w:r>
          </w:p>
        </w:tc>
        <w:tc>
          <w:tcPr>
            <w:tcW w:w="1040" w:type="dxa"/>
            <w:vAlign w:val="bottom"/>
            <w:gridSpan w:val="2"/>
            <w:shd w:val="clear" w:color="auto" w:fill="E5E5E5"/>
          </w:tcPr>
          <w:p>
            <w:pPr>
              <w:jc w:val="center"/>
              <w:ind w:left="231"/>
              <w:spacing w:after="0" w:line="202" w:lineRule="exact"/>
              <w:rPr>
                <w:sz w:val="20"/>
                <w:szCs w:val="20"/>
                <w:color w:val="auto"/>
              </w:rPr>
            </w:pPr>
            <w:r>
              <w:rPr>
                <w:rFonts w:ascii="Arial" w:cs="Arial" w:eastAsia="Arial" w:hAnsi="Arial"/>
                <w:sz w:val="18"/>
                <w:szCs w:val="18"/>
                <w:b w:val="1"/>
                <w:bCs w:val="1"/>
                <w:color w:val="auto"/>
                <w:w w:val="98"/>
              </w:rPr>
              <w:t>4.379%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August 8, 2019</w:t>
            </w: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2,500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gridSpan w:val="2"/>
          </w:tcPr>
          <w:p>
            <w:pPr>
              <w:jc w:val="right"/>
              <w:ind w:right="380"/>
              <w:spacing w:after="0"/>
              <w:rPr>
                <w:sz w:val="20"/>
                <w:szCs w:val="20"/>
                <w:color w:val="auto"/>
              </w:rPr>
            </w:pPr>
            <w:r>
              <w:rPr>
                <w:rFonts w:ascii="Arial" w:cs="Arial" w:eastAsia="Arial" w:hAnsi="Arial"/>
                <w:sz w:val="18"/>
                <w:szCs w:val="18"/>
                <w:color w:val="auto"/>
              </w:rPr>
              <w:t>2,500</w:t>
            </w:r>
          </w:p>
        </w:tc>
        <w:tc>
          <w:tcPr>
            <w:tcW w:w="1340" w:type="dxa"/>
            <w:vAlign w:val="bottom"/>
          </w:tcPr>
          <w:p>
            <w:pPr>
              <w:jc w:val="right"/>
              <w:ind w:right="271"/>
              <w:spacing w:after="0"/>
              <w:rPr>
                <w:sz w:val="20"/>
                <w:szCs w:val="20"/>
                <w:color w:val="auto"/>
              </w:rPr>
            </w:pPr>
            <w:r>
              <w:rPr>
                <w:rFonts w:ascii="Arial" w:cs="Arial" w:eastAsia="Arial" w:hAnsi="Arial"/>
                <w:sz w:val="18"/>
                <w:szCs w:val="18"/>
                <w:b w:val="1"/>
                <w:bCs w:val="1"/>
                <w:color w:val="auto"/>
              </w:rPr>
              <w:t>1.100%</w:t>
            </w:r>
          </w:p>
        </w:tc>
        <w:tc>
          <w:tcPr>
            <w:tcW w:w="1040" w:type="dxa"/>
            <w:vAlign w:val="bottom"/>
            <w:gridSpan w:val="2"/>
          </w:tcPr>
          <w:p>
            <w:pPr>
              <w:jc w:val="center"/>
              <w:ind w:left="231"/>
              <w:spacing w:after="0"/>
              <w:rPr>
                <w:sz w:val="20"/>
                <w:szCs w:val="20"/>
                <w:color w:val="auto"/>
              </w:rPr>
            </w:pPr>
            <w:r>
              <w:rPr>
                <w:rFonts w:ascii="Arial" w:cs="Arial" w:eastAsia="Arial" w:hAnsi="Arial"/>
                <w:sz w:val="18"/>
                <w:szCs w:val="18"/>
                <w:b w:val="1"/>
                <w:bCs w:val="1"/>
                <w:color w:val="auto"/>
                <w:w w:val="98"/>
              </w:rPr>
              <w:t>1.203%</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160" w:type="dxa"/>
            <w:vAlign w:val="bottom"/>
            <w:shd w:val="clear" w:color="auto" w:fill="E5E5E5"/>
          </w:tcPr>
          <w:p>
            <w:pPr>
              <w:spacing w:after="0"/>
              <w:rPr>
                <w:sz w:val="20"/>
                <w:szCs w:val="20"/>
                <w:color w:val="auto"/>
              </w:rPr>
            </w:pPr>
            <w:r>
              <w:rPr>
                <w:rFonts w:ascii="Arial" w:cs="Arial" w:eastAsia="Arial" w:hAnsi="Arial"/>
                <w:sz w:val="18"/>
                <w:szCs w:val="18"/>
                <w:color w:val="auto"/>
              </w:rPr>
              <w:t>November 1, 2019</w:t>
            </w:r>
          </w:p>
        </w:tc>
        <w:tc>
          <w:tcPr>
            <w:tcW w:w="160" w:type="dxa"/>
            <w:vAlign w:val="bottom"/>
            <w:shd w:val="clear" w:color="auto" w:fill="E5E5E5"/>
          </w:tcPr>
          <w:p>
            <w:pPr>
              <w:spacing w:after="0"/>
              <w:rPr>
                <w:sz w:val="21"/>
                <w:szCs w:val="21"/>
                <w:color w:val="auto"/>
              </w:rPr>
            </w:pPr>
          </w:p>
        </w:tc>
        <w:tc>
          <w:tcPr>
            <w:tcW w:w="1080" w:type="dxa"/>
            <w:vAlign w:val="bottom"/>
            <w:gridSpan w:val="2"/>
            <w:shd w:val="clear" w:color="auto" w:fill="E5E5E5"/>
          </w:tcPr>
          <w:p>
            <w:pPr>
              <w:jc w:val="right"/>
              <w:ind w:right="100"/>
              <w:spacing w:after="0"/>
              <w:rPr>
                <w:sz w:val="20"/>
                <w:szCs w:val="20"/>
                <w:color w:val="auto"/>
              </w:rPr>
            </w:pPr>
            <w:r>
              <w:rPr>
                <w:rFonts w:ascii="Arial" w:cs="Arial" w:eastAsia="Arial" w:hAnsi="Arial"/>
                <w:sz w:val="18"/>
                <w:szCs w:val="18"/>
                <w:b w:val="1"/>
                <w:bCs w:val="1"/>
                <w:color w:val="auto"/>
              </w:rPr>
              <w:t>18</w:t>
            </w:r>
          </w:p>
        </w:tc>
        <w:tc>
          <w:tcPr>
            <w:tcW w:w="120" w:type="dxa"/>
            <w:vAlign w:val="bottom"/>
            <w:shd w:val="clear" w:color="auto" w:fill="E5E5E5"/>
          </w:tcPr>
          <w:p>
            <w:pPr>
              <w:spacing w:after="0"/>
              <w:rPr>
                <w:sz w:val="21"/>
                <w:szCs w:val="21"/>
                <w:color w:val="auto"/>
              </w:rPr>
            </w:pPr>
          </w:p>
        </w:tc>
        <w:tc>
          <w:tcPr>
            <w:tcW w:w="260" w:type="dxa"/>
            <w:vAlign w:val="bottom"/>
            <w:shd w:val="clear" w:color="auto" w:fill="E5E5E5"/>
          </w:tcPr>
          <w:p>
            <w:pPr>
              <w:spacing w:after="0"/>
              <w:rPr>
                <w:sz w:val="21"/>
                <w:szCs w:val="21"/>
                <w:color w:val="auto"/>
              </w:rPr>
            </w:pPr>
          </w:p>
        </w:tc>
        <w:tc>
          <w:tcPr>
            <w:tcW w:w="1240" w:type="dxa"/>
            <w:vAlign w:val="bottom"/>
            <w:gridSpan w:val="2"/>
            <w:shd w:val="clear" w:color="auto" w:fill="E5E5E5"/>
          </w:tcPr>
          <w:p>
            <w:pPr>
              <w:jc w:val="right"/>
              <w:ind w:right="380"/>
              <w:spacing w:after="0"/>
              <w:rPr>
                <w:sz w:val="20"/>
                <w:szCs w:val="20"/>
                <w:color w:val="auto"/>
              </w:rPr>
            </w:pPr>
            <w:r>
              <w:rPr>
                <w:rFonts w:ascii="Arial" w:cs="Arial" w:eastAsia="Arial" w:hAnsi="Arial"/>
                <w:sz w:val="18"/>
                <w:szCs w:val="18"/>
                <w:color w:val="auto"/>
              </w:rPr>
              <w:t>18</w:t>
            </w:r>
          </w:p>
        </w:tc>
        <w:tc>
          <w:tcPr>
            <w:tcW w:w="1340" w:type="dxa"/>
            <w:vAlign w:val="bottom"/>
            <w:shd w:val="clear" w:color="auto" w:fill="E5E5E5"/>
          </w:tcPr>
          <w:p>
            <w:pPr>
              <w:jc w:val="right"/>
              <w:ind w:right="271"/>
              <w:spacing w:after="0"/>
              <w:rPr>
                <w:sz w:val="20"/>
                <w:szCs w:val="20"/>
                <w:color w:val="auto"/>
              </w:rPr>
            </w:pPr>
            <w:r>
              <w:rPr>
                <w:rFonts w:ascii="Arial" w:cs="Arial" w:eastAsia="Arial" w:hAnsi="Arial"/>
                <w:sz w:val="18"/>
                <w:szCs w:val="18"/>
                <w:b w:val="1"/>
                <w:bCs w:val="1"/>
                <w:color w:val="auto"/>
              </w:rPr>
              <w:t>0.500%</w:t>
            </w:r>
          </w:p>
        </w:tc>
        <w:tc>
          <w:tcPr>
            <w:tcW w:w="1040" w:type="dxa"/>
            <w:vAlign w:val="bottom"/>
            <w:gridSpan w:val="2"/>
            <w:shd w:val="clear" w:color="auto" w:fill="E5E5E5"/>
          </w:tcPr>
          <w:p>
            <w:pPr>
              <w:jc w:val="center"/>
              <w:ind w:left="231"/>
              <w:spacing w:after="0"/>
              <w:rPr>
                <w:sz w:val="20"/>
                <w:szCs w:val="20"/>
                <w:color w:val="auto"/>
              </w:rPr>
            </w:pPr>
            <w:r>
              <w:rPr>
                <w:rFonts w:ascii="Arial" w:cs="Arial" w:eastAsia="Arial" w:hAnsi="Arial"/>
                <w:sz w:val="18"/>
                <w:szCs w:val="18"/>
                <w:b w:val="1"/>
                <w:bCs w:val="1"/>
                <w:color w:val="auto"/>
                <w:w w:val="98"/>
              </w:rPr>
              <w:t>0.500%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February 6, 2020</w:t>
            </w:r>
          </w:p>
        </w:tc>
        <w:tc>
          <w:tcPr>
            <w:tcW w:w="160" w:type="dxa"/>
            <w:vAlign w:val="bottom"/>
          </w:tcPr>
          <w:p>
            <w:pPr>
              <w:spacing w:after="0"/>
              <w:rPr>
                <w:sz w:val="21"/>
                <w:szCs w:val="21"/>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1,500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40" w:type="dxa"/>
            <w:vAlign w:val="bottom"/>
            <w:gridSpan w:val="2"/>
          </w:tcPr>
          <w:p>
            <w:pPr>
              <w:jc w:val="right"/>
              <w:ind w:right="380"/>
              <w:spacing w:after="0"/>
              <w:rPr>
                <w:sz w:val="20"/>
                <w:szCs w:val="20"/>
                <w:color w:val="auto"/>
              </w:rPr>
            </w:pPr>
            <w:r>
              <w:rPr>
                <w:rFonts w:ascii="Arial" w:cs="Arial" w:eastAsia="Arial" w:hAnsi="Arial"/>
                <w:sz w:val="18"/>
                <w:szCs w:val="18"/>
                <w:color w:val="auto"/>
              </w:rPr>
              <w:t>1,500</w:t>
            </w:r>
          </w:p>
        </w:tc>
        <w:tc>
          <w:tcPr>
            <w:tcW w:w="1340" w:type="dxa"/>
            <w:vAlign w:val="bottom"/>
          </w:tcPr>
          <w:p>
            <w:pPr>
              <w:jc w:val="right"/>
              <w:ind w:right="271"/>
              <w:spacing w:after="0"/>
              <w:rPr>
                <w:sz w:val="20"/>
                <w:szCs w:val="20"/>
                <w:color w:val="auto"/>
              </w:rPr>
            </w:pPr>
            <w:r>
              <w:rPr>
                <w:rFonts w:ascii="Arial" w:cs="Arial" w:eastAsia="Arial" w:hAnsi="Arial"/>
                <w:sz w:val="18"/>
                <w:szCs w:val="18"/>
                <w:b w:val="1"/>
                <w:bCs w:val="1"/>
                <w:color w:val="auto"/>
              </w:rPr>
              <w:t>1.850%</w:t>
            </w:r>
          </w:p>
        </w:tc>
        <w:tc>
          <w:tcPr>
            <w:tcW w:w="1040" w:type="dxa"/>
            <w:vAlign w:val="bottom"/>
            <w:gridSpan w:val="2"/>
          </w:tcPr>
          <w:p>
            <w:pPr>
              <w:jc w:val="center"/>
              <w:ind w:left="231"/>
              <w:spacing w:after="0"/>
              <w:rPr>
                <w:sz w:val="20"/>
                <w:szCs w:val="20"/>
                <w:color w:val="auto"/>
              </w:rPr>
            </w:pPr>
            <w:r>
              <w:rPr>
                <w:rFonts w:ascii="Arial" w:cs="Arial" w:eastAsia="Arial" w:hAnsi="Arial"/>
                <w:sz w:val="18"/>
                <w:szCs w:val="18"/>
                <w:b w:val="1"/>
                <w:bCs w:val="1"/>
                <w:color w:val="auto"/>
                <w:w w:val="98"/>
              </w:rPr>
              <w:t>1.952%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6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February 12, 2020</w:t>
            </w:r>
          </w:p>
        </w:tc>
        <w:tc>
          <w:tcPr>
            <w:tcW w:w="160" w:type="dxa"/>
            <w:vAlign w:val="bottom"/>
            <w:shd w:val="clear" w:color="auto" w:fill="E5E5E5"/>
          </w:tcPr>
          <w:p>
            <w:pPr>
              <w:spacing w:after="0"/>
              <w:rPr>
                <w:sz w:val="17"/>
                <w:szCs w:val="17"/>
                <w:color w:val="auto"/>
              </w:rPr>
            </w:pPr>
          </w:p>
        </w:tc>
        <w:tc>
          <w:tcPr>
            <w:tcW w:w="108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b w:val="1"/>
                <w:bCs w:val="1"/>
                <w:color w:val="auto"/>
              </w:rPr>
              <w:t>1,500</w:t>
            </w:r>
          </w:p>
        </w:tc>
        <w:tc>
          <w:tcPr>
            <w:tcW w:w="120" w:type="dxa"/>
            <w:vAlign w:val="bottom"/>
            <w:shd w:val="clear" w:color="auto" w:fill="E5E5E5"/>
          </w:tcPr>
          <w:p>
            <w:pPr>
              <w:spacing w:after="0"/>
              <w:rPr>
                <w:sz w:val="17"/>
                <w:szCs w:val="17"/>
                <w:color w:val="auto"/>
              </w:rPr>
            </w:pPr>
          </w:p>
        </w:tc>
        <w:tc>
          <w:tcPr>
            <w:tcW w:w="260" w:type="dxa"/>
            <w:vAlign w:val="bottom"/>
            <w:shd w:val="clear" w:color="auto" w:fill="E5E5E5"/>
          </w:tcPr>
          <w:p>
            <w:pPr>
              <w:spacing w:after="0"/>
              <w:rPr>
                <w:sz w:val="17"/>
                <w:szCs w:val="17"/>
                <w:color w:val="auto"/>
              </w:rPr>
            </w:pPr>
          </w:p>
        </w:tc>
        <w:tc>
          <w:tcPr>
            <w:tcW w:w="1240" w:type="dxa"/>
            <w:vAlign w:val="bottom"/>
            <w:gridSpan w:val="2"/>
            <w:shd w:val="clear" w:color="auto" w:fill="E5E5E5"/>
          </w:tcPr>
          <w:p>
            <w:pPr>
              <w:jc w:val="right"/>
              <w:ind w:right="380"/>
              <w:spacing w:after="0" w:line="202" w:lineRule="exact"/>
              <w:rPr>
                <w:sz w:val="20"/>
                <w:szCs w:val="20"/>
                <w:color w:val="auto"/>
              </w:rPr>
            </w:pPr>
            <w:r>
              <w:rPr>
                <w:rFonts w:ascii="Arial" w:cs="Arial" w:eastAsia="Arial" w:hAnsi="Arial"/>
                <w:sz w:val="18"/>
                <w:szCs w:val="18"/>
                <w:color w:val="auto"/>
              </w:rPr>
              <w:t>1,500</w:t>
            </w:r>
          </w:p>
        </w:tc>
        <w:tc>
          <w:tcPr>
            <w:tcW w:w="1340" w:type="dxa"/>
            <w:vAlign w:val="bottom"/>
            <w:shd w:val="clear" w:color="auto" w:fill="E5E5E5"/>
          </w:tcPr>
          <w:p>
            <w:pPr>
              <w:jc w:val="right"/>
              <w:ind w:right="271"/>
              <w:spacing w:after="0" w:line="202" w:lineRule="exact"/>
              <w:rPr>
                <w:sz w:val="20"/>
                <w:szCs w:val="20"/>
                <w:color w:val="auto"/>
              </w:rPr>
            </w:pPr>
            <w:r>
              <w:rPr>
                <w:rFonts w:ascii="Arial" w:cs="Arial" w:eastAsia="Arial" w:hAnsi="Arial"/>
                <w:sz w:val="18"/>
                <w:szCs w:val="18"/>
                <w:b w:val="1"/>
                <w:bCs w:val="1"/>
                <w:color w:val="auto"/>
              </w:rPr>
              <w:t>1.850%</w:t>
            </w:r>
          </w:p>
        </w:tc>
        <w:tc>
          <w:tcPr>
            <w:tcW w:w="1040" w:type="dxa"/>
            <w:vAlign w:val="bottom"/>
            <w:gridSpan w:val="2"/>
            <w:shd w:val="clear" w:color="auto" w:fill="E5E5E5"/>
          </w:tcPr>
          <w:p>
            <w:pPr>
              <w:jc w:val="center"/>
              <w:ind w:left="231"/>
              <w:spacing w:after="0" w:line="202" w:lineRule="exact"/>
              <w:rPr>
                <w:sz w:val="20"/>
                <w:szCs w:val="20"/>
                <w:color w:val="auto"/>
              </w:rPr>
            </w:pPr>
            <w:r>
              <w:rPr>
                <w:rFonts w:ascii="Arial" w:cs="Arial" w:eastAsia="Arial" w:hAnsi="Arial"/>
                <w:sz w:val="18"/>
                <w:szCs w:val="18"/>
                <w:b w:val="1"/>
                <w:bCs w:val="1"/>
                <w:color w:val="auto"/>
                <w:w w:val="98"/>
              </w:rPr>
              <w:t>1.935%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60" w:type="dxa"/>
            <w:vAlign w:val="bottom"/>
          </w:tcPr>
          <w:p>
            <w:pPr>
              <w:spacing w:after="0" w:line="202" w:lineRule="exact"/>
              <w:rPr>
                <w:sz w:val="20"/>
                <w:szCs w:val="20"/>
                <w:color w:val="auto"/>
              </w:rPr>
            </w:pPr>
            <w:r>
              <w:rPr>
                <w:rFonts w:ascii="Arial" w:cs="Arial" w:eastAsia="Arial" w:hAnsi="Arial"/>
                <w:sz w:val="18"/>
                <w:szCs w:val="18"/>
                <w:color w:val="auto"/>
              </w:rPr>
              <w:t>October 1, 2020</w:t>
            </w:r>
          </w:p>
        </w:tc>
        <w:tc>
          <w:tcPr>
            <w:tcW w:w="160" w:type="dxa"/>
            <w:vAlign w:val="bottom"/>
          </w:tcPr>
          <w:p>
            <w:pPr>
              <w:spacing w:after="0"/>
              <w:rPr>
                <w:sz w:val="17"/>
                <w:szCs w:val="17"/>
                <w:color w:val="auto"/>
              </w:rPr>
            </w:pPr>
          </w:p>
        </w:tc>
        <w:tc>
          <w:tcPr>
            <w:tcW w:w="1080" w:type="dxa"/>
            <w:vAlign w:val="bottom"/>
            <w:gridSpan w:val="2"/>
          </w:tcPr>
          <w:p>
            <w:pPr>
              <w:jc w:val="right"/>
              <w:ind w:right="100"/>
              <w:spacing w:after="0" w:line="202" w:lineRule="exact"/>
              <w:rPr>
                <w:sz w:val="20"/>
                <w:szCs w:val="20"/>
                <w:color w:val="auto"/>
              </w:rPr>
            </w:pPr>
            <w:r>
              <w:rPr>
                <w:rFonts w:ascii="Arial" w:cs="Arial" w:eastAsia="Arial" w:hAnsi="Arial"/>
                <w:sz w:val="18"/>
                <w:szCs w:val="18"/>
                <w:b w:val="1"/>
                <w:bCs w:val="1"/>
                <w:color w:val="auto"/>
              </w:rPr>
              <w:t>1,000</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1,000</w:t>
            </w:r>
          </w:p>
        </w:tc>
        <w:tc>
          <w:tcPr>
            <w:tcW w:w="1340" w:type="dxa"/>
            <w:vAlign w:val="bottom"/>
          </w:tcPr>
          <w:p>
            <w:pPr>
              <w:jc w:val="right"/>
              <w:ind w:right="271"/>
              <w:spacing w:after="0" w:line="202" w:lineRule="exact"/>
              <w:rPr>
                <w:sz w:val="20"/>
                <w:szCs w:val="20"/>
                <w:color w:val="auto"/>
              </w:rPr>
            </w:pPr>
            <w:r>
              <w:rPr>
                <w:rFonts w:ascii="Arial" w:cs="Arial" w:eastAsia="Arial" w:hAnsi="Arial"/>
                <w:sz w:val="18"/>
                <w:szCs w:val="18"/>
                <w:b w:val="1"/>
                <w:bCs w:val="1"/>
                <w:color w:val="auto"/>
              </w:rPr>
              <w:t>3.000%</w:t>
            </w:r>
          </w:p>
        </w:tc>
        <w:tc>
          <w:tcPr>
            <w:tcW w:w="1040" w:type="dxa"/>
            <w:vAlign w:val="bottom"/>
            <w:gridSpan w:val="2"/>
          </w:tcPr>
          <w:p>
            <w:pPr>
              <w:jc w:val="center"/>
              <w:ind w:left="231"/>
              <w:spacing w:after="0" w:line="202" w:lineRule="exact"/>
              <w:rPr>
                <w:sz w:val="20"/>
                <w:szCs w:val="20"/>
                <w:color w:val="auto"/>
              </w:rPr>
            </w:pPr>
            <w:r>
              <w:rPr>
                <w:rFonts w:ascii="Arial" w:cs="Arial" w:eastAsia="Arial" w:hAnsi="Arial"/>
                <w:sz w:val="18"/>
                <w:szCs w:val="18"/>
                <w:b w:val="1"/>
                <w:bCs w:val="1"/>
                <w:color w:val="auto"/>
                <w:w w:val="98"/>
              </w:rPr>
              <w:t>3.137%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6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November 3, 2020</w:t>
            </w:r>
          </w:p>
        </w:tc>
        <w:tc>
          <w:tcPr>
            <w:tcW w:w="160" w:type="dxa"/>
            <w:vAlign w:val="bottom"/>
            <w:shd w:val="clear" w:color="auto" w:fill="E5E5E5"/>
          </w:tcPr>
          <w:p>
            <w:pPr>
              <w:spacing w:after="0"/>
              <w:rPr>
                <w:sz w:val="17"/>
                <w:szCs w:val="17"/>
                <w:color w:val="auto"/>
              </w:rPr>
            </w:pPr>
          </w:p>
        </w:tc>
        <w:tc>
          <w:tcPr>
            <w:tcW w:w="108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b w:val="1"/>
                <w:bCs w:val="1"/>
                <w:color w:val="auto"/>
              </w:rPr>
              <w:t>2,250</w:t>
            </w:r>
          </w:p>
        </w:tc>
        <w:tc>
          <w:tcPr>
            <w:tcW w:w="120" w:type="dxa"/>
            <w:vAlign w:val="bottom"/>
            <w:shd w:val="clear" w:color="auto" w:fill="E5E5E5"/>
          </w:tcPr>
          <w:p>
            <w:pPr>
              <w:spacing w:after="0"/>
              <w:rPr>
                <w:sz w:val="17"/>
                <w:szCs w:val="17"/>
                <w:color w:val="auto"/>
              </w:rPr>
            </w:pPr>
          </w:p>
        </w:tc>
        <w:tc>
          <w:tcPr>
            <w:tcW w:w="260" w:type="dxa"/>
            <w:vAlign w:val="bottom"/>
            <w:shd w:val="clear" w:color="auto" w:fill="E5E5E5"/>
          </w:tcPr>
          <w:p>
            <w:pPr>
              <w:spacing w:after="0"/>
              <w:rPr>
                <w:sz w:val="17"/>
                <w:szCs w:val="17"/>
                <w:color w:val="auto"/>
              </w:rPr>
            </w:pPr>
          </w:p>
        </w:tc>
        <w:tc>
          <w:tcPr>
            <w:tcW w:w="1240" w:type="dxa"/>
            <w:vAlign w:val="bottom"/>
            <w:gridSpan w:val="2"/>
            <w:shd w:val="clear" w:color="auto" w:fill="E5E5E5"/>
          </w:tcPr>
          <w:p>
            <w:pPr>
              <w:jc w:val="right"/>
              <w:ind w:right="380"/>
              <w:spacing w:after="0" w:line="202" w:lineRule="exact"/>
              <w:rPr>
                <w:sz w:val="20"/>
                <w:szCs w:val="20"/>
                <w:color w:val="auto"/>
              </w:rPr>
            </w:pPr>
            <w:r>
              <w:rPr>
                <w:rFonts w:ascii="Arial" w:cs="Arial" w:eastAsia="Arial" w:hAnsi="Arial"/>
                <w:sz w:val="18"/>
                <w:szCs w:val="18"/>
                <w:color w:val="auto"/>
              </w:rPr>
              <w:t>2,250</w:t>
            </w:r>
          </w:p>
        </w:tc>
        <w:tc>
          <w:tcPr>
            <w:tcW w:w="1340" w:type="dxa"/>
            <w:vAlign w:val="bottom"/>
            <w:shd w:val="clear" w:color="auto" w:fill="E5E5E5"/>
          </w:tcPr>
          <w:p>
            <w:pPr>
              <w:jc w:val="right"/>
              <w:ind w:right="271"/>
              <w:spacing w:after="0" w:line="202" w:lineRule="exact"/>
              <w:rPr>
                <w:sz w:val="20"/>
                <w:szCs w:val="20"/>
                <w:color w:val="auto"/>
              </w:rPr>
            </w:pPr>
            <w:r>
              <w:rPr>
                <w:rFonts w:ascii="Arial" w:cs="Arial" w:eastAsia="Arial" w:hAnsi="Arial"/>
                <w:sz w:val="18"/>
                <w:szCs w:val="18"/>
                <w:b w:val="1"/>
                <w:bCs w:val="1"/>
                <w:color w:val="auto"/>
              </w:rPr>
              <w:t>2.000%</w:t>
            </w:r>
          </w:p>
        </w:tc>
        <w:tc>
          <w:tcPr>
            <w:tcW w:w="1040" w:type="dxa"/>
            <w:vAlign w:val="bottom"/>
            <w:gridSpan w:val="2"/>
            <w:shd w:val="clear" w:color="auto" w:fill="E5E5E5"/>
          </w:tcPr>
          <w:p>
            <w:pPr>
              <w:jc w:val="center"/>
              <w:ind w:left="231"/>
              <w:spacing w:after="0" w:line="202" w:lineRule="exact"/>
              <w:rPr>
                <w:sz w:val="20"/>
                <w:szCs w:val="20"/>
                <w:color w:val="auto"/>
              </w:rPr>
            </w:pPr>
            <w:r>
              <w:rPr>
                <w:rFonts w:ascii="Arial" w:cs="Arial" w:eastAsia="Arial" w:hAnsi="Arial"/>
                <w:sz w:val="18"/>
                <w:szCs w:val="18"/>
                <w:b w:val="1"/>
                <w:bCs w:val="1"/>
                <w:color w:val="auto"/>
                <w:w w:val="98"/>
              </w:rPr>
              <w:t>2.093%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60" w:type="dxa"/>
            <w:vAlign w:val="bottom"/>
          </w:tcPr>
          <w:p>
            <w:pPr>
              <w:spacing w:after="0" w:line="202" w:lineRule="exact"/>
              <w:rPr>
                <w:sz w:val="20"/>
                <w:szCs w:val="20"/>
                <w:color w:val="auto"/>
              </w:rPr>
            </w:pPr>
            <w:r>
              <w:rPr>
                <w:rFonts w:ascii="Arial" w:cs="Arial" w:eastAsia="Arial" w:hAnsi="Arial"/>
                <w:sz w:val="18"/>
                <w:szCs w:val="18"/>
                <w:color w:val="auto"/>
              </w:rPr>
              <w:t>February 8, 2021</w:t>
            </w:r>
          </w:p>
        </w:tc>
        <w:tc>
          <w:tcPr>
            <w:tcW w:w="160" w:type="dxa"/>
            <w:vAlign w:val="bottom"/>
          </w:tcPr>
          <w:p>
            <w:pPr>
              <w:spacing w:after="0"/>
              <w:rPr>
                <w:sz w:val="17"/>
                <w:szCs w:val="17"/>
                <w:color w:val="auto"/>
              </w:rPr>
            </w:pPr>
          </w:p>
        </w:tc>
        <w:tc>
          <w:tcPr>
            <w:tcW w:w="1080" w:type="dxa"/>
            <w:vAlign w:val="bottom"/>
            <w:gridSpan w:val="2"/>
          </w:tcPr>
          <w:p>
            <w:pPr>
              <w:jc w:val="right"/>
              <w:ind w:right="100"/>
              <w:spacing w:after="0" w:line="202" w:lineRule="exact"/>
              <w:rPr>
                <w:sz w:val="20"/>
                <w:szCs w:val="20"/>
                <w:color w:val="auto"/>
              </w:rPr>
            </w:pPr>
            <w:r>
              <w:rPr>
                <w:rFonts w:ascii="Arial" w:cs="Arial" w:eastAsia="Arial" w:hAnsi="Arial"/>
                <w:sz w:val="18"/>
                <w:szCs w:val="18"/>
                <w:b w:val="1"/>
                <w:bCs w:val="1"/>
                <w:color w:val="auto"/>
              </w:rPr>
              <w:t>500</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500</w:t>
            </w:r>
          </w:p>
        </w:tc>
        <w:tc>
          <w:tcPr>
            <w:tcW w:w="1340" w:type="dxa"/>
            <w:vAlign w:val="bottom"/>
          </w:tcPr>
          <w:p>
            <w:pPr>
              <w:jc w:val="right"/>
              <w:ind w:right="271"/>
              <w:spacing w:after="0" w:line="202" w:lineRule="exact"/>
              <w:rPr>
                <w:sz w:val="20"/>
                <w:szCs w:val="20"/>
                <w:color w:val="auto"/>
              </w:rPr>
            </w:pPr>
            <w:r>
              <w:rPr>
                <w:rFonts w:ascii="Arial" w:cs="Arial" w:eastAsia="Arial" w:hAnsi="Arial"/>
                <w:sz w:val="18"/>
                <w:szCs w:val="18"/>
                <w:b w:val="1"/>
                <w:bCs w:val="1"/>
                <w:color w:val="auto"/>
              </w:rPr>
              <w:t>4.000%</w:t>
            </w:r>
          </w:p>
        </w:tc>
        <w:tc>
          <w:tcPr>
            <w:tcW w:w="1040" w:type="dxa"/>
            <w:vAlign w:val="bottom"/>
            <w:gridSpan w:val="2"/>
          </w:tcPr>
          <w:p>
            <w:pPr>
              <w:jc w:val="center"/>
              <w:ind w:left="231"/>
              <w:spacing w:after="0" w:line="202" w:lineRule="exact"/>
              <w:rPr>
                <w:sz w:val="20"/>
                <w:szCs w:val="20"/>
                <w:color w:val="auto"/>
              </w:rPr>
            </w:pPr>
            <w:r>
              <w:rPr>
                <w:rFonts w:ascii="Arial" w:cs="Arial" w:eastAsia="Arial" w:hAnsi="Arial"/>
                <w:sz w:val="18"/>
                <w:szCs w:val="18"/>
                <w:b w:val="1"/>
                <w:bCs w:val="1"/>
                <w:color w:val="auto"/>
                <w:w w:val="98"/>
              </w:rPr>
              <w:t>4.082%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E5E5E5"/>
          </w:tcPr>
          <w:p>
            <w:pPr>
              <w:spacing w:after="0"/>
              <w:rPr>
                <w:sz w:val="20"/>
                <w:szCs w:val="20"/>
                <w:color w:val="auto"/>
              </w:rPr>
            </w:pPr>
            <w:r>
              <w:rPr>
                <w:rFonts w:ascii="Arial" w:cs="Arial" w:eastAsia="Arial" w:hAnsi="Arial"/>
                <w:sz w:val="18"/>
                <w:szCs w:val="18"/>
                <w:color w:val="auto"/>
              </w:rPr>
              <w:t>August 8, 2021</w:t>
            </w:r>
          </w:p>
        </w:tc>
        <w:tc>
          <w:tcPr>
            <w:tcW w:w="160" w:type="dxa"/>
            <w:vAlign w:val="bottom"/>
            <w:shd w:val="clear" w:color="auto" w:fill="E5E5E5"/>
          </w:tcPr>
          <w:p>
            <w:pPr>
              <w:spacing w:after="0"/>
              <w:rPr>
                <w:sz w:val="18"/>
                <w:szCs w:val="18"/>
                <w:color w:val="auto"/>
              </w:rPr>
            </w:pPr>
          </w:p>
        </w:tc>
        <w:tc>
          <w:tcPr>
            <w:tcW w:w="1080" w:type="dxa"/>
            <w:vAlign w:val="bottom"/>
            <w:gridSpan w:val="2"/>
            <w:shd w:val="clear" w:color="auto" w:fill="E5E5E5"/>
          </w:tcPr>
          <w:p>
            <w:pPr>
              <w:jc w:val="right"/>
              <w:ind w:right="100"/>
              <w:spacing w:after="0"/>
              <w:rPr>
                <w:sz w:val="20"/>
                <w:szCs w:val="20"/>
                <w:color w:val="auto"/>
              </w:rPr>
            </w:pPr>
            <w:r>
              <w:rPr>
                <w:rFonts w:ascii="Arial" w:cs="Arial" w:eastAsia="Arial" w:hAnsi="Arial"/>
                <w:sz w:val="18"/>
                <w:szCs w:val="18"/>
                <w:b w:val="1"/>
                <w:bCs w:val="1"/>
                <w:color w:val="auto"/>
              </w:rPr>
              <w:t>2,750</w:t>
            </w:r>
          </w:p>
        </w:tc>
        <w:tc>
          <w:tcPr>
            <w:tcW w:w="120" w:type="dxa"/>
            <w:vAlign w:val="bottom"/>
            <w:shd w:val="clear" w:color="auto" w:fill="E5E5E5"/>
          </w:tcPr>
          <w:p>
            <w:pPr>
              <w:spacing w:after="0"/>
              <w:rPr>
                <w:sz w:val="18"/>
                <w:szCs w:val="18"/>
                <w:color w:val="auto"/>
              </w:rPr>
            </w:pPr>
          </w:p>
        </w:tc>
        <w:tc>
          <w:tcPr>
            <w:tcW w:w="260" w:type="dxa"/>
            <w:vAlign w:val="bottom"/>
            <w:shd w:val="clear" w:color="auto" w:fill="E5E5E5"/>
          </w:tcPr>
          <w:p>
            <w:pPr>
              <w:spacing w:after="0"/>
              <w:rPr>
                <w:sz w:val="18"/>
                <w:szCs w:val="18"/>
                <w:color w:val="auto"/>
              </w:rPr>
            </w:pPr>
          </w:p>
        </w:tc>
        <w:tc>
          <w:tcPr>
            <w:tcW w:w="1240" w:type="dxa"/>
            <w:vAlign w:val="bottom"/>
            <w:gridSpan w:val="2"/>
            <w:shd w:val="clear" w:color="auto" w:fill="E5E5E5"/>
          </w:tcPr>
          <w:p>
            <w:pPr>
              <w:jc w:val="right"/>
              <w:ind w:right="380"/>
              <w:spacing w:after="0"/>
              <w:rPr>
                <w:sz w:val="20"/>
                <w:szCs w:val="20"/>
                <w:color w:val="auto"/>
              </w:rPr>
            </w:pPr>
            <w:r>
              <w:rPr>
                <w:rFonts w:ascii="Arial" w:cs="Arial" w:eastAsia="Arial" w:hAnsi="Arial"/>
                <w:sz w:val="18"/>
                <w:szCs w:val="18"/>
                <w:color w:val="auto"/>
              </w:rPr>
              <w:t>2,750</w:t>
            </w:r>
          </w:p>
        </w:tc>
        <w:tc>
          <w:tcPr>
            <w:tcW w:w="1340" w:type="dxa"/>
            <w:vAlign w:val="bottom"/>
            <w:shd w:val="clear" w:color="auto" w:fill="E5E5E5"/>
          </w:tcPr>
          <w:p>
            <w:pPr>
              <w:jc w:val="right"/>
              <w:ind w:right="271"/>
              <w:spacing w:after="0"/>
              <w:rPr>
                <w:sz w:val="20"/>
                <w:szCs w:val="20"/>
                <w:color w:val="auto"/>
              </w:rPr>
            </w:pPr>
            <w:r>
              <w:rPr>
                <w:rFonts w:ascii="Arial" w:cs="Arial" w:eastAsia="Arial" w:hAnsi="Arial"/>
                <w:sz w:val="18"/>
                <w:szCs w:val="18"/>
                <w:b w:val="1"/>
                <w:bCs w:val="1"/>
                <w:color w:val="auto"/>
              </w:rPr>
              <w:t>1.550%</w:t>
            </w:r>
          </w:p>
        </w:tc>
        <w:tc>
          <w:tcPr>
            <w:tcW w:w="1040" w:type="dxa"/>
            <w:vAlign w:val="bottom"/>
            <w:gridSpan w:val="2"/>
            <w:shd w:val="clear" w:color="auto" w:fill="E5E5E5"/>
          </w:tcPr>
          <w:p>
            <w:pPr>
              <w:jc w:val="center"/>
              <w:ind w:left="231"/>
              <w:spacing w:after="0"/>
              <w:rPr>
                <w:sz w:val="20"/>
                <w:szCs w:val="20"/>
                <w:color w:val="auto"/>
              </w:rPr>
            </w:pPr>
            <w:r>
              <w:rPr>
                <w:rFonts w:ascii="Arial" w:cs="Arial" w:eastAsia="Arial" w:hAnsi="Arial"/>
                <w:sz w:val="18"/>
                <w:szCs w:val="18"/>
                <w:b w:val="1"/>
                <w:bCs w:val="1"/>
                <w:color w:val="auto"/>
                <w:w w:val="98"/>
              </w:rPr>
              <w:t>1.642%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 xml:space="preserve">December 6, 2021 </w:t>
            </w:r>
            <w:r>
              <w:rPr>
                <w:rFonts w:ascii="Arial" w:cs="Arial" w:eastAsia="Arial" w:hAnsi="Arial"/>
                <w:sz w:val="15"/>
                <w:szCs w:val="15"/>
                <w:color w:val="auto"/>
              </w:rPr>
              <w:t>(a)</w:t>
            </w: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2,069</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gridSpan w:val="2"/>
          </w:tcPr>
          <w:p>
            <w:pPr>
              <w:jc w:val="right"/>
              <w:ind w:right="380"/>
              <w:spacing w:after="0"/>
              <w:rPr>
                <w:sz w:val="20"/>
                <w:szCs w:val="20"/>
                <w:color w:val="auto"/>
              </w:rPr>
            </w:pPr>
            <w:r>
              <w:rPr>
                <w:rFonts w:ascii="Arial" w:cs="Arial" w:eastAsia="Arial" w:hAnsi="Arial"/>
                <w:sz w:val="18"/>
                <w:szCs w:val="18"/>
                <w:color w:val="auto"/>
              </w:rPr>
              <w:t>1,996</w:t>
            </w:r>
          </w:p>
        </w:tc>
        <w:tc>
          <w:tcPr>
            <w:tcW w:w="1340" w:type="dxa"/>
            <w:vAlign w:val="bottom"/>
          </w:tcPr>
          <w:p>
            <w:pPr>
              <w:jc w:val="right"/>
              <w:ind w:right="271"/>
              <w:spacing w:after="0"/>
              <w:rPr>
                <w:sz w:val="20"/>
                <w:szCs w:val="20"/>
                <w:color w:val="auto"/>
              </w:rPr>
            </w:pPr>
            <w:r>
              <w:rPr>
                <w:rFonts w:ascii="Arial" w:cs="Arial" w:eastAsia="Arial" w:hAnsi="Arial"/>
                <w:sz w:val="18"/>
                <w:szCs w:val="18"/>
                <w:b w:val="1"/>
                <w:bCs w:val="1"/>
                <w:color w:val="auto"/>
              </w:rPr>
              <w:t>2.125%</w:t>
            </w:r>
          </w:p>
        </w:tc>
        <w:tc>
          <w:tcPr>
            <w:tcW w:w="1040" w:type="dxa"/>
            <w:vAlign w:val="bottom"/>
            <w:gridSpan w:val="2"/>
          </w:tcPr>
          <w:p>
            <w:pPr>
              <w:jc w:val="center"/>
              <w:ind w:left="231"/>
              <w:spacing w:after="0"/>
              <w:rPr>
                <w:sz w:val="20"/>
                <w:szCs w:val="20"/>
                <w:color w:val="auto"/>
              </w:rPr>
            </w:pPr>
            <w:r>
              <w:rPr>
                <w:rFonts w:ascii="Arial" w:cs="Arial" w:eastAsia="Arial" w:hAnsi="Arial"/>
                <w:sz w:val="18"/>
                <w:szCs w:val="18"/>
                <w:b w:val="1"/>
                <w:bCs w:val="1"/>
                <w:color w:val="auto"/>
                <w:w w:val="98"/>
              </w:rPr>
              <w:t>2.233%</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160" w:type="dxa"/>
            <w:vAlign w:val="bottom"/>
            <w:shd w:val="clear" w:color="auto" w:fill="E5E5E5"/>
          </w:tcPr>
          <w:p>
            <w:pPr>
              <w:spacing w:after="0"/>
              <w:rPr>
                <w:sz w:val="20"/>
                <w:szCs w:val="20"/>
                <w:color w:val="auto"/>
              </w:rPr>
            </w:pPr>
            <w:r>
              <w:rPr>
                <w:rFonts w:ascii="Arial" w:cs="Arial" w:eastAsia="Arial" w:hAnsi="Arial"/>
                <w:sz w:val="18"/>
                <w:szCs w:val="18"/>
                <w:color w:val="auto"/>
              </w:rPr>
              <w:t>February 6, 2022</w:t>
            </w:r>
          </w:p>
        </w:tc>
        <w:tc>
          <w:tcPr>
            <w:tcW w:w="160" w:type="dxa"/>
            <w:vAlign w:val="bottom"/>
            <w:shd w:val="clear" w:color="auto" w:fill="E5E5E5"/>
          </w:tcPr>
          <w:p>
            <w:pPr>
              <w:spacing w:after="0"/>
              <w:rPr>
                <w:sz w:val="21"/>
                <w:szCs w:val="21"/>
                <w:color w:val="auto"/>
              </w:rPr>
            </w:pPr>
          </w:p>
        </w:tc>
        <w:tc>
          <w:tcPr>
            <w:tcW w:w="1080" w:type="dxa"/>
            <w:vAlign w:val="bottom"/>
            <w:gridSpan w:val="2"/>
            <w:shd w:val="clear" w:color="auto" w:fill="E5E5E5"/>
          </w:tcPr>
          <w:p>
            <w:pPr>
              <w:jc w:val="right"/>
              <w:ind w:right="100"/>
              <w:spacing w:after="0"/>
              <w:rPr>
                <w:sz w:val="20"/>
                <w:szCs w:val="20"/>
                <w:color w:val="auto"/>
              </w:rPr>
            </w:pPr>
            <w:r>
              <w:rPr>
                <w:rFonts w:ascii="Arial" w:cs="Arial" w:eastAsia="Arial" w:hAnsi="Arial"/>
                <w:sz w:val="18"/>
                <w:szCs w:val="18"/>
                <w:b w:val="1"/>
                <w:bCs w:val="1"/>
                <w:color w:val="auto"/>
              </w:rPr>
              <w:t>1,750</w:t>
            </w:r>
          </w:p>
        </w:tc>
        <w:tc>
          <w:tcPr>
            <w:tcW w:w="120" w:type="dxa"/>
            <w:vAlign w:val="bottom"/>
            <w:shd w:val="clear" w:color="auto" w:fill="E5E5E5"/>
          </w:tcPr>
          <w:p>
            <w:pPr>
              <w:spacing w:after="0"/>
              <w:rPr>
                <w:sz w:val="21"/>
                <w:szCs w:val="21"/>
                <w:color w:val="auto"/>
              </w:rPr>
            </w:pPr>
          </w:p>
        </w:tc>
        <w:tc>
          <w:tcPr>
            <w:tcW w:w="260" w:type="dxa"/>
            <w:vAlign w:val="bottom"/>
            <w:shd w:val="clear" w:color="auto" w:fill="E5E5E5"/>
          </w:tcPr>
          <w:p>
            <w:pPr>
              <w:spacing w:after="0"/>
              <w:rPr>
                <w:sz w:val="21"/>
                <w:szCs w:val="21"/>
                <w:color w:val="auto"/>
              </w:rPr>
            </w:pPr>
          </w:p>
        </w:tc>
        <w:tc>
          <w:tcPr>
            <w:tcW w:w="1240" w:type="dxa"/>
            <w:vAlign w:val="bottom"/>
            <w:gridSpan w:val="2"/>
            <w:shd w:val="clear" w:color="auto" w:fill="E5E5E5"/>
          </w:tcPr>
          <w:p>
            <w:pPr>
              <w:jc w:val="right"/>
              <w:ind w:right="380"/>
              <w:spacing w:after="0"/>
              <w:rPr>
                <w:sz w:val="20"/>
                <w:szCs w:val="20"/>
                <w:color w:val="auto"/>
              </w:rPr>
            </w:pPr>
            <w:r>
              <w:rPr>
                <w:rFonts w:ascii="Arial" w:cs="Arial" w:eastAsia="Arial" w:hAnsi="Arial"/>
                <w:sz w:val="18"/>
                <w:szCs w:val="18"/>
                <w:color w:val="auto"/>
              </w:rPr>
              <w:t>1,750</w:t>
            </w:r>
          </w:p>
        </w:tc>
        <w:tc>
          <w:tcPr>
            <w:tcW w:w="1340" w:type="dxa"/>
            <w:vAlign w:val="bottom"/>
            <w:shd w:val="clear" w:color="auto" w:fill="E5E5E5"/>
          </w:tcPr>
          <w:p>
            <w:pPr>
              <w:jc w:val="right"/>
              <w:ind w:right="271"/>
              <w:spacing w:after="0"/>
              <w:rPr>
                <w:sz w:val="20"/>
                <w:szCs w:val="20"/>
                <w:color w:val="auto"/>
              </w:rPr>
            </w:pPr>
            <w:r>
              <w:rPr>
                <w:rFonts w:ascii="Arial" w:cs="Arial" w:eastAsia="Arial" w:hAnsi="Arial"/>
                <w:sz w:val="18"/>
                <w:szCs w:val="18"/>
                <w:b w:val="1"/>
                <w:bCs w:val="1"/>
                <w:color w:val="auto"/>
              </w:rPr>
              <w:t>2.400%</w:t>
            </w:r>
          </w:p>
        </w:tc>
        <w:tc>
          <w:tcPr>
            <w:tcW w:w="1040" w:type="dxa"/>
            <w:vAlign w:val="bottom"/>
            <w:gridSpan w:val="2"/>
            <w:shd w:val="clear" w:color="auto" w:fill="E5E5E5"/>
          </w:tcPr>
          <w:p>
            <w:pPr>
              <w:jc w:val="center"/>
              <w:ind w:left="231"/>
              <w:spacing w:after="0"/>
              <w:rPr>
                <w:sz w:val="20"/>
                <w:szCs w:val="20"/>
                <w:color w:val="auto"/>
              </w:rPr>
            </w:pPr>
            <w:r>
              <w:rPr>
                <w:rFonts w:ascii="Arial" w:cs="Arial" w:eastAsia="Arial" w:hAnsi="Arial"/>
                <w:sz w:val="18"/>
                <w:szCs w:val="18"/>
                <w:b w:val="1"/>
                <w:bCs w:val="1"/>
                <w:color w:val="auto"/>
                <w:w w:val="98"/>
              </w:rPr>
              <w:t>2.520%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60" w:type="dxa"/>
            <w:vAlign w:val="bottom"/>
          </w:tcPr>
          <w:p>
            <w:pPr>
              <w:spacing w:after="0" w:line="202" w:lineRule="exact"/>
              <w:rPr>
                <w:sz w:val="20"/>
                <w:szCs w:val="20"/>
                <w:color w:val="auto"/>
              </w:rPr>
            </w:pPr>
            <w:r>
              <w:rPr>
                <w:rFonts w:ascii="Arial" w:cs="Arial" w:eastAsia="Arial" w:hAnsi="Arial"/>
                <w:sz w:val="18"/>
                <w:szCs w:val="18"/>
                <w:color w:val="auto"/>
              </w:rPr>
              <w:t>February 12, 2022</w:t>
            </w:r>
          </w:p>
        </w:tc>
        <w:tc>
          <w:tcPr>
            <w:tcW w:w="160" w:type="dxa"/>
            <w:vAlign w:val="bottom"/>
          </w:tcPr>
          <w:p>
            <w:pPr>
              <w:spacing w:after="0"/>
              <w:rPr>
                <w:sz w:val="17"/>
                <w:szCs w:val="17"/>
                <w:color w:val="auto"/>
              </w:rPr>
            </w:pPr>
          </w:p>
        </w:tc>
        <w:tc>
          <w:tcPr>
            <w:tcW w:w="1080" w:type="dxa"/>
            <w:vAlign w:val="bottom"/>
            <w:gridSpan w:val="2"/>
          </w:tcPr>
          <w:p>
            <w:pPr>
              <w:jc w:val="right"/>
              <w:ind w:right="100"/>
              <w:spacing w:after="0" w:line="202" w:lineRule="exact"/>
              <w:rPr>
                <w:sz w:val="20"/>
                <w:szCs w:val="20"/>
                <w:color w:val="auto"/>
              </w:rPr>
            </w:pPr>
            <w:r>
              <w:rPr>
                <w:rFonts w:ascii="Arial" w:cs="Arial" w:eastAsia="Arial" w:hAnsi="Arial"/>
                <w:sz w:val="18"/>
                <w:szCs w:val="18"/>
                <w:b w:val="1"/>
                <w:bCs w:val="1"/>
                <w:color w:val="auto"/>
              </w:rPr>
              <w:t>1,500</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1,500</w:t>
            </w:r>
          </w:p>
        </w:tc>
        <w:tc>
          <w:tcPr>
            <w:tcW w:w="1340" w:type="dxa"/>
            <w:vAlign w:val="bottom"/>
          </w:tcPr>
          <w:p>
            <w:pPr>
              <w:jc w:val="right"/>
              <w:ind w:right="271"/>
              <w:spacing w:after="0" w:line="202" w:lineRule="exact"/>
              <w:rPr>
                <w:sz w:val="20"/>
                <w:szCs w:val="20"/>
                <w:color w:val="auto"/>
              </w:rPr>
            </w:pPr>
            <w:r>
              <w:rPr>
                <w:rFonts w:ascii="Arial" w:cs="Arial" w:eastAsia="Arial" w:hAnsi="Arial"/>
                <w:sz w:val="18"/>
                <w:szCs w:val="18"/>
                <w:b w:val="1"/>
                <w:bCs w:val="1"/>
                <w:color w:val="auto"/>
              </w:rPr>
              <w:t>2.375%</w:t>
            </w:r>
          </w:p>
        </w:tc>
        <w:tc>
          <w:tcPr>
            <w:tcW w:w="1040" w:type="dxa"/>
            <w:vAlign w:val="bottom"/>
            <w:gridSpan w:val="2"/>
          </w:tcPr>
          <w:p>
            <w:pPr>
              <w:jc w:val="center"/>
              <w:ind w:left="231"/>
              <w:spacing w:after="0" w:line="202" w:lineRule="exact"/>
              <w:rPr>
                <w:sz w:val="20"/>
                <w:szCs w:val="20"/>
                <w:color w:val="auto"/>
              </w:rPr>
            </w:pPr>
            <w:r>
              <w:rPr>
                <w:rFonts w:ascii="Arial" w:cs="Arial" w:eastAsia="Arial" w:hAnsi="Arial"/>
                <w:sz w:val="18"/>
                <w:szCs w:val="18"/>
                <w:b w:val="1"/>
                <w:bCs w:val="1"/>
                <w:color w:val="auto"/>
                <w:w w:val="98"/>
              </w:rPr>
              <w:t>2.466%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6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November 3, 2022</w:t>
            </w:r>
          </w:p>
        </w:tc>
        <w:tc>
          <w:tcPr>
            <w:tcW w:w="160" w:type="dxa"/>
            <w:vAlign w:val="bottom"/>
            <w:shd w:val="clear" w:color="auto" w:fill="E5E5E5"/>
          </w:tcPr>
          <w:p>
            <w:pPr>
              <w:spacing w:after="0"/>
              <w:rPr>
                <w:sz w:val="17"/>
                <w:szCs w:val="17"/>
                <w:color w:val="auto"/>
              </w:rPr>
            </w:pPr>
          </w:p>
        </w:tc>
        <w:tc>
          <w:tcPr>
            <w:tcW w:w="108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b w:val="1"/>
                <w:bCs w:val="1"/>
                <w:color w:val="auto"/>
              </w:rPr>
              <w:t>1,000</w:t>
            </w:r>
          </w:p>
        </w:tc>
        <w:tc>
          <w:tcPr>
            <w:tcW w:w="120" w:type="dxa"/>
            <w:vAlign w:val="bottom"/>
            <w:shd w:val="clear" w:color="auto" w:fill="E5E5E5"/>
          </w:tcPr>
          <w:p>
            <w:pPr>
              <w:spacing w:after="0"/>
              <w:rPr>
                <w:sz w:val="17"/>
                <w:szCs w:val="17"/>
                <w:color w:val="auto"/>
              </w:rPr>
            </w:pPr>
          </w:p>
        </w:tc>
        <w:tc>
          <w:tcPr>
            <w:tcW w:w="260" w:type="dxa"/>
            <w:vAlign w:val="bottom"/>
            <w:shd w:val="clear" w:color="auto" w:fill="E5E5E5"/>
          </w:tcPr>
          <w:p>
            <w:pPr>
              <w:spacing w:after="0"/>
              <w:rPr>
                <w:sz w:val="17"/>
                <w:szCs w:val="17"/>
                <w:color w:val="auto"/>
              </w:rPr>
            </w:pPr>
          </w:p>
        </w:tc>
        <w:tc>
          <w:tcPr>
            <w:tcW w:w="1240" w:type="dxa"/>
            <w:vAlign w:val="bottom"/>
            <w:gridSpan w:val="2"/>
            <w:shd w:val="clear" w:color="auto" w:fill="E5E5E5"/>
          </w:tcPr>
          <w:p>
            <w:pPr>
              <w:jc w:val="right"/>
              <w:ind w:right="380"/>
              <w:spacing w:after="0" w:line="202" w:lineRule="exact"/>
              <w:rPr>
                <w:sz w:val="20"/>
                <w:szCs w:val="20"/>
                <w:color w:val="auto"/>
              </w:rPr>
            </w:pPr>
            <w:r>
              <w:rPr>
                <w:rFonts w:ascii="Arial" w:cs="Arial" w:eastAsia="Arial" w:hAnsi="Arial"/>
                <w:sz w:val="18"/>
                <w:szCs w:val="18"/>
                <w:color w:val="auto"/>
              </w:rPr>
              <w:t>1,000</w:t>
            </w:r>
          </w:p>
        </w:tc>
        <w:tc>
          <w:tcPr>
            <w:tcW w:w="1340" w:type="dxa"/>
            <w:vAlign w:val="bottom"/>
            <w:shd w:val="clear" w:color="auto" w:fill="E5E5E5"/>
          </w:tcPr>
          <w:p>
            <w:pPr>
              <w:jc w:val="right"/>
              <w:ind w:right="271"/>
              <w:spacing w:after="0" w:line="202" w:lineRule="exact"/>
              <w:rPr>
                <w:sz w:val="20"/>
                <w:szCs w:val="20"/>
                <w:color w:val="auto"/>
              </w:rPr>
            </w:pPr>
            <w:r>
              <w:rPr>
                <w:rFonts w:ascii="Arial" w:cs="Arial" w:eastAsia="Arial" w:hAnsi="Arial"/>
                <w:sz w:val="18"/>
                <w:szCs w:val="18"/>
                <w:b w:val="1"/>
                <w:bCs w:val="1"/>
                <w:color w:val="auto"/>
              </w:rPr>
              <w:t>2.650%</w:t>
            </w:r>
          </w:p>
        </w:tc>
        <w:tc>
          <w:tcPr>
            <w:tcW w:w="1040" w:type="dxa"/>
            <w:vAlign w:val="bottom"/>
            <w:gridSpan w:val="2"/>
            <w:shd w:val="clear" w:color="auto" w:fill="E5E5E5"/>
          </w:tcPr>
          <w:p>
            <w:pPr>
              <w:jc w:val="center"/>
              <w:ind w:left="231"/>
              <w:spacing w:after="0" w:line="202" w:lineRule="exact"/>
              <w:rPr>
                <w:sz w:val="20"/>
                <w:szCs w:val="20"/>
                <w:color w:val="auto"/>
              </w:rPr>
            </w:pPr>
            <w:r>
              <w:rPr>
                <w:rFonts w:ascii="Arial" w:cs="Arial" w:eastAsia="Arial" w:hAnsi="Arial"/>
                <w:sz w:val="18"/>
                <w:szCs w:val="18"/>
                <w:b w:val="1"/>
                <w:bCs w:val="1"/>
                <w:color w:val="auto"/>
                <w:w w:val="98"/>
              </w:rPr>
              <w:t>2.717%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60" w:type="dxa"/>
            <w:vAlign w:val="bottom"/>
          </w:tcPr>
          <w:p>
            <w:pPr>
              <w:spacing w:after="0" w:line="202" w:lineRule="exact"/>
              <w:rPr>
                <w:sz w:val="20"/>
                <w:szCs w:val="20"/>
                <w:color w:val="auto"/>
              </w:rPr>
            </w:pPr>
            <w:r>
              <w:rPr>
                <w:rFonts w:ascii="Arial" w:cs="Arial" w:eastAsia="Arial" w:hAnsi="Arial"/>
                <w:sz w:val="18"/>
                <w:szCs w:val="18"/>
                <w:color w:val="auto"/>
              </w:rPr>
              <w:t>November 15, 2022</w:t>
            </w:r>
          </w:p>
        </w:tc>
        <w:tc>
          <w:tcPr>
            <w:tcW w:w="160" w:type="dxa"/>
            <w:vAlign w:val="bottom"/>
          </w:tcPr>
          <w:p>
            <w:pPr>
              <w:spacing w:after="0"/>
              <w:rPr>
                <w:sz w:val="17"/>
                <w:szCs w:val="17"/>
                <w:color w:val="auto"/>
              </w:rPr>
            </w:pPr>
          </w:p>
        </w:tc>
        <w:tc>
          <w:tcPr>
            <w:tcW w:w="1080" w:type="dxa"/>
            <w:vAlign w:val="bottom"/>
            <w:gridSpan w:val="2"/>
          </w:tcPr>
          <w:p>
            <w:pPr>
              <w:jc w:val="right"/>
              <w:ind w:right="100"/>
              <w:spacing w:after="0" w:line="202" w:lineRule="exact"/>
              <w:rPr>
                <w:sz w:val="20"/>
                <w:szCs w:val="20"/>
                <w:color w:val="auto"/>
              </w:rPr>
            </w:pPr>
            <w:r>
              <w:rPr>
                <w:rFonts w:ascii="Arial" w:cs="Arial" w:eastAsia="Arial" w:hAnsi="Arial"/>
                <w:sz w:val="18"/>
                <w:szCs w:val="18"/>
                <w:b w:val="1"/>
                <w:bCs w:val="1"/>
                <w:color w:val="auto"/>
              </w:rPr>
              <w:t>750</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750</w:t>
            </w:r>
          </w:p>
        </w:tc>
        <w:tc>
          <w:tcPr>
            <w:tcW w:w="1340" w:type="dxa"/>
            <w:vAlign w:val="bottom"/>
          </w:tcPr>
          <w:p>
            <w:pPr>
              <w:jc w:val="right"/>
              <w:ind w:right="271"/>
              <w:spacing w:after="0" w:line="202" w:lineRule="exact"/>
              <w:rPr>
                <w:sz w:val="20"/>
                <w:szCs w:val="20"/>
                <w:color w:val="auto"/>
              </w:rPr>
            </w:pPr>
            <w:r>
              <w:rPr>
                <w:rFonts w:ascii="Arial" w:cs="Arial" w:eastAsia="Arial" w:hAnsi="Arial"/>
                <w:sz w:val="18"/>
                <w:szCs w:val="18"/>
                <w:b w:val="1"/>
                <w:bCs w:val="1"/>
                <w:color w:val="auto"/>
              </w:rPr>
              <w:t>2.125%</w:t>
            </w:r>
          </w:p>
        </w:tc>
        <w:tc>
          <w:tcPr>
            <w:tcW w:w="1040" w:type="dxa"/>
            <w:vAlign w:val="bottom"/>
            <w:gridSpan w:val="2"/>
          </w:tcPr>
          <w:p>
            <w:pPr>
              <w:jc w:val="center"/>
              <w:ind w:left="231"/>
              <w:spacing w:after="0" w:line="202" w:lineRule="exact"/>
              <w:rPr>
                <w:sz w:val="20"/>
                <w:szCs w:val="20"/>
                <w:color w:val="auto"/>
              </w:rPr>
            </w:pPr>
            <w:r>
              <w:rPr>
                <w:rFonts w:ascii="Arial" w:cs="Arial" w:eastAsia="Arial" w:hAnsi="Arial"/>
                <w:sz w:val="18"/>
                <w:szCs w:val="18"/>
                <w:b w:val="1"/>
                <w:bCs w:val="1"/>
                <w:color w:val="auto"/>
                <w:w w:val="98"/>
              </w:rPr>
              <w:t>2.239%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6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May 1, 2023</w:t>
            </w:r>
          </w:p>
        </w:tc>
        <w:tc>
          <w:tcPr>
            <w:tcW w:w="160" w:type="dxa"/>
            <w:vAlign w:val="bottom"/>
            <w:shd w:val="clear" w:color="auto" w:fill="E5E5E5"/>
          </w:tcPr>
          <w:p>
            <w:pPr>
              <w:spacing w:after="0"/>
              <w:rPr>
                <w:sz w:val="17"/>
                <w:szCs w:val="17"/>
                <w:color w:val="auto"/>
              </w:rPr>
            </w:pPr>
          </w:p>
        </w:tc>
        <w:tc>
          <w:tcPr>
            <w:tcW w:w="108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b w:val="1"/>
                <w:bCs w:val="1"/>
                <w:color w:val="auto"/>
              </w:rPr>
              <w:t>1,000</w:t>
            </w:r>
          </w:p>
        </w:tc>
        <w:tc>
          <w:tcPr>
            <w:tcW w:w="120" w:type="dxa"/>
            <w:vAlign w:val="bottom"/>
            <w:shd w:val="clear" w:color="auto" w:fill="E5E5E5"/>
          </w:tcPr>
          <w:p>
            <w:pPr>
              <w:spacing w:after="0"/>
              <w:rPr>
                <w:sz w:val="17"/>
                <w:szCs w:val="17"/>
                <w:color w:val="auto"/>
              </w:rPr>
            </w:pPr>
          </w:p>
        </w:tc>
        <w:tc>
          <w:tcPr>
            <w:tcW w:w="260" w:type="dxa"/>
            <w:vAlign w:val="bottom"/>
            <w:shd w:val="clear" w:color="auto" w:fill="E5E5E5"/>
          </w:tcPr>
          <w:p>
            <w:pPr>
              <w:spacing w:after="0"/>
              <w:rPr>
                <w:sz w:val="17"/>
                <w:szCs w:val="17"/>
                <w:color w:val="auto"/>
              </w:rPr>
            </w:pPr>
          </w:p>
        </w:tc>
        <w:tc>
          <w:tcPr>
            <w:tcW w:w="1240" w:type="dxa"/>
            <w:vAlign w:val="bottom"/>
            <w:gridSpan w:val="2"/>
            <w:shd w:val="clear" w:color="auto" w:fill="E5E5E5"/>
          </w:tcPr>
          <w:p>
            <w:pPr>
              <w:jc w:val="right"/>
              <w:ind w:right="380"/>
              <w:spacing w:after="0" w:line="202" w:lineRule="exact"/>
              <w:rPr>
                <w:sz w:val="20"/>
                <w:szCs w:val="20"/>
                <w:color w:val="auto"/>
              </w:rPr>
            </w:pPr>
            <w:r>
              <w:rPr>
                <w:rFonts w:ascii="Arial" w:cs="Arial" w:eastAsia="Arial" w:hAnsi="Arial"/>
                <w:sz w:val="18"/>
                <w:szCs w:val="18"/>
                <w:color w:val="auto"/>
              </w:rPr>
              <w:t>1,000</w:t>
            </w:r>
          </w:p>
        </w:tc>
        <w:tc>
          <w:tcPr>
            <w:tcW w:w="1340" w:type="dxa"/>
            <w:vAlign w:val="bottom"/>
            <w:shd w:val="clear" w:color="auto" w:fill="E5E5E5"/>
          </w:tcPr>
          <w:p>
            <w:pPr>
              <w:jc w:val="right"/>
              <w:ind w:right="271"/>
              <w:spacing w:after="0" w:line="202" w:lineRule="exact"/>
              <w:rPr>
                <w:sz w:val="20"/>
                <w:szCs w:val="20"/>
                <w:color w:val="auto"/>
              </w:rPr>
            </w:pPr>
            <w:r>
              <w:rPr>
                <w:rFonts w:ascii="Arial" w:cs="Arial" w:eastAsia="Arial" w:hAnsi="Arial"/>
                <w:sz w:val="18"/>
                <w:szCs w:val="18"/>
                <w:b w:val="1"/>
                <w:bCs w:val="1"/>
                <w:color w:val="auto"/>
              </w:rPr>
              <w:t>2.375%</w:t>
            </w:r>
          </w:p>
        </w:tc>
        <w:tc>
          <w:tcPr>
            <w:tcW w:w="1040" w:type="dxa"/>
            <w:vAlign w:val="bottom"/>
            <w:gridSpan w:val="2"/>
            <w:shd w:val="clear" w:color="auto" w:fill="E5E5E5"/>
          </w:tcPr>
          <w:p>
            <w:pPr>
              <w:jc w:val="center"/>
              <w:ind w:left="231"/>
              <w:spacing w:after="0" w:line="202" w:lineRule="exact"/>
              <w:rPr>
                <w:sz w:val="20"/>
                <w:szCs w:val="20"/>
                <w:color w:val="auto"/>
              </w:rPr>
            </w:pPr>
            <w:r>
              <w:rPr>
                <w:rFonts w:ascii="Arial" w:cs="Arial" w:eastAsia="Arial" w:hAnsi="Arial"/>
                <w:sz w:val="18"/>
                <w:szCs w:val="18"/>
                <w:b w:val="1"/>
                <w:bCs w:val="1"/>
                <w:color w:val="auto"/>
                <w:w w:val="98"/>
              </w:rPr>
              <w:t>2.465%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August 8, 2023</w:t>
            </w: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1,500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gridSpan w:val="2"/>
          </w:tcPr>
          <w:p>
            <w:pPr>
              <w:jc w:val="right"/>
              <w:ind w:right="380"/>
              <w:spacing w:after="0"/>
              <w:rPr>
                <w:sz w:val="20"/>
                <w:szCs w:val="20"/>
                <w:color w:val="auto"/>
              </w:rPr>
            </w:pPr>
            <w:r>
              <w:rPr>
                <w:rFonts w:ascii="Arial" w:cs="Arial" w:eastAsia="Arial" w:hAnsi="Arial"/>
                <w:sz w:val="18"/>
                <w:szCs w:val="18"/>
                <w:color w:val="auto"/>
              </w:rPr>
              <w:t>1,500</w:t>
            </w:r>
          </w:p>
        </w:tc>
        <w:tc>
          <w:tcPr>
            <w:tcW w:w="1340" w:type="dxa"/>
            <w:vAlign w:val="bottom"/>
          </w:tcPr>
          <w:p>
            <w:pPr>
              <w:jc w:val="right"/>
              <w:ind w:right="271"/>
              <w:spacing w:after="0"/>
              <w:rPr>
                <w:sz w:val="20"/>
                <w:szCs w:val="20"/>
                <w:color w:val="auto"/>
              </w:rPr>
            </w:pPr>
            <w:r>
              <w:rPr>
                <w:rFonts w:ascii="Arial" w:cs="Arial" w:eastAsia="Arial" w:hAnsi="Arial"/>
                <w:sz w:val="18"/>
                <w:szCs w:val="18"/>
                <w:b w:val="1"/>
                <w:bCs w:val="1"/>
                <w:color w:val="auto"/>
              </w:rPr>
              <w:t>2.000%</w:t>
            </w:r>
          </w:p>
        </w:tc>
        <w:tc>
          <w:tcPr>
            <w:tcW w:w="1040" w:type="dxa"/>
            <w:vAlign w:val="bottom"/>
            <w:gridSpan w:val="2"/>
          </w:tcPr>
          <w:p>
            <w:pPr>
              <w:jc w:val="center"/>
              <w:ind w:left="231"/>
              <w:spacing w:after="0"/>
              <w:rPr>
                <w:sz w:val="20"/>
                <w:szCs w:val="20"/>
                <w:color w:val="auto"/>
              </w:rPr>
            </w:pPr>
            <w:r>
              <w:rPr>
                <w:rFonts w:ascii="Arial" w:cs="Arial" w:eastAsia="Arial" w:hAnsi="Arial"/>
                <w:sz w:val="18"/>
                <w:szCs w:val="18"/>
                <w:b w:val="1"/>
                <w:bCs w:val="1"/>
                <w:color w:val="auto"/>
                <w:w w:val="98"/>
              </w:rPr>
              <w:t>2.101%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6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December 15, 2023</w:t>
            </w:r>
          </w:p>
        </w:tc>
        <w:tc>
          <w:tcPr>
            <w:tcW w:w="160" w:type="dxa"/>
            <w:vAlign w:val="bottom"/>
            <w:shd w:val="clear" w:color="auto" w:fill="E5E5E5"/>
          </w:tcPr>
          <w:p>
            <w:pPr>
              <w:spacing w:after="0"/>
              <w:rPr>
                <w:sz w:val="17"/>
                <w:szCs w:val="17"/>
                <w:color w:val="auto"/>
              </w:rPr>
            </w:pPr>
          </w:p>
        </w:tc>
        <w:tc>
          <w:tcPr>
            <w:tcW w:w="108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b w:val="1"/>
                <w:bCs w:val="1"/>
                <w:color w:val="auto"/>
              </w:rPr>
              <w:t>1,500</w:t>
            </w:r>
          </w:p>
        </w:tc>
        <w:tc>
          <w:tcPr>
            <w:tcW w:w="120" w:type="dxa"/>
            <w:vAlign w:val="bottom"/>
            <w:shd w:val="clear" w:color="auto" w:fill="E5E5E5"/>
          </w:tcPr>
          <w:p>
            <w:pPr>
              <w:spacing w:after="0"/>
              <w:rPr>
                <w:sz w:val="17"/>
                <w:szCs w:val="17"/>
                <w:color w:val="auto"/>
              </w:rPr>
            </w:pPr>
          </w:p>
        </w:tc>
        <w:tc>
          <w:tcPr>
            <w:tcW w:w="260" w:type="dxa"/>
            <w:vAlign w:val="bottom"/>
            <w:shd w:val="clear" w:color="auto" w:fill="E5E5E5"/>
          </w:tcPr>
          <w:p>
            <w:pPr>
              <w:spacing w:after="0"/>
              <w:rPr>
                <w:sz w:val="17"/>
                <w:szCs w:val="17"/>
                <w:color w:val="auto"/>
              </w:rPr>
            </w:pPr>
          </w:p>
        </w:tc>
        <w:tc>
          <w:tcPr>
            <w:tcW w:w="1240" w:type="dxa"/>
            <w:vAlign w:val="bottom"/>
            <w:gridSpan w:val="2"/>
            <w:shd w:val="clear" w:color="auto" w:fill="E5E5E5"/>
          </w:tcPr>
          <w:p>
            <w:pPr>
              <w:jc w:val="right"/>
              <w:ind w:right="380"/>
              <w:spacing w:after="0" w:line="202" w:lineRule="exact"/>
              <w:rPr>
                <w:sz w:val="20"/>
                <w:szCs w:val="20"/>
                <w:color w:val="auto"/>
              </w:rPr>
            </w:pPr>
            <w:r>
              <w:rPr>
                <w:rFonts w:ascii="Arial" w:cs="Arial" w:eastAsia="Arial" w:hAnsi="Arial"/>
                <w:sz w:val="18"/>
                <w:szCs w:val="18"/>
                <w:color w:val="auto"/>
              </w:rPr>
              <w:t>1,500</w:t>
            </w:r>
          </w:p>
        </w:tc>
        <w:tc>
          <w:tcPr>
            <w:tcW w:w="1340" w:type="dxa"/>
            <w:vAlign w:val="bottom"/>
            <w:shd w:val="clear" w:color="auto" w:fill="E5E5E5"/>
          </w:tcPr>
          <w:p>
            <w:pPr>
              <w:jc w:val="right"/>
              <w:ind w:right="271"/>
              <w:spacing w:after="0" w:line="202" w:lineRule="exact"/>
              <w:rPr>
                <w:sz w:val="20"/>
                <w:szCs w:val="20"/>
                <w:color w:val="auto"/>
              </w:rPr>
            </w:pPr>
            <w:r>
              <w:rPr>
                <w:rFonts w:ascii="Arial" w:cs="Arial" w:eastAsia="Arial" w:hAnsi="Arial"/>
                <w:sz w:val="18"/>
                <w:szCs w:val="18"/>
                <w:b w:val="1"/>
                <w:bCs w:val="1"/>
                <w:color w:val="auto"/>
              </w:rPr>
              <w:t>3.625%</w:t>
            </w:r>
          </w:p>
        </w:tc>
        <w:tc>
          <w:tcPr>
            <w:tcW w:w="1040" w:type="dxa"/>
            <w:vAlign w:val="bottom"/>
            <w:gridSpan w:val="2"/>
            <w:shd w:val="clear" w:color="auto" w:fill="E5E5E5"/>
          </w:tcPr>
          <w:p>
            <w:pPr>
              <w:jc w:val="center"/>
              <w:ind w:left="231"/>
              <w:spacing w:after="0" w:line="202" w:lineRule="exact"/>
              <w:rPr>
                <w:sz w:val="20"/>
                <w:szCs w:val="20"/>
                <w:color w:val="auto"/>
              </w:rPr>
            </w:pPr>
            <w:r>
              <w:rPr>
                <w:rFonts w:ascii="Arial" w:cs="Arial" w:eastAsia="Arial" w:hAnsi="Arial"/>
                <w:sz w:val="18"/>
                <w:szCs w:val="18"/>
                <w:b w:val="1"/>
                <w:bCs w:val="1"/>
                <w:color w:val="auto"/>
                <w:w w:val="98"/>
              </w:rPr>
              <w:t>3.726%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February 6, 2024</w:t>
            </w:r>
          </w:p>
        </w:tc>
        <w:tc>
          <w:tcPr>
            <w:tcW w:w="160" w:type="dxa"/>
            <w:vAlign w:val="bottom"/>
          </w:tcPr>
          <w:p>
            <w:pPr>
              <w:spacing w:after="0"/>
              <w:rPr>
                <w:sz w:val="21"/>
                <w:szCs w:val="21"/>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2,250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40" w:type="dxa"/>
            <w:vAlign w:val="bottom"/>
            <w:gridSpan w:val="2"/>
          </w:tcPr>
          <w:p>
            <w:pPr>
              <w:jc w:val="right"/>
              <w:ind w:right="380"/>
              <w:spacing w:after="0"/>
              <w:rPr>
                <w:sz w:val="20"/>
                <w:szCs w:val="20"/>
                <w:color w:val="auto"/>
              </w:rPr>
            </w:pPr>
            <w:r>
              <w:rPr>
                <w:rFonts w:ascii="Arial" w:cs="Arial" w:eastAsia="Arial" w:hAnsi="Arial"/>
                <w:sz w:val="18"/>
                <w:szCs w:val="18"/>
                <w:color w:val="auto"/>
              </w:rPr>
              <w:t>2,250</w:t>
            </w:r>
          </w:p>
        </w:tc>
        <w:tc>
          <w:tcPr>
            <w:tcW w:w="1340" w:type="dxa"/>
            <w:vAlign w:val="bottom"/>
          </w:tcPr>
          <w:p>
            <w:pPr>
              <w:jc w:val="right"/>
              <w:ind w:right="271"/>
              <w:spacing w:after="0"/>
              <w:rPr>
                <w:sz w:val="20"/>
                <w:szCs w:val="20"/>
                <w:color w:val="auto"/>
              </w:rPr>
            </w:pPr>
            <w:r>
              <w:rPr>
                <w:rFonts w:ascii="Arial" w:cs="Arial" w:eastAsia="Arial" w:hAnsi="Arial"/>
                <w:sz w:val="18"/>
                <w:szCs w:val="18"/>
                <w:b w:val="1"/>
                <w:bCs w:val="1"/>
                <w:color w:val="auto"/>
              </w:rPr>
              <w:t>2.875%</w:t>
            </w:r>
          </w:p>
        </w:tc>
        <w:tc>
          <w:tcPr>
            <w:tcW w:w="1040" w:type="dxa"/>
            <w:vAlign w:val="bottom"/>
            <w:gridSpan w:val="2"/>
          </w:tcPr>
          <w:p>
            <w:pPr>
              <w:jc w:val="center"/>
              <w:ind w:left="231"/>
              <w:spacing w:after="0"/>
              <w:rPr>
                <w:sz w:val="20"/>
                <w:szCs w:val="20"/>
                <w:color w:val="auto"/>
              </w:rPr>
            </w:pPr>
            <w:r>
              <w:rPr>
                <w:rFonts w:ascii="Arial" w:cs="Arial" w:eastAsia="Arial" w:hAnsi="Arial"/>
                <w:sz w:val="18"/>
                <w:szCs w:val="18"/>
                <w:b w:val="1"/>
                <w:bCs w:val="1"/>
                <w:color w:val="auto"/>
                <w:w w:val="98"/>
              </w:rPr>
              <w:t>3.041%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6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February 12, 2025</w:t>
            </w:r>
          </w:p>
        </w:tc>
        <w:tc>
          <w:tcPr>
            <w:tcW w:w="160" w:type="dxa"/>
            <w:vAlign w:val="bottom"/>
            <w:shd w:val="clear" w:color="auto" w:fill="E5E5E5"/>
          </w:tcPr>
          <w:p>
            <w:pPr>
              <w:spacing w:after="0"/>
              <w:rPr>
                <w:sz w:val="17"/>
                <w:szCs w:val="17"/>
                <w:color w:val="auto"/>
              </w:rPr>
            </w:pPr>
          </w:p>
        </w:tc>
        <w:tc>
          <w:tcPr>
            <w:tcW w:w="108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b w:val="1"/>
                <w:bCs w:val="1"/>
                <w:color w:val="auto"/>
              </w:rPr>
              <w:t>2,250</w:t>
            </w:r>
          </w:p>
        </w:tc>
        <w:tc>
          <w:tcPr>
            <w:tcW w:w="120" w:type="dxa"/>
            <w:vAlign w:val="bottom"/>
            <w:shd w:val="clear" w:color="auto" w:fill="E5E5E5"/>
          </w:tcPr>
          <w:p>
            <w:pPr>
              <w:spacing w:after="0"/>
              <w:rPr>
                <w:sz w:val="17"/>
                <w:szCs w:val="17"/>
                <w:color w:val="auto"/>
              </w:rPr>
            </w:pPr>
          </w:p>
        </w:tc>
        <w:tc>
          <w:tcPr>
            <w:tcW w:w="260" w:type="dxa"/>
            <w:vAlign w:val="bottom"/>
            <w:shd w:val="clear" w:color="auto" w:fill="E5E5E5"/>
          </w:tcPr>
          <w:p>
            <w:pPr>
              <w:spacing w:after="0"/>
              <w:rPr>
                <w:sz w:val="17"/>
                <w:szCs w:val="17"/>
                <w:color w:val="auto"/>
              </w:rPr>
            </w:pPr>
          </w:p>
        </w:tc>
        <w:tc>
          <w:tcPr>
            <w:tcW w:w="1240" w:type="dxa"/>
            <w:vAlign w:val="bottom"/>
            <w:gridSpan w:val="2"/>
            <w:shd w:val="clear" w:color="auto" w:fill="E5E5E5"/>
          </w:tcPr>
          <w:p>
            <w:pPr>
              <w:jc w:val="right"/>
              <w:ind w:right="380"/>
              <w:spacing w:after="0" w:line="202" w:lineRule="exact"/>
              <w:rPr>
                <w:sz w:val="20"/>
                <w:szCs w:val="20"/>
                <w:color w:val="auto"/>
              </w:rPr>
            </w:pPr>
            <w:r>
              <w:rPr>
                <w:rFonts w:ascii="Arial" w:cs="Arial" w:eastAsia="Arial" w:hAnsi="Arial"/>
                <w:sz w:val="18"/>
                <w:szCs w:val="18"/>
                <w:color w:val="auto"/>
              </w:rPr>
              <w:t>2,250</w:t>
            </w:r>
          </w:p>
        </w:tc>
        <w:tc>
          <w:tcPr>
            <w:tcW w:w="1340" w:type="dxa"/>
            <w:vAlign w:val="bottom"/>
            <w:shd w:val="clear" w:color="auto" w:fill="E5E5E5"/>
          </w:tcPr>
          <w:p>
            <w:pPr>
              <w:jc w:val="right"/>
              <w:ind w:right="271"/>
              <w:spacing w:after="0" w:line="202" w:lineRule="exact"/>
              <w:rPr>
                <w:sz w:val="20"/>
                <w:szCs w:val="20"/>
                <w:color w:val="auto"/>
              </w:rPr>
            </w:pPr>
            <w:r>
              <w:rPr>
                <w:rFonts w:ascii="Arial" w:cs="Arial" w:eastAsia="Arial" w:hAnsi="Arial"/>
                <w:sz w:val="18"/>
                <w:szCs w:val="18"/>
                <w:b w:val="1"/>
                <w:bCs w:val="1"/>
                <w:color w:val="auto"/>
              </w:rPr>
              <w:t>2.700%</w:t>
            </w:r>
          </w:p>
        </w:tc>
        <w:tc>
          <w:tcPr>
            <w:tcW w:w="1040" w:type="dxa"/>
            <w:vAlign w:val="bottom"/>
            <w:gridSpan w:val="2"/>
            <w:shd w:val="clear" w:color="auto" w:fill="E5E5E5"/>
          </w:tcPr>
          <w:p>
            <w:pPr>
              <w:jc w:val="center"/>
              <w:ind w:left="231"/>
              <w:spacing w:after="0" w:line="202" w:lineRule="exact"/>
              <w:rPr>
                <w:sz w:val="20"/>
                <w:szCs w:val="20"/>
                <w:color w:val="auto"/>
              </w:rPr>
            </w:pPr>
            <w:r>
              <w:rPr>
                <w:rFonts w:ascii="Arial" w:cs="Arial" w:eastAsia="Arial" w:hAnsi="Arial"/>
                <w:sz w:val="18"/>
                <w:szCs w:val="18"/>
                <w:b w:val="1"/>
                <w:bCs w:val="1"/>
                <w:color w:val="auto"/>
                <w:w w:val="98"/>
              </w:rPr>
              <w:t>2.772%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60" w:type="dxa"/>
            <w:vAlign w:val="bottom"/>
          </w:tcPr>
          <w:p>
            <w:pPr>
              <w:spacing w:after="0" w:line="202" w:lineRule="exact"/>
              <w:rPr>
                <w:sz w:val="20"/>
                <w:szCs w:val="20"/>
                <w:color w:val="auto"/>
              </w:rPr>
            </w:pPr>
            <w:r>
              <w:rPr>
                <w:rFonts w:ascii="Arial" w:cs="Arial" w:eastAsia="Arial" w:hAnsi="Arial"/>
                <w:sz w:val="18"/>
                <w:szCs w:val="18"/>
                <w:color w:val="auto"/>
              </w:rPr>
              <w:t>November 3, 2025</w:t>
            </w:r>
          </w:p>
        </w:tc>
        <w:tc>
          <w:tcPr>
            <w:tcW w:w="160" w:type="dxa"/>
            <w:vAlign w:val="bottom"/>
          </w:tcPr>
          <w:p>
            <w:pPr>
              <w:spacing w:after="0"/>
              <w:rPr>
                <w:sz w:val="17"/>
                <w:szCs w:val="17"/>
                <w:color w:val="auto"/>
              </w:rPr>
            </w:pPr>
          </w:p>
        </w:tc>
        <w:tc>
          <w:tcPr>
            <w:tcW w:w="1080" w:type="dxa"/>
            <w:vAlign w:val="bottom"/>
            <w:gridSpan w:val="2"/>
          </w:tcPr>
          <w:p>
            <w:pPr>
              <w:jc w:val="right"/>
              <w:ind w:right="100"/>
              <w:spacing w:after="0" w:line="202" w:lineRule="exact"/>
              <w:rPr>
                <w:sz w:val="20"/>
                <w:szCs w:val="20"/>
                <w:color w:val="auto"/>
              </w:rPr>
            </w:pPr>
            <w:r>
              <w:rPr>
                <w:rFonts w:ascii="Arial" w:cs="Arial" w:eastAsia="Arial" w:hAnsi="Arial"/>
                <w:sz w:val="18"/>
                <w:szCs w:val="18"/>
                <w:b w:val="1"/>
                <w:bCs w:val="1"/>
                <w:color w:val="auto"/>
              </w:rPr>
              <w:t>3,000</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3,000</w:t>
            </w:r>
          </w:p>
        </w:tc>
        <w:tc>
          <w:tcPr>
            <w:tcW w:w="1340" w:type="dxa"/>
            <w:vAlign w:val="bottom"/>
          </w:tcPr>
          <w:p>
            <w:pPr>
              <w:jc w:val="right"/>
              <w:ind w:right="271"/>
              <w:spacing w:after="0" w:line="202" w:lineRule="exact"/>
              <w:rPr>
                <w:sz w:val="20"/>
                <w:szCs w:val="20"/>
                <w:color w:val="auto"/>
              </w:rPr>
            </w:pPr>
            <w:r>
              <w:rPr>
                <w:rFonts w:ascii="Arial" w:cs="Arial" w:eastAsia="Arial" w:hAnsi="Arial"/>
                <w:sz w:val="18"/>
                <w:szCs w:val="18"/>
                <w:b w:val="1"/>
                <w:bCs w:val="1"/>
                <w:color w:val="auto"/>
              </w:rPr>
              <w:t>3.125%</w:t>
            </w:r>
          </w:p>
        </w:tc>
        <w:tc>
          <w:tcPr>
            <w:tcW w:w="1040" w:type="dxa"/>
            <w:vAlign w:val="bottom"/>
            <w:gridSpan w:val="2"/>
          </w:tcPr>
          <w:p>
            <w:pPr>
              <w:jc w:val="center"/>
              <w:ind w:left="231"/>
              <w:spacing w:after="0" w:line="202" w:lineRule="exact"/>
              <w:rPr>
                <w:sz w:val="20"/>
                <w:szCs w:val="20"/>
                <w:color w:val="auto"/>
              </w:rPr>
            </w:pPr>
            <w:r>
              <w:rPr>
                <w:rFonts w:ascii="Arial" w:cs="Arial" w:eastAsia="Arial" w:hAnsi="Arial"/>
                <w:sz w:val="18"/>
                <w:szCs w:val="18"/>
                <w:b w:val="1"/>
                <w:bCs w:val="1"/>
                <w:color w:val="auto"/>
                <w:w w:val="98"/>
              </w:rPr>
              <w:t>3.176%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E5E5E5"/>
          </w:tcPr>
          <w:p>
            <w:pPr>
              <w:spacing w:after="0"/>
              <w:rPr>
                <w:sz w:val="20"/>
                <w:szCs w:val="20"/>
                <w:color w:val="auto"/>
              </w:rPr>
            </w:pPr>
            <w:r>
              <w:rPr>
                <w:rFonts w:ascii="Arial" w:cs="Arial" w:eastAsia="Arial" w:hAnsi="Arial"/>
                <w:sz w:val="18"/>
                <w:szCs w:val="18"/>
                <w:color w:val="auto"/>
              </w:rPr>
              <w:t>August 8, 2026</w:t>
            </w:r>
          </w:p>
        </w:tc>
        <w:tc>
          <w:tcPr>
            <w:tcW w:w="160" w:type="dxa"/>
            <w:vAlign w:val="bottom"/>
            <w:shd w:val="clear" w:color="auto" w:fill="E5E5E5"/>
          </w:tcPr>
          <w:p>
            <w:pPr>
              <w:spacing w:after="0"/>
              <w:rPr>
                <w:sz w:val="18"/>
                <w:szCs w:val="18"/>
                <w:color w:val="auto"/>
              </w:rPr>
            </w:pPr>
          </w:p>
        </w:tc>
        <w:tc>
          <w:tcPr>
            <w:tcW w:w="1080" w:type="dxa"/>
            <w:vAlign w:val="bottom"/>
            <w:gridSpan w:val="2"/>
            <w:shd w:val="clear" w:color="auto" w:fill="E5E5E5"/>
          </w:tcPr>
          <w:p>
            <w:pPr>
              <w:jc w:val="right"/>
              <w:ind w:right="100"/>
              <w:spacing w:after="0"/>
              <w:rPr>
                <w:sz w:val="20"/>
                <w:szCs w:val="20"/>
                <w:color w:val="auto"/>
              </w:rPr>
            </w:pPr>
            <w:r>
              <w:rPr>
                <w:rFonts w:ascii="Arial" w:cs="Arial" w:eastAsia="Arial" w:hAnsi="Arial"/>
                <w:sz w:val="18"/>
                <w:szCs w:val="18"/>
                <w:b w:val="1"/>
                <w:bCs w:val="1"/>
                <w:color w:val="auto"/>
              </w:rPr>
              <w:t>4,000</w:t>
            </w:r>
          </w:p>
        </w:tc>
        <w:tc>
          <w:tcPr>
            <w:tcW w:w="120" w:type="dxa"/>
            <w:vAlign w:val="bottom"/>
            <w:shd w:val="clear" w:color="auto" w:fill="E5E5E5"/>
          </w:tcPr>
          <w:p>
            <w:pPr>
              <w:spacing w:after="0"/>
              <w:rPr>
                <w:sz w:val="18"/>
                <w:szCs w:val="18"/>
                <w:color w:val="auto"/>
              </w:rPr>
            </w:pPr>
          </w:p>
        </w:tc>
        <w:tc>
          <w:tcPr>
            <w:tcW w:w="260" w:type="dxa"/>
            <w:vAlign w:val="bottom"/>
            <w:shd w:val="clear" w:color="auto" w:fill="E5E5E5"/>
          </w:tcPr>
          <w:p>
            <w:pPr>
              <w:spacing w:after="0"/>
              <w:rPr>
                <w:sz w:val="18"/>
                <w:szCs w:val="18"/>
                <w:color w:val="auto"/>
              </w:rPr>
            </w:pPr>
          </w:p>
        </w:tc>
        <w:tc>
          <w:tcPr>
            <w:tcW w:w="1240" w:type="dxa"/>
            <w:vAlign w:val="bottom"/>
            <w:gridSpan w:val="2"/>
            <w:shd w:val="clear" w:color="auto" w:fill="E5E5E5"/>
          </w:tcPr>
          <w:p>
            <w:pPr>
              <w:jc w:val="right"/>
              <w:ind w:right="380"/>
              <w:spacing w:after="0"/>
              <w:rPr>
                <w:sz w:val="20"/>
                <w:szCs w:val="20"/>
                <w:color w:val="auto"/>
              </w:rPr>
            </w:pPr>
            <w:r>
              <w:rPr>
                <w:rFonts w:ascii="Arial" w:cs="Arial" w:eastAsia="Arial" w:hAnsi="Arial"/>
                <w:sz w:val="18"/>
                <w:szCs w:val="18"/>
                <w:color w:val="auto"/>
              </w:rPr>
              <w:t>4,000</w:t>
            </w:r>
          </w:p>
        </w:tc>
        <w:tc>
          <w:tcPr>
            <w:tcW w:w="1340" w:type="dxa"/>
            <w:vAlign w:val="bottom"/>
            <w:shd w:val="clear" w:color="auto" w:fill="E5E5E5"/>
          </w:tcPr>
          <w:p>
            <w:pPr>
              <w:jc w:val="right"/>
              <w:ind w:right="271"/>
              <w:spacing w:after="0"/>
              <w:rPr>
                <w:sz w:val="20"/>
                <w:szCs w:val="20"/>
                <w:color w:val="auto"/>
              </w:rPr>
            </w:pPr>
            <w:r>
              <w:rPr>
                <w:rFonts w:ascii="Arial" w:cs="Arial" w:eastAsia="Arial" w:hAnsi="Arial"/>
                <w:sz w:val="18"/>
                <w:szCs w:val="18"/>
                <w:b w:val="1"/>
                <w:bCs w:val="1"/>
                <w:color w:val="auto"/>
              </w:rPr>
              <w:t>2.400%</w:t>
            </w:r>
          </w:p>
        </w:tc>
        <w:tc>
          <w:tcPr>
            <w:tcW w:w="1040" w:type="dxa"/>
            <w:vAlign w:val="bottom"/>
            <w:gridSpan w:val="2"/>
            <w:shd w:val="clear" w:color="auto" w:fill="E5E5E5"/>
          </w:tcPr>
          <w:p>
            <w:pPr>
              <w:jc w:val="center"/>
              <w:ind w:left="231"/>
              <w:spacing w:after="0"/>
              <w:rPr>
                <w:sz w:val="20"/>
                <w:szCs w:val="20"/>
                <w:color w:val="auto"/>
              </w:rPr>
            </w:pPr>
            <w:r>
              <w:rPr>
                <w:rFonts w:ascii="Arial" w:cs="Arial" w:eastAsia="Arial" w:hAnsi="Arial"/>
                <w:sz w:val="18"/>
                <w:szCs w:val="18"/>
                <w:b w:val="1"/>
                <w:bCs w:val="1"/>
                <w:color w:val="auto"/>
                <w:w w:val="98"/>
              </w:rPr>
              <w:t>2.464%</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February 6, 2027</w:t>
            </w:r>
          </w:p>
        </w:tc>
        <w:tc>
          <w:tcPr>
            <w:tcW w:w="160" w:type="dxa"/>
            <w:vAlign w:val="bottom"/>
          </w:tcPr>
          <w:p>
            <w:pPr>
              <w:spacing w:after="0"/>
              <w:rPr>
                <w:sz w:val="21"/>
                <w:szCs w:val="21"/>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4,000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40" w:type="dxa"/>
            <w:vAlign w:val="bottom"/>
            <w:gridSpan w:val="2"/>
          </w:tcPr>
          <w:p>
            <w:pPr>
              <w:jc w:val="right"/>
              <w:ind w:right="380"/>
              <w:spacing w:after="0"/>
              <w:rPr>
                <w:sz w:val="20"/>
                <w:szCs w:val="20"/>
                <w:color w:val="auto"/>
              </w:rPr>
            </w:pPr>
            <w:r>
              <w:rPr>
                <w:rFonts w:ascii="Arial" w:cs="Arial" w:eastAsia="Arial" w:hAnsi="Arial"/>
                <w:sz w:val="18"/>
                <w:szCs w:val="18"/>
                <w:color w:val="auto"/>
              </w:rPr>
              <w:t>4,000</w:t>
            </w:r>
          </w:p>
        </w:tc>
        <w:tc>
          <w:tcPr>
            <w:tcW w:w="1340" w:type="dxa"/>
            <w:vAlign w:val="bottom"/>
          </w:tcPr>
          <w:p>
            <w:pPr>
              <w:jc w:val="right"/>
              <w:ind w:right="271"/>
              <w:spacing w:after="0"/>
              <w:rPr>
                <w:sz w:val="20"/>
                <w:szCs w:val="20"/>
                <w:color w:val="auto"/>
              </w:rPr>
            </w:pPr>
            <w:r>
              <w:rPr>
                <w:rFonts w:ascii="Arial" w:cs="Arial" w:eastAsia="Arial" w:hAnsi="Arial"/>
                <w:sz w:val="18"/>
                <w:szCs w:val="18"/>
                <w:b w:val="1"/>
                <w:bCs w:val="1"/>
                <w:color w:val="auto"/>
              </w:rPr>
              <w:t>3.300%</w:t>
            </w:r>
          </w:p>
        </w:tc>
        <w:tc>
          <w:tcPr>
            <w:tcW w:w="1040" w:type="dxa"/>
            <w:vAlign w:val="bottom"/>
            <w:gridSpan w:val="2"/>
          </w:tcPr>
          <w:p>
            <w:pPr>
              <w:jc w:val="center"/>
              <w:ind w:left="231"/>
              <w:spacing w:after="0"/>
              <w:rPr>
                <w:sz w:val="20"/>
                <w:szCs w:val="20"/>
                <w:color w:val="auto"/>
              </w:rPr>
            </w:pPr>
            <w:r>
              <w:rPr>
                <w:rFonts w:ascii="Arial" w:cs="Arial" w:eastAsia="Arial" w:hAnsi="Arial"/>
                <w:sz w:val="18"/>
                <w:szCs w:val="18"/>
                <w:b w:val="1"/>
                <w:bCs w:val="1"/>
                <w:color w:val="auto"/>
                <w:w w:val="98"/>
              </w:rPr>
              <w:t>3.383%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E5E5E5"/>
          </w:tcPr>
          <w:p>
            <w:pPr>
              <w:spacing w:after="0"/>
              <w:rPr>
                <w:sz w:val="20"/>
                <w:szCs w:val="20"/>
                <w:color w:val="auto"/>
              </w:rPr>
            </w:pPr>
            <w:r>
              <w:rPr>
                <w:rFonts w:ascii="Arial" w:cs="Arial" w:eastAsia="Arial" w:hAnsi="Arial"/>
                <w:sz w:val="18"/>
                <w:szCs w:val="18"/>
                <w:color w:val="auto"/>
              </w:rPr>
              <w:t xml:space="preserve">December 6, 2028 </w:t>
            </w:r>
            <w:r>
              <w:rPr>
                <w:rFonts w:ascii="Arial" w:cs="Arial" w:eastAsia="Arial" w:hAnsi="Arial"/>
                <w:sz w:val="15"/>
                <w:szCs w:val="15"/>
                <w:color w:val="auto"/>
              </w:rPr>
              <w:t>(a)</w:t>
            </w:r>
          </w:p>
        </w:tc>
        <w:tc>
          <w:tcPr>
            <w:tcW w:w="160" w:type="dxa"/>
            <w:vAlign w:val="bottom"/>
            <w:shd w:val="clear" w:color="auto" w:fill="E5E5E5"/>
          </w:tcPr>
          <w:p>
            <w:pPr>
              <w:spacing w:after="0"/>
              <w:rPr>
                <w:sz w:val="18"/>
                <w:szCs w:val="18"/>
                <w:color w:val="auto"/>
              </w:rPr>
            </w:pPr>
          </w:p>
        </w:tc>
        <w:tc>
          <w:tcPr>
            <w:tcW w:w="1080" w:type="dxa"/>
            <w:vAlign w:val="bottom"/>
            <w:gridSpan w:val="2"/>
            <w:shd w:val="clear" w:color="auto" w:fill="E5E5E5"/>
          </w:tcPr>
          <w:p>
            <w:pPr>
              <w:jc w:val="right"/>
              <w:ind w:right="100"/>
              <w:spacing w:after="0"/>
              <w:rPr>
                <w:sz w:val="20"/>
                <w:szCs w:val="20"/>
                <w:color w:val="auto"/>
              </w:rPr>
            </w:pPr>
            <w:r>
              <w:rPr>
                <w:rFonts w:ascii="Arial" w:cs="Arial" w:eastAsia="Arial" w:hAnsi="Arial"/>
                <w:sz w:val="18"/>
                <w:szCs w:val="18"/>
                <w:b w:val="1"/>
                <w:bCs w:val="1"/>
                <w:color w:val="auto"/>
              </w:rPr>
              <w:t>2,069</w:t>
            </w:r>
          </w:p>
        </w:tc>
        <w:tc>
          <w:tcPr>
            <w:tcW w:w="120" w:type="dxa"/>
            <w:vAlign w:val="bottom"/>
            <w:shd w:val="clear" w:color="auto" w:fill="E5E5E5"/>
          </w:tcPr>
          <w:p>
            <w:pPr>
              <w:spacing w:after="0"/>
              <w:rPr>
                <w:sz w:val="18"/>
                <w:szCs w:val="18"/>
                <w:color w:val="auto"/>
              </w:rPr>
            </w:pPr>
          </w:p>
        </w:tc>
        <w:tc>
          <w:tcPr>
            <w:tcW w:w="260" w:type="dxa"/>
            <w:vAlign w:val="bottom"/>
            <w:shd w:val="clear" w:color="auto" w:fill="E5E5E5"/>
          </w:tcPr>
          <w:p>
            <w:pPr>
              <w:spacing w:after="0"/>
              <w:rPr>
                <w:sz w:val="18"/>
                <w:szCs w:val="18"/>
                <w:color w:val="auto"/>
              </w:rPr>
            </w:pPr>
          </w:p>
        </w:tc>
        <w:tc>
          <w:tcPr>
            <w:tcW w:w="1240" w:type="dxa"/>
            <w:vAlign w:val="bottom"/>
            <w:gridSpan w:val="2"/>
            <w:shd w:val="clear" w:color="auto" w:fill="E5E5E5"/>
          </w:tcPr>
          <w:p>
            <w:pPr>
              <w:jc w:val="right"/>
              <w:ind w:right="380"/>
              <w:spacing w:after="0"/>
              <w:rPr>
                <w:sz w:val="20"/>
                <w:szCs w:val="20"/>
                <w:color w:val="auto"/>
              </w:rPr>
            </w:pPr>
            <w:r>
              <w:rPr>
                <w:rFonts w:ascii="Arial" w:cs="Arial" w:eastAsia="Arial" w:hAnsi="Arial"/>
                <w:sz w:val="18"/>
                <w:szCs w:val="18"/>
                <w:color w:val="auto"/>
              </w:rPr>
              <w:t>1,996</w:t>
            </w:r>
          </w:p>
        </w:tc>
        <w:tc>
          <w:tcPr>
            <w:tcW w:w="1340" w:type="dxa"/>
            <w:vAlign w:val="bottom"/>
            <w:shd w:val="clear" w:color="auto" w:fill="E5E5E5"/>
          </w:tcPr>
          <w:p>
            <w:pPr>
              <w:jc w:val="right"/>
              <w:ind w:right="271"/>
              <w:spacing w:after="0"/>
              <w:rPr>
                <w:sz w:val="20"/>
                <w:szCs w:val="20"/>
                <w:color w:val="auto"/>
              </w:rPr>
            </w:pPr>
            <w:r>
              <w:rPr>
                <w:rFonts w:ascii="Arial" w:cs="Arial" w:eastAsia="Arial" w:hAnsi="Arial"/>
                <w:sz w:val="18"/>
                <w:szCs w:val="18"/>
                <w:b w:val="1"/>
                <w:bCs w:val="1"/>
                <w:color w:val="auto"/>
              </w:rPr>
              <w:t>3.125%</w:t>
            </w:r>
          </w:p>
        </w:tc>
        <w:tc>
          <w:tcPr>
            <w:tcW w:w="1040" w:type="dxa"/>
            <w:vAlign w:val="bottom"/>
            <w:gridSpan w:val="2"/>
            <w:shd w:val="clear" w:color="auto" w:fill="E5E5E5"/>
          </w:tcPr>
          <w:p>
            <w:pPr>
              <w:jc w:val="center"/>
              <w:ind w:left="231"/>
              <w:spacing w:after="0"/>
              <w:rPr>
                <w:sz w:val="20"/>
                <w:szCs w:val="20"/>
                <w:color w:val="auto"/>
              </w:rPr>
            </w:pPr>
            <w:r>
              <w:rPr>
                <w:rFonts w:ascii="Arial" w:cs="Arial" w:eastAsia="Arial" w:hAnsi="Arial"/>
                <w:sz w:val="18"/>
                <w:szCs w:val="18"/>
                <w:b w:val="1"/>
                <w:bCs w:val="1"/>
                <w:color w:val="auto"/>
                <w:w w:val="98"/>
              </w:rPr>
              <w:t>3.218%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 xml:space="preserve">May 2, 2033 </w:t>
            </w:r>
            <w:r>
              <w:rPr>
                <w:rFonts w:ascii="Arial" w:cs="Arial" w:eastAsia="Arial" w:hAnsi="Arial"/>
                <w:sz w:val="15"/>
                <w:szCs w:val="15"/>
                <w:color w:val="auto"/>
              </w:rPr>
              <w:t>(a)</w:t>
            </w: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651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gridSpan w:val="2"/>
          </w:tcPr>
          <w:p>
            <w:pPr>
              <w:jc w:val="right"/>
              <w:ind w:right="380"/>
              <w:spacing w:after="0"/>
              <w:rPr>
                <w:sz w:val="20"/>
                <w:szCs w:val="20"/>
                <w:color w:val="auto"/>
              </w:rPr>
            </w:pPr>
            <w:r>
              <w:rPr>
                <w:rFonts w:ascii="Arial" w:cs="Arial" w:eastAsia="Arial" w:hAnsi="Arial"/>
                <w:sz w:val="18"/>
                <w:szCs w:val="18"/>
                <w:color w:val="auto"/>
              </w:rPr>
              <w:t>627</w:t>
            </w:r>
          </w:p>
        </w:tc>
        <w:tc>
          <w:tcPr>
            <w:tcW w:w="1340" w:type="dxa"/>
            <w:vAlign w:val="bottom"/>
          </w:tcPr>
          <w:p>
            <w:pPr>
              <w:jc w:val="right"/>
              <w:ind w:right="271"/>
              <w:spacing w:after="0"/>
              <w:rPr>
                <w:sz w:val="20"/>
                <w:szCs w:val="20"/>
                <w:color w:val="auto"/>
              </w:rPr>
            </w:pPr>
            <w:r>
              <w:rPr>
                <w:rFonts w:ascii="Arial" w:cs="Arial" w:eastAsia="Arial" w:hAnsi="Arial"/>
                <w:sz w:val="18"/>
                <w:szCs w:val="18"/>
                <w:b w:val="1"/>
                <w:bCs w:val="1"/>
                <w:color w:val="auto"/>
              </w:rPr>
              <w:t>2.625%</w:t>
            </w:r>
          </w:p>
        </w:tc>
        <w:tc>
          <w:tcPr>
            <w:tcW w:w="1040" w:type="dxa"/>
            <w:vAlign w:val="bottom"/>
            <w:gridSpan w:val="2"/>
          </w:tcPr>
          <w:p>
            <w:pPr>
              <w:jc w:val="center"/>
              <w:ind w:left="231"/>
              <w:spacing w:after="0"/>
              <w:rPr>
                <w:sz w:val="20"/>
                <w:szCs w:val="20"/>
                <w:color w:val="auto"/>
              </w:rPr>
            </w:pPr>
            <w:r>
              <w:rPr>
                <w:rFonts w:ascii="Arial" w:cs="Arial" w:eastAsia="Arial" w:hAnsi="Arial"/>
                <w:sz w:val="18"/>
                <w:szCs w:val="18"/>
                <w:b w:val="1"/>
                <w:bCs w:val="1"/>
                <w:color w:val="auto"/>
                <w:w w:val="98"/>
              </w:rPr>
              <w:t>2.690%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6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February 12, 2035</w:t>
            </w:r>
          </w:p>
        </w:tc>
        <w:tc>
          <w:tcPr>
            <w:tcW w:w="160" w:type="dxa"/>
            <w:vAlign w:val="bottom"/>
            <w:shd w:val="clear" w:color="auto" w:fill="E5E5E5"/>
          </w:tcPr>
          <w:p>
            <w:pPr>
              <w:spacing w:after="0"/>
              <w:rPr>
                <w:sz w:val="17"/>
                <w:szCs w:val="17"/>
                <w:color w:val="auto"/>
              </w:rPr>
            </w:pPr>
          </w:p>
        </w:tc>
        <w:tc>
          <w:tcPr>
            <w:tcW w:w="108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b w:val="1"/>
                <w:bCs w:val="1"/>
                <w:color w:val="auto"/>
              </w:rPr>
              <w:t>1,500</w:t>
            </w:r>
          </w:p>
        </w:tc>
        <w:tc>
          <w:tcPr>
            <w:tcW w:w="120" w:type="dxa"/>
            <w:vAlign w:val="bottom"/>
            <w:shd w:val="clear" w:color="auto" w:fill="E5E5E5"/>
          </w:tcPr>
          <w:p>
            <w:pPr>
              <w:spacing w:after="0"/>
              <w:rPr>
                <w:sz w:val="17"/>
                <w:szCs w:val="17"/>
                <w:color w:val="auto"/>
              </w:rPr>
            </w:pPr>
          </w:p>
        </w:tc>
        <w:tc>
          <w:tcPr>
            <w:tcW w:w="260" w:type="dxa"/>
            <w:vAlign w:val="bottom"/>
            <w:shd w:val="clear" w:color="auto" w:fill="E5E5E5"/>
          </w:tcPr>
          <w:p>
            <w:pPr>
              <w:spacing w:after="0"/>
              <w:rPr>
                <w:sz w:val="17"/>
                <w:szCs w:val="17"/>
                <w:color w:val="auto"/>
              </w:rPr>
            </w:pPr>
          </w:p>
        </w:tc>
        <w:tc>
          <w:tcPr>
            <w:tcW w:w="1240" w:type="dxa"/>
            <w:vAlign w:val="bottom"/>
            <w:gridSpan w:val="2"/>
            <w:shd w:val="clear" w:color="auto" w:fill="E5E5E5"/>
          </w:tcPr>
          <w:p>
            <w:pPr>
              <w:jc w:val="right"/>
              <w:ind w:right="380"/>
              <w:spacing w:after="0" w:line="202" w:lineRule="exact"/>
              <w:rPr>
                <w:sz w:val="20"/>
                <w:szCs w:val="20"/>
                <w:color w:val="auto"/>
              </w:rPr>
            </w:pPr>
            <w:r>
              <w:rPr>
                <w:rFonts w:ascii="Arial" w:cs="Arial" w:eastAsia="Arial" w:hAnsi="Arial"/>
                <w:sz w:val="18"/>
                <w:szCs w:val="18"/>
                <w:color w:val="auto"/>
              </w:rPr>
              <w:t>1,500</w:t>
            </w:r>
          </w:p>
        </w:tc>
        <w:tc>
          <w:tcPr>
            <w:tcW w:w="1340" w:type="dxa"/>
            <w:vAlign w:val="bottom"/>
            <w:shd w:val="clear" w:color="auto" w:fill="E5E5E5"/>
          </w:tcPr>
          <w:p>
            <w:pPr>
              <w:jc w:val="right"/>
              <w:ind w:right="271"/>
              <w:spacing w:after="0" w:line="202" w:lineRule="exact"/>
              <w:rPr>
                <w:sz w:val="20"/>
                <w:szCs w:val="20"/>
                <w:color w:val="auto"/>
              </w:rPr>
            </w:pPr>
            <w:r>
              <w:rPr>
                <w:rFonts w:ascii="Arial" w:cs="Arial" w:eastAsia="Arial" w:hAnsi="Arial"/>
                <w:sz w:val="18"/>
                <w:szCs w:val="18"/>
                <w:b w:val="1"/>
                <w:bCs w:val="1"/>
                <w:color w:val="auto"/>
              </w:rPr>
              <w:t>3.500%</w:t>
            </w:r>
          </w:p>
        </w:tc>
        <w:tc>
          <w:tcPr>
            <w:tcW w:w="1040" w:type="dxa"/>
            <w:vAlign w:val="bottom"/>
            <w:gridSpan w:val="2"/>
            <w:shd w:val="clear" w:color="auto" w:fill="E5E5E5"/>
          </w:tcPr>
          <w:p>
            <w:pPr>
              <w:jc w:val="center"/>
              <w:ind w:left="231"/>
              <w:spacing w:after="0" w:line="202" w:lineRule="exact"/>
              <w:rPr>
                <w:sz w:val="20"/>
                <w:szCs w:val="20"/>
                <w:color w:val="auto"/>
              </w:rPr>
            </w:pPr>
            <w:r>
              <w:rPr>
                <w:rFonts w:ascii="Arial" w:cs="Arial" w:eastAsia="Arial" w:hAnsi="Arial"/>
                <w:sz w:val="18"/>
                <w:szCs w:val="18"/>
                <w:b w:val="1"/>
                <w:bCs w:val="1"/>
                <w:color w:val="auto"/>
                <w:w w:val="98"/>
              </w:rPr>
              <w:t>3.604%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60" w:type="dxa"/>
            <w:vAlign w:val="bottom"/>
          </w:tcPr>
          <w:p>
            <w:pPr>
              <w:spacing w:after="0" w:line="202" w:lineRule="exact"/>
              <w:rPr>
                <w:sz w:val="20"/>
                <w:szCs w:val="20"/>
                <w:color w:val="auto"/>
              </w:rPr>
            </w:pPr>
            <w:r>
              <w:rPr>
                <w:rFonts w:ascii="Arial" w:cs="Arial" w:eastAsia="Arial" w:hAnsi="Arial"/>
                <w:sz w:val="18"/>
                <w:szCs w:val="18"/>
                <w:color w:val="auto"/>
              </w:rPr>
              <w:t>November 3, 2035</w:t>
            </w:r>
          </w:p>
        </w:tc>
        <w:tc>
          <w:tcPr>
            <w:tcW w:w="160" w:type="dxa"/>
            <w:vAlign w:val="bottom"/>
          </w:tcPr>
          <w:p>
            <w:pPr>
              <w:spacing w:after="0"/>
              <w:rPr>
                <w:sz w:val="17"/>
                <w:szCs w:val="17"/>
                <w:color w:val="auto"/>
              </w:rPr>
            </w:pPr>
          </w:p>
        </w:tc>
        <w:tc>
          <w:tcPr>
            <w:tcW w:w="1080" w:type="dxa"/>
            <w:vAlign w:val="bottom"/>
            <w:gridSpan w:val="2"/>
          </w:tcPr>
          <w:p>
            <w:pPr>
              <w:jc w:val="right"/>
              <w:ind w:right="100"/>
              <w:spacing w:after="0" w:line="202" w:lineRule="exact"/>
              <w:rPr>
                <w:sz w:val="20"/>
                <w:szCs w:val="20"/>
                <w:color w:val="auto"/>
              </w:rPr>
            </w:pPr>
            <w:r>
              <w:rPr>
                <w:rFonts w:ascii="Arial" w:cs="Arial" w:eastAsia="Arial" w:hAnsi="Arial"/>
                <w:sz w:val="18"/>
                <w:szCs w:val="18"/>
                <w:b w:val="1"/>
                <w:bCs w:val="1"/>
                <w:color w:val="auto"/>
              </w:rPr>
              <w:t>1,000</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1,000</w:t>
            </w:r>
          </w:p>
        </w:tc>
        <w:tc>
          <w:tcPr>
            <w:tcW w:w="1340" w:type="dxa"/>
            <w:vAlign w:val="bottom"/>
          </w:tcPr>
          <w:p>
            <w:pPr>
              <w:jc w:val="right"/>
              <w:ind w:right="271"/>
              <w:spacing w:after="0" w:line="202" w:lineRule="exact"/>
              <w:rPr>
                <w:sz w:val="20"/>
                <w:szCs w:val="20"/>
                <w:color w:val="auto"/>
              </w:rPr>
            </w:pPr>
            <w:r>
              <w:rPr>
                <w:rFonts w:ascii="Arial" w:cs="Arial" w:eastAsia="Arial" w:hAnsi="Arial"/>
                <w:sz w:val="18"/>
                <w:szCs w:val="18"/>
                <w:b w:val="1"/>
                <w:bCs w:val="1"/>
                <w:color w:val="auto"/>
              </w:rPr>
              <w:t>4.200%</w:t>
            </w:r>
          </w:p>
        </w:tc>
        <w:tc>
          <w:tcPr>
            <w:tcW w:w="1040" w:type="dxa"/>
            <w:vAlign w:val="bottom"/>
            <w:gridSpan w:val="2"/>
          </w:tcPr>
          <w:p>
            <w:pPr>
              <w:jc w:val="center"/>
              <w:ind w:left="231"/>
              <w:spacing w:after="0" w:line="202" w:lineRule="exact"/>
              <w:rPr>
                <w:sz w:val="20"/>
                <w:szCs w:val="20"/>
                <w:color w:val="auto"/>
              </w:rPr>
            </w:pPr>
            <w:r>
              <w:rPr>
                <w:rFonts w:ascii="Arial" w:cs="Arial" w:eastAsia="Arial" w:hAnsi="Arial"/>
                <w:sz w:val="18"/>
                <w:szCs w:val="18"/>
                <w:b w:val="1"/>
                <w:bCs w:val="1"/>
                <w:color w:val="auto"/>
                <w:w w:val="98"/>
              </w:rPr>
              <w:t>4.260%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6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August 8, 2036</w:t>
            </w:r>
          </w:p>
        </w:tc>
        <w:tc>
          <w:tcPr>
            <w:tcW w:w="160" w:type="dxa"/>
            <w:vAlign w:val="bottom"/>
            <w:shd w:val="clear" w:color="auto" w:fill="E5E5E5"/>
          </w:tcPr>
          <w:p>
            <w:pPr>
              <w:spacing w:after="0"/>
              <w:rPr>
                <w:sz w:val="17"/>
                <w:szCs w:val="17"/>
                <w:color w:val="auto"/>
              </w:rPr>
            </w:pPr>
          </w:p>
        </w:tc>
        <w:tc>
          <w:tcPr>
            <w:tcW w:w="108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b w:val="1"/>
                <w:bCs w:val="1"/>
                <w:color w:val="auto"/>
              </w:rPr>
              <w:t>2,250</w:t>
            </w:r>
          </w:p>
        </w:tc>
        <w:tc>
          <w:tcPr>
            <w:tcW w:w="120" w:type="dxa"/>
            <w:vAlign w:val="bottom"/>
            <w:shd w:val="clear" w:color="auto" w:fill="E5E5E5"/>
          </w:tcPr>
          <w:p>
            <w:pPr>
              <w:spacing w:after="0"/>
              <w:rPr>
                <w:sz w:val="17"/>
                <w:szCs w:val="17"/>
                <w:color w:val="auto"/>
              </w:rPr>
            </w:pPr>
          </w:p>
        </w:tc>
        <w:tc>
          <w:tcPr>
            <w:tcW w:w="260" w:type="dxa"/>
            <w:vAlign w:val="bottom"/>
            <w:shd w:val="clear" w:color="auto" w:fill="E5E5E5"/>
          </w:tcPr>
          <w:p>
            <w:pPr>
              <w:spacing w:after="0"/>
              <w:rPr>
                <w:sz w:val="17"/>
                <w:szCs w:val="17"/>
                <w:color w:val="auto"/>
              </w:rPr>
            </w:pPr>
          </w:p>
        </w:tc>
        <w:tc>
          <w:tcPr>
            <w:tcW w:w="1240" w:type="dxa"/>
            <w:vAlign w:val="bottom"/>
            <w:gridSpan w:val="2"/>
            <w:shd w:val="clear" w:color="auto" w:fill="E5E5E5"/>
          </w:tcPr>
          <w:p>
            <w:pPr>
              <w:jc w:val="right"/>
              <w:ind w:right="380"/>
              <w:spacing w:after="0" w:line="202" w:lineRule="exact"/>
              <w:rPr>
                <w:sz w:val="20"/>
                <w:szCs w:val="20"/>
                <w:color w:val="auto"/>
              </w:rPr>
            </w:pPr>
            <w:r>
              <w:rPr>
                <w:rFonts w:ascii="Arial" w:cs="Arial" w:eastAsia="Arial" w:hAnsi="Arial"/>
                <w:sz w:val="18"/>
                <w:szCs w:val="18"/>
                <w:color w:val="auto"/>
              </w:rPr>
              <w:t>2,250</w:t>
            </w:r>
          </w:p>
        </w:tc>
        <w:tc>
          <w:tcPr>
            <w:tcW w:w="1340" w:type="dxa"/>
            <w:vAlign w:val="bottom"/>
            <w:shd w:val="clear" w:color="auto" w:fill="E5E5E5"/>
          </w:tcPr>
          <w:p>
            <w:pPr>
              <w:jc w:val="right"/>
              <w:ind w:right="271"/>
              <w:spacing w:after="0" w:line="202" w:lineRule="exact"/>
              <w:rPr>
                <w:sz w:val="20"/>
                <w:szCs w:val="20"/>
                <w:color w:val="auto"/>
              </w:rPr>
            </w:pPr>
            <w:r>
              <w:rPr>
                <w:rFonts w:ascii="Arial" w:cs="Arial" w:eastAsia="Arial" w:hAnsi="Arial"/>
                <w:sz w:val="18"/>
                <w:szCs w:val="18"/>
                <w:b w:val="1"/>
                <w:bCs w:val="1"/>
                <w:color w:val="auto"/>
              </w:rPr>
              <w:t>3.450%</w:t>
            </w:r>
          </w:p>
        </w:tc>
        <w:tc>
          <w:tcPr>
            <w:tcW w:w="1040" w:type="dxa"/>
            <w:vAlign w:val="bottom"/>
            <w:gridSpan w:val="2"/>
            <w:shd w:val="clear" w:color="auto" w:fill="E5E5E5"/>
          </w:tcPr>
          <w:p>
            <w:pPr>
              <w:jc w:val="center"/>
              <w:ind w:left="231"/>
              <w:spacing w:after="0" w:line="202" w:lineRule="exact"/>
              <w:rPr>
                <w:sz w:val="20"/>
                <w:szCs w:val="20"/>
                <w:color w:val="auto"/>
              </w:rPr>
            </w:pPr>
            <w:r>
              <w:rPr>
                <w:rFonts w:ascii="Arial" w:cs="Arial" w:eastAsia="Arial" w:hAnsi="Arial"/>
                <w:sz w:val="18"/>
                <w:szCs w:val="18"/>
                <w:b w:val="1"/>
                <w:bCs w:val="1"/>
                <w:color w:val="auto"/>
                <w:w w:val="98"/>
              </w:rPr>
              <w:t>3.510%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February 6, 2037</w:t>
            </w:r>
          </w:p>
        </w:tc>
        <w:tc>
          <w:tcPr>
            <w:tcW w:w="160" w:type="dxa"/>
            <w:vAlign w:val="bottom"/>
          </w:tcPr>
          <w:p>
            <w:pPr>
              <w:spacing w:after="0"/>
              <w:rPr>
                <w:sz w:val="21"/>
                <w:szCs w:val="21"/>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2,500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40" w:type="dxa"/>
            <w:vAlign w:val="bottom"/>
            <w:gridSpan w:val="2"/>
          </w:tcPr>
          <w:p>
            <w:pPr>
              <w:jc w:val="right"/>
              <w:ind w:right="380"/>
              <w:spacing w:after="0"/>
              <w:rPr>
                <w:sz w:val="20"/>
                <w:szCs w:val="20"/>
                <w:color w:val="auto"/>
              </w:rPr>
            </w:pPr>
            <w:r>
              <w:rPr>
                <w:rFonts w:ascii="Arial" w:cs="Arial" w:eastAsia="Arial" w:hAnsi="Arial"/>
                <w:sz w:val="18"/>
                <w:szCs w:val="18"/>
                <w:color w:val="auto"/>
              </w:rPr>
              <w:t>2,500</w:t>
            </w:r>
          </w:p>
        </w:tc>
        <w:tc>
          <w:tcPr>
            <w:tcW w:w="1340" w:type="dxa"/>
            <w:vAlign w:val="bottom"/>
          </w:tcPr>
          <w:p>
            <w:pPr>
              <w:jc w:val="right"/>
              <w:ind w:right="271"/>
              <w:spacing w:after="0"/>
              <w:rPr>
                <w:sz w:val="20"/>
                <w:szCs w:val="20"/>
                <w:color w:val="auto"/>
              </w:rPr>
            </w:pPr>
            <w:r>
              <w:rPr>
                <w:rFonts w:ascii="Arial" w:cs="Arial" w:eastAsia="Arial" w:hAnsi="Arial"/>
                <w:sz w:val="18"/>
                <w:szCs w:val="18"/>
                <w:b w:val="1"/>
                <w:bCs w:val="1"/>
                <w:color w:val="auto"/>
              </w:rPr>
              <w:t>4.100%</w:t>
            </w:r>
          </w:p>
        </w:tc>
        <w:tc>
          <w:tcPr>
            <w:tcW w:w="1040" w:type="dxa"/>
            <w:vAlign w:val="bottom"/>
            <w:gridSpan w:val="2"/>
          </w:tcPr>
          <w:p>
            <w:pPr>
              <w:jc w:val="center"/>
              <w:ind w:left="231"/>
              <w:spacing w:after="0"/>
              <w:rPr>
                <w:sz w:val="20"/>
                <w:szCs w:val="20"/>
                <w:color w:val="auto"/>
              </w:rPr>
            </w:pPr>
            <w:r>
              <w:rPr>
                <w:rFonts w:ascii="Arial" w:cs="Arial" w:eastAsia="Arial" w:hAnsi="Arial"/>
                <w:sz w:val="18"/>
                <w:szCs w:val="18"/>
                <w:b w:val="1"/>
                <w:bCs w:val="1"/>
                <w:color w:val="auto"/>
                <w:w w:val="98"/>
              </w:rPr>
              <w:t>4.152%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6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June 1, 2039</w:t>
            </w:r>
          </w:p>
        </w:tc>
        <w:tc>
          <w:tcPr>
            <w:tcW w:w="160" w:type="dxa"/>
            <w:vAlign w:val="bottom"/>
            <w:shd w:val="clear" w:color="auto" w:fill="E5E5E5"/>
          </w:tcPr>
          <w:p>
            <w:pPr>
              <w:spacing w:after="0"/>
              <w:rPr>
                <w:sz w:val="17"/>
                <w:szCs w:val="17"/>
                <w:color w:val="auto"/>
              </w:rPr>
            </w:pPr>
          </w:p>
        </w:tc>
        <w:tc>
          <w:tcPr>
            <w:tcW w:w="108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b w:val="1"/>
                <w:bCs w:val="1"/>
                <w:color w:val="auto"/>
              </w:rPr>
              <w:t>750</w:t>
            </w:r>
          </w:p>
        </w:tc>
        <w:tc>
          <w:tcPr>
            <w:tcW w:w="120" w:type="dxa"/>
            <w:vAlign w:val="bottom"/>
            <w:shd w:val="clear" w:color="auto" w:fill="E5E5E5"/>
          </w:tcPr>
          <w:p>
            <w:pPr>
              <w:spacing w:after="0"/>
              <w:rPr>
                <w:sz w:val="17"/>
                <w:szCs w:val="17"/>
                <w:color w:val="auto"/>
              </w:rPr>
            </w:pPr>
          </w:p>
        </w:tc>
        <w:tc>
          <w:tcPr>
            <w:tcW w:w="260" w:type="dxa"/>
            <w:vAlign w:val="bottom"/>
            <w:shd w:val="clear" w:color="auto" w:fill="E5E5E5"/>
          </w:tcPr>
          <w:p>
            <w:pPr>
              <w:spacing w:after="0"/>
              <w:rPr>
                <w:sz w:val="17"/>
                <w:szCs w:val="17"/>
                <w:color w:val="auto"/>
              </w:rPr>
            </w:pPr>
          </w:p>
        </w:tc>
        <w:tc>
          <w:tcPr>
            <w:tcW w:w="1240" w:type="dxa"/>
            <w:vAlign w:val="bottom"/>
            <w:gridSpan w:val="2"/>
            <w:shd w:val="clear" w:color="auto" w:fill="E5E5E5"/>
          </w:tcPr>
          <w:p>
            <w:pPr>
              <w:jc w:val="right"/>
              <w:ind w:right="380"/>
              <w:spacing w:after="0" w:line="202" w:lineRule="exact"/>
              <w:rPr>
                <w:sz w:val="20"/>
                <w:szCs w:val="20"/>
                <w:color w:val="auto"/>
              </w:rPr>
            </w:pPr>
            <w:r>
              <w:rPr>
                <w:rFonts w:ascii="Arial" w:cs="Arial" w:eastAsia="Arial" w:hAnsi="Arial"/>
                <w:sz w:val="18"/>
                <w:szCs w:val="18"/>
                <w:color w:val="auto"/>
              </w:rPr>
              <w:t>750</w:t>
            </w:r>
          </w:p>
        </w:tc>
        <w:tc>
          <w:tcPr>
            <w:tcW w:w="1340" w:type="dxa"/>
            <w:vAlign w:val="bottom"/>
            <w:shd w:val="clear" w:color="auto" w:fill="E5E5E5"/>
          </w:tcPr>
          <w:p>
            <w:pPr>
              <w:jc w:val="right"/>
              <w:ind w:right="271"/>
              <w:spacing w:after="0" w:line="202" w:lineRule="exact"/>
              <w:rPr>
                <w:sz w:val="20"/>
                <w:szCs w:val="20"/>
                <w:color w:val="auto"/>
              </w:rPr>
            </w:pPr>
            <w:r>
              <w:rPr>
                <w:rFonts w:ascii="Arial" w:cs="Arial" w:eastAsia="Arial" w:hAnsi="Arial"/>
                <w:sz w:val="18"/>
                <w:szCs w:val="18"/>
                <w:b w:val="1"/>
                <w:bCs w:val="1"/>
                <w:color w:val="auto"/>
              </w:rPr>
              <w:t>5.200%</w:t>
            </w:r>
          </w:p>
        </w:tc>
        <w:tc>
          <w:tcPr>
            <w:tcW w:w="1040" w:type="dxa"/>
            <w:vAlign w:val="bottom"/>
            <w:gridSpan w:val="2"/>
            <w:shd w:val="clear" w:color="auto" w:fill="E5E5E5"/>
          </w:tcPr>
          <w:p>
            <w:pPr>
              <w:jc w:val="center"/>
              <w:ind w:left="231"/>
              <w:spacing w:after="0" w:line="202" w:lineRule="exact"/>
              <w:rPr>
                <w:sz w:val="20"/>
                <w:szCs w:val="20"/>
                <w:color w:val="auto"/>
              </w:rPr>
            </w:pPr>
            <w:r>
              <w:rPr>
                <w:rFonts w:ascii="Arial" w:cs="Arial" w:eastAsia="Arial" w:hAnsi="Arial"/>
                <w:sz w:val="18"/>
                <w:szCs w:val="18"/>
                <w:b w:val="1"/>
                <w:bCs w:val="1"/>
                <w:color w:val="auto"/>
                <w:w w:val="98"/>
              </w:rPr>
              <w:t>5.240%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60" w:type="dxa"/>
            <w:vAlign w:val="bottom"/>
          </w:tcPr>
          <w:p>
            <w:pPr>
              <w:spacing w:after="0" w:line="202" w:lineRule="exact"/>
              <w:rPr>
                <w:sz w:val="20"/>
                <w:szCs w:val="20"/>
                <w:color w:val="auto"/>
              </w:rPr>
            </w:pPr>
            <w:r>
              <w:rPr>
                <w:rFonts w:ascii="Arial" w:cs="Arial" w:eastAsia="Arial" w:hAnsi="Arial"/>
                <w:sz w:val="18"/>
                <w:szCs w:val="18"/>
                <w:color w:val="auto"/>
              </w:rPr>
              <w:t>October 1, 2040</w:t>
            </w:r>
          </w:p>
        </w:tc>
        <w:tc>
          <w:tcPr>
            <w:tcW w:w="160" w:type="dxa"/>
            <w:vAlign w:val="bottom"/>
          </w:tcPr>
          <w:p>
            <w:pPr>
              <w:spacing w:after="0"/>
              <w:rPr>
                <w:sz w:val="17"/>
                <w:szCs w:val="17"/>
                <w:color w:val="auto"/>
              </w:rPr>
            </w:pPr>
          </w:p>
        </w:tc>
        <w:tc>
          <w:tcPr>
            <w:tcW w:w="1080" w:type="dxa"/>
            <w:vAlign w:val="bottom"/>
            <w:gridSpan w:val="2"/>
          </w:tcPr>
          <w:p>
            <w:pPr>
              <w:jc w:val="right"/>
              <w:ind w:right="100"/>
              <w:spacing w:after="0" w:line="202" w:lineRule="exact"/>
              <w:rPr>
                <w:sz w:val="20"/>
                <w:szCs w:val="20"/>
                <w:color w:val="auto"/>
              </w:rPr>
            </w:pPr>
            <w:r>
              <w:rPr>
                <w:rFonts w:ascii="Arial" w:cs="Arial" w:eastAsia="Arial" w:hAnsi="Arial"/>
                <w:sz w:val="18"/>
                <w:szCs w:val="18"/>
                <w:b w:val="1"/>
                <w:bCs w:val="1"/>
                <w:color w:val="auto"/>
              </w:rPr>
              <w:t>1,000</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1,000</w:t>
            </w:r>
          </w:p>
        </w:tc>
        <w:tc>
          <w:tcPr>
            <w:tcW w:w="1340" w:type="dxa"/>
            <w:vAlign w:val="bottom"/>
          </w:tcPr>
          <w:p>
            <w:pPr>
              <w:jc w:val="right"/>
              <w:ind w:right="271"/>
              <w:spacing w:after="0" w:line="202" w:lineRule="exact"/>
              <w:rPr>
                <w:sz w:val="20"/>
                <w:szCs w:val="20"/>
                <w:color w:val="auto"/>
              </w:rPr>
            </w:pPr>
            <w:r>
              <w:rPr>
                <w:rFonts w:ascii="Arial" w:cs="Arial" w:eastAsia="Arial" w:hAnsi="Arial"/>
                <w:sz w:val="18"/>
                <w:szCs w:val="18"/>
                <w:b w:val="1"/>
                <w:bCs w:val="1"/>
                <w:color w:val="auto"/>
              </w:rPr>
              <w:t>4.500%</w:t>
            </w:r>
          </w:p>
        </w:tc>
        <w:tc>
          <w:tcPr>
            <w:tcW w:w="1040" w:type="dxa"/>
            <w:vAlign w:val="bottom"/>
            <w:gridSpan w:val="2"/>
          </w:tcPr>
          <w:p>
            <w:pPr>
              <w:jc w:val="center"/>
              <w:ind w:left="231"/>
              <w:spacing w:after="0" w:line="202" w:lineRule="exact"/>
              <w:rPr>
                <w:sz w:val="20"/>
                <w:szCs w:val="20"/>
                <w:color w:val="auto"/>
              </w:rPr>
            </w:pPr>
            <w:r>
              <w:rPr>
                <w:rFonts w:ascii="Arial" w:cs="Arial" w:eastAsia="Arial" w:hAnsi="Arial"/>
                <w:sz w:val="18"/>
                <w:szCs w:val="18"/>
                <w:b w:val="1"/>
                <w:bCs w:val="1"/>
                <w:color w:val="auto"/>
                <w:w w:val="98"/>
              </w:rPr>
              <w:t>4.567%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6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February 8, 2041</w:t>
            </w:r>
          </w:p>
        </w:tc>
        <w:tc>
          <w:tcPr>
            <w:tcW w:w="160" w:type="dxa"/>
            <w:vAlign w:val="bottom"/>
            <w:shd w:val="clear" w:color="auto" w:fill="E5E5E5"/>
          </w:tcPr>
          <w:p>
            <w:pPr>
              <w:spacing w:after="0"/>
              <w:rPr>
                <w:sz w:val="17"/>
                <w:szCs w:val="17"/>
                <w:color w:val="auto"/>
              </w:rPr>
            </w:pPr>
          </w:p>
        </w:tc>
        <w:tc>
          <w:tcPr>
            <w:tcW w:w="108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b w:val="1"/>
                <w:bCs w:val="1"/>
                <w:color w:val="auto"/>
              </w:rPr>
              <w:t>1,000</w:t>
            </w:r>
          </w:p>
        </w:tc>
        <w:tc>
          <w:tcPr>
            <w:tcW w:w="120" w:type="dxa"/>
            <w:vAlign w:val="bottom"/>
            <w:shd w:val="clear" w:color="auto" w:fill="E5E5E5"/>
          </w:tcPr>
          <w:p>
            <w:pPr>
              <w:spacing w:after="0"/>
              <w:rPr>
                <w:sz w:val="17"/>
                <w:szCs w:val="17"/>
                <w:color w:val="auto"/>
              </w:rPr>
            </w:pPr>
          </w:p>
        </w:tc>
        <w:tc>
          <w:tcPr>
            <w:tcW w:w="260" w:type="dxa"/>
            <w:vAlign w:val="bottom"/>
            <w:shd w:val="clear" w:color="auto" w:fill="E5E5E5"/>
          </w:tcPr>
          <w:p>
            <w:pPr>
              <w:spacing w:after="0"/>
              <w:rPr>
                <w:sz w:val="17"/>
                <w:szCs w:val="17"/>
                <w:color w:val="auto"/>
              </w:rPr>
            </w:pPr>
          </w:p>
        </w:tc>
        <w:tc>
          <w:tcPr>
            <w:tcW w:w="1240" w:type="dxa"/>
            <w:vAlign w:val="bottom"/>
            <w:gridSpan w:val="2"/>
            <w:shd w:val="clear" w:color="auto" w:fill="E5E5E5"/>
          </w:tcPr>
          <w:p>
            <w:pPr>
              <w:jc w:val="right"/>
              <w:ind w:right="380"/>
              <w:spacing w:after="0" w:line="202" w:lineRule="exact"/>
              <w:rPr>
                <w:sz w:val="20"/>
                <w:szCs w:val="20"/>
                <w:color w:val="auto"/>
              </w:rPr>
            </w:pPr>
            <w:r>
              <w:rPr>
                <w:rFonts w:ascii="Arial" w:cs="Arial" w:eastAsia="Arial" w:hAnsi="Arial"/>
                <w:sz w:val="18"/>
                <w:szCs w:val="18"/>
                <w:color w:val="auto"/>
              </w:rPr>
              <w:t>1,000</w:t>
            </w:r>
          </w:p>
        </w:tc>
        <w:tc>
          <w:tcPr>
            <w:tcW w:w="1340" w:type="dxa"/>
            <w:vAlign w:val="bottom"/>
            <w:shd w:val="clear" w:color="auto" w:fill="E5E5E5"/>
          </w:tcPr>
          <w:p>
            <w:pPr>
              <w:jc w:val="right"/>
              <w:ind w:right="271"/>
              <w:spacing w:after="0" w:line="202" w:lineRule="exact"/>
              <w:rPr>
                <w:sz w:val="20"/>
                <w:szCs w:val="20"/>
                <w:color w:val="auto"/>
              </w:rPr>
            </w:pPr>
            <w:r>
              <w:rPr>
                <w:rFonts w:ascii="Arial" w:cs="Arial" w:eastAsia="Arial" w:hAnsi="Arial"/>
                <w:sz w:val="18"/>
                <w:szCs w:val="18"/>
                <w:b w:val="1"/>
                <w:bCs w:val="1"/>
                <w:color w:val="auto"/>
              </w:rPr>
              <w:t>5.300%</w:t>
            </w:r>
          </w:p>
        </w:tc>
        <w:tc>
          <w:tcPr>
            <w:tcW w:w="1040" w:type="dxa"/>
            <w:vAlign w:val="bottom"/>
            <w:gridSpan w:val="2"/>
            <w:shd w:val="clear" w:color="auto" w:fill="E5E5E5"/>
          </w:tcPr>
          <w:p>
            <w:pPr>
              <w:jc w:val="center"/>
              <w:ind w:left="231"/>
              <w:spacing w:after="0" w:line="202" w:lineRule="exact"/>
              <w:rPr>
                <w:sz w:val="20"/>
                <w:szCs w:val="20"/>
                <w:color w:val="auto"/>
              </w:rPr>
            </w:pPr>
            <w:r>
              <w:rPr>
                <w:rFonts w:ascii="Arial" w:cs="Arial" w:eastAsia="Arial" w:hAnsi="Arial"/>
                <w:sz w:val="18"/>
                <w:szCs w:val="18"/>
                <w:b w:val="1"/>
                <w:bCs w:val="1"/>
                <w:color w:val="auto"/>
                <w:w w:val="98"/>
              </w:rPr>
              <w:t>5.361%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60" w:type="dxa"/>
            <w:vAlign w:val="bottom"/>
          </w:tcPr>
          <w:p>
            <w:pPr>
              <w:spacing w:after="0" w:line="202" w:lineRule="exact"/>
              <w:rPr>
                <w:sz w:val="20"/>
                <w:szCs w:val="20"/>
                <w:color w:val="auto"/>
              </w:rPr>
            </w:pPr>
            <w:r>
              <w:rPr>
                <w:rFonts w:ascii="Arial" w:cs="Arial" w:eastAsia="Arial" w:hAnsi="Arial"/>
                <w:sz w:val="18"/>
                <w:szCs w:val="18"/>
                <w:color w:val="auto"/>
              </w:rPr>
              <w:t>November 15, 2042</w:t>
            </w:r>
          </w:p>
        </w:tc>
        <w:tc>
          <w:tcPr>
            <w:tcW w:w="160" w:type="dxa"/>
            <w:vAlign w:val="bottom"/>
          </w:tcPr>
          <w:p>
            <w:pPr>
              <w:spacing w:after="0"/>
              <w:rPr>
                <w:sz w:val="17"/>
                <w:szCs w:val="17"/>
                <w:color w:val="auto"/>
              </w:rPr>
            </w:pPr>
          </w:p>
        </w:tc>
        <w:tc>
          <w:tcPr>
            <w:tcW w:w="1080" w:type="dxa"/>
            <w:vAlign w:val="bottom"/>
            <w:gridSpan w:val="2"/>
          </w:tcPr>
          <w:p>
            <w:pPr>
              <w:jc w:val="right"/>
              <w:ind w:right="100"/>
              <w:spacing w:after="0" w:line="202" w:lineRule="exact"/>
              <w:rPr>
                <w:sz w:val="20"/>
                <w:szCs w:val="20"/>
                <w:color w:val="auto"/>
              </w:rPr>
            </w:pPr>
            <w:r>
              <w:rPr>
                <w:rFonts w:ascii="Arial" w:cs="Arial" w:eastAsia="Arial" w:hAnsi="Arial"/>
                <w:sz w:val="18"/>
                <w:szCs w:val="18"/>
                <w:b w:val="1"/>
                <w:bCs w:val="1"/>
                <w:color w:val="auto"/>
              </w:rPr>
              <w:t>900</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900</w:t>
            </w:r>
          </w:p>
        </w:tc>
        <w:tc>
          <w:tcPr>
            <w:tcW w:w="1340" w:type="dxa"/>
            <w:vAlign w:val="bottom"/>
          </w:tcPr>
          <w:p>
            <w:pPr>
              <w:jc w:val="right"/>
              <w:ind w:right="271"/>
              <w:spacing w:after="0" w:line="202" w:lineRule="exact"/>
              <w:rPr>
                <w:sz w:val="20"/>
                <w:szCs w:val="20"/>
                <w:color w:val="auto"/>
              </w:rPr>
            </w:pPr>
            <w:r>
              <w:rPr>
                <w:rFonts w:ascii="Arial" w:cs="Arial" w:eastAsia="Arial" w:hAnsi="Arial"/>
                <w:sz w:val="18"/>
                <w:szCs w:val="18"/>
                <w:b w:val="1"/>
                <w:bCs w:val="1"/>
                <w:color w:val="auto"/>
              </w:rPr>
              <w:t>3.500%</w:t>
            </w:r>
          </w:p>
        </w:tc>
        <w:tc>
          <w:tcPr>
            <w:tcW w:w="1040" w:type="dxa"/>
            <w:vAlign w:val="bottom"/>
            <w:gridSpan w:val="2"/>
          </w:tcPr>
          <w:p>
            <w:pPr>
              <w:jc w:val="center"/>
              <w:ind w:left="231"/>
              <w:spacing w:after="0" w:line="202" w:lineRule="exact"/>
              <w:rPr>
                <w:sz w:val="20"/>
                <w:szCs w:val="20"/>
                <w:color w:val="auto"/>
              </w:rPr>
            </w:pPr>
            <w:r>
              <w:rPr>
                <w:rFonts w:ascii="Arial" w:cs="Arial" w:eastAsia="Arial" w:hAnsi="Arial"/>
                <w:sz w:val="18"/>
                <w:szCs w:val="18"/>
                <w:b w:val="1"/>
                <w:bCs w:val="1"/>
                <w:color w:val="auto"/>
                <w:w w:val="98"/>
              </w:rPr>
              <w:t>3.571%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6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May 1, 2043</w:t>
            </w:r>
          </w:p>
        </w:tc>
        <w:tc>
          <w:tcPr>
            <w:tcW w:w="160" w:type="dxa"/>
            <w:vAlign w:val="bottom"/>
            <w:shd w:val="clear" w:color="auto" w:fill="E5E5E5"/>
          </w:tcPr>
          <w:p>
            <w:pPr>
              <w:spacing w:after="0"/>
              <w:rPr>
                <w:sz w:val="17"/>
                <w:szCs w:val="17"/>
                <w:color w:val="auto"/>
              </w:rPr>
            </w:pPr>
          </w:p>
        </w:tc>
        <w:tc>
          <w:tcPr>
            <w:tcW w:w="108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b w:val="1"/>
                <w:bCs w:val="1"/>
                <w:color w:val="auto"/>
              </w:rPr>
              <w:t>500</w:t>
            </w:r>
          </w:p>
        </w:tc>
        <w:tc>
          <w:tcPr>
            <w:tcW w:w="120" w:type="dxa"/>
            <w:vAlign w:val="bottom"/>
            <w:shd w:val="clear" w:color="auto" w:fill="E5E5E5"/>
          </w:tcPr>
          <w:p>
            <w:pPr>
              <w:spacing w:after="0"/>
              <w:rPr>
                <w:sz w:val="17"/>
                <w:szCs w:val="17"/>
                <w:color w:val="auto"/>
              </w:rPr>
            </w:pPr>
          </w:p>
        </w:tc>
        <w:tc>
          <w:tcPr>
            <w:tcW w:w="260" w:type="dxa"/>
            <w:vAlign w:val="bottom"/>
            <w:shd w:val="clear" w:color="auto" w:fill="E5E5E5"/>
          </w:tcPr>
          <w:p>
            <w:pPr>
              <w:spacing w:after="0"/>
              <w:rPr>
                <w:sz w:val="17"/>
                <w:szCs w:val="17"/>
                <w:color w:val="auto"/>
              </w:rPr>
            </w:pPr>
          </w:p>
        </w:tc>
        <w:tc>
          <w:tcPr>
            <w:tcW w:w="1240" w:type="dxa"/>
            <w:vAlign w:val="bottom"/>
            <w:gridSpan w:val="2"/>
            <w:shd w:val="clear" w:color="auto" w:fill="E5E5E5"/>
          </w:tcPr>
          <w:p>
            <w:pPr>
              <w:jc w:val="right"/>
              <w:ind w:right="380"/>
              <w:spacing w:after="0" w:line="202" w:lineRule="exact"/>
              <w:rPr>
                <w:sz w:val="20"/>
                <w:szCs w:val="20"/>
                <w:color w:val="auto"/>
              </w:rPr>
            </w:pPr>
            <w:r>
              <w:rPr>
                <w:rFonts w:ascii="Arial" w:cs="Arial" w:eastAsia="Arial" w:hAnsi="Arial"/>
                <w:sz w:val="18"/>
                <w:szCs w:val="18"/>
                <w:color w:val="auto"/>
              </w:rPr>
              <w:t>500</w:t>
            </w:r>
          </w:p>
        </w:tc>
        <w:tc>
          <w:tcPr>
            <w:tcW w:w="1340" w:type="dxa"/>
            <w:vAlign w:val="bottom"/>
            <w:shd w:val="clear" w:color="auto" w:fill="E5E5E5"/>
          </w:tcPr>
          <w:p>
            <w:pPr>
              <w:jc w:val="right"/>
              <w:ind w:right="271"/>
              <w:spacing w:after="0" w:line="202" w:lineRule="exact"/>
              <w:rPr>
                <w:sz w:val="20"/>
                <w:szCs w:val="20"/>
                <w:color w:val="auto"/>
              </w:rPr>
            </w:pPr>
            <w:r>
              <w:rPr>
                <w:rFonts w:ascii="Arial" w:cs="Arial" w:eastAsia="Arial" w:hAnsi="Arial"/>
                <w:sz w:val="18"/>
                <w:szCs w:val="18"/>
                <w:b w:val="1"/>
                <w:bCs w:val="1"/>
                <w:color w:val="auto"/>
              </w:rPr>
              <w:t>3.750%</w:t>
            </w:r>
          </w:p>
        </w:tc>
        <w:tc>
          <w:tcPr>
            <w:tcW w:w="1040" w:type="dxa"/>
            <w:vAlign w:val="bottom"/>
            <w:gridSpan w:val="2"/>
            <w:shd w:val="clear" w:color="auto" w:fill="E5E5E5"/>
          </w:tcPr>
          <w:p>
            <w:pPr>
              <w:jc w:val="center"/>
              <w:ind w:left="231"/>
              <w:spacing w:after="0" w:line="202" w:lineRule="exact"/>
              <w:rPr>
                <w:sz w:val="20"/>
                <w:szCs w:val="20"/>
                <w:color w:val="auto"/>
              </w:rPr>
            </w:pPr>
            <w:r>
              <w:rPr>
                <w:rFonts w:ascii="Arial" w:cs="Arial" w:eastAsia="Arial" w:hAnsi="Arial"/>
                <w:sz w:val="18"/>
                <w:szCs w:val="18"/>
                <w:b w:val="1"/>
                <w:bCs w:val="1"/>
                <w:color w:val="auto"/>
                <w:w w:val="98"/>
              </w:rPr>
              <w:t>3.829%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60" w:type="dxa"/>
            <w:vAlign w:val="bottom"/>
          </w:tcPr>
          <w:p>
            <w:pPr>
              <w:spacing w:after="0" w:line="202" w:lineRule="exact"/>
              <w:rPr>
                <w:sz w:val="20"/>
                <w:szCs w:val="20"/>
                <w:color w:val="auto"/>
              </w:rPr>
            </w:pPr>
            <w:r>
              <w:rPr>
                <w:rFonts w:ascii="Arial" w:cs="Arial" w:eastAsia="Arial" w:hAnsi="Arial"/>
                <w:sz w:val="18"/>
                <w:szCs w:val="18"/>
                <w:color w:val="auto"/>
              </w:rPr>
              <w:t>December 15, 2043</w:t>
            </w:r>
          </w:p>
        </w:tc>
        <w:tc>
          <w:tcPr>
            <w:tcW w:w="160" w:type="dxa"/>
            <w:vAlign w:val="bottom"/>
          </w:tcPr>
          <w:p>
            <w:pPr>
              <w:spacing w:after="0"/>
              <w:rPr>
                <w:sz w:val="17"/>
                <w:szCs w:val="17"/>
                <w:color w:val="auto"/>
              </w:rPr>
            </w:pPr>
          </w:p>
        </w:tc>
        <w:tc>
          <w:tcPr>
            <w:tcW w:w="1080" w:type="dxa"/>
            <w:vAlign w:val="bottom"/>
            <w:gridSpan w:val="2"/>
          </w:tcPr>
          <w:p>
            <w:pPr>
              <w:jc w:val="right"/>
              <w:ind w:right="100"/>
              <w:spacing w:after="0" w:line="202" w:lineRule="exact"/>
              <w:rPr>
                <w:sz w:val="20"/>
                <w:szCs w:val="20"/>
                <w:color w:val="auto"/>
              </w:rPr>
            </w:pPr>
            <w:r>
              <w:rPr>
                <w:rFonts w:ascii="Arial" w:cs="Arial" w:eastAsia="Arial" w:hAnsi="Arial"/>
                <w:sz w:val="18"/>
                <w:szCs w:val="18"/>
                <w:b w:val="1"/>
                <w:bCs w:val="1"/>
                <w:color w:val="auto"/>
              </w:rPr>
              <w:t>500</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500</w:t>
            </w:r>
          </w:p>
        </w:tc>
        <w:tc>
          <w:tcPr>
            <w:tcW w:w="1340" w:type="dxa"/>
            <w:vAlign w:val="bottom"/>
          </w:tcPr>
          <w:p>
            <w:pPr>
              <w:jc w:val="right"/>
              <w:ind w:right="271"/>
              <w:spacing w:after="0" w:line="202" w:lineRule="exact"/>
              <w:rPr>
                <w:sz w:val="20"/>
                <w:szCs w:val="20"/>
                <w:color w:val="auto"/>
              </w:rPr>
            </w:pPr>
            <w:r>
              <w:rPr>
                <w:rFonts w:ascii="Arial" w:cs="Arial" w:eastAsia="Arial" w:hAnsi="Arial"/>
                <w:sz w:val="18"/>
                <w:szCs w:val="18"/>
                <w:b w:val="1"/>
                <w:bCs w:val="1"/>
                <w:color w:val="auto"/>
              </w:rPr>
              <w:t>4.875%</w:t>
            </w:r>
          </w:p>
        </w:tc>
        <w:tc>
          <w:tcPr>
            <w:tcW w:w="1040" w:type="dxa"/>
            <w:vAlign w:val="bottom"/>
            <w:gridSpan w:val="2"/>
          </w:tcPr>
          <w:p>
            <w:pPr>
              <w:jc w:val="center"/>
              <w:ind w:left="231"/>
              <w:spacing w:after="0" w:line="202" w:lineRule="exact"/>
              <w:rPr>
                <w:sz w:val="20"/>
                <w:szCs w:val="20"/>
                <w:color w:val="auto"/>
              </w:rPr>
            </w:pPr>
            <w:r>
              <w:rPr>
                <w:rFonts w:ascii="Arial" w:cs="Arial" w:eastAsia="Arial" w:hAnsi="Arial"/>
                <w:sz w:val="18"/>
                <w:szCs w:val="18"/>
                <w:b w:val="1"/>
                <w:bCs w:val="1"/>
                <w:color w:val="auto"/>
                <w:w w:val="98"/>
              </w:rPr>
              <w:t>4.918%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6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February 12, 2045</w:t>
            </w:r>
          </w:p>
        </w:tc>
        <w:tc>
          <w:tcPr>
            <w:tcW w:w="160" w:type="dxa"/>
            <w:vAlign w:val="bottom"/>
            <w:shd w:val="clear" w:color="auto" w:fill="E5E5E5"/>
          </w:tcPr>
          <w:p>
            <w:pPr>
              <w:spacing w:after="0"/>
              <w:rPr>
                <w:sz w:val="17"/>
                <w:szCs w:val="17"/>
                <w:color w:val="auto"/>
              </w:rPr>
            </w:pPr>
          </w:p>
        </w:tc>
        <w:tc>
          <w:tcPr>
            <w:tcW w:w="108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b w:val="1"/>
                <w:bCs w:val="1"/>
                <w:color w:val="auto"/>
              </w:rPr>
              <w:t>1,750</w:t>
            </w:r>
          </w:p>
        </w:tc>
        <w:tc>
          <w:tcPr>
            <w:tcW w:w="120" w:type="dxa"/>
            <w:vAlign w:val="bottom"/>
            <w:shd w:val="clear" w:color="auto" w:fill="E5E5E5"/>
          </w:tcPr>
          <w:p>
            <w:pPr>
              <w:spacing w:after="0"/>
              <w:rPr>
                <w:sz w:val="17"/>
                <w:szCs w:val="17"/>
                <w:color w:val="auto"/>
              </w:rPr>
            </w:pPr>
          </w:p>
        </w:tc>
        <w:tc>
          <w:tcPr>
            <w:tcW w:w="260" w:type="dxa"/>
            <w:vAlign w:val="bottom"/>
            <w:shd w:val="clear" w:color="auto" w:fill="E5E5E5"/>
          </w:tcPr>
          <w:p>
            <w:pPr>
              <w:spacing w:after="0"/>
              <w:rPr>
                <w:sz w:val="17"/>
                <w:szCs w:val="17"/>
                <w:color w:val="auto"/>
              </w:rPr>
            </w:pPr>
          </w:p>
        </w:tc>
        <w:tc>
          <w:tcPr>
            <w:tcW w:w="1240" w:type="dxa"/>
            <w:vAlign w:val="bottom"/>
            <w:gridSpan w:val="2"/>
            <w:shd w:val="clear" w:color="auto" w:fill="E5E5E5"/>
          </w:tcPr>
          <w:p>
            <w:pPr>
              <w:jc w:val="right"/>
              <w:ind w:right="380"/>
              <w:spacing w:after="0" w:line="202" w:lineRule="exact"/>
              <w:rPr>
                <w:sz w:val="20"/>
                <w:szCs w:val="20"/>
                <w:color w:val="auto"/>
              </w:rPr>
            </w:pPr>
            <w:r>
              <w:rPr>
                <w:rFonts w:ascii="Arial" w:cs="Arial" w:eastAsia="Arial" w:hAnsi="Arial"/>
                <w:sz w:val="18"/>
                <w:szCs w:val="18"/>
                <w:color w:val="auto"/>
              </w:rPr>
              <w:t>1,750</w:t>
            </w:r>
          </w:p>
        </w:tc>
        <w:tc>
          <w:tcPr>
            <w:tcW w:w="1340" w:type="dxa"/>
            <w:vAlign w:val="bottom"/>
            <w:shd w:val="clear" w:color="auto" w:fill="E5E5E5"/>
          </w:tcPr>
          <w:p>
            <w:pPr>
              <w:jc w:val="right"/>
              <w:ind w:right="271"/>
              <w:spacing w:after="0" w:line="202" w:lineRule="exact"/>
              <w:rPr>
                <w:sz w:val="20"/>
                <w:szCs w:val="20"/>
                <w:color w:val="auto"/>
              </w:rPr>
            </w:pPr>
            <w:r>
              <w:rPr>
                <w:rFonts w:ascii="Arial" w:cs="Arial" w:eastAsia="Arial" w:hAnsi="Arial"/>
                <w:sz w:val="18"/>
                <w:szCs w:val="18"/>
                <w:b w:val="1"/>
                <w:bCs w:val="1"/>
                <w:color w:val="auto"/>
              </w:rPr>
              <w:t>3.750%</w:t>
            </w:r>
          </w:p>
        </w:tc>
        <w:tc>
          <w:tcPr>
            <w:tcW w:w="1040" w:type="dxa"/>
            <w:vAlign w:val="bottom"/>
            <w:gridSpan w:val="2"/>
            <w:shd w:val="clear" w:color="auto" w:fill="E5E5E5"/>
          </w:tcPr>
          <w:p>
            <w:pPr>
              <w:jc w:val="center"/>
              <w:ind w:left="231"/>
              <w:spacing w:after="0" w:line="202" w:lineRule="exact"/>
              <w:rPr>
                <w:sz w:val="20"/>
                <w:szCs w:val="20"/>
                <w:color w:val="auto"/>
              </w:rPr>
            </w:pPr>
            <w:r>
              <w:rPr>
                <w:rFonts w:ascii="Arial" w:cs="Arial" w:eastAsia="Arial" w:hAnsi="Arial"/>
                <w:sz w:val="18"/>
                <w:szCs w:val="18"/>
                <w:b w:val="1"/>
                <w:bCs w:val="1"/>
                <w:color w:val="auto"/>
                <w:w w:val="98"/>
              </w:rPr>
              <w:t>3.800%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60" w:type="dxa"/>
            <w:vAlign w:val="bottom"/>
          </w:tcPr>
          <w:p>
            <w:pPr>
              <w:spacing w:after="0" w:line="202" w:lineRule="exact"/>
              <w:rPr>
                <w:sz w:val="20"/>
                <w:szCs w:val="20"/>
                <w:color w:val="auto"/>
              </w:rPr>
            </w:pPr>
            <w:r>
              <w:rPr>
                <w:rFonts w:ascii="Arial" w:cs="Arial" w:eastAsia="Arial" w:hAnsi="Arial"/>
                <w:sz w:val="18"/>
                <w:szCs w:val="18"/>
                <w:color w:val="auto"/>
              </w:rPr>
              <w:t>November 3, 2045</w:t>
            </w:r>
          </w:p>
        </w:tc>
        <w:tc>
          <w:tcPr>
            <w:tcW w:w="160" w:type="dxa"/>
            <w:vAlign w:val="bottom"/>
          </w:tcPr>
          <w:p>
            <w:pPr>
              <w:spacing w:after="0"/>
              <w:rPr>
                <w:sz w:val="17"/>
                <w:szCs w:val="17"/>
                <w:color w:val="auto"/>
              </w:rPr>
            </w:pPr>
          </w:p>
        </w:tc>
        <w:tc>
          <w:tcPr>
            <w:tcW w:w="1080" w:type="dxa"/>
            <w:vAlign w:val="bottom"/>
            <w:gridSpan w:val="2"/>
          </w:tcPr>
          <w:p>
            <w:pPr>
              <w:jc w:val="right"/>
              <w:ind w:right="100"/>
              <w:spacing w:after="0" w:line="202" w:lineRule="exact"/>
              <w:rPr>
                <w:sz w:val="20"/>
                <w:szCs w:val="20"/>
                <w:color w:val="auto"/>
              </w:rPr>
            </w:pPr>
            <w:r>
              <w:rPr>
                <w:rFonts w:ascii="Arial" w:cs="Arial" w:eastAsia="Arial" w:hAnsi="Arial"/>
                <w:sz w:val="18"/>
                <w:szCs w:val="18"/>
                <w:b w:val="1"/>
                <w:bCs w:val="1"/>
                <w:color w:val="auto"/>
              </w:rPr>
              <w:t>3,000</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3,000</w:t>
            </w:r>
          </w:p>
        </w:tc>
        <w:tc>
          <w:tcPr>
            <w:tcW w:w="1340" w:type="dxa"/>
            <w:vAlign w:val="bottom"/>
          </w:tcPr>
          <w:p>
            <w:pPr>
              <w:jc w:val="right"/>
              <w:ind w:right="271"/>
              <w:spacing w:after="0" w:line="202" w:lineRule="exact"/>
              <w:rPr>
                <w:sz w:val="20"/>
                <w:szCs w:val="20"/>
                <w:color w:val="auto"/>
              </w:rPr>
            </w:pPr>
            <w:r>
              <w:rPr>
                <w:rFonts w:ascii="Arial" w:cs="Arial" w:eastAsia="Arial" w:hAnsi="Arial"/>
                <w:sz w:val="18"/>
                <w:szCs w:val="18"/>
                <w:b w:val="1"/>
                <w:bCs w:val="1"/>
                <w:color w:val="auto"/>
              </w:rPr>
              <w:t>4.450%</w:t>
            </w:r>
          </w:p>
        </w:tc>
        <w:tc>
          <w:tcPr>
            <w:tcW w:w="1040" w:type="dxa"/>
            <w:vAlign w:val="bottom"/>
            <w:gridSpan w:val="2"/>
          </w:tcPr>
          <w:p>
            <w:pPr>
              <w:jc w:val="center"/>
              <w:ind w:left="231"/>
              <w:spacing w:after="0" w:line="202" w:lineRule="exact"/>
              <w:rPr>
                <w:sz w:val="20"/>
                <w:szCs w:val="20"/>
                <w:color w:val="auto"/>
              </w:rPr>
            </w:pPr>
            <w:r>
              <w:rPr>
                <w:rFonts w:ascii="Arial" w:cs="Arial" w:eastAsia="Arial" w:hAnsi="Arial"/>
                <w:sz w:val="18"/>
                <w:szCs w:val="18"/>
                <w:b w:val="1"/>
                <w:bCs w:val="1"/>
                <w:color w:val="auto"/>
                <w:w w:val="98"/>
              </w:rPr>
              <w:t>4.492%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E5E5E5"/>
          </w:tcPr>
          <w:p>
            <w:pPr>
              <w:spacing w:after="0"/>
              <w:rPr>
                <w:sz w:val="20"/>
                <w:szCs w:val="20"/>
                <w:color w:val="auto"/>
              </w:rPr>
            </w:pPr>
            <w:r>
              <w:rPr>
                <w:rFonts w:ascii="Arial" w:cs="Arial" w:eastAsia="Arial" w:hAnsi="Arial"/>
                <w:sz w:val="18"/>
                <w:szCs w:val="18"/>
                <w:color w:val="auto"/>
              </w:rPr>
              <w:t>August 8, 2046</w:t>
            </w:r>
          </w:p>
        </w:tc>
        <w:tc>
          <w:tcPr>
            <w:tcW w:w="160" w:type="dxa"/>
            <w:vAlign w:val="bottom"/>
            <w:shd w:val="clear" w:color="auto" w:fill="E5E5E5"/>
          </w:tcPr>
          <w:p>
            <w:pPr>
              <w:spacing w:after="0"/>
              <w:rPr>
                <w:sz w:val="18"/>
                <w:szCs w:val="18"/>
                <w:color w:val="auto"/>
              </w:rPr>
            </w:pPr>
          </w:p>
        </w:tc>
        <w:tc>
          <w:tcPr>
            <w:tcW w:w="1080" w:type="dxa"/>
            <w:vAlign w:val="bottom"/>
            <w:gridSpan w:val="2"/>
            <w:shd w:val="clear" w:color="auto" w:fill="E5E5E5"/>
          </w:tcPr>
          <w:p>
            <w:pPr>
              <w:jc w:val="right"/>
              <w:ind w:right="100"/>
              <w:spacing w:after="0"/>
              <w:rPr>
                <w:sz w:val="20"/>
                <w:szCs w:val="20"/>
                <w:color w:val="auto"/>
              </w:rPr>
            </w:pPr>
            <w:r>
              <w:rPr>
                <w:rFonts w:ascii="Arial" w:cs="Arial" w:eastAsia="Arial" w:hAnsi="Arial"/>
                <w:sz w:val="18"/>
                <w:szCs w:val="18"/>
                <w:b w:val="1"/>
                <w:bCs w:val="1"/>
                <w:color w:val="auto"/>
              </w:rPr>
              <w:t>4,500</w:t>
            </w:r>
          </w:p>
        </w:tc>
        <w:tc>
          <w:tcPr>
            <w:tcW w:w="120" w:type="dxa"/>
            <w:vAlign w:val="bottom"/>
            <w:shd w:val="clear" w:color="auto" w:fill="E5E5E5"/>
          </w:tcPr>
          <w:p>
            <w:pPr>
              <w:spacing w:after="0"/>
              <w:rPr>
                <w:sz w:val="18"/>
                <w:szCs w:val="18"/>
                <w:color w:val="auto"/>
              </w:rPr>
            </w:pPr>
          </w:p>
        </w:tc>
        <w:tc>
          <w:tcPr>
            <w:tcW w:w="260" w:type="dxa"/>
            <w:vAlign w:val="bottom"/>
            <w:shd w:val="clear" w:color="auto" w:fill="E5E5E5"/>
          </w:tcPr>
          <w:p>
            <w:pPr>
              <w:spacing w:after="0"/>
              <w:rPr>
                <w:sz w:val="18"/>
                <w:szCs w:val="18"/>
                <w:color w:val="auto"/>
              </w:rPr>
            </w:pPr>
          </w:p>
        </w:tc>
        <w:tc>
          <w:tcPr>
            <w:tcW w:w="1240" w:type="dxa"/>
            <w:vAlign w:val="bottom"/>
            <w:gridSpan w:val="2"/>
            <w:shd w:val="clear" w:color="auto" w:fill="E5E5E5"/>
          </w:tcPr>
          <w:p>
            <w:pPr>
              <w:jc w:val="right"/>
              <w:ind w:right="380"/>
              <w:spacing w:after="0"/>
              <w:rPr>
                <w:sz w:val="20"/>
                <w:szCs w:val="20"/>
                <w:color w:val="auto"/>
              </w:rPr>
            </w:pPr>
            <w:r>
              <w:rPr>
                <w:rFonts w:ascii="Arial" w:cs="Arial" w:eastAsia="Arial" w:hAnsi="Arial"/>
                <w:sz w:val="18"/>
                <w:szCs w:val="18"/>
                <w:color w:val="auto"/>
              </w:rPr>
              <w:t>4,500</w:t>
            </w:r>
          </w:p>
        </w:tc>
        <w:tc>
          <w:tcPr>
            <w:tcW w:w="1340" w:type="dxa"/>
            <w:vAlign w:val="bottom"/>
            <w:shd w:val="clear" w:color="auto" w:fill="E5E5E5"/>
          </w:tcPr>
          <w:p>
            <w:pPr>
              <w:jc w:val="right"/>
              <w:ind w:right="271"/>
              <w:spacing w:after="0"/>
              <w:rPr>
                <w:sz w:val="20"/>
                <w:szCs w:val="20"/>
                <w:color w:val="auto"/>
              </w:rPr>
            </w:pPr>
            <w:r>
              <w:rPr>
                <w:rFonts w:ascii="Arial" w:cs="Arial" w:eastAsia="Arial" w:hAnsi="Arial"/>
                <w:sz w:val="18"/>
                <w:szCs w:val="18"/>
                <w:b w:val="1"/>
                <w:bCs w:val="1"/>
                <w:color w:val="auto"/>
              </w:rPr>
              <w:t>3.700%</w:t>
            </w:r>
          </w:p>
        </w:tc>
        <w:tc>
          <w:tcPr>
            <w:tcW w:w="1040" w:type="dxa"/>
            <w:vAlign w:val="bottom"/>
            <w:gridSpan w:val="2"/>
            <w:shd w:val="clear" w:color="auto" w:fill="E5E5E5"/>
          </w:tcPr>
          <w:p>
            <w:pPr>
              <w:jc w:val="center"/>
              <w:ind w:left="231"/>
              <w:spacing w:after="0"/>
              <w:rPr>
                <w:sz w:val="20"/>
                <w:szCs w:val="20"/>
                <w:color w:val="auto"/>
              </w:rPr>
            </w:pPr>
            <w:r>
              <w:rPr>
                <w:rFonts w:ascii="Arial" w:cs="Arial" w:eastAsia="Arial" w:hAnsi="Arial"/>
                <w:sz w:val="18"/>
                <w:szCs w:val="18"/>
                <w:b w:val="1"/>
                <w:bCs w:val="1"/>
                <w:color w:val="auto"/>
                <w:w w:val="98"/>
              </w:rPr>
              <w:t>3.743%</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February 6, 2047</w:t>
            </w:r>
          </w:p>
        </w:tc>
        <w:tc>
          <w:tcPr>
            <w:tcW w:w="160" w:type="dxa"/>
            <w:vAlign w:val="bottom"/>
          </w:tcPr>
          <w:p>
            <w:pPr>
              <w:spacing w:after="0"/>
              <w:rPr>
                <w:sz w:val="21"/>
                <w:szCs w:val="21"/>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3,000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40" w:type="dxa"/>
            <w:vAlign w:val="bottom"/>
            <w:gridSpan w:val="2"/>
          </w:tcPr>
          <w:p>
            <w:pPr>
              <w:jc w:val="right"/>
              <w:ind w:right="380"/>
              <w:spacing w:after="0"/>
              <w:rPr>
                <w:sz w:val="20"/>
                <w:szCs w:val="20"/>
                <w:color w:val="auto"/>
              </w:rPr>
            </w:pPr>
            <w:r>
              <w:rPr>
                <w:rFonts w:ascii="Arial" w:cs="Arial" w:eastAsia="Arial" w:hAnsi="Arial"/>
                <w:sz w:val="18"/>
                <w:szCs w:val="18"/>
                <w:color w:val="auto"/>
              </w:rPr>
              <w:t>3,000</w:t>
            </w:r>
          </w:p>
        </w:tc>
        <w:tc>
          <w:tcPr>
            <w:tcW w:w="1340" w:type="dxa"/>
            <w:vAlign w:val="bottom"/>
          </w:tcPr>
          <w:p>
            <w:pPr>
              <w:jc w:val="right"/>
              <w:ind w:right="271"/>
              <w:spacing w:after="0"/>
              <w:rPr>
                <w:sz w:val="20"/>
                <w:szCs w:val="20"/>
                <w:color w:val="auto"/>
              </w:rPr>
            </w:pPr>
            <w:r>
              <w:rPr>
                <w:rFonts w:ascii="Arial" w:cs="Arial" w:eastAsia="Arial" w:hAnsi="Arial"/>
                <w:sz w:val="18"/>
                <w:szCs w:val="18"/>
                <w:b w:val="1"/>
                <w:bCs w:val="1"/>
                <w:color w:val="auto"/>
              </w:rPr>
              <w:t>4.250%</w:t>
            </w:r>
          </w:p>
        </w:tc>
        <w:tc>
          <w:tcPr>
            <w:tcW w:w="1040" w:type="dxa"/>
            <w:vAlign w:val="bottom"/>
            <w:gridSpan w:val="2"/>
          </w:tcPr>
          <w:p>
            <w:pPr>
              <w:jc w:val="center"/>
              <w:ind w:left="231"/>
              <w:spacing w:after="0"/>
              <w:rPr>
                <w:sz w:val="20"/>
                <w:szCs w:val="20"/>
                <w:color w:val="auto"/>
              </w:rPr>
            </w:pPr>
            <w:r>
              <w:rPr>
                <w:rFonts w:ascii="Arial" w:cs="Arial" w:eastAsia="Arial" w:hAnsi="Arial"/>
                <w:sz w:val="18"/>
                <w:szCs w:val="18"/>
                <w:b w:val="1"/>
                <w:bCs w:val="1"/>
                <w:color w:val="auto"/>
                <w:w w:val="98"/>
              </w:rPr>
              <w:t>4.287%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6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February 12, 2055</w:t>
            </w:r>
          </w:p>
        </w:tc>
        <w:tc>
          <w:tcPr>
            <w:tcW w:w="160" w:type="dxa"/>
            <w:vAlign w:val="bottom"/>
            <w:shd w:val="clear" w:color="auto" w:fill="E5E5E5"/>
          </w:tcPr>
          <w:p>
            <w:pPr>
              <w:spacing w:after="0"/>
              <w:rPr>
                <w:sz w:val="17"/>
                <w:szCs w:val="17"/>
                <w:color w:val="auto"/>
              </w:rPr>
            </w:pPr>
          </w:p>
        </w:tc>
        <w:tc>
          <w:tcPr>
            <w:tcW w:w="108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b w:val="1"/>
                <w:bCs w:val="1"/>
                <w:color w:val="auto"/>
              </w:rPr>
              <w:t>2,250</w:t>
            </w:r>
          </w:p>
        </w:tc>
        <w:tc>
          <w:tcPr>
            <w:tcW w:w="120" w:type="dxa"/>
            <w:vAlign w:val="bottom"/>
            <w:shd w:val="clear" w:color="auto" w:fill="E5E5E5"/>
          </w:tcPr>
          <w:p>
            <w:pPr>
              <w:spacing w:after="0"/>
              <w:rPr>
                <w:sz w:val="17"/>
                <w:szCs w:val="17"/>
                <w:color w:val="auto"/>
              </w:rPr>
            </w:pPr>
          </w:p>
        </w:tc>
        <w:tc>
          <w:tcPr>
            <w:tcW w:w="260" w:type="dxa"/>
            <w:vAlign w:val="bottom"/>
            <w:shd w:val="clear" w:color="auto" w:fill="E5E5E5"/>
          </w:tcPr>
          <w:p>
            <w:pPr>
              <w:spacing w:after="0"/>
              <w:rPr>
                <w:sz w:val="17"/>
                <w:szCs w:val="17"/>
                <w:color w:val="auto"/>
              </w:rPr>
            </w:pPr>
          </w:p>
        </w:tc>
        <w:tc>
          <w:tcPr>
            <w:tcW w:w="1240" w:type="dxa"/>
            <w:vAlign w:val="bottom"/>
            <w:gridSpan w:val="2"/>
            <w:shd w:val="clear" w:color="auto" w:fill="E5E5E5"/>
          </w:tcPr>
          <w:p>
            <w:pPr>
              <w:jc w:val="right"/>
              <w:ind w:right="380"/>
              <w:spacing w:after="0" w:line="202" w:lineRule="exact"/>
              <w:rPr>
                <w:sz w:val="20"/>
                <w:szCs w:val="20"/>
                <w:color w:val="auto"/>
              </w:rPr>
            </w:pPr>
            <w:r>
              <w:rPr>
                <w:rFonts w:ascii="Arial" w:cs="Arial" w:eastAsia="Arial" w:hAnsi="Arial"/>
                <w:sz w:val="18"/>
                <w:szCs w:val="18"/>
                <w:color w:val="auto"/>
              </w:rPr>
              <w:t>2,250</w:t>
            </w:r>
          </w:p>
        </w:tc>
        <w:tc>
          <w:tcPr>
            <w:tcW w:w="1340" w:type="dxa"/>
            <w:vAlign w:val="bottom"/>
            <w:shd w:val="clear" w:color="auto" w:fill="E5E5E5"/>
          </w:tcPr>
          <w:p>
            <w:pPr>
              <w:jc w:val="right"/>
              <w:ind w:right="271"/>
              <w:spacing w:after="0" w:line="202" w:lineRule="exact"/>
              <w:rPr>
                <w:sz w:val="20"/>
                <w:szCs w:val="20"/>
                <w:color w:val="auto"/>
              </w:rPr>
            </w:pPr>
            <w:r>
              <w:rPr>
                <w:rFonts w:ascii="Arial" w:cs="Arial" w:eastAsia="Arial" w:hAnsi="Arial"/>
                <w:sz w:val="18"/>
                <w:szCs w:val="18"/>
                <w:b w:val="1"/>
                <w:bCs w:val="1"/>
                <w:color w:val="auto"/>
              </w:rPr>
              <w:t>4.000%</w:t>
            </w:r>
          </w:p>
        </w:tc>
        <w:tc>
          <w:tcPr>
            <w:tcW w:w="1040" w:type="dxa"/>
            <w:vAlign w:val="bottom"/>
            <w:gridSpan w:val="2"/>
            <w:shd w:val="clear" w:color="auto" w:fill="E5E5E5"/>
          </w:tcPr>
          <w:p>
            <w:pPr>
              <w:jc w:val="center"/>
              <w:ind w:left="231"/>
              <w:spacing w:after="0" w:line="202" w:lineRule="exact"/>
              <w:rPr>
                <w:sz w:val="20"/>
                <w:szCs w:val="20"/>
                <w:color w:val="auto"/>
              </w:rPr>
            </w:pPr>
            <w:r>
              <w:rPr>
                <w:rFonts w:ascii="Arial" w:cs="Arial" w:eastAsia="Arial" w:hAnsi="Arial"/>
                <w:sz w:val="18"/>
                <w:szCs w:val="18"/>
                <w:b w:val="1"/>
                <w:bCs w:val="1"/>
                <w:color w:val="auto"/>
                <w:w w:val="98"/>
              </w:rPr>
              <w:t>4.063%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60" w:type="dxa"/>
            <w:vAlign w:val="bottom"/>
          </w:tcPr>
          <w:p>
            <w:pPr>
              <w:spacing w:after="0" w:line="202" w:lineRule="exact"/>
              <w:rPr>
                <w:sz w:val="20"/>
                <w:szCs w:val="20"/>
                <w:color w:val="auto"/>
              </w:rPr>
            </w:pPr>
            <w:r>
              <w:rPr>
                <w:rFonts w:ascii="Arial" w:cs="Arial" w:eastAsia="Arial" w:hAnsi="Arial"/>
                <w:sz w:val="18"/>
                <w:szCs w:val="18"/>
                <w:color w:val="auto"/>
              </w:rPr>
              <w:t>November 3, 2055</w:t>
            </w:r>
          </w:p>
        </w:tc>
        <w:tc>
          <w:tcPr>
            <w:tcW w:w="160" w:type="dxa"/>
            <w:vAlign w:val="bottom"/>
          </w:tcPr>
          <w:p>
            <w:pPr>
              <w:spacing w:after="0"/>
              <w:rPr>
                <w:sz w:val="17"/>
                <w:szCs w:val="17"/>
                <w:color w:val="auto"/>
              </w:rPr>
            </w:pPr>
          </w:p>
        </w:tc>
        <w:tc>
          <w:tcPr>
            <w:tcW w:w="1080" w:type="dxa"/>
            <w:vAlign w:val="bottom"/>
            <w:gridSpan w:val="2"/>
          </w:tcPr>
          <w:p>
            <w:pPr>
              <w:jc w:val="right"/>
              <w:ind w:right="100"/>
              <w:spacing w:after="0" w:line="202" w:lineRule="exact"/>
              <w:rPr>
                <w:sz w:val="20"/>
                <w:szCs w:val="20"/>
                <w:color w:val="auto"/>
              </w:rPr>
            </w:pPr>
            <w:r>
              <w:rPr>
                <w:rFonts w:ascii="Arial" w:cs="Arial" w:eastAsia="Arial" w:hAnsi="Arial"/>
                <w:sz w:val="18"/>
                <w:szCs w:val="18"/>
                <w:b w:val="1"/>
                <w:bCs w:val="1"/>
                <w:color w:val="auto"/>
              </w:rPr>
              <w:t>1,000</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1,000</w:t>
            </w:r>
          </w:p>
        </w:tc>
        <w:tc>
          <w:tcPr>
            <w:tcW w:w="1340" w:type="dxa"/>
            <w:vAlign w:val="bottom"/>
          </w:tcPr>
          <w:p>
            <w:pPr>
              <w:jc w:val="right"/>
              <w:ind w:right="271"/>
              <w:spacing w:after="0" w:line="202" w:lineRule="exact"/>
              <w:rPr>
                <w:sz w:val="20"/>
                <w:szCs w:val="20"/>
                <w:color w:val="auto"/>
              </w:rPr>
            </w:pPr>
            <w:r>
              <w:rPr>
                <w:rFonts w:ascii="Arial" w:cs="Arial" w:eastAsia="Arial" w:hAnsi="Arial"/>
                <w:sz w:val="18"/>
                <w:szCs w:val="18"/>
                <w:b w:val="1"/>
                <w:bCs w:val="1"/>
                <w:color w:val="auto"/>
              </w:rPr>
              <w:t>4.750%</w:t>
            </w:r>
          </w:p>
        </w:tc>
        <w:tc>
          <w:tcPr>
            <w:tcW w:w="1040" w:type="dxa"/>
            <w:vAlign w:val="bottom"/>
            <w:gridSpan w:val="2"/>
          </w:tcPr>
          <w:p>
            <w:pPr>
              <w:jc w:val="center"/>
              <w:ind w:left="231"/>
              <w:spacing w:after="0" w:line="202" w:lineRule="exact"/>
              <w:rPr>
                <w:sz w:val="20"/>
                <w:szCs w:val="20"/>
                <w:color w:val="auto"/>
              </w:rPr>
            </w:pPr>
            <w:r>
              <w:rPr>
                <w:rFonts w:ascii="Arial" w:cs="Arial" w:eastAsia="Arial" w:hAnsi="Arial"/>
                <w:sz w:val="18"/>
                <w:szCs w:val="18"/>
                <w:b w:val="1"/>
                <w:bCs w:val="1"/>
                <w:color w:val="auto"/>
                <w:w w:val="98"/>
              </w:rPr>
              <w:t>4.782%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E5E5E5"/>
          </w:tcPr>
          <w:p>
            <w:pPr>
              <w:spacing w:after="0"/>
              <w:rPr>
                <w:sz w:val="20"/>
                <w:szCs w:val="20"/>
                <w:color w:val="auto"/>
              </w:rPr>
            </w:pPr>
            <w:r>
              <w:rPr>
                <w:rFonts w:ascii="Arial" w:cs="Arial" w:eastAsia="Arial" w:hAnsi="Arial"/>
                <w:sz w:val="18"/>
                <w:szCs w:val="18"/>
                <w:color w:val="auto"/>
              </w:rPr>
              <w:t>August 8, 2056</w:t>
            </w:r>
          </w:p>
        </w:tc>
        <w:tc>
          <w:tcPr>
            <w:tcW w:w="160" w:type="dxa"/>
            <w:vAlign w:val="bottom"/>
            <w:shd w:val="clear" w:color="auto" w:fill="E5E5E5"/>
          </w:tcPr>
          <w:p>
            <w:pPr>
              <w:spacing w:after="0"/>
              <w:rPr>
                <w:sz w:val="18"/>
                <w:szCs w:val="18"/>
                <w:color w:val="auto"/>
              </w:rPr>
            </w:pPr>
          </w:p>
        </w:tc>
        <w:tc>
          <w:tcPr>
            <w:tcW w:w="1080" w:type="dxa"/>
            <w:vAlign w:val="bottom"/>
            <w:gridSpan w:val="2"/>
            <w:shd w:val="clear" w:color="auto" w:fill="E5E5E5"/>
          </w:tcPr>
          <w:p>
            <w:pPr>
              <w:jc w:val="right"/>
              <w:ind w:right="100"/>
              <w:spacing w:after="0"/>
              <w:rPr>
                <w:sz w:val="20"/>
                <w:szCs w:val="20"/>
                <w:color w:val="auto"/>
              </w:rPr>
            </w:pPr>
            <w:r>
              <w:rPr>
                <w:rFonts w:ascii="Arial" w:cs="Arial" w:eastAsia="Arial" w:hAnsi="Arial"/>
                <w:sz w:val="18"/>
                <w:szCs w:val="18"/>
                <w:b w:val="1"/>
                <w:bCs w:val="1"/>
                <w:color w:val="auto"/>
              </w:rPr>
              <w:t>2,250</w:t>
            </w:r>
          </w:p>
        </w:tc>
        <w:tc>
          <w:tcPr>
            <w:tcW w:w="120" w:type="dxa"/>
            <w:vAlign w:val="bottom"/>
            <w:shd w:val="clear" w:color="auto" w:fill="E5E5E5"/>
          </w:tcPr>
          <w:p>
            <w:pPr>
              <w:spacing w:after="0"/>
              <w:rPr>
                <w:sz w:val="18"/>
                <w:szCs w:val="18"/>
                <w:color w:val="auto"/>
              </w:rPr>
            </w:pPr>
          </w:p>
        </w:tc>
        <w:tc>
          <w:tcPr>
            <w:tcW w:w="260" w:type="dxa"/>
            <w:vAlign w:val="bottom"/>
            <w:shd w:val="clear" w:color="auto" w:fill="E5E5E5"/>
          </w:tcPr>
          <w:p>
            <w:pPr>
              <w:spacing w:after="0"/>
              <w:rPr>
                <w:sz w:val="18"/>
                <w:szCs w:val="18"/>
                <w:color w:val="auto"/>
              </w:rPr>
            </w:pPr>
          </w:p>
        </w:tc>
        <w:tc>
          <w:tcPr>
            <w:tcW w:w="1240" w:type="dxa"/>
            <w:vAlign w:val="bottom"/>
            <w:gridSpan w:val="2"/>
            <w:shd w:val="clear" w:color="auto" w:fill="E5E5E5"/>
          </w:tcPr>
          <w:p>
            <w:pPr>
              <w:jc w:val="right"/>
              <w:ind w:right="380"/>
              <w:spacing w:after="0"/>
              <w:rPr>
                <w:sz w:val="20"/>
                <w:szCs w:val="20"/>
                <w:color w:val="auto"/>
              </w:rPr>
            </w:pPr>
            <w:r>
              <w:rPr>
                <w:rFonts w:ascii="Arial" w:cs="Arial" w:eastAsia="Arial" w:hAnsi="Arial"/>
                <w:sz w:val="18"/>
                <w:szCs w:val="18"/>
                <w:color w:val="auto"/>
              </w:rPr>
              <w:t>2,250</w:t>
            </w:r>
          </w:p>
        </w:tc>
        <w:tc>
          <w:tcPr>
            <w:tcW w:w="1340" w:type="dxa"/>
            <w:vAlign w:val="bottom"/>
            <w:shd w:val="clear" w:color="auto" w:fill="E5E5E5"/>
          </w:tcPr>
          <w:p>
            <w:pPr>
              <w:jc w:val="right"/>
              <w:ind w:right="271"/>
              <w:spacing w:after="0"/>
              <w:rPr>
                <w:sz w:val="20"/>
                <w:szCs w:val="20"/>
                <w:color w:val="auto"/>
              </w:rPr>
            </w:pPr>
            <w:r>
              <w:rPr>
                <w:rFonts w:ascii="Arial" w:cs="Arial" w:eastAsia="Arial" w:hAnsi="Arial"/>
                <w:sz w:val="18"/>
                <w:szCs w:val="18"/>
                <w:b w:val="1"/>
                <w:bCs w:val="1"/>
                <w:color w:val="auto"/>
              </w:rPr>
              <w:t>3.950%</w:t>
            </w:r>
          </w:p>
        </w:tc>
        <w:tc>
          <w:tcPr>
            <w:tcW w:w="1040" w:type="dxa"/>
            <w:vAlign w:val="bottom"/>
            <w:gridSpan w:val="2"/>
            <w:shd w:val="clear" w:color="auto" w:fill="E5E5E5"/>
          </w:tcPr>
          <w:p>
            <w:pPr>
              <w:jc w:val="center"/>
              <w:ind w:left="231"/>
              <w:spacing w:after="0"/>
              <w:rPr>
                <w:sz w:val="20"/>
                <w:szCs w:val="20"/>
                <w:color w:val="auto"/>
              </w:rPr>
            </w:pPr>
            <w:r>
              <w:rPr>
                <w:rFonts w:ascii="Arial" w:cs="Arial" w:eastAsia="Arial" w:hAnsi="Arial"/>
                <w:sz w:val="18"/>
                <w:szCs w:val="18"/>
                <w:b w:val="1"/>
                <w:bCs w:val="1"/>
                <w:color w:val="auto"/>
                <w:w w:val="98"/>
              </w:rPr>
              <w:t>4.033%</w:t>
            </w: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February 6, 2057</w:t>
            </w:r>
          </w:p>
        </w:tc>
        <w:tc>
          <w:tcPr>
            <w:tcW w:w="160" w:type="dxa"/>
            <w:vAlign w:val="bottom"/>
          </w:tcPr>
          <w:p>
            <w:pPr>
              <w:spacing w:after="0"/>
              <w:rPr>
                <w:sz w:val="23"/>
                <w:szCs w:val="23"/>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2,000</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40" w:type="dxa"/>
            <w:vAlign w:val="bottom"/>
            <w:gridSpan w:val="2"/>
          </w:tcPr>
          <w:p>
            <w:pPr>
              <w:jc w:val="right"/>
              <w:ind w:right="380"/>
              <w:spacing w:after="0"/>
              <w:rPr>
                <w:sz w:val="20"/>
                <w:szCs w:val="20"/>
                <w:color w:val="auto"/>
              </w:rPr>
            </w:pPr>
            <w:r>
              <w:rPr>
                <w:rFonts w:ascii="Arial" w:cs="Arial" w:eastAsia="Arial" w:hAnsi="Arial"/>
                <w:sz w:val="18"/>
                <w:szCs w:val="18"/>
                <w:color w:val="auto"/>
              </w:rPr>
              <w:t>2,000</w:t>
            </w:r>
          </w:p>
        </w:tc>
        <w:tc>
          <w:tcPr>
            <w:tcW w:w="1340" w:type="dxa"/>
            <w:vAlign w:val="bottom"/>
          </w:tcPr>
          <w:p>
            <w:pPr>
              <w:jc w:val="right"/>
              <w:ind w:right="271"/>
              <w:spacing w:after="0"/>
              <w:rPr>
                <w:sz w:val="20"/>
                <w:szCs w:val="20"/>
                <w:color w:val="auto"/>
              </w:rPr>
            </w:pPr>
            <w:r>
              <w:rPr>
                <w:rFonts w:ascii="Arial" w:cs="Arial" w:eastAsia="Arial" w:hAnsi="Arial"/>
                <w:sz w:val="18"/>
                <w:szCs w:val="18"/>
                <w:b w:val="1"/>
                <w:bCs w:val="1"/>
                <w:color w:val="auto"/>
              </w:rPr>
              <w:t>4.500%</w:t>
            </w:r>
          </w:p>
        </w:tc>
        <w:tc>
          <w:tcPr>
            <w:tcW w:w="1040" w:type="dxa"/>
            <w:vAlign w:val="bottom"/>
            <w:gridSpan w:val="2"/>
          </w:tcPr>
          <w:p>
            <w:pPr>
              <w:jc w:val="center"/>
              <w:ind w:left="231"/>
              <w:spacing w:after="0"/>
              <w:rPr>
                <w:sz w:val="20"/>
                <w:szCs w:val="20"/>
                <w:color w:val="auto"/>
              </w:rPr>
            </w:pPr>
            <w:r>
              <w:rPr>
                <w:rFonts w:ascii="Arial" w:cs="Arial" w:eastAsia="Arial" w:hAnsi="Arial"/>
                <w:sz w:val="18"/>
                <w:szCs w:val="18"/>
                <w:b w:val="1"/>
                <w:bCs w:val="1"/>
                <w:color w:val="auto"/>
                <w:w w:val="98"/>
              </w:rPr>
              <w:t>4.528%</w:t>
            </w: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616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3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98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160" w:type="dxa"/>
            <w:vAlign w:val="bottom"/>
          </w:tcPr>
          <w:p>
            <w:pPr>
              <w:spacing w:after="0"/>
              <w:rPr>
                <w:sz w:val="5"/>
                <w:szCs w:val="5"/>
                <w:color w:val="auto"/>
              </w:rPr>
            </w:pPr>
          </w:p>
        </w:tc>
        <w:tc>
          <w:tcPr>
            <w:tcW w:w="160" w:type="dxa"/>
            <w:vAlign w:val="bottom"/>
          </w:tcPr>
          <w:p>
            <w:pPr>
              <w:spacing w:after="0"/>
              <w:rPr>
                <w:sz w:val="5"/>
                <w:szCs w:val="5"/>
                <w:color w:val="auto"/>
              </w:rPr>
            </w:pPr>
          </w:p>
        </w:tc>
        <w:tc>
          <w:tcPr>
            <w:tcW w:w="9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860" w:type="dxa"/>
            <w:vAlign w:val="bottom"/>
          </w:tcPr>
          <w:p>
            <w:pPr>
              <w:spacing w:after="0"/>
              <w:rPr>
                <w:sz w:val="5"/>
                <w:szCs w:val="5"/>
                <w:color w:val="auto"/>
              </w:rPr>
            </w:pPr>
          </w:p>
        </w:tc>
        <w:tc>
          <w:tcPr>
            <w:tcW w:w="3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98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60" w:type="dxa"/>
            <w:vAlign w:val="bottom"/>
            <w:shd w:val="clear" w:color="auto" w:fill="E5E5E5"/>
          </w:tcPr>
          <w:p>
            <w:pPr>
              <w:ind w:left="200"/>
              <w:spacing w:after="0" w:line="202" w:lineRule="exact"/>
              <w:rPr>
                <w:sz w:val="20"/>
                <w:szCs w:val="20"/>
                <w:color w:val="auto"/>
              </w:rPr>
            </w:pPr>
            <w:r>
              <w:rPr>
                <w:rFonts w:ascii="Arial" w:cs="Arial" w:eastAsia="Arial" w:hAnsi="Arial"/>
                <w:sz w:val="18"/>
                <w:szCs w:val="18"/>
                <w:color w:val="auto"/>
              </w:rPr>
              <w:t>Total</w:t>
            </w:r>
          </w:p>
        </w:tc>
        <w:tc>
          <w:tcPr>
            <w:tcW w:w="16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w w:val="79"/>
              </w:rPr>
              <w:t>$</w:t>
            </w:r>
          </w:p>
        </w:tc>
        <w:tc>
          <w:tcPr>
            <w:tcW w:w="108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b w:val="1"/>
                <w:bCs w:val="1"/>
                <w:color w:val="auto"/>
              </w:rPr>
              <w:t>78,007</w:t>
            </w:r>
          </w:p>
        </w:tc>
        <w:tc>
          <w:tcPr>
            <w:tcW w:w="380" w:type="dxa"/>
            <w:vAlign w:val="bottom"/>
            <w:gridSpan w:val="2"/>
            <w:shd w:val="clear" w:color="auto" w:fill="E5E5E5"/>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1240" w:type="dxa"/>
            <w:vAlign w:val="bottom"/>
            <w:gridSpan w:val="2"/>
            <w:shd w:val="clear" w:color="auto" w:fill="E5E5E5"/>
          </w:tcPr>
          <w:p>
            <w:pPr>
              <w:jc w:val="right"/>
              <w:ind w:right="380"/>
              <w:spacing w:after="0" w:line="202" w:lineRule="exact"/>
              <w:rPr>
                <w:sz w:val="20"/>
                <w:szCs w:val="20"/>
                <w:color w:val="auto"/>
              </w:rPr>
            </w:pPr>
            <w:r>
              <w:rPr>
                <w:rFonts w:ascii="Arial" w:cs="Arial" w:eastAsia="Arial" w:hAnsi="Arial"/>
                <w:sz w:val="18"/>
                <w:szCs w:val="18"/>
                <w:color w:val="auto"/>
              </w:rPr>
              <w:t>77,837</w:t>
            </w:r>
          </w:p>
        </w:tc>
        <w:tc>
          <w:tcPr>
            <w:tcW w:w="1340" w:type="dxa"/>
            <w:vAlign w:val="bottom"/>
            <w:shd w:val="clear" w:color="auto" w:fill="E5E5E5"/>
          </w:tcPr>
          <w:p>
            <w:pPr>
              <w:spacing w:after="0"/>
              <w:rPr>
                <w:sz w:val="17"/>
                <w:szCs w:val="17"/>
                <w:color w:val="auto"/>
              </w:rPr>
            </w:pPr>
          </w:p>
        </w:tc>
        <w:tc>
          <w:tcPr>
            <w:tcW w:w="980" w:type="dxa"/>
            <w:vAlign w:val="bottom"/>
            <w:shd w:val="clear" w:color="auto" w:fill="E5E5E5"/>
          </w:tcPr>
          <w:p>
            <w:pPr>
              <w:spacing w:after="0"/>
              <w:rPr>
                <w:sz w:val="17"/>
                <w:szCs w:val="17"/>
                <w:color w:val="auto"/>
              </w:rPr>
            </w:pPr>
          </w:p>
        </w:tc>
        <w:tc>
          <w:tcPr>
            <w:tcW w:w="6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160" w:type="dxa"/>
            <w:vAlign w:val="bottom"/>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3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98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47" w:lineRule="exact"/>
        <w:rPr>
          <w:sz w:val="20"/>
          <w:szCs w:val="20"/>
          <w:color w:val="auto"/>
        </w:rPr>
      </w:pPr>
    </w:p>
    <w:p>
      <w:pPr>
        <w:ind w:left="540" w:hanging="532"/>
        <w:spacing w:after="0"/>
        <w:tabs>
          <w:tab w:leader="none" w:pos="54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Euro-denominated debt securities.</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289165"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7" w:name="page28"/>
    <w:bookmarkEnd w:id="27"/>
    <w:p>
      <w:pPr>
        <w:ind w:left="5500"/>
        <w:spacing w:after="0"/>
        <w:rPr>
          <w:sz w:val="20"/>
          <w:szCs w:val="20"/>
          <w:color w:val="auto"/>
        </w:rPr>
      </w:pPr>
      <w:r>
        <w:rPr>
          <w:rFonts w:ascii="Arial" w:cs="Arial" w:eastAsia="Arial" w:hAnsi="Arial"/>
          <w:sz w:val="14"/>
          <w:szCs w:val="14"/>
          <w:u w:val="single" w:color="auto"/>
          <w:color w:val="auto"/>
        </w:rPr>
        <w:t>PART I</w:t>
      </w:r>
    </w:p>
    <w:p>
      <w:pPr>
        <w:spacing w:after="0" w:line="5" w:lineRule="exact"/>
        <w:rPr>
          <w:sz w:val="20"/>
          <w:szCs w:val="20"/>
          <w:color w:val="auto"/>
        </w:rPr>
      </w:pPr>
    </w:p>
    <w:p>
      <w:pPr>
        <w:ind w:left="5520"/>
        <w:spacing w:after="0"/>
        <w:rPr>
          <w:sz w:val="20"/>
          <w:szCs w:val="20"/>
          <w:color w:val="auto"/>
        </w:rPr>
      </w:pPr>
      <w:r>
        <w:rPr>
          <w:rFonts w:ascii="Arial" w:cs="Arial" w:eastAsia="Arial" w:hAnsi="Arial"/>
          <w:sz w:val="14"/>
          <w:szCs w:val="14"/>
          <w:color w:val="auto"/>
        </w:rPr>
        <w:t>Item 1</w:t>
      </w:r>
    </w:p>
    <w:p>
      <w:pPr>
        <w:spacing w:after="0" w:line="127"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The notes in the table above are senior unsecured obligations and rank equally with our other senior unsecured debt outstanding. Interest on these notes is paid semi-annually, except for the euro-denominated debt securities on which interest is paid annually. As of September 30, 2017 and June 30, 2017, the aggregate debt issuance costs and unamortized discount associated with our long-term debt, including the current portion, were $702 million and $715 million, respectively.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 12 — INCOME TAXES</w:t>
      </w:r>
    </w:p>
    <w:p>
      <w:pPr>
        <w:spacing w:after="0" w:line="15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effective tax rate for the three months ended September 30, 2017 and 2016 was 18% and 17%, respectively. Our effective tax rate was lower than the U.S. federal statutory rate primarily due to earnings taxed at lower rates in foreign jurisdictions resulting from producing and distributing our products and services through our foreign regional operations centers in Ireland, Singapore, and Puerto Rico.</w:t>
      </w:r>
    </w:p>
    <w:p>
      <w:pPr>
        <w:spacing w:after="0" w:line="110"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The increase in our effective tax rate compared to the prior year was primarily due to changes in the mix of our income before income taxes between the U.S. and foreign countries.</w:t>
      </w:r>
    </w:p>
    <w:p>
      <w:pPr>
        <w:spacing w:after="0" w:line="91"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Tax contingencies and other income tax liabilities were $13.9 billion and $ 13.5 billion as of September 30, 2017 and June 30, 2017, respectively, and are included in other long-term liabilities. This increase relates primarily to current period intercompany transfer pricing.</w:t>
      </w:r>
    </w:p>
    <w:p>
      <w:pPr>
        <w:spacing w:after="0" w:line="91" w:lineRule="exact"/>
        <w:rPr>
          <w:sz w:val="20"/>
          <w:szCs w:val="20"/>
          <w:color w:val="auto"/>
        </w:rPr>
      </w:pPr>
    </w:p>
    <w:p>
      <w:pPr>
        <w:jc w:val="both"/>
        <w:spacing w:after="0"/>
        <w:rPr>
          <w:sz w:val="20"/>
          <w:szCs w:val="20"/>
          <w:color w:val="auto"/>
        </w:rPr>
      </w:pPr>
      <w:r>
        <w:rPr>
          <w:rFonts w:ascii="Arial" w:cs="Arial" w:eastAsia="Arial" w:hAnsi="Arial"/>
          <w:sz w:val="18"/>
          <w:szCs w:val="18"/>
          <w:color w:val="auto"/>
        </w:rPr>
        <w:t>While we settled a portion of the Internal Revenue Service (“IRS”) audit for tax years 2004 to 2006 during the third quarter of fiscal year 2011, and settled a portion of the IRS audit for tax years 2007 to 2009 during the first quarter of fiscal year 2016, we remain under audit for those years. We also continue to be subject to examination by the IRS for tax years 2010 to 2016. In February 2012, the IRS withdrew its 2011 Revenue Agents Report for tax years 2004 to 2006 and reopened the audit phase of the examination. As of September 30, 2017, the primary unresolved issue relates to transfer pricing, which could have a significant impact on our consolidated financial statements if not resolved favorably. We believe our allowances for income tax contingencies are adequate. We have not received a proposed assessment for the unresolved issues and do not expect a final resolution of these issues in the next 12 months. Based on the information currently available, we do not anticipate a significant increase or decrease to our tax contingencies for these issues within the next 12 months.</w:t>
      </w:r>
    </w:p>
    <w:p>
      <w:pPr>
        <w:spacing w:after="0" w:line="1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subject to income tax in many jurisdictions outside the U.S. Our operations in certain jurisdictions remain subject to examination for tax years 1996 to 2017, some of which are currently under audit by local tax authorities. The resolutions of these audits are not expected to be material to our consolidated financial statements.</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 13 — RESTRUCTURING CHARGES</w:t>
      </w:r>
    </w:p>
    <w:p>
      <w:pPr>
        <w:spacing w:after="0" w:line="158"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In June 2017, management approved a sales and marketing restructuring plan. In fiscal year 2017, we recorded employee severance expenses of $306 million primarily related to this sales and marketing restructuring plan. We do not expect to incur additional charges for this restructuring plan in subsequent years. The actions associated with this restructuring plan are expected to be completed by the end of fiscal year 2018.</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restructuring liability were as follows: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980" w:type="dxa"/>
            <w:vAlign w:val="bottom"/>
            <w:gridSpan w:val="2"/>
          </w:tcPr>
          <w:p>
            <w:pPr>
              <w:spacing w:after="0"/>
              <w:rPr>
                <w:sz w:val="20"/>
                <w:szCs w:val="20"/>
                <w:color w:val="auto"/>
              </w:rPr>
            </w:pPr>
            <w:r>
              <w:rPr>
                <w:rFonts w:ascii="Arial" w:cs="Arial" w:eastAsia="Arial" w:hAnsi="Arial"/>
                <w:sz w:val="14"/>
                <w:szCs w:val="14"/>
                <w:b w:val="1"/>
                <w:bCs w:val="1"/>
                <w:color w:val="auto"/>
              </w:rPr>
              <w:t>(In millions)</w:t>
            </w:r>
          </w:p>
        </w:tc>
        <w:tc>
          <w:tcPr>
            <w:tcW w:w="246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Severance</w:t>
            </w:r>
          </w:p>
        </w:tc>
        <w:tc>
          <w:tcPr>
            <w:tcW w:w="48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Other</w:t>
            </w:r>
            <w:r>
              <w:rPr>
                <w:rFonts w:ascii="Arial" w:cs="Arial" w:eastAsia="Arial" w:hAnsi="Arial"/>
                <w:sz w:val="15"/>
                <w:szCs w:val="15"/>
                <w:b w:val="1"/>
                <w:bCs w:val="1"/>
                <w:color w:val="auto"/>
              </w:rPr>
              <w:t>(a)</w:t>
            </w:r>
          </w:p>
        </w:tc>
        <w:tc>
          <w:tcPr>
            <w:tcW w:w="500" w:type="dxa"/>
            <w:vAlign w:val="bottom"/>
          </w:tcPr>
          <w:p>
            <w:pPr>
              <w:spacing w:after="0"/>
              <w:rPr>
                <w:sz w:val="19"/>
                <w:szCs w:val="19"/>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4960" w:type="dxa"/>
            <w:vAlign w:val="bottom"/>
            <w:tcBorders>
              <w:bottom w:val="single" w:sz="8" w:color="auto"/>
            </w:tcBorders>
          </w:tcPr>
          <w:p>
            <w:pPr>
              <w:spacing w:after="0"/>
              <w:rPr>
                <w:sz w:val="3"/>
                <w:szCs w:val="3"/>
                <w:color w:val="auto"/>
              </w:rPr>
            </w:pPr>
          </w:p>
        </w:tc>
        <w:tc>
          <w:tcPr>
            <w:tcW w:w="246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4960" w:type="dxa"/>
            <w:vAlign w:val="bottom"/>
          </w:tcPr>
          <w:p>
            <w:pPr>
              <w:spacing w:after="0"/>
              <w:rPr>
                <w:sz w:val="6"/>
                <w:szCs w:val="6"/>
                <w:color w:val="auto"/>
              </w:rPr>
            </w:pPr>
          </w:p>
        </w:tc>
        <w:tc>
          <w:tcPr>
            <w:tcW w:w="2460" w:type="dxa"/>
            <w:vAlign w:val="bottom"/>
          </w:tcPr>
          <w:p>
            <w:pPr>
              <w:spacing w:after="0"/>
              <w:rPr>
                <w:sz w:val="6"/>
                <w:szCs w:val="6"/>
                <w:color w:val="auto"/>
              </w:rPr>
            </w:pPr>
          </w:p>
        </w:tc>
        <w:tc>
          <w:tcPr>
            <w:tcW w:w="920" w:type="dxa"/>
            <w:vAlign w:val="bottom"/>
          </w:tcPr>
          <w:p>
            <w:pPr>
              <w:spacing w:after="0"/>
              <w:rPr>
                <w:sz w:val="6"/>
                <w:szCs w:val="6"/>
                <w:color w:val="auto"/>
              </w:rPr>
            </w:pPr>
          </w:p>
        </w:tc>
        <w:tc>
          <w:tcPr>
            <w:tcW w:w="220" w:type="dxa"/>
            <w:vAlign w:val="bottom"/>
          </w:tcPr>
          <w:p>
            <w:pPr>
              <w:spacing w:after="0"/>
              <w:rPr>
                <w:sz w:val="6"/>
                <w:szCs w:val="6"/>
                <w:color w:val="auto"/>
              </w:rPr>
            </w:pPr>
          </w:p>
        </w:tc>
        <w:tc>
          <w:tcPr>
            <w:tcW w:w="480" w:type="dxa"/>
            <w:vAlign w:val="bottom"/>
          </w:tcPr>
          <w:p>
            <w:pPr>
              <w:spacing w:after="0"/>
              <w:rPr>
                <w:sz w:val="6"/>
                <w:szCs w:val="6"/>
                <w:color w:val="auto"/>
              </w:rPr>
            </w:pPr>
          </w:p>
        </w:tc>
        <w:tc>
          <w:tcPr>
            <w:tcW w:w="760" w:type="dxa"/>
            <w:vAlign w:val="bottom"/>
          </w:tcPr>
          <w:p>
            <w:pPr>
              <w:spacing w:after="0"/>
              <w:rPr>
                <w:sz w:val="6"/>
                <w:szCs w:val="6"/>
                <w:color w:val="auto"/>
              </w:rPr>
            </w:pPr>
          </w:p>
        </w:tc>
        <w:tc>
          <w:tcPr>
            <w:tcW w:w="280" w:type="dxa"/>
            <w:vAlign w:val="bottom"/>
          </w:tcPr>
          <w:p>
            <w:pPr>
              <w:spacing w:after="0"/>
              <w:rPr>
                <w:sz w:val="6"/>
                <w:szCs w:val="6"/>
                <w:color w:val="auto"/>
              </w:rPr>
            </w:pPr>
          </w:p>
        </w:tc>
        <w:tc>
          <w:tcPr>
            <w:tcW w:w="500" w:type="dxa"/>
            <w:vAlign w:val="bottom"/>
          </w:tcPr>
          <w:p>
            <w:pPr>
              <w:spacing w:after="0"/>
              <w:rPr>
                <w:sz w:val="6"/>
                <w:szCs w:val="6"/>
                <w:color w:val="auto"/>
              </w:rPr>
            </w:pPr>
          </w:p>
        </w:tc>
        <w:tc>
          <w:tcPr>
            <w:tcW w:w="76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96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Balance, as of June 30, 2017</w:t>
            </w:r>
          </w:p>
        </w:tc>
        <w:tc>
          <w:tcPr>
            <w:tcW w:w="2460" w:type="dxa"/>
            <w:vAlign w:val="bottom"/>
            <w:shd w:val="clear" w:color="auto" w:fill="E5E5E5"/>
          </w:tcPr>
          <w:p>
            <w:pPr>
              <w:jc w:val="right"/>
              <w:ind w:right="130"/>
              <w:spacing w:after="0" w:line="202" w:lineRule="exact"/>
              <w:rPr>
                <w:sz w:val="20"/>
                <w:szCs w:val="20"/>
                <w:color w:val="auto"/>
              </w:rPr>
            </w:pPr>
            <w:r>
              <w:rPr>
                <w:rFonts w:ascii="Arial" w:cs="Arial" w:eastAsia="Arial" w:hAnsi="Arial"/>
                <w:sz w:val="18"/>
                <w:szCs w:val="18"/>
                <w:b w:val="1"/>
                <w:bCs w:val="1"/>
                <w:color w:val="auto"/>
              </w:rPr>
              <w:t>$</w:t>
            </w:r>
          </w:p>
        </w:tc>
        <w:tc>
          <w:tcPr>
            <w:tcW w:w="92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373</w:t>
            </w:r>
          </w:p>
        </w:tc>
        <w:tc>
          <w:tcPr>
            <w:tcW w:w="220" w:type="dxa"/>
            <w:vAlign w:val="bottom"/>
            <w:shd w:val="clear" w:color="auto" w:fill="E5E5E5"/>
          </w:tcPr>
          <w:p>
            <w:pPr>
              <w:spacing w:after="0"/>
              <w:rPr>
                <w:sz w:val="17"/>
                <w:szCs w:val="17"/>
                <w:color w:val="auto"/>
              </w:rPr>
            </w:pPr>
          </w:p>
        </w:tc>
        <w:tc>
          <w:tcPr>
            <w:tcW w:w="480" w:type="dxa"/>
            <w:vAlign w:val="bottom"/>
            <w:shd w:val="clear" w:color="auto" w:fill="E5E5E5"/>
          </w:tcPr>
          <w:p>
            <w:pPr>
              <w:jc w:val="right"/>
              <w:ind w:right="290"/>
              <w:spacing w:after="0" w:line="202" w:lineRule="exact"/>
              <w:rPr>
                <w:sz w:val="20"/>
                <w:szCs w:val="20"/>
                <w:color w:val="auto"/>
              </w:rPr>
            </w:pPr>
            <w:r>
              <w:rPr>
                <w:rFonts w:ascii="Arial" w:cs="Arial" w:eastAsia="Arial" w:hAnsi="Arial"/>
                <w:sz w:val="18"/>
                <w:szCs w:val="18"/>
                <w:b w:val="1"/>
                <w:bCs w:val="1"/>
                <w:color w:val="auto"/>
                <w:w w:val="79"/>
              </w:rPr>
              <w:t>$</w:t>
            </w:r>
          </w:p>
        </w:tc>
        <w:tc>
          <w:tcPr>
            <w:tcW w:w="1040" w:type="dxa"/>
            <w:vAlign w:val="bottom"/>
            <w:gridSpan w:val="2"/>
            <w:shd w:val="clear" w:color="auto" w:fill="E5E5E5"/>
          </w:tcPr>
          <w:p>
            <w:pPr>
              <w:jc w:val="right"/>
              <w:ind w:right="280"/>
              <w:spacing w:after="0" w:line="202" w:lineRule="exact"/>
              <w:rPr>
                <w:sz w:val="20"/>
                <w:szCs w:val="20"/>
                <w:color w:val="auto"/>
              </w:rPr>
            </w:pPr>
            <w:r>
              <w:rPr>
                <w:rFonts w:ascii="Arial" w:cs="Arial" w:eastAsia="Arial" w:hAnsi="Arial"/>
                <w:sz w:val="18"/>
                <w:szCs w:val="18"/>
                <w:b w:val="1"/>
                <w:bCs w:val="1"/>
                <w:color w:val="auto"/>
              </w:rPr>
              <w:t>59</w:t>
            </w:r>
          </w:p>
        </w:tc>
        <w:tc>
          <w:tcPr>
            <w:tcW w:w="500" w:type="dxa"/>
            <w:vAlign w:val="bottom"/>
            <w:shd w:val="clear" w:color="auto" w:fill="E5E5E5"/>
          </w:tcPr>
          <w:p>
            <w:pPr>
              <w:jc w:val="right"/>
              <w:ind w:right="290"/>
              <w:spacing w:after="0" w:line="202" w:lineRule="exact"/>
              <w:rPr>
                <w:sz w:val="20"/>
                <w:szCs w:val="20"/>
                <w:color w:val="auto"/>
              </w:rPr>
            </w:pPr>
            <w:r>
              <w:rPr>
                <w:rFonts w:ascii="Arial" w:cs="Arial" w:eastAsia="Arial" w:hAnsi="Arial"/>
                <w:sz w:val="18"/>
                <w:szCs w:val="18"/>
                <w:b w:val="1"/>
                <w:bCs w:val="1"/>
                <w:color w:val="auto"/>
                <w:w w:val="99"/>
              </w:rPr>
              <w:t>$</w:t>
            </w:r>
          </w:p>
        </w:tc>
        <w:tc>
          <w:tcPr>
            <w:tcW w:w="76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432</w:t>
            </w:r>
          </w:p>
        </w:tc>
        <w:tc>
          <w:tcPr>
            <w:tcW w:w="6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60" w:type="dxa"/>
            <w:vAlign w:val="bottom"/>
          </w:tcPr>
          <w:p>
            <w:pPr>
              <w:ind w:left="200"/>
              <w:spacing w:after="0" w:line="202" w:lineRule="exact"/>
              <w:rPr>
                <w:sz w:val="20"/>
                <w:szCs w:val="20"/>
                <w:color w:val="auto"/>
              </w:rPr>
            </w:pPr>
            <w:r>
              <w:rPr>
                <w:rFonts w:ascii="Arial" w:cs="Arial" w:eastAsia="Arial" w:hAnsi="Arial"/>
                <w:sz w:val="18"/>
                <w:szCs w:val="18"/>
                <w:color w:val="auto"/>
              </w:rPr>
              <w:t>Restructuring charges</w:t>
            </w:r>
          </w:p>
        </w:tc>
        <w:tc>
          <w:tcPr>
            <w:tcW w:w="2460" w:type="dxa"/>
            <w:vAlign w:val="bottom"/>
          </w:tcPr>
          <w:p>
            <w:pPr>
              <w:spacing w:after="0"/>
              <w:rPr>
                <w:sz w:val="17"/>
                <w:szCs w:val="17"/>
                <w:color w:val="auto"/>
              </w:rPr>
            </w:pPr>
          </w:p>
        </w:tc>
        <w:tc>
          <w:tcPr>
            <w:tcW w:w="1140" w:type="dxa"/>
            <w:vAlign w:val="bottom"/>
            <w:gridSpan w:val="2"/>
          </w:tcPr>
          <w:p>
            <w:pPr>
              <w:jc w:val="right"/>
              <w:ind w:right="220"/>
              <w:spacing w:after="0" w:line="202" w:lineRule="exact"/>
              <w:rPr>
                <w:sz w:val="20"/>
                <w:szCs w:val="20"/>
                <w:color w:val="auto"/>
              </w:rPr>
            </w:pPr>
            <w:r>
              <w:rPr>
                <w:rFonts w:ascii="Arial" w:cs="Arial" w:eastAsia="Arial" w:hAnsi="Arial"/>
                <w:sz w:val="18"/>
                <w:szCs w:val="18"/>
                <w:b w:val="1"/>
                <w:bCs w:val="1"/>
                <w:color w:val="auto"/>
              </w:rPr>
              <w:t>0</w:t>
            </w:r>
          </w:p>
        </w:tc>
        <w:tc>
          <w:tcPr>
            <w:tcW w:w="480" w:type="dxa"/>
            <w:vAlign w:val="bottom"/>
          </w:tcPr>
          <w:p>
            <w:pPr>
              <w:spacing w:after="0"/>
              <w:rPr>
                <w:sz w:val="17"/>
                <w:szCs w:val="17"/>
                <w:color w:val="auto"/>
              </w:rPr>
            </w:pPr>
          </w:p>
        </w:tc>
        <w:tc>
          <w:tcPr>
            <w:tcW w:w="1040" w:type="dxa"/>
            <w:vAlign w:val="bottom"/>
            <w:gridSpan w:val="2"/>
          </w:tcPr>
          <w:p>
            <w:pPr>
              <w:jc w:val="right"/>
              <w:ind w:right="280"/>
              <w:spacing w:after="0" w:line="202" w:lineRule="exact"/>
              <w:rPr>
                <w:sz w:val="20"/>
                <w:szCs w:val="20"/>
                <w:color w:val="auto"/>
              </w:rPr>
            </w:pPr>
            <w:r>
              <w:rPr>
                <w:rFonts w:ascii="Arial" w:cs="Arial" w:eastAsia="Arial" w:hAnsi="Arial"/>
                <w:sz w:val="18"/>
                <w:szCs w:val="18"/>
                <w:b w:val="1"/>
                <w:bCs w:val="1"/>
                <w:color w:val="auto"/>
              </w:rPr>
              <w:t>0</w:t>
            </w:r>
          </w:p>
        </w:tc>
        <w:tc>
          <w:tcPr>
            <w:tcW w:w="500" w:type="dxa"/>
            <w:vAlign w:val="bottom"/>
          </w:tcPr>
          <w:p>
            <w:pPr>
              <w:spacing w:after="0"/>
              <w:rPr>
                <w:sz w:val="17"/>
                <w:szCs w:val="17"/>
                <w:color w:val="auto"/>
              </w:rPr>
            </w:pPr>
          </w:p>
        </w:tc>
        <w:tc>
          <w:tcPr>
            <w:tcW w:w="820" w:type="dxa"/>
            <w:vAlign w:val="bottom"/>
            <w:gridSpan w:val="2"/>
          </w:tcPr>
          <w:p>
            <w:pPr>
              <w:jc w:val="right"/>
              <w:ind w:right="60"/>
              <w:spacing w:after="0" w:line="202" w:lineRule="exact"/>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60" w:type="dxa"/>
            <w:vAlign w:val="bottom"/>
            <w:shd w:val="clear" w:color="auto" w:fill="E5E5E5"/>
          </w:tcPr>
          <w:p>
            <w:pPr>
              <w:ind w:left="200"/>
              <w:spacing w:after="0" w:line="202" w:lineRule="exact"/>
              <w:rPr>
                <w:sz w:val="20"/>
                <w:szCs w:val="20"/>
                <w:color w:val="auto"/>
              </w:rPr>
            </w:pPr>
            <w:r>
              <w:rPr>
                <w:rFonts w:ascii="Arial" w:cs="Arial" w:eastAsia="Arial" w:hAnsi="Arial"/>
                <w:sz w:val="18"/>
                <w:szCs w:val="18"/>
                <w:color w:val="auto"/>
              </w:rPr>
              <w:t>Cash paid</w:t>
            </w:r>
          </w:p>
        </w:tc>
        <w:tc>
          <w:tcPr>
            <w:tcW w:w="2460" w:type="dxa"/>
            <w:vAlign w:val="bottom"/>
            <w:shd w:val="clear" w:color="auto" w:fill="E5E5E5"/>
          </w:tcPr>
          <w:p>
            <w:pPr>
              <w:spacing w:after="0"/>
              <w:rPr>
                <w:sz w:val="17"/>
                <w:szCs w:val="17"/>
                <w:color w:val="auto"/>
              </w:rPr>
            </w:pPr>
          </w:p>
        </w:tc>
        <w:tc>
          <w:tcPr>
            <w:tcW w:w="1140" w:type="dxa"/>
            <w:vAlign w:val="bottom"/>
            <w:gridSpan w:val="2"/>
            <w:shd w:val="clear" w:color="auto" w:fill="E5E5E5"/>
          </w:tcPr>
          <w:p>
            <w:pPr>
              <w:jc w:val="right"/>
              <w:ind w:right="160"/>
              <w:spacing w:after="0" w:line="202" w:lineRule="exact"/>
              <w:rPr>
                <w:sz w:val="20"/>
                <w:szCs w:val="20"/>
                <w:color w:val="auto"/>
              </w:rPr>
            </w:pPr>
            <w:r>
              <w:rPr>
                <w:rFonts w:ascii="Arial" w:cs="Arial" w:eastAsia="Arial" w:hAnsi="Arial"/>
                <w:sz w:val="18"/>
                <w:szCs w:val="18"/>
                <w:b w:val="1"/>
                <w:bCs w:val="1"/>
                <w:color w:val="auto"/>
              </w:rPr>
              <w:t>(179)</w:t>
            </w:r>
          </w:p>
        </w:tc>
        <w:tc>
          <w:tcPr>
            <w:tcW w:w="480" w:type="dxa"/>
            <w:vAlign w:val="bottom"/>
            <w:shd w:val="clear" w:color="auto" w:fill="E5E5E5"/>
          </w:tcPr>
          <w:p>
            <w:pPr>
              <w:spacing w:after="0"/>
              <w:rPr>
                <w:sz w:val="17"/>
                <w:szCs w:val="17"/>
                <w:color w:val="auto"/>
              </w:rPr>
            </w:pPr>
          </w:p>
        </w:tc>
        <w:tc>
          <w:tcPr>
            <w:tcW w:w="1040" w:type="dxa"/>
            <w:vAlign w:val="bottom"/>
            <w:gridSpan w:val="2"/>
            <w:shd w:val="clear" w:color="auto" w:fill="E5E5E5"/>
          </w:tcPr>
          <w:p>
            <w:pPr>
              <w:jc w:val="right"/>
              <w:ind w:right="220"/>
              <w:spacing w:after="0" w:line="202" w:lineRule="exact"/>
              <w:rPr>
                <w:sz w:val="20"/>
                <w:szCs w:val="20"/>
                <w:color w:val="auto"/>
              </w:rPr>
            </w:pPr>
            <w:r>
              <w:rPr>
                <w:rFonts w:ascii="Arial" w:cs="Arial" w:eastAsia="Arial" w:hAnsi="Arial"/>
                <w:sz w:val="18"/>
                <w:szCs w:val="18"/>
                <w:b w:val="1"/>
                <w:bCs w:val="1"/>
                <w:color w:val="auto"/>
              </w:rPr>
              <w:t>(5)</w:t>
            </w:r>
          </w:p>
        </w:tc>
        <w:tc>
          <w:tcPr>
            <w:tcW w:w="500" w:type="dxa"/>
            <w:vAlign w:val="bottom"/>
            <w:shd w:val="clear" w:color="auto" w:fill="E5E5E5"/>
          </w:tcPr>
          <w:p>
            <w:pPr>
              <w:spacing w:after="0"/>
              <w:rPr>
                <w:sz w:val="17"/>
                <w:szCs w:val="17"/>
                <w:color w:val="auto"/>
              </w:rPr>
            </w:pPr>
          </w:p>
        </w:tc>
        <w:tc>
          <w:tcPr>
            <w:tcW w:w="820" w:type="dxa"/>
            <w:vAlign w:val="bottom"/>
            <w:gridSpan w:val="2"/>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(184)</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4960" w:type="dxa"/>
            <w:vAlign w:val="bottom"/>
            <w:tcBorders>
              <w:bottom w:val="single" w:sz="8" w:color="auto"/>
            </w:tcBorders>
          </w:tcPr>
          <w:p>
            <w:pPr>
              <w:spacing w:after="0"/>
              <w:rPr>
                <w:sz w:val="5"/>
                <w:szCs w:val="5"/>
                <w:color w:val="auto"/>
              </w:rPr>
            </w:pPr>
          </w:p>
        </w:tc>
        <w:tc>
          <w:tcPr>
            <w:tcW w:w="246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280" w:type="dxa"/>
            <w:vAlign w:val="bottom"/>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89"/>
        </w:trPr>
        <w:tc>
          <w:tcPr>
            <w:tcW w:w="4980" w:type="dxa"/>
            <w:vAlign w:val="bottom"/>
            <w:gridSpan w:val="2"/>
          </w:tcPr>
          <w:p>
            <w:pPr>
              <w:spacing w:after="0"/>
              <w:rPr>
                <w:sz w:val="20"/>
                <w:szCs w:val="20"/>
                <w:color w:val="auto"/>
              </w:rPr>
            </w:pPr>
            <w:r>
              <w:rPr>
                <w:rFonts w:ascii="Arial" w:cs="Arial" w:eastAsia="Arial" w:hAnsi="Arial"/>
                <w:sz w:val="18"/>
                <w:szCs w:val="18"/>
                <w:color w:val="auto"/>
              </w:rPr>
              <w:t>Balance, as of September 30, 2017</w:t>
            </w:r>
          </w:p>
        </w:tc>
        <w:tc>
          <w:tcPr>
            <w:tcW w:w="2460" w:type="dxa"/>
            <w:vAlign w:val="bottom"/>
          </w:tcPr>
          <w:p>
            <w:pPr>
              <w:jc w:val="right"/>
              <w:ind w:right="130"/>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194</w:t>
            </w:r>
          </w:p>
        </w:tc>
        <w:tc>
          <w:tcPr>
            <w:tcW w:w="220" w:type="dxa"/>
            <w:vAlign w:val="bottom"/>
          </w:tcPr>
          <w:p>
            <w:pPr>
              <w:spacing w:after="0"/>
              <w:rPr>
                <w:sz w:val="24"/>
                <w:szCs w:val="24"/>
                <w:color w:val="auto"/>
              </w:rPr>
            </w:pPr>
          </w:p>
        </w:tc>
        <w:tc>
          <w:tcPr>
            <w:tcW w:w="480" w:type="dxa"/>
            <w:vAlign w:val="bottom"/>
          </w:tcPr>
          <w:p>
            <w:pPr>
              <w:jc w:val="right"/>
              <w:ind w:right="290"/>
              <w:spacing w:after="0"/>
              <w:rPr>
                <w:sz w:val="20"/>
                <w:szCs w:val="20"/>
                <w:color w:val="auto"/>
              </w:rPr>
            </w:pPr>
            <w:r>
              <w:rPr>
                <w:rFonts w:ascii="Arial" w:cs="Arial" w:eastAsia="Arial" w:hAnsi="Arial"/>
                <w:sz w:val="18"/>
                <w:szCs w:val="18"/>
                <w:b w:val="1"/>
                <w:bCs w:val="1"/>
                <w:color w:val="auto"/>
                <w:w w:val="79"/>
              </w:rPr>
              <w:t>$</w:t>
            </w:r>
          </w:p>
        </w:tc>
        <w:tc>
          <w:tcPr>
            <w:tcW w:w="104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54</w:t>
            </w:r>
          </w:p>
        </w:tc>
        <w:tc>
          <w:tcPr>
            <w:tcW w:w="500" w:type="dxa"/>
            <w:vAlign w:val="bottom"/>
          </w:tcPr>
          <w:p>
            <w:pPr>
              <w:jc w:val="right"/>
              <w:ind w:right="290"/>
              <w:spacing w:after="0"/>
              <w:rPr>
                <w:sz w:val="20"/>
                <w:szCs w:val="20"/>
                <w:color w:val="auto"/>
              </w:rPr>
            </w:pPr>
            <w:r>
              <w:rPr>
                <w:rFonts w:ascii="Arial" w:cs="Arial" w:eastAsia="Arial" w:hAnsi="Arial"/>
                <w:sz w:val="18"/>
                <w:szCs w:val="18"/>
                <w:b w:val="1"/>
                <w:bCs w:val="1"/>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248</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4516120</wp:posOffset>
            </wp:positionH>
            <wp:positionV relativeFrom="paragraph">
              <wp:posOffset>26670</wp:posOffset>
            </wp:positionV>
            <wp:extent cx="2693035"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2693035" cy="17145"/>
                    </a:xfrm>
                    <a:prstGeom prst="rect">
                      <a:avLst/>
                    </a:prstGeom>
                    <a:noFill/>
                  </pic:spPr>
                </pic:pic>
              </a:graphicData>
            </a:graphic>
          </wp:anchor>
        </w:drawing>
      </w:r>
    </w:p>
    <w:p>
      <w:pPr>
        <w:spacing w:after="0" w:line="96" w:lineRule="exact"/>
        <w:rPr>
          <w:sz w:val="20"/>
          <w:szCs w:val="20"/>
          <w:color w:val="auto"/>
        </w:rPr>
      </w:pPr>
    </w:p>
    <w:p>
      <w:pPr>
        <w:ind w:left="540" w:hanging="532"/>
        <w:spacing w:after="0" w:line="274" w:lineRule="auto"/>
        <w:tabs>
          <w:tab w:leader="none" w:pos="54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Primarily reflects activities associated with the consolidation of our phone facilities, manufacturing operations, and contract termination costs.</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289165"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8" w:name="page29"/>
    <w:bookmarkEnd w:id="28"/>
    <w:p>
      <w:pPr>
        <w:ind w:left="5500"/>
        <w:spacing w:after="0"/>
        <w:rPr>
          <w:sz w:val="20"/>
          <w:szCs w:val="20"/>
          <w:color w:val="auto"/>
        </w:rPr>
      </w:pPr>
      <w:r>
        <w:rPr>
          <w:rFonts w:ascii="Arial" w:cs="Arial" w:eastAsia="Arial" w:hAnsi="Arial"/>
          <w:sz w:val="14"/>
          <w:szCs w:val="14"/>
          <w:u w:val="single" w:color="auto"/>
          <w:color w:val="auto"/>
        </w:rPr>
        <w:t>PART I</w:t>
      </w:r>
    </w:p>
    <w:p>
      <w:pPr>
        <w:spacing w:after="0" w:line="5" w:lineRule="exact"/>
        <w:rPr>
          <w:sz w:val="20"/>
          <w:szCs w:val="20"/>
          <w:color w:val="auto"/>
        </w:rPr>
      </w:pPr>
    </w:p>
    <w:p>
      <w:pPr>
        <w:ind w:left="5520"/>
        <w:spacing w:after="0"/>
        <w:rPr>
          <w:sz w:val="20"/>
          <w:szCs w:val="20"/>
          <w:color w:val="auto"/>
        </w:rPr>
      </w:pPr>
      <w:r>
        <w:rPr>
          <w:rFonts w:ascii="Arial" w:cs="Arial" w:eastAsia="Arial" w:hAnsi="Arial"/>
          <w:sz w:val="14"/>
          <w:szCs w:val="14"/>
          <w:color w:val="auto"/>
        </w:rPr>
        <w:t>Item 1</w:t>
      </w:r>
    </w:p>
    <w:p>
      <w:pPr>
        <w:spacing w:after="0" w:line="127" w:lineRule="exact"/>
        <w:rPr>
          <w:sz w:val="20"/>
          <w:szCs w:val="20"/>
          <w:color w:val="auto"/>
        </w:rPr>
      </w:pPr>
    </w:p>
    <w:p>
      <w:pPr>
        <w:jc w:val="center"/>
        <w:ind w:right="20"/>
        <w:spacing w:after="0"/>
        <w:rPr>
          <w:sz w:val="20"/>
          <w:szCs w:val="20"/>
          <w:color w:val="auto"/>
        </w:rPr>
      </w:pPr>
      <w:r>
        <w:rPr>
          <w:rFonts w:ascii="Arial" w:cs="Arial" w:eastAsia="Arial" w:hAnsi="Arial"/>
          <w:sz w:val="18"/>
          <w:szCs w:val="18"/>
          <w:u w:val="single" w:color="auto"/>
          <w:color w:val="auto"/>
        </w:rPr>
        <w:t>NOTE 14 — UNEARNED REVENUE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Unearned revenue by segment was as follows:</w:t>
      </w:r>
    </w:p>
    <w:p>
      <w:pPr>
        <w:spacing w:after="0" w:line="18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46990</wp:posOffset>
            </wp:positionV>
            <wp:extent cx="724662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5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September 30,</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5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5"/>
        </w:trPr>
        <w:tc>
          <w:tcPr>
            <w:tcW w:w="20" w:type="dxa"/>
            <w:vAlign w:val="bottom"/>
            <w:vMerge w:val="restart"/>
          </w:tcPr>
          <w:p>
            <w:pPr>
              <w:spacing w:after="0"/>
              <w:rPr>
                <w:sz w:val="7"/>
                <w:szCs w:val="7"/>
                <w:color w:val="auto"/>
              </w:rPr>
            </w:pPr>
          </w:p>
        </w:tc>
        <w:tc>
          <w:tcPr>
            <w:tcW w:w="754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60" w:type="dxa"/>
            <w:vAlign w:val="bottom"/>
          </w:tcPr>
          <w:p>
            <w:pPr>
              <w:spacing w:after="0"/>
              <w:rPr>
                <w:sz w:val="7"/>
                <w:szCs w:val="7"/>
                <w:color w:val="auto"/>
              </w:rPr>
            </w:pPr>
          </w:p>
        </w:tc>
        <w:tc>
          <w:tcPr>
            <w:tcW w:w="9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54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Productivity and Business Processes</w:t>
            </w:r>
          </w:p>
        </w:tc>
        <w:tc>
          <w:tcPr>
            <w:tcW w:w="1420" w:type="dxa"/>
            <w:vAlign w:val="bottom"/>
            <w:gridSpan w:val="2"/>
            <w:shd w:val="clear" w:color="auto" w:fill="E5E5E5"/>
          </w:tcPr>
          <w:p>
            <w:pPr>
              <w:jc w:val="right"/>
              <w:ind w:right="60"/>
              <w:spacing w:after="0" w:line="202" w:lineRule="exact"/>
              <w:rPr>
                <w:sz w:val="20"/>
                <w:szCs w:val="20"/>
                <w:color w:val="auto"/>
              </w:rPr>
            </w:pPr>
            <w:r>
              <w:rPr>
                <w:rFonts w:ascii="Arial" w:cs="Arial" w:eastAsia="Arial" w:hAnsi="Arial"/>
                <w:sz w:val="18"/>
                <w:szCs w:val="18"/>
                <w:b w:val="1"/>
                <w:bCs w:val="1"/>
                <w:color w:val="auto"/>
              </w:rPr>
              <w:t>$</w:t>
            </w:r>
          </w:p>
        </w:tc>
        <w:tc>
          <w:tcPr>
            <w:tcW w:w="108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b w:val="1"/>
                <w:bCs w:val="1"/>
                <w:color w:val="auto"/>
              </w:rPr>
              <w:t>11,808</w:t>
            </w:r>
          </w:p>
        </w:tc>
        <w:tc>
          <w:tcPr>
            <w:tcW w:w="420" w:type="dxa"/>
            <w:vAlign w:val="bottom"/>
            <w:gridSpan w:val="2"/>
            <w:shd w:val="clear" w:color="auto" w:fill="E5E5E5"/>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940" w:type="dxa"/>
            <w:vAlign w:val="bottom"/>
            <w:gridSpan w:val="3"/>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12,692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40" w:type="dxa"/>
            <w:vAlign w:val="bottom"/>
          </w:tcPr>
          <w:p>
            <w:pPr>
              <w:spacing w:after="0" w:line="202" w:lineRule="exact"/>
              <w:rPr>
                <w:sz w:val="20"/>
                <w:szCs w:val="20"/>
                <w:color w:val="auto"/>
              </w:rPr>
            </w:pPr>
            <w:r>
              <w:rPr>
                <w:rFonts w:ascii="Arial" w:cs="Arial" w:eastAsia="Arial" w:hAnsi="Arial"/>
                <w:sz w:val="18"/>
                <w:szCs w:val="18"/>
                <w:color w:val="auto"/>
              </w:rPr>
              <w:t>Intelligent Cloud</w:t>
            </w:r>
          </w:p>
        </w:tc>
        <w:tc>
          <w:tcPr>
            <w:tcW w:w="1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tcPr>
          <w:p>
            <w:pPr>
              <w:jc w:val="right"/>
              <w:ind w:right="100"/>
              <w:spacing w:after="0" w:line="202" w:lineRule="exact"/>
              <w:rPr>
                <w:sz w:val="20"/>
                <w:szCs w:val="20"/>
                <w:color w:val="auto"/>
              </w:rPr>
            </w:pPr>
            <w:r>
              <w:rPr>
                <w:rFonts w:ascii="Arial" w:cs="Arial" w:eastAsia="Arial" w:hAnsi="Arial"/>
                <w:sz w:val="18"/>
                <w:szCs w:val="18"/>
                <w:b w:val="1"/>
                <w:bCs w:val="1"/>
                <w:color w:val="auto"/>
              </w:rPr>
              <w:t>10,156</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gridSpan w:val="3"/>
          </w:tcPr>
          <w:p>
            <w:pPr>
              <w:jc w:val="right"/>
              <w:ind w:right="100"/>
              <w:spacing w:after="0" w:line="202" w:lineRule="exact"/>
              <w:rPr>
                <w:sz w:val="20"/>
                <w:szCs w:val="20"/>
                <w:color w:val="auto"/>
              </w:rPr>
            </w:pPr>
            <w:r>
              <w:rPr>
                <w:rFonts w:ascii="Arial" w:cs="Arial" w:eastAsia="Arial" w:hAnsi="Arial"/>
                <w:sz w:val="18"/>
                <w:szCs w:val="18"/>
                <w:color w:val="auto"/>
              </w:rPr>
              <w:t>11,152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4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More Personal Computing</w:t>
            </w:r>
          </w:p>
        </w:tc>
        <w:tc>
          <w:tcPr>
            <w:tcW w:w="126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108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b w:val="1"/>
                <w:bCs w:val="1"/>
                <w:color w:val="auto"/>
              </w:rPr>
              <w:t>2,940</w:t>
            </w:r>
          </w:p>
        </w:tc>
        <w:tc>
          <w:tcPr>
            <w:tcW w:w="120" w:type="dxa"/>
            <w:vAlign w:val="bottom"/>
            <w:shd w:val="clear" w:color="auto" w:fill="E5E5E5"/>
          </w:tcPr>
          <w:p>
            <w:pPr>
              <w:spacing w:after="0"/>
              <w:rPr>
                <w:sz w:val="17"/>
                <w:szCs w:val="17"/>
                <w:color w:val="auto"/>
              </w:rPr>
            </w:pPr>
          </w:p>
        </w:tc>
        <w:tc>
          <w:tcPr>
            <w:tcW w:w="300" w:type="dxa"/>
            <w:vAlign w:val="bottom"/>
            <w:shd w:val="clear" w:color="auto" w:fill="E5E5E5"/>
          </w:tcPr>
          <w:p>
            <w:pPr>
              <w:spacing w:after="0"/>
              <w:rPr>
                <w:sz w:val="17"/>
                <w:szCs w:val="17"/>
                <w:color w:val="auto"/>
              </w:rPr>
            </w:pPr>
          </w:p>
        </w:tc>
        <w:tc>
          <w:tcPr>
            <w:tcW w:w="940" w:type="dxa"/>
            <w:vAlign w:val="bottom"/>
            <w:gridSpan w:val="3"/>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2,812</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54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5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60" w:type="dxa"/>
            <w:vAlign w:val="bottom"/>
          </w:tcPr>
          <w:p>
            <w:pPr>
              <w:spacing w:after="0"/>
              <w:rPr>
                <w:sz w:val="5"/>
                <w:szCs w:val="5"/>
                <w:color w:val="auto"/>
              </w:rPr>
            </w:pPr>
          </w:p>
        </w:tc>
        <w:tc>
          <w:tcPr>
            <w:tcW w:w="9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40" w:type="dxa"/>
            <w:vAlign w:val="bottom"/>
            <w:shd w:val="clear" w:color="auto" w:fill="E5E5E5"/>
          </w:tcPr>
          <w:p>
            <w:pPr>
              <w:ind w:left="200"/>
              <w:spacing w:after="0" w:line="202" w:lineRule="exact"/>
              <w:rPr>
                <w:sz w:val="20"/>
                <w:szCs w:val="20"/>
                <w:color w:val="auto"/>
              </w:rPr>
            </w:pPr>
            <w:r>
              <w:rPr>
                <w:rFonts w:ascii="Arial" w:cs="Arial" w:eastAsia="Arial" w:hAnsi="Arial"/>
                <w:sz w:val="18"/>
                <w:szCs w:val="18"/>
                <w:color w:val="auto"/>
              </w:rPr>
              <w:t>Total</w:t>
            </w:r>
          </w:p>
        </w:tc>
        <w:tc>
          <w:tcPr>
            <w:tcW w:w="1420" w:type="dxa"/>
            <w:vAlign w:val="bottom"/>
            <w:gridSpan w:val="2"/>
            <w:shd w:val="clear" w:color="auto" w:fill="E5E5E5"/>
          </w:tcPr>
          <w:p>
            <w:pPr>
              <w:jc w:val="right"/>
              <w:ind w:right="60"/>
              <w:spacing w:after="0" w:line="202" w:lineRule="exact"/>
              <w:rPr>
                <w:sz w:val="20"/>
                <w:szCs w:val="20"/>
                <w:color w:val="auto"/>
              </w:rPr>
            </w:pPr>
            <w:r>
              <w:rPr>
                <w:rFonts w:ascii="Arial" w:cs="Arial" w:eastAsia="Arial" w:hAnsi="Arial"/>
                <w:sz w:val="18"/>
                <w:szCs w:val="18"/>
                <w:b w:val="1"/>
                <w:bCs w:val="1"/>
                <w:color w:val="auto"/>
              </w:rPr>
              <w:t>$</w:t>
            </w:r>
          </w:p>
        </w:tc>
        <w:tc>
          <w:tcPr>
            <w:tcW w:w="108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b w:val="1"/>
                <w:bCs w:val="1"/>
                <w:color w:val="auto"/>
              </w:rPr>
              <w:t>24,904</w:t>
            </w:r>
          </w:p>
        </w:tc>
        <w:tc>
          <w:tcPr>
            <w:tcW w:w="420" w:type="dxa"/>
            <w:vAlign w:val="bottom"/>
            <w:gridSpan w:val="2"/>
            <w:shd w:val="clear" w:color="auto" w:fill="E5E5E5"/>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940" w:type="dxa"/>
            <w:vAlign w:val="bottom"/>
            <w:gridSpan w:val="3"/>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26,656</w:t>
            </w:r>
          </w:p>
        </w:tc>
        <w:tc>
          <w:tcPr>
            <w:tcW w:w="0" w:type="dxa"/>
            <w:vAlign w:val="bottom"/>
          </w:tcPr>
          <w:p>
            <w:pPr>
              <w:spacing w:after="0"/>
              <w:rPr>
                <w:sz w:val="1"/>
                <w:szCs w:val="1"/>
                <w:color w:val="auto"/>
              </w:rPr>
            </w:pPr>
          </w:p>
        </w:tc>
      </w:tr>
      <w:tr>
        <w:trPr>
          <w:trHeight w:val="75"/>
        </w:trPr>
        <w:tc>
          <w:tcPr>
            <w:tcW w:w="7560" w:type="dxa"/>
            <w:vAlign w:val="bottom"/>
            <w:gridSpan w:val="2"/>
            <w:vMerge w:val="restart"/>
          </w:tcPr>
          <w:p>
            <w:pPr>
              <w:spacing w:after="0"/>
              <w:rPr>
                <w:sz w:val="20"/>
                <w:szCs w:val="20"/>
                <w:color w:val="auto"/>
              </w:rPr>
            </w:pPr>
            <w:r>
              <w:rPr>
                <w:rFonts w:ascii="Arial" w:cs="Arial" w:eastAsia="Arial" w:hAnsi="Arial"/>
                <w:sz w:val="18"/>
                <w:szCs w:val="18"/>
                <w:color w:val="auto"/>
              </w:rPr>
              <w:t>The opening balance of unearned revenue was $22.2 billion as of July 1, 2016.</w:t>
            </w:r>
          </w:p>
        </w:tc>
        <w:tc>
          <w:tcPr>
            <w:tcW w:w="1260" w:type="dxa"/>
            <w:vAlign w:val="bottom"/>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2"/>
        </w:trPr>
        <w:tc>
          <w:tcPr>
            <w:tcW w:w="7560" w:type="dxa"/>
            <w:vAlign w:val="bottom"/>
            <w:gridSpan w:val="2"/>
            <w:vMerge w:val="continue"/>
          </w:tcPr>
          <w:p>
            <w:pPr>
              <w:spacing w:after="0"/>
              <w:rPr>
                <w:sz w:val="24"/>
                <w:szCs w:val="24"/>
                <w:color w:val="auto"/>
              </w:rPr>
            </w:pPr>
          </w:p>
        </w:tc>
        <w:tc>
          <w:tcPr>
            <w:tcW w:w="1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7560" w:type="dxa"/>
            <w:vAlign w:val="bottom"/>
            <w:gridSpan w:val="2"/>
          </w:tcPr>
          <w:p>
            <w:pPr>
              <w:spacing w:after="0"/>
              <w:rPr>
                <w:sz w:val="20"/>
                <w:szCs w:val="20"/>
                <w:color w:val="auto"/>
              </w:rPr>
            </w:pPr>
            <w:r>
              <w:rPr>
                <w:rFonts w:ascii="Arial" w:cs="Arial" w:eastAsia="Arial" w:hAnsi="Arial"/>
                <w:sz w:val="18"/>
                <w:szCs w:val="18"/>
                <w:color w:val="auto"/>
              </w:rPr>
              <w:t>Changes in unearned revenue were as follows:</w:t>
            </w:r>
          </w:p>
        </w:tc>
        <w:tc>
          <w:tcPr>
            <w:tcW w:w="1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3"/>
        </w:trPr>
        <w:tc>
          <w:tcPr>
            <w:tcW w:w="7560" w:type="dxa"/>
            <w:vAlign w:val="bottom"/>
            <w:gridSpan w:val="2"/>
          </w:tcPr>
          <w:p>
            <w:pPr>
              <w:spacing w:after="0"/>
              <w:rPr>
                <w:sz w:val="20"/>
                <w:szCs w:val="20"/>
                <w:color w:val="auto"/>
              </w:rPr>
            </w:pPr>
            <w:r>
              <w:rPr>
                <w:rFonts w:ascii="Arial" w:cs="Arial" w:eastAsia="Arial" w:hAnsi="Arial"/>
                <w:sz w:val="14"/>
                <w:szCs w:val="14"/>
                <w:b w:val="1"/>
                <w:bCs w:val="1"/>
                <w:color w:val="auto"/>
              </w:rPr>
              <w:t>(In millions)</w:t>
            </w:r>
          </w:p>
        </w:tc>
        <w:tc>
          <w:tcPr>
            <w:tcW w:w="1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
        </w:trPr>
        <w:tc>
          <w:tcPr>
            <w:tcW w:w="7560" w:type="dxa"/>
            <w:vAlign w:val="bottom"/>
            <w:tcBorders>
              <w:bottom w:val="single" w:sz="8" w:color="auto"/>
            </w:tcBorders>
            <w:gridSpan w:val="2"/>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3"/>
        </w:trPr>
        <w:tc>
          <w:tcPr>
            <w:tcW w:w="7560" w:type="dxa"/>
            <w:vAlign w:val="bottom"/>
            <w:gridSpan w:val="2"/>
          </w:tcPr>
          <w:p>
            <w:pPr>
              <w:spacing w:after="0"/>
              <w:rPr>
                <w:sz w:val="20"/>
                <w:szCs w:val="20"/>
                <w:color w:val="auto"/>
              </w:rPr>
            </w:pPr>
            <w:r>
              <w:rPr>
                <w:rFonts w:ascii="Arial" w:cs="Arial" w:eastAsia="Arial" w:hAnsi="Arial"/>
                <w:sz w:val="14"/>
                <w:szCs w:val="14"/>
                <w:b w:val="1"/>
                <w:bCs w:val="1"/>
                <w:color w:val="auto"/>
              </w:rPr>
              <w:t>Three Months Ended September 30, 2017</w:t>
            </w:r>
          </w:p>
        </w:tc>
        <w:tc>
          <w:tcPr>
            <w:tcW w:w="1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
        </w:trPr>
        <w:tc>
          <w:tcPr>
            <w:tcW w:w="20" w:type="dxa"/>
            <w:vAlign w:val="bottom"/>
            <w:vMerge w:val="restart"/>
          </w:tcPr>
          <w:p>
            <w:pPr>
              <w:spacing w:after="0"/>
              <w:rPr>
                <w:sz w:val="3"/>
                <w:szCs w:val="3"/>
                <w:color w:val="auto"/>
              </w:rPr>
            </w:pPr>
          </w:p>
        </w:tc>
        <w:tc>
          <w:tcPr>
            <w:tcW w:w="754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6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54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Balance, beginning of period</w:t>
            </w:r>
          </w:p>
        </w:tc>
        <w:tc>
          <w:tcPr>
            <w:tcW w:w="126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98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12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w w:val="79"/>
              </w:rPr>
              <w:t>$</w:t>
            </w:r>
          </w:p>
        </w:tc>
        <w:tc>
          <w:tcPr>
            <w:tcW w:w="300" w:type="dxa"/>
            <w:vAlign w:val="bottom"/>
            <w:shd w:val="clear" w:color="auto" w:fill="E5E5E5"/>
          </w:tcPr>
          <w:p>
            <w:pPr>
              <w:spacing w:after="0"/>
              <w:rPr>
                <w:sz w:val="17"/>
                <w:szCs w:val="17"/>
                <w:color w:val="auto"/>
              </w:rPr>
            </w:pPr>
          </w:p>
        </w:tc>
        <w:tc>
          <w:tcPr>
            <w:tcW w:w="840" w:type="dxa"/>
            <w:vAlign w:val="bottom"/>
            <w:gridSpan w:val="2"/>
            <w:shd w:val="clear" w:color="auto" w:fill="E5E5E5"/>
          </w:tcPr>
          <w:p>
            <w:pPr>
              <w:jc w:val="right"/>
              <w:ind w:right="20"/>
              <w:spacing w:after="0" w:line="202" w:lineRule="exact"/>
              <w:rPr>
                <w:sz w:val="20"/>
                <w:szCs w:val="20"/>
                <w:color w:val="auto"/>
              </w:rPr>
            </w:pPr>
            <w:r>
              <w:rPr>
                <w:rFonts w:ascii="Arial" w:cs="Arial" w:eastAsia="Arial" w:hAnsi="Arial"/>
                <w:sz w:val="18"/>
                <w:szCs w:val="18"/>
                <w:b w:val="1"/>
                <w:bCs w:val="1"/>
                <w:color w:val="auto"/>
              </w:rPr>
              <w:t>26,656</w:t>
            </w:r>
          </w:p>
        </w:tc>
        <w:tc>
          <w:tcPr>
            <w:tcW w:w="10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40" w:type="dxa"/>
            <w:vAlign w:val="bottom"/>
          </w:tcPr>
          <w:p>
            <w:pPr>
              <w:ind w:left="200"/>
              <w:spacing w:after="0" w:line="202" w:lineRule="exact"/>
              <w:rPr>
                <w:sz w:val="20"/>
                <w:szCs w:val="20"/>
                <w:color w:val="auto"/>
              </w:rPr>
            </w:pPr>
            <w:r>
              <w:rPr>
                <w:rFonts w:ascii="Arial" w:cs="Arial" w:eastAsia="Arial" w:hAnsi="Arial"/>
                <w:sz w:val="18"/>
                <w:szCs w:val="18"/>
                <w:color w:val="auto"/>
              </w:rPr>
              <w:t>Deferral of revenue</w:t>
            </w:r>
          </w:p>
        </w:tc>
        <w:tc>
          <w:tcPr>
            <w:tcW w:w="1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gridSpan w:val="2"/>
          </w:tcPr>
          <w:p>
            <w:pPr>
              <w:jc w:val="right"/>
              <w:ind w:right="20"/>
              <w:spacing w:after="0" w:line="202" w:lineRule="exact"/>
              <w:rPr>
                <w:sz w:val="20"/>
                <w:szCs w:val="20"/>
                <w:color w:val="auto"/>
              </w:rPr>
            </w:pPr>
            <w:r>
              <w:rPr>
                <w:rFonts w:ascii="Arial" w:cs="Arial" w:eastAsia="Arial" w:hAnsi="Arial"/>
                <w:sz w:val="18"/>
                <w:szCs w:val="18"/>
                <w:b w:val="1"/>
                <w:bCs w:val="1"/>
                <w:color w:val="auto"/>
              </w:rPr>
              <w:t>10,988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40" w:type="dxa"/>
            <w:vAlign w:val="bottom"/>
            <w:shd w:val="clear" w:color="auto" w:fill="E5E5E5"/>
          </w:tcPr>
          <w:p>
            <w:pPr>
              <w:ind w:left="200"/>
              <w:spacing w:after="0" w:line="202" w:lineRule="exact"/>
              <w:rPr>
                <w:sz w:val="20"/>
                <w:szCs w:val="20"/>
                <w:color w:val="auto"/>
              </w:rPr>
            </w:pPr>
            <w:r>
              <w:rPr>
                <w:rFonts w:ascii="Arial" w:cs="Arial" w:eastAsia="Arial" w:hAnsi="Arial"/>
                <w:sz w:val="18"/>
                <w:szCs w:val="18"/>
                <w:color w:val="auto"/>
              </w:rPr>
              <w:t>Recognition of unearned revenue</w:t>
            </w:r>
          </w:p>
        </w:tc>
        <w:tc>
          <w:tcPr>
            <w:tcW w:w="126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98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300" w:type="dxa"/>
            <w:vAlign w:val="bottom"/>
            <w:shd w:val="clear" w:color="auto" w:fill="E5E5E5"/>
          </w:tcPr>
          <w:p>
            <w:pPr>
              <w:spacing w:after="0"/>
              <w:rPr>
                <w:sz w:val="17"/>
                <w:szCs w:val="17"/>
                <w:color w:val="auto"/>
              </w:rPr>
            </w:pPr>
          </w:p>
        </w:tc>
        <w:tc>
          <w:tcPr>
            <w:tcW w:w="940" w:type="dxa"/>
            <w:vAlign w:val="bottom"/>
            <w:gridSpan w:val="3"/>
            <w:shd w:val="clear" w:color="auto" w:fill="E5E5E5"/>
          </w:tcPr>
          <w:p>
            <w:pPr>
              <w:jc w:val="right"/>
              <w:ind w:right="60"/>
              <w:spacing w:after="0" w:line="202" w:lineRule="exact"/>
              <w:rPr>
                <w:sz w:val="20"/>
                <w:szCs w:val="20"/>
                <w:color w:val="auto"/>
              </w:rPr>
            </w:pPr>
            <w:r>
              <w:rPr>
                <w:rFonts w:ascii="Arial" w:cs="Arial" w:eastAsia="Arial" w:hAnsi="Arial"/>
                <w:sz w:val="18"/>
                <w:szCs w:val="18"/>
                <w:b w:val="1"/>
                <w:bCs w:val="1"/>
                <w:color w:val="auto"/>
              </w:rPr>
              <w:t>(12,740)</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54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75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60" w:type="dxa"/>
            <w:vAlign w:val="bottom"/>
          </w:tcPr>
          <w:p>
            <w:pPr>
              <w:spacing w:after="0"/>
              <w:rPr>
                <w:sz w:val="5"/>
                <w:szCs w:val="5"/>
                <w:color w:val="auto"/>
              </w:rPr>
            </w:pPr>
          </w:p>
        </w:tc>
        <w:tc>
          <w:tcPr>
            <w:tcW w:w="9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54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Balance, end of period</w:t>
            </w:r>
          </w:p>
        </w:tc>
        <w:tc>
          <w:tcPr>
            <w:tcW w:w="126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98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12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w w:val="79"/>
              </w:rPr>
              <w:t>$</w:t>
            </w:r>
          </w:p>
        </w:tc>
        <w:tc>
          <w:tcPr>
            <w:tcW w:w="300" w:type="dxa"/>
            <w:vAlign w:val="bottom"/>
            <w:shd w:val="clear" w:color="auto" w:fill="E5E5E5"/>
          </w:tcPr>
          <w:p>
            <w:pPr>
              <w:spacing w:after="0"/>
              <w:rPr>
                <w:sz w:val="17"/>
                <w:szCs w:val="17"/>
                <w:color w:val="auto"/>
              </w:rPr>
            </w:pPr>
          </w:p>
        </w:tc>
        <w:tc>
          <w:tcPr>
            <w:tcW w:w="840" w:type="dxa"/>
            <w:vAlign w:val="bottom"/>
            <w:gridSpan w:val="2"/>
            <w:shd w:val="clear" w:color="auto" w:fill="E5E5E5"/>
          </w:tcPr>
          <w:p>
            <w:pPr>
              <w:jc w:val="right"/>
              <w:ind w:right="20"/>
              <w:spacing w:after="0" w:line="202" w:lineRule="exact"/>
              <w:rPr>
                <w:sz w:val="20"/>
                <w:szCs w:val="20"/>
                <w:color w:val="auto"/>
              </w:rPr>
            </w:pPr>
            <w:r>
              <w:rPr>
                <w:rFonts w:ascii="Arial" w:cs="Arial" w:eastAsia="Arial" w:hAnsi="Arial"/>
                <w:sz w:val="18"/>
                <w:szCs w:val="18"/>
                <w:b w:val="1"/>
                <w:bCs w:val="1"/>
                <w:color w:val="auto"/>
              </w:rPr>
              <w:t>24,904</w:t>
            </w:r>
          </w:p>
        </w:tc>
        <w:tc>
          <w:tcPr>
            <w:tcW w:w="10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5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160" w:type="dxa"/>
            <w:vAlign w:val="bottom"/>
          </w:tcPr>
          <w:p>
            <w:pPr>
              <w:spacing w:after="0"/>
              <w:rPr>
                <w:sz w:val="6"/>
                <w:szCs w:val="6"/>
                <w:color w:val="auto"/>
              </w:rPr>
            </w:pPr>
          </w:p>
        </w:tc>
        <w:tc>
          <w:tcPr>
            <w:tcW w:w="9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139" w:lineRule="exact"/>
        <w:rPr>
          <w:sz w:val="20"/>
          <w:szCs w:val="20"/>
          <w:color w:val="auto"/>
        </w:rPr>
      </w:pPr>
    </w:p>
    <w:p>
      <w:pPr>
        <w:jc w:val="both"/>
        <w:ind w:right="20"/>
        <w:spacing w:after="0" w:line="248" w:lineRule="auto"/>
        <w:rPr>
          <w:sz w:val="20"/>
          <w:szCs w:val="20"/>
          <w:color w:val="auto"/>
        </w:rPr>
      </w:pPr>
      <w:r>
        <w:rPr>
          <w:rFonts w:ascii="Arial" w:cs="Arial" w:eastAsia="Arial" w:hAnsi="Arial"/>
          <w:sz w:val="18"/>
          <w:szCs w:val="18"/>
          <w:color w:val="auto"/>
        </w:rPr>
        <w:t>Revenue allocated to remaining performance obligations represent contracted revenue that has not yet been recognized (“contracted not recognized”), which includes unearned revenue and amounts that will be invoiced and recognized as revenue in future periods. Contracted not recognized revenue was $59 billion as of September 30, 2017, of which we expect to recognize approximately 60% of the revenue over the next 12 months and the remainder thereafter.</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u w:val="single" w:color="auto"/>
          <w:color w:val="auto"/>
        </w:rPr>
        <w:t>NOTE 15 — LEASES</w:t>
      </w:r>
    </w:p>
    <w:p>
      <w:pPr>
        <w:spacing w:after="0" w:line="158" w:lineRule="exact"/>
        <w:rPr>
          <w:sz w:val="20"/>
          <w:szCs w:val="20"/>
          <w:color w:val="auto"/>
        </w:rPr>
      </w:pPr>
    </w:p>
    <w:p>
      <w:pPr>
        <w:jc w:val="both"/>
        <w:ind w:right="20"/>
        <w:spacing w:after="0" w:line="245" w:lineRule="auto"/>
        <w:rPr>
          <w:sz w:val="20"/>
          <w:szCs w:val="20"/>
          <w:color w:val="auto"/>
        </w:rPr>
      </w:pPr>
      <w:r>
        <w:rPr>
          <w:rFonts w:ascii="Arial" w:cs="Arial" w:eastAsia="Arial" w:hAnsi="Arial"/>
          <w:sz w:val="18"/>
          <w:szCs w:val="18"/>
          <w:color w:val="auto"/>
        </w:rPr>
        <w:t>We have operating and finance leases for datacenters, corporate offices, research and development facilities, retail stores, and certain equipment. Our leases have remaining lease terms of 1 year to 20 years, some of which may include options to extend the leases for up to 5 years, and some of which may include options to terminate the leases within 1 year. As of September 30, 2017 and June 30, 2017, assets recorded under finance leases were $3.4 billion and $2.7 billion, respectively, and accumulated depreciation associated with finance leases was $209 million and $161 million, respectively.</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lease expense were as follows:</w:t>
      </w:r>
    </w:p>
    <w:p>
      <w:pPr>
        <w:spacing w:after="0" w:line="18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46990</wp:posOffset>
            </wp:positionV>
            <wp:extent cx="7186295"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86295" cy="8890"/>
                    </a:xfrm>
                    <a:prstGeom prst="rect">
                      <a:avLst/>
                    </a:prstGeom>
                    <a:noFill/>
                  </pic:spPr>
                </pic:pic>
              </a:graphicData>
            </a:graphic>
          </wp:anchor>
        </w:drawing>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300" w:type="dxa"/>
            <w:vAlign w:val="bottom"/>
            <w:gridSpan w:val="2"/>
          </w:tcPr>
          <w:p>
            <w:pPr>
              <w:spacing w:after="0"/>
              <w:rPr>
                <w:sz w:val="20"/>
                <w:szCs w:val="20"/>
                <w:color w:val="auto"/>
              </w:rPr>
            </w:pPr>
            <w:r>
              <w:rPr>
                <w:rFonts w:ascii="Arial" w:cs="Arial" w:eastAsia="Arial" w:hAnsi="Arial"/>
                <w:sz w:val="14"/>
                <w:szCs w:val="14"/>
                <w:b w:val="1"/>
                <w:bCs w:val="1"/>
                <w:color w:val="auto"/>
              </w:rPr>
              <w:t>Three Months Ended September 30,</w:t>
            </w:r>
          </w:p>
        </w:tc>
        <w:tc>
          <w:tcPr>
            <w:tcW w:w="45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 w:type="dxa"/>
            <w:vAlign w:val="bottom"/>
            <w:vMerge w:val="restart"/>
          </w:tcPr>
          <w:p>
            <w:pPr>
              <w:spacing w:after="0"/>
              <w:rPr>
                <w:sz w:val="3"/>
                <w:szCs w:val="3"/>
                <w:color w:val="auto"/>
              </w:rPr>
            </w:pPr>
          </w:p>
        </w:tc>
        <w:tc>
          <w:tcPr>
            <w:tcW w:w="4280" w:type="dxa"/>
            <w:vAlign w:val="bottom"/>
          </w:tcPr>
          <w:p>
            <w:pPr>
              <w:spacing w:after="0"/>
              <w:rPr>
                <w:sz w:val="3"/>
                <w:szCs w:val="3"/>
                <w:color w:val="auto"/>
              </w:rPr>
            </w:pPr>
          </w:p>
        </w:tc>
        <w:tc>
          <w:tcPr>
            <w:tcW w:w="4520" w:type="dxa"/>
            <w:vAlign w:val="bottom"/>
          </w:tcPr>
          <w:p>
            <w:pPr>
              <w:spacing w:after="0"/>
              <w:rPr>
                <w:sz w:val="3"/>
                <w:szCs w:val="3"/>
                <w:color w:val="auto"/>
              </w:rPr>
            </w:pPr>
          </w:p>
        </w:tc>
        <w:tc>
          <w:tcPr>
            <w:tcW w:w="4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28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Operating lease cost</w:t>
            </w:r>
          </w:p>
        </w:tc>
        <w:tc>
          <w:tcPr>
            <w:tcW w:w="5000" w:type="dxa"/>
            <w:vAlign w:val="bottom"/>
            <w:gridSpan w:val="2"/>
            <w:shd w:val="clear" w:color="auto" w:fill="E5E5E5"/>
          </w:tcPr>
          <w:p>
            <w:pPr>
              <w:jc w:val="right"/>
              <w:ind w:right="380"/>
              <w:spacing w:after="0" w:line="202" w:lineRule="exact"/>
              <w:rPr>
                <w:sz w:val="20"/>
                <w:szCs w:val="20"/>
                <w:color w:val="auto"/>
              </w:rPr>
            </w:pPr>
            <w:r>
              <w:rPr>
                <w:rFonts w:ascii="Arial" w:cs="Arial" w:eastAsia="Arial" w:hAnsi="Arial"/>
                <w:sz w:val="18"/>
                <w:szCs w:val="18"/>
                <w:b w:val="1"/>
                <w:bCs w:val="1"/>
                <w:color w:val="auto"/>
              </w:rPr>
              <w:t>$</w:t>
            </w:r>
          </w:p>
        </w:tc>
        <w:tc>
          <w:tcPr>
            <w:tcW w:w="76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b w:val="1"/>
                <w:bCs w:val="1"/>
                <w:color w:val="auto"/>
              </w:rPr>
              <w:t>388</w:t>
            </w:r>
          </w:p>
        </w:tc>
        <w:tc>
          <w:tcPr>
            <w:tcW w:w="600" w:type="dxa"/>
            <w:vAlign w:val="bottom"/>
            <w:gridSpan w:val="2"/>
            <w:shd w:val="clear" w:color="auto" w:fill="E5E5E5"/>
          </w:tcPr>
          <w:p>
            <w:pPr>
              <w:jc w:val="right"/>
              <w:ind w:right="380"/>
              <w:spacing w:after="0" w:line="202" w:lineRule="exact"/>
              <w:rPr>
                <w:sz w:val="20"/>
                <w:szCs w:val="20"/>
                <w:color w:val="auto"/>
              </w:rPr>
            </w:pPr>
            <w:r>
              <w:rPr>
                <w:rFonts w:ascii="Arial" w:cs="Arial" w:eastAsia="Arial" w:hAnsi="Arial"/>
                <w:sz w:val="18"/>
                <w:szCs w:val="18"/>
                <w:color w:val="auto"/>
              </w:rPr>
              <w:t>$</w:t>
            </w:r>
          </w:p>
        </w:tc>
        <w:tc>
          <w:tcPr>
            <w:tcW w:w="66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260</w:t>
            </w:r>
          </w:p>
        </w:tc>
        <w:tc>
          <w:tcPr>
            <w:tcW w:w="100" w:type="dxa"/>
            <w:vAlign w:val="bottom"/>
            <w:shd w:val="clear" w:color="auto" w:fill="E5E5E5"/>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5"/>
        </w:trPr>
        <w:tc>
          <w:tcPr>
            <w:tcW w:w="4300" w:type="dxa"/>
            <w:vAlign w:val="bottom"/>
            <w:gridSpan w:val="2"/>
            <w:vMerge w:val="restart"/>
          </w:tcPr>
          <w:p>
            <w:pPr>
              <w:spacing w:after="0"/>
              <w:rPr>
                <w:sz w:val="20"/>
                <w:szCs w:val="20"/>
                <w:color w:val="auto"/>
              </w:rPr>
            </w:pPr>
            <w:r>
              <w:rPr>
                <w:rFonts w:ascii="Arial" w:cs="Arial" w:eastAsia="Arial" w:hAnsi="Arial"/>
                <w:sz w:val="18"/>
                <w:szCs w:val="18"/>
                <w:color w:val="auto"/>
              </w:rPr>
              <w:t>Finance lease cost</w:t>
            </w:r>
          </w:p>
        </w:tc>
        <w:tc>
          <w:tcPr>
            <w:tcW w:w="4520" w:type="dxa"/>
            <w:vAlign w:val="bottom"/>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88"/>
        </w:trPr>
        <w:tc>
          <w:tcPr>
            <w:tcW w:w="4300" w:type="dxa"/>
            <w:vAlign w:val="bottom"/>
            <w:gridSpan w:val="2"/>
            <w:vMerge w:val="continue"/>
          </w:tcPr>
          <w:p>
            <w:pPr>
              <w:spacing w:after="0"/>
              <w:rPr>
                <w:sz w:val="24"/>
                <w:szCs w:val="24"/>
                <w:color w:val="auto"/>
              </w:rPr>
            </w:pPr>
          </w:p>
        </w:tc>
        <w:tc>
          <w:tcPr>
            <w:tcW w:w="45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4280" w:type="dxa"/>
            <w:vAlign w:val="bottom"/>
          </w:tcPr>
          <w:p>
            <w:pPr>
              <w:spacing w:after="0"/>
              <w:rPr>
                <w:sz w:val="2"/>
                <w:szCs w:val="2"/>
                <w:color w:val="auto"/>
              </w:rPr>
            </w:pPr>
          </w:p>
        </w:tc>
        <w:tc>
          <w:tcPr>
            <w:tcW w:w="4520" w:type="dxa"/>
            <w:vAlign w:val="bottom"/>
          </w:tcPr>
          <w:p>
            <w:pPr>
              <w:spacing w:after="0"/>
              <w:rPr>
                <w:sz w:val="2"/>
                <w:szCs w:val="2"/>
                <w:color w:val="auto"/>
              </w:rPr>
            </w:pPr>
          </w:p>
        </w:tc>
        <w:tc>
          <w:tcPr>
            <w:tcW w:w="4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280" w:type="dxa"/>
            <w:vAlign w:val="bottom"/>
            <w:shd w:val="clear" w:color="auto" w:fill="E5E5E5"/>
          </w:tcPr>
          <w:p>
            <w:pPr>
              <w:ind w:left="240"/>
              <w:spacing w:after="0" w:line="202" w:lineRule="exact"/>
              <w:rPr>
                <w:sz w:val="20"/>
                <w:szCs w:val="20"/>
                <w:color w:val="auto"/>
              </w:rPr>
            </w:pPr>
            <w:r>
              <w:rPr>
                <w:rFonts w:ascii="Arial" w:cs="Arial" w:eastAsia="Arial" w:hAnsi="Arial"/>
                <w:sz w:val="18"/>
                <w:szCs w:val="18"/>
                <w:color w:val="auto"/>
              </w:rPr>
              <w:t>Amortization of right-of-use assets</w:t>
            </w:r>
          </w:p>
        </w:tc>
        <w:tc>
          <w:tcPr>
            <w:tcW w:w="5000" w:type="dxa"/>
            <w:vAlign w:val="bottom"/>
            <w:gridSpan w:val="2"/>
            <w:shd w:val="clear" w:color="auto" w:fill="E5E5E5"/>
          </w:tcPr>
          <w:p>
            <w:pPr>
              <w:jc w:val="right"/>
              <w:ind w:right="380"/>
              <w:spacing w:after="0" w:line="202" w:lineRule="exact"/>
              <w:rPr>
                <w:sz w:val="20"/>
                <w:szCs w:val="20"/>
                <w:color w:val="auto"/>
              </w:rPr>
            </w:pPr>
            <w:r>
              <w:rPr>
                <w:rFonts w:ascii="Arial" w:cs="Arial" w:eastAsia="Arial" w:hAnsi="Arial"/>
                <w:sz w:val="18"/>
                <w:szCs w:val="18"/>
                <w:b w:val="1"/>
                <w:bCs w:val="1"/>
                <w:color w:val="auto"/>
              </w:rPr>
              <w:t>$</w:t>
            </w:r>
          </w:p>
        </w:tc>
        <w:tc>
          <w:tcPr>
            <w:tcW w:w="76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b w:val="1"/>
                <w:bCs w:val="1"/>
                <w:color w:val="auto"/>
              </w:rPr>
              <w:t>48</w:t>
            </w:r>
          </w:p>
        </w:tc>
        <w:tc>
          <w:tcPr>
            <w:tcW w:w="600" w:type="dxa"/>
            <w:vAlign w:val="bottom"/>
            <w:gridSpan w:val="2"/>
            <w:shd w:val="clear" w:color="auto" w:fill="E5E5E5"/>
          </w:tcPr>
          <w:p>
            <w:pPr>
              <w:jc w:val="right"/>
              <w:ind w:right="380"/>
              <w:spacing w:after="0" w:line="202" w:lineRule="exact"/>
              <w:rPr>
                <w:sz w:val="20"/>
                <w:szCs w:val="20"/>
                <w:color w:val="auto"/>
              </w:rPr>
            </w:pPr>
            <w:r>
              <w:rPr>
                <w:rFonts w:ascii="Arial" w:cs="Arial" w:eastAsia="Arial" w:hAnsi="Arial"/>
                <w:sz w:val="18"/>
                <w:szCs w:val="18"/>
                <w:color w:val="auto"/>
              </w:rPr>
              <w:t>$</w:t>
            </w:r>
          </w:p>
        </w:tc>
        <w:tc>
          <w:tcPr>
            <w:tcW w:w="76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15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4280" w:type="dxa"/>
            <w:vAlign w:val="bottom"/>
          </w:tcPr>
          <w:p>
            <w:pPr>
              <w:ind w:left="240"/>
              <w:spacing w:after="0"/>
              <w:rPr>
                <w:sz w:val="20"/>
                <w:szCs w:val="20"/>
                <w:color w:val="auto"/>
              </w:rPr>
            </w:pPr>
            <w:r>
              <w:rPr>
                <w:rFonts w:ascii="Arial" w:cs="Arial" w:eastAsia="Arial" w:hAnsi="Arial"/>
                <w:sz w:val="18"/>
                <w:szCs w:val="18"/>
                <w:color w:val="auto"/>
              </w:rPr>
              <w:t>Interest on lease liabilities</w:t>
            </w:r>
          </w:p>
        </w:tc>
        <w:tc>
          <w:tcPr>
            <w:tcW w:w="45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30</w:t>
            </w: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4280" w:type="dxa"/>
            <w:vAlign w:val="bottom"/>
            <w:tcBorders>
              <w:top w:val="single" w:sz="8" w:color="auto"/>
            </w:tcBorders>
          </w:tcPr>
          <w:p>
            <w:pPr>
              <w:spacing w:after="0"/>
              <w:rPr>
                <w:sz w:val="5"/>
                <w:szCs w:val="5"/>
                <w:color w:val="auto"/>
              </w:rPr>
            </w:pPr>
          </w:p>
        </w:tc>
        <w:tc>
          <w:tcPr>
            <w:tcW w:w="4520" w:type="dxa"/>
            <w:vAlign w:val="bottom"/>
            <w:tcBorders>
              <w:top w:val="single" w:sz="8" w:color="auto"/>
            </w:tcBorders>
          </w:tcPr>
          <w:p>
            <w:pPr>
              <w:spacing w:after="0"/>
              <w:rPr>
                <w:sz w:val="5"/>
                <w:szCs w:val="5"/>
                <w:color w:val="auto"/>
              </w:rPr>
            </w:pPr>
          </w:p>
        </w:tc>
        <w:tc>
          <w:tcPr>
            <w:tcW w:w="480" w:type="dxa"/>
            <w:vAlign w:val="bottom"/>
            <w:tcBorders>
              <w:top w:val="single" w:sz="8" w:color="auto"/>
            </w:tcBorders>
          </w:tcPr>
          <w:p>
            <w:pPr>
              <w:spacing w:after="0"/>
              <w:rPr>
                <w:sz w:val="5"/>
                <w:szCs w:val="5"/>
                <w:color w:val="auto"/>
              </w:rPr>
            </w:pPr>
          </w:p>
        </w:tc>
        <w:tc>
          <w:tcPr>
            <w:tcW w:w="66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480" w:type="dxa"/>
            <w:vAlign w:val="bottom"/>
            <w:tcBorders>
              <w:top w:val="single" w:sz="8" w:color="auto"/>
            </w:tcBorders>
          </w:tcPr>
          <w:p>
            <w:pPr>
              <w:spacing w:after="0"/>
              <w:rPr>
                <w:sz w:val="5"/>
                <w:szCs w:val="5"/>
                <w:color w:val="auto"/>
              </w:rPr>
            </w:pPr>
          </w:p>
        </w:tc>
        <w:tc>
          <w:tcPr>
            <w:tcW w:w="66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28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Total finance lease cost</w:t>
            </w:r>
          </w:p>
        </w:tc>
        <w:tc>
          <w:tcPr>
            <w:tcW w:w="5000" w:type="dxa"/>
            <w:vAlign w:val="bottom"/>
            <w:gridSpan w:val="2"/>
            <w:shd w:val="clear" w:color="auto" w:fill="E5E5E5"/>
          </w:tcPr>
          <w:p>
            <w:pPr>
              <w:jc w:val="right"/>
              <w:ind w:right="380"/>
              <w:spacing w:after="0" w:line="202" w:lineRule="exact"/>
              <w:rPr>
                <w:sz w:val="20"/>
                <w:szCs w:val="20"/>
                <w:color w:val="auto"/>
              </w:rPr>
            </w:pPr>
            <w:r>
              <w:rPr>
                <w:rFonts w:ascii="Arial" w:cs="Arial" w:eastAsia="Arial" w:hAnsi="Arial"/>
                <w:sz w:val="18"/>
                <w:szCs w:val="18"/>
                <w:b w:val="1"/>
                <w:bCs w:val="1"/>
                <w:color w:val="auto"/>
              </w:rPr>
              <w:t>$</w:t>
            </w:r>
          </w:p>
        </w:tc>
        <w:tc>
          <w:tcPr>
            <w:tcW w:w="76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b w:val="1"/>
                <w:bCs w:val="1"/>
                <w:color w:val="auto"/>
              </w:rPr>
              <w:t>78</w:t>
            </w:r>
          </w:p>
        </w:tc>
        <w:tc>
          <w:tcPr>
            <w:tcW w:w="600" w:type="dxa"/>
            <w:vAlign w:val="bottom"/>
            <w:gridSpan w:val="2"/>
            <w:shd w:val="clear" w:color="auto" w:fill="E5E5E5"/>
          </w:tcPr>
          <w:p>
            <w:pPr>
              <w:jc w:val="right"/>
              <w:ind w:right="380"/>
              <w:spacing w:after="0" w:line="202" w:lineRule="exact"/>
              <w:rPr>
                <w:sz w:val="20"/>
                <w:szCs w:val="20"/>
                <w:color w:val="auto"/>
              </w:rPr>
            </w:pPr>
            <w:r>
              <w:rPr>
                <w:rFonts w:ascii="Arial" w:cs="Arial" w:eastAsia="Arial" w:hAnsi="Arial"/>
                <w:sz w:val="18"/>
                <w:szCs w:val="18"/>
                <w:color w:val="auto"/>
              </w:rPr>
              <w:t>$</w:t>
            </w:r>
          </w:p>
        </w:tc>
        <w:tc>
          <w:tcPr>
            <w:tcW w:w="76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27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4280" w:type="dxa"/>
            <w:vAlign w:val="bottom"/>
          </w:tcPr>
          <w:p>
            <w:pPr>
              <w:spacing w:after="0"/>
              <w:rPr>
                <w:sz w:val="6"/>
                <w:szCs w:val="6"/>
                <w:color w:val="auto"/>
              </w:rPr>
            </w:pPr>
          </w:p>
        </w:tc>
        <w:tc>
          <w:tcPr>
            <w:tcW w:w="4520" w:type="dxa"/>
            <w:vAlign w:val="bottom"/>
            <w:vMerge w:val="restart"/>
          </w:tcPr>
          <w:p>
            <w:pPr>
              <w:jc w:val="right"/>
              <w:ind w:right="2934"/>
              <w:spacing w:after="0"/>
              <w:rPr>
                <w:sz w:val="20"/>
                <w:szCs w:val="20"/>
                <w:color w:val="auto"/>
              </w:rPr>
            </w:pPr>
            <w:r>
              <w:rPr>
                <w:rFonts w:ascii="Arial" w:cs="Arial" w:eastAsia="Arial" w:hAnsi="Arial"/>
                <w:sz w:val="14"/>
                <w:szCs w:val="14"/>
                <w:color w:val="auto"/>
              </w:rPr>
              <w:t>29</w:t>
            </w:r>
          </w:p>
        </w:tc>
        <w:tc>
          <w:tcPr>
            <w:tcW w:w="48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97"/>
        </w:trPr>
        <w:tc>
          <w:tcPr>
            <w:tcW w:w="2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4520" w:type="dxa"/>
            <w:vAlign w:val="bottom"/>
            <w:vMerge w:val="continue"/>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4280" w:type="dxa"/>
            <w:vAlign w:val="bottom"/>
            <w:tcBorders>
              <w:bottom w:val="single" w:sz="8" w:color="9A9A9A"/>
            </w:tcBorders>
          </w:tcPr>
          <w:p>
            <w:pPr>
              <w:spacing w:after="0"/>
              <w:rPr>
                <w:sz w:val="8"/>
                <w:szCs w:val="8"/>
                <w:color w:val="auto"/>
              </w:rPr>
            </w:pPr>
          </w:p>
        </w:tc>
        <w:tc>
          <w:tcPr>
            <w:tcW w:w="4520" w:type="dxa"/>
            <w:vAlign w:val="bottom"/>
            <w:tcBorders>
              <w:bottom w:val="single" w:sz="8" w:color="9A9A9A"/>
            </w:tcBorders>
          </w:tcPr>
          <w:p>
            <w:pPr>
              <w:spacing w:after="0"/>
              <w:rPr>
                <w:sz w:val="8"/>
                <w:szCs w:val="8"/>
                <w:color w:val="auto"/>
              </w:rPr>
            </w:pPr>
          </w:p>
        </w:tc>
        <w:tc>
          <w:tcPr>
            <w:tcW w:w="480" w:type="dxa"/>
            <w:vAlign w:val="bottom"/>
            <w:tcBorders>
              <w:bottom w:val="single" w:sz="8" w:color="9A9A9A"/>
            </w:tcBorders>
          </w:tcPr>
          <w:p>
            <w:pPr>
              <w:spacing w:after="0"/>
              <w:rPr>
                <w:sz w:val="8"/>
                <w:szCs w:val="8"/>
                <w:color w:val="auto"/>
              </w:rPr>
            </w:pPr>
          </w:p>
        </w:tc>
        <w:tc>
          <w:tcPr>
            <w:tcW w:w="6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480" w:type="dxa"/>
            <w:vAlign w:val="bottom"/>
            <w:tcBorders>
              <w:bottom w:val="single" w:sz="8" w:color="9A9A9A"/>
            </w:tcBorders>
          </w:tcPr>
          <w:p>
            <w:pPr>
              <w:spacing w:after="0"/>
              <w:rPr>
                <w:sz w:val="8"/>
                <w:szCs w:val="8"/>
                <w:color w:val="auto"/>
              </w:rPr>
            </w:pPr>
          </w:p>
        </w:tc>
        <w:tc>
          <w:tcPr>
            <w:tcW w:w="6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29" w:name="page30"/>
    <w:bookmarkEnd w:id="29"/>
    <w:p>
      <w:pPr>
        <w:ind w:left="5500"/>
        <w:spacing w:after="0"/>
        <w:rPr>
          <w:sz w:val="20"/>
          <w:szCs w:val="20"/>
          <w:color w:val="auto"/>
        </w:rPr>
      </w:pPr>
      <w:r>
        <w:rPr>
          <w:rFonts w:ascii="Arial" w:cs="Arial" w:eastAsia="Arial" w:hAnsi="Arial"/>
          <w:sz w:val="14"/>
          <w:szCs w:val="14"/>
          <w:u w:val="single" w:color="auto"/>
          <w:color w:val="auto"/>
        </w:rPr>
        <w:t>PART I</w:t>
      </w:r>
    </w:p>
    <w:p>
      <w:pPr>
        <w:spacing w:after="0" w:line="5" w:lineRule="exact"/>
        <w:rPr>
          <w:sz w:val="20"/>
          <w:szCs w:val="20"/>
          <w:color w:val="auto"/>
        </w:rPr>
      </w:pPr>
    </w:p>
    <w:p>
      <w:pPr>
        <w:ind w:left="5520"/>
        <w:spacing w:after="0"/>
        <w:rPr>
          <w:sz w:val="20"/>
          <w:szCs w:val="20"/>
          <w:color w:val="auto"/>
        </w:rPr>
      </w:pPr>
      <w:r>
        <w:rPr>
          <w:rFonts w:ascii="Arial" w:cs="Arial" w:eastAsia="Arial" w:hAnsi="Arial"/>
          <w:sz w:val="14"/>
          <w:szCs w:val="14"/>
          <w:color w:val="auto"/>
        </w:rPr>
        <w:t>Item 1</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Other information related to leases was as follows:</w:t>
      </w:r>
    </w:p>
    <w:p>
      <w:pPr>
        <w:spacing w:after="0" w:line="20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 millions, except lease term and discount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46990</wp:posOffset>
            </wp:positionV>
            <wp:extent cx="714375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43750" cy="8890"/>
                    </a:xfrm>
                    <a:prstGeom prst="rect">
                      <a:avLst/>
                    </a:prstGeom>
                    <a:noFill/>
                  </pic:spPr>
                </pic:pic>
              </a:graphicData>
            </a:graphic>
          </wp:anchor>
        </w:drawing>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600" w:type="dxa"/>
            <w:vAlign w:val="bottom"/>
            <w:gridSpan w:val="2"/>
          </w:tcPr>
          <w:p>
            <w:pPr>
              <w:spacing w:after="0"/>
              <w:rPr>
                <w:sz w:val="20"/>
                <w:szCs w:val="20"/>
                <w:color w:val="auto"/>
              </w:rPr>
            </w:pPr>
            <w:r>
              <w:rPr>
                <w:rFonts w:ascii="Arial" w:cs="Arial" w:eastAsia="Arial" w:hAnsi="Arial"/>
                <w:sz w:val="14"/>
                <w:szCs w:val="14"/>
                <w:b w:val="1"/>
                <w:bCs w:val="1"/>
                <w:color w:val="auto"/>
              </w:rPr>
              <w:t>Three Months Ended September 30,</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right"/>
              <w:ind w:right="13"/>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600" w:type="dxa"/>
            <w:vAlign w:val="bottom"/>
            <w:gridSpan w:val="2"/>
          </w:tcPr>
          <w:p>
            <w:pPr>
              <w:spacing w:after="0"/>
              <w:rPr>
                <w:sz w:val="20"/>
                <w:szCs w:val="20"/>
                <w:color w:val="auto"/>
              </w:rPr>
            </w:pPr>
            <w:r>
              <w:rPr>
                <w:rFonts w:ascii="Arial" w:cs="Arial" w:eastAsia="Arial" w:hAnsi="Arial"/>
                <w:sz w:val="14"/>
                <w:szCs w:val="14"/>
                <w:b w:val="1"/>
                <w:bCs w:val="1"/>
                <w:color w:val="auto"/>
              </w:rPr>
              <w:t>Supplemental Cash Flows Information</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
        </w:trPr>
        <w:tc>
          <w:tcPr>
            <w:tcW w:w="20" w:type="dxa"/>
            <w:vAlign w:val="bottom"/>
            <w:vMerge w:val="restart"/>
          </w:tcPr>
          <w:p>
            <w:pPr>
              <w:spacing w:after="0"/>
              <w:rPr>
                <w:sz w:val="3"/>
                <w:szCs w:val="3"/>
                <w:color w:val="auto"/>
              </w:rPr>
            </w:pPr>
          </w:p>
        </w:tc>
        <w:tc>
          <w:tcPr>
            <w:tcW w:w="8580" w:type="dxa"/>
            <w:vAlign w:val="bottom"/>
          </w:tcPr>
          <w:p>
            <w:pPr>
              <w:spacing w:after="0"/>
              <w:rPr>
                <w:sz w:val="3"/>
                <w:szCs w:val="3"/>
                <w:color w:val="auto"/>
              </w:rPr>
            </w:pPr>
          </w:p>
        </w:tc>
        <w:tc>
          <w:tcPr>
            <w:tcW w:w="220" w:type="dxa"/>
            <w:vAlign w:val="bottom"/>
          </w:tcPr>
          <w:p>
            <w:pPr>
              <w:spacing w:after="0"/>
              <w:rPr>
                <w:sz w:val="3"/>
                <w:szCs w:val="3"/>
                <w:color w:val="auto"/>
              </w:rPr>
            </w:pPr>
          </w:p>
        </w:tc>
        <w:tc>
          <w:tcPr>
            <w:tcW w:w="2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98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8580" w:type="dxa"/>
            <w:vAlign w:val="bottom"/>
            <w:shd w:val="clear" w:color="auto" w:fill="E5E5E5"/>
          </w:tcPr>
          <w:p>
            <w:pPr>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220" w:type="dxa"/>
            <w:vAlign w:val="bottom"/>
            <w:shd w:val="clear" w:color="auto" w:fill="E5E5E5"/>
          </w:tcPr>
          <w:p>
            <w:pPr>
              <w:spacing w:after="0"/>
              <w:rPr>
                <w:sz w:val="21"/>
                <w:szCs w:val="21"/>
                <w:color w:val="auto"/>
              </w:rPr>
            </w:pPr>
          </w:p>
        </w:tc>
        <w:tc>
          <w:tcPr>
            <w:tcW w:w="200" w:type="dxa"/>
            <w:vAlign w:val="bottom"/>
            <w:shd w:val="clear" w:color="auto" w:fill="E5E5E5"/>
          </w:tcPr>
          <w:p>
            <w:pPr>
              <w:spacing w:after="0"/>
              <w:rPr>
                <w:sz w:val="21"/>
                <w:szCs w:val="21"/>
                <w:color w:val="auto"/>
              </w:rPr>
            </w:pPr>
          </w:p>
        </w:tc>
        <w:tc>
          <w:tcPr>
            <w:tcW w:w="940" w:type="dxa"/>
            <w:vAlign w:val="bottom"/>
            <w:shd w:val="clear" w:color="auto" w:fill="E5E5E5"/>
          </w:tcPr>
          <w:p>
            <w:pPr>
              <w:spacing w:after="0"/>
              <w:rPr>
                <w:sz w:val="21"/>
                <w:szCs w:val="21"/>
                <w:color w:val="auto"/>
              </w:rPr>
            </w:pPr>
          </w:p>
        </w:tc>
        <w:tc>
          <w:tcPr>
            <w:tcW w:w="100" w:type="dxa"/>
            <w:vAlign w:val="bottom"/>
            <w:shd w:val="clear" w:color="auto" w:fill="E5E5E5"/>
          </w:tcPr>
          <w:p>
            <w:pPr>
              <w:spacing w:after="0"/>
              <w:rPr>
                <w:sz w:val="21"/>
                <w:szCs w:val="21"/>
                <w:color w:val="auto"/>
              </w:rPr>
            </w:pPr>
          </w:p>
        </w:tc>
        <w:tc>
          <w:tcPr>
            <w:tcW w:w="120" w:type="dxa"/>
            <w:vAlign w:val="bottom"/>
            <w:shd w:val="clear" w:color="auto" w:fill="E5E5E5"/>
          </w:tcPr>
          <w:p>
            <w:pPr>
              <w:spacing w:after="0"/>
              <w:rPr>
                <w:sz w:val="21"/>
                <w:szCs w:val="21"/>
                <w:color w:val="auto"/>
              </w:rPr>
            </w:pPr>
          </w:p>
        </w:tc>
        <w:tc>
          <w:tcPr>
            <w:tcW w:w="20" w:type="dxa"/>
            <w:vAlign w:val="bottom"/>
            <w:shd w:val="clear" w:color="auto" w:fill="E5E5E5"/>
          </w:tcPr>
          <w:p>
            <w:pPr>
              <w:spacing w:after="0"/>
              <w:rPr>
                <w:sz w:val="21"/>
                <w:szCs w:val="21"/>
                <w:color w:val="auto"/>
              </w:rPr>
            </w:pPr>
          </w:p>
        </w:tc>
        <w:tc>
          <w:tcPr>
            <w:tcW w:w="80" w:type="dxa"/>
            <w:vAlign w:val="bottom"/>
            <w:shd w:val="clear" w:color="auto" w:fill="E5E5E5"/>
          </w:tcPr>
          <w:p>
            <w:pPr>
              <w:spacing w:after="0"/>
              <w:rPr>
                <w:sz w:val="21"/>
                <w:szCs w:val="21"/>
                <w:color w:val="auto"/>
              </w:rPr>
            </w:pPr>
          </w:p>
        </w:tc>
        <w:tc>
          <w:tcPr>
            <w:tcW w:w="980" w:type="dxa"/>
            <w:vAlign w:val="bottom"/>
            <w:shd w:val="clear" w:color="auto" w:fill="E5E5E5"/>
          </w:tcPr>
          <w:p>
            <w:pPr>
              <w:spacing w:after="0"/>
              <w:rPr>
                <w:sz w:val="21"/>
                <w:szCs w:val="21"/>
                <w:color w:val="auto"/>
              </w:rPr>
            </w:pPr>
          </w:p>
        </w:tc>
        <w:tc>
          <w:tcPr>
            <w:tcW w:w="60" w:type="dxa"/>
            <w:vAlign w:val="bottom"/>
            <w:shd w:val="clear" w:color="auto" w:fill="E5E5E5"/>
          </w:tcPr>
          <w:p>
            <w:pPr>
              <w:spacing w:after="0"/>
              <w:rPr>
                <w:sz w:val="21"/>
                <w:szCs w:val="21"/>
                <w:color w:val="auto"/>
              </w:rPr>
            </w:pPr>
          </w:p>
        </w:tc>
        <w:tc>
          <w:tcPr>
            <w:tcW w:w="100" w:type="dxa"/>
            <w:vAlign w:val="bottom"/>
            <w:shd w:val="clear" w:color="auto" w:fill="E5E5E5"/>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580" w:type="dxa"/>
            <w:vAlign w:val="bottom"/>
          </w:tcPr>
          <w:p>
            <w:pPr>
              <w:ind w:left="240"/>
              <w:spacing w:after="0"/>
              <w:rPr>
                <w:sz w:val="20"/>
                <w:szCs w:val="20"/>
                <w:color w:val="auto"/>
              </w:rPr>
            </w:pPr>
            <w:r>
              <w:rPr>
                <w:rFonts w:ascii="Arial" w:cs="Arial" w:eastAsia="Arial" w:hAnsi="Arial"/>
                <w:sz w:val="18"/>
                <w:szCs w:val="18"/>
                <w:color w:val="auto"/>
              </w:rPr>
              <w:t>Operating cash flows from operating leases</w:t>
            </w:r>
          </w:p>
        </w:tc>
        <w:tc>
          <w:tcPr>
            <w:tcW w:w="2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21"/>
                <w:szCs w:val="21"/>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b w:val="1"/>
                <w:bCs w:val="1"/>
                <w:color w:val="auto"/>
              </w:rPr>
              <w:t>369</w:t>
            </w:r>
          </w:p>
        </w:tc>
        <w:tc>
          <w:tcPr>
            <w:tcW w:w="100" w:type="dxa"/>
            <w:vAlign w:val="bottom"/>
          </w:tcPr>
          <w:p>
            <w:pPr>
              <w:spacing w:after="0"/>
              <w:rPr>
                <w:sz w:val="21"/>
                <w:szCs w:val="21"/>
                <w:color w:val="auto"/>
              </w:rPr>
            </w:pPr>
          </w:p>
        </w:tc>
        <w:tc>
          <w:tcPr>
            <w:tcW w:w="22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267</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580" w:type="dxa"/>
            <w:vAlign w:val="bottom"/>
            <w:shd w:val="clear" w:color="auto" w:fill="E5E5E5"/>
          </w:tcPr>
          <w:p>
            <w:pPr>
              <w:ind w:left="240"/>
              <w:spacing w:after="0"/>
              <w:rPr>
                <w:sz w:val="20"/>
                <w:szCs w:val="20"/>
                <w:color w:val="auto"/>
              </w:rPr>
            </w:pPr>
            <w:r>
              <w:rPr>
                <w:rFonts w:ascii="Arial" w:cs="Arial" w:eastAsia="Arial" w:hAnsi="Arial"/>
                <w:sz w:val="18"/>
                <w:szCs w:val="18"/>
                <w:color w:val="auto"/>
              </w:rPr>
              <w:t>Operating cash flows from finance leases</w:t>
            </w:r>
          </w:p>
        </w:tc>
        <w:tc>
          <w:tcPr>
            <w:tcW w:w="220" w:type="dxa"/>
            <w:vAlign w:val="bottom"/>
            <w:shd w:val="clear" w:color="auto" w:fill="E5E5E5"/>
          </w:tcPr>
          <w:p>
            <w:pPr>
              <w:spacing w:after="0"/>
              <w:rPr>
                <w:sz w:val="21"/>
                <w:szCs w:val="21"/>
                <w:color w:val="auto"/>
              </w:rPr>
            </w:pPr>
          </w:p>
        </w:tc>
        <w:tc>
          <w:tcPr>
            <w:tcW w:w="200" w:type="dxa"/>
            <w:vAlign w:val="bottom"/>
            <w:shd w:val="clear" w:color="auto" w:fill="E5E5E5"/>
          </w:tcPr>
          <w:p>
            <w:pPr>
              <w:spacing w:after="0"/>
              <w:rPr>
                <w:sz w:val="21"/>
                <w:szCs w:val="21"/>
                <w:color w:val="auto"/>
              </w:rPr>
            </w:pPr>
          </w:p>
        </w:tc>
        <w:tc>
          <w:tcPr>
            <w:tcW w:w="940" w:type="dxa"/>
            <w:vAlign w:val="bottom"/>
            <w:shd w:val="clear" w:color="auto" w:fill="E5E5E5"/>
          </w:tcPr>
          <w:p>
            <w:pPr>
              <w:jc w:val="right"/>
              <w:ind w:right="13"/>
              <w:spacing w:after="0"/>
              <w:rPr>
                <w:sz w:val="20"/>
                <w:szCs w:val="20"/>
                <w:color w:val="auto"/>
              </w:rPr>
            </w:pPr>
            <w:r>
              <w:rPr>
                <w:rFonts w:ascii="Arial" w:cs="Arial" w:eastAsia="Arial" w:hAnsi="Arial"/>
                <w:sz w:val="18"/>
                <w:szCs w:val="18"/>
                <w:b w:val="1"/>
                <w:bCs w:val="1"/>
                <w:color w:val="auto"/>
              </w:rPr>
              <w:t>30</w:t>
            </w:r>
          </w:p>
        </w:tc>
        <w:tc>
          <w:tcPr>
            <w:tcW w:w="100" w:type="dxa"/>
            <w:vAlign w:val="bottom"/>
            <w:shd w:val="clear" w:color="auto" w:fill="E5E5E5"/>
          </w:tcPr>
          <w:p>
            <w:pPr>
              <w:spacing w:after="0"/>
              <w:rPr>
                <w:sz w:val="21"/>
                <w:szCs w:val="21"/>
                <w:color w:val="auto"/>
              </w:rPr>
            </w:pPr>
          </w:p>
        </w:tc>
        <w:tc>
          <w:tcPr>
            <w:tcW w:w="120" w:type="dxa"/>
            <w:vAlign w:val="bottom"/>
            <w:shd w:val="clear" w:color="auto" w:fill="E5E5E5"/>
          </w:tcPr>
          <w:p>
            <w:pPr>
              <w:spacing w:after="0"/>
              <w:rPr>
                <w:sz w:val="21"/>
                <w:szCs w:val="21"/>
                <w:color w:val="auto"/>
              </w:rPr>
            </w:pPr>
          </w:p>
        </w:tc>
        <w:tc>
          <w:tcPr>
            <w:tcW w:w="20" w:type="dxa"/>
            <w:vAlign w:val="bottom"/>
            <w:shd w:val="clear" w:color="auto" w:fill="E5E5E5"/>
          </w:tcPr>
          <w:p>
            <w:pPr>
              <w:spacing w:after="0"/>
              <w:rPr>
                <w:sz w:val="21"/>
                <w:szCs w:val="21"/>
                <w:color w:val="auto"/>
              </w:rPr>
            </w:pPr>
          </w:p>
        </w:tc>
        <w:tc>
          <w:tcPr>
            <w:tcW w:w="80" w:type="dxa"/>
            <w:vAlign w:val="bottom"/>
            <w:shd w:val="clear" w:color="auto" w:fill="E5E5E5"/>
          </w:tcPr>
          <w:p>
            <w:pPr>
              <w:spacing w:after="0"/>
              <w:rPr>
                <w:sz w:val="21"/>
                <w:szCs w:val="21"/>
                <w:color w:val="auto"/>
              </w:rPr>
            </w:pPr>
          </w:p>
        </w:tc>
        <w:tc>
          <w:tcPr>
            <w:tcW w:w="1040" w:type="dxa"/>
            <w:vAlign w:val="bottom"/>
            <w:gridSpan w:val="2"/>
            <w:shd w:val="clear" w:color="auto" w:fill="E5E5E5"/>
          </w:tcPr>
          <w:p>
            <w:pPr>
              <w:jc w:val="right"/>
              <w:ind w:right="60"/>
              <w:spacing w:after="0"/>
              <w:rPr>
                <w:sz w:val="20"/>
                <w:szCs w:val="20"/>
                <w:color w:val="auto"/>
              </w:rPr>
            </w:pPr>
            <w:r>
              <w:rPr>
                <w:rFonts w:ascii="Arial" w:cs="Arial" w:eastAsia="Arial" w:hAnsi="Arial"/>
                <w:sz w:val="18"/>
                <w:szCs w:val="18"/>
                <w:color w:val="auto"/>
              </w:rPr>
              <w:t>12</w:t>
            </w:r>
          </w:p>
        </w:tc>
        <w:tc>
          <w:tcPr>
            <w:tcW w:w="100" w:type="dxa"/>
            <w:vAlign w:val="bottom"/>
            <w:shd w:val="clear" w:color="auto" w:fill="E5E5E5"/>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580" w:type="dxa"/>
            <w:vAlign w:val="bottom"/>
          </w:tcPr>
          <w:p>
            <w:pPr>
              <w:ind w:left="240"/>
              <w:spacing w:after="0"/>
              <w:rPr>
                <w:sz w:val="20"/>
                <w:szCs w:val="20"/>
                <w:color w:val="auto"/>
              </w:rPr>
            </w:pPr>
            <w:r>
              <w:rPr>
                <w:rFonts w:ascii="Arial" w:cs="Arial" w:eastAsia="Arial" w:hAnsi="Arial"/>
                <w:sz w:val="18"/>
                <w:szCs w:val="18"/>
                <w:color w:val="auto"/>
              </w:rPr>
              <w:t>Financing cash flows from finance leases</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b w:val="1"/>
                <w:bCs w:val="1"/>
                <w:color w:val="auto"/>
              </w:rPr>
              <w:t>25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8580" w:type="dxa"/>
            <w:vAlign w:val="bottom"/>
            <w:tcBorders>
              <w:bottom w:val="single" w:sz="8" w:color="E5E5E5"/>
            </w:tcBorders>
            <w:shd w:val="clear" w:color="auto" w:fill="E5E5E5"/>
          </w:tcPr>
          <w:p>
            <w:pPr>
              <w:spacing w:after="0"/>
              <w:rPr>
                <w:sz w:val="20"/>
                <w:szCs w:val="20"/>
                <w:color w:val="auto"/>
              </w:rPr>
            </w:pPr>
            <w:r>
              <w:rPr>
                <w:rFonts w:ascii="Arial" w:cs="Arial" w:eastAsia="Arial" w:hAnsi="Arial"/>
                <w:sz w:val="18"/>
                <w:szCs w:val="18"/>
                <w:color w:val="auto"/>
              </w:rPr>
              <w:t>Right-of-use assets obtained in exchange for lease obligations:</w:t>
            </w:r>
          </w:p>
        </w:tc>
        <w:tc>
          <w:tcPr>
            <w:tcW w:w="220" w:type="dxa"/>
            <w:vAlign w:val="bottom"/>
            <w:tcBorders>
              <w:bottom w:val="single" w:sz="8" w:color="E5E5E5"/>
            </w:tcBorders>
            <w:shd w:val="clear" w:color="auto" w:fill="E5E5E5"/>
          </w:tcPr>
          <w:p>
            <w:pPr>
              <w:spacing w:after="0"/>
              <w:rPr>
                <w:sz w:val="24"/>
                <w:szCs w:val="24"/>
                <w:color w:val="auto"/>
              </w:rPr>
            </w:pPr>
          </w:p>
        </w:tc>
        <w:tc>
          <w:tcPr>
            <w:tcW w:w="200" w:type="dxa"/>
            <w:vAlign w:val="bottom"/>
            <w:tcBorders>
              <w:bottom w:val="single" w:sz="8" w:color="E5E5E5"/>
            </w:tcBorders>
            <w:shd w:val="clear" w:color="auto" w:fill="E5E5E5"/>
          </w:tcPr>
          <w:p>
            <w:pPr>
              <w:spacing w:after="0"/>
              <w:rPr>
                <w:sz w:val="24"/>
                <w:szCs w:val="24"/>
                <w:color w:val="auto"/>
              </w:rPr>
            </w:pPr>
          </w:p>
        </w:tc>
        <w:tc>
          <w:tcPr>
            <w:tcW w:w="940" w:type="dxa"/>
            <w:vAlign w:val="bottom"/>
            <w:tcBorders>
              <w:bottom w:val="single" w:sz="8" w:color="E5E5E5"/>
            </w:tcBorders>
            <w:shd w:val="clear" w:color="auto" w:fill="E5E5E5"/>
          </w:tcPr>
          <w:p>
            <w:pPr>
              <w:spacing w:after="0"/>
              <w:rPr>
                <w:sz w:val="24"/>
                <w:szCs w:val="24"/>
                <w:color w:val="auto"/>
              </w:rPr>
            </w:pPr>
          </w:p>
        </w:tc>
        <w:tc>
          <w:tcPr>
            <w:tcW w:w="100" w:type="dxa"/>
            <w:vAlign w:val="bottom"/>
            <w:tcBorders>
              <w:bottom w:val="single" w:sz="8" w:color="E5E5E5"/>
            </w:tcBorders>
            <w:shd w:val="clear" w:color="auto" w:fill="E5E5E5"/>
          </w:tcPr>
          <w:p>
            <w:pPr>
              <w:spacing w:after="0"/>
              <w:rPr>
                <w:sz w:val="24"/>
                <w:szCs w:val="24"/>
                <w:color w:val="auto"/>
              </w:rPr>
            </w:pPr>
          </w:p>
        </w:tc>
        <w:tc>
          <w:tcPr>
            <w:tcW w:w="120" w:type="dxa"/>
            <w:vAlign w:val="bottom"/>
            <w:tcBorders>
              <w:bottom w:val="single" w:sz="8" w:color="E5E5E5"/>
            </w:tcBorders>
            <w:shd w:val="clear" w:color="auto" w:fill="E5E5E5"/>
          </w:tcPr>
          <w:p>
            <w:pPr>
              <w:spacing w:after="0"/>
              <w:rPr>
                <w:sz w:val="24"/>
                <w:szCs w:val="24"/>
                <w:color w:val="auto"/>
              </w:rPr>
            </w:pPr>
          </w:p>
        </w:tc>
        <w:tc>
          <w:tcPr>
            <w:tcW w:w="20" w:type="dxa"/>
            <w:vAlign w:val="bottom"/>
            <w:tcBorders>
              <w:bottom w:val="single" w:sz="8" w:color="E5E5E5"/>
            </w:tcBorders>
            <w:shd w:val="clear" w:color="auto" w:fill="E5E5E5"/>
          </w:tcPr>
          <w:p>
            <w:pPr>
              <w:spacing w:after="0"/>
              <w:rPr>
                <w:sz w:val="24"/>
                <w:szCs w:val="24"/>
                <w:color w:val="auto"/>
              </w:rPr>
            </w:pPr>
          </w:p>
        </w:tc>
        <w:tc>
          <w:tcPr>
            <w:tcW w:w="80" w:type="dxa"/>
            <w:vAlign w:val="bottom"/>
            <w:tcBorders>
              <w:bottom w:val="single" w:sz="8" w:color="E5E5E5"/>
            </w:tcBorders>
            <w:shd w:val="clear" w:color="auto" w:fill="E5E5E5"/>
          </w:tcPr>
          <w:p>
            <w:pPr>
              <w:spacing w:after="0"/>
              <w:rPr>
                <w:sz w:val="24"/>
                <w:szCs w:val="24"/>
                <w:color w:val="auto"/>
              </w:rPr>
            </w:pPr>
          </w:p>
        </w:tc>
        <w:tc>
          <w:tcPr>
            <w:tcW w:w="980" w:type="dxa"/>
            <w:vAlign w:val="bottom"/>
            <w:tcBorders>
              <w:bottom w:val="single" w:sz="8" w:color="E5E5E5"/>
            </w:tcBorders>
            <w:shd w:val="clear" w:color="auto" w:fill="E5E5E5"/>
          </w:tcPr>
          <w:p>
            <w:pPr>
              <w:spacing w:after="0"/>
              <w:rPr>
                <w:sz w:val="24"/>
                <w:szCs w:val="24"/>
                <w:color w:val="auto"/>
              </w:rPr>
            </w:pPr>
          </w:p>
        </w:tc>
        <w:tc>
          <w:tcPr>
            <w:tcW w:w="60" w:type="dxa"/>
            <w:vAlign w:val="bottom"/>
            <w:tcBorders>
              <w:bottom w:val="single" w:sz="8" w:color="E5E5E5"/>
            </w:tcBorders>
            <w:shd w:val="clear" w:color="auto" w:fill="E5E5E5"/>
          </w:tcPr>
          <w:p>
            <w:pPr>
              <w:spacing w:after="0"/>
              <w:rPr>
                <w:sz w:val="24"/>
                <w:szCs w:val="24"/>
                <w:color w:val="auto"/>
              </w:rPr>
            </w:pPr>
          </w:p>
        </w:tc>
        <w:tc>
          <w:tcPr>
            <w:tcW w:w="100" w:type="dxa"/>
            <w:vAlign w:val="bottom"/>
            <w:tcBorders>
              <w:bottom w:val="single" w:sz="8" w:color="E5E5E5"/>
            </w:tcBorders>
            <w:shd w:val="clear" w:color="auto" w:fill="E5E5E5"/>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580" w:type="dxa"/>
            <w:vAlign w:val="bottom"/>
          </w:tcPr>
          <w:p>
            <w:pPr>
              <w:ind w:left="240"/>
              <w:spacing w:after="0"/>
              <w:rPr>
                <w:sz w:val="20"/>
                <w:szCs w:val="20"/>
                <w:color w:val="auto"/>
              </w:rPr>
            </w:pPr>
            <w:r>
              <w:rPr>
                <w:rFonts w:ascii="Arial" w:cs="Arial" w:eastAsia="Arial" w:hAnsi="Arial"/>
                <w:sz w:val="18"/>
                <w:szCs w:val="18"/>
                <w:color w:val="auto"/>
              </w:rPr>
              <w:t>Operating leases</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b w:val="1"/>
                <w:bCs w:val="1"/>
                <w:color w:val="auto"/>
              </w:rPr>
              <w:t>391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580" w:type="dxa"/>
            <w:vAlign w:val="bottom"/>
            <w:shd w:val="clear" w:color="auto" w:fill="E5E5E5"/>
          </w:tcPr>
          <w:p>
            <w:pPr>
              <w:ind w:left="240"/>
              <w:spacing w:after="0"/>
              <w:rPr>
                <w:sz w:val="20"/>
                <w:szCs w:val="20"/>
                <w:color w:val="auto"/>
              </w:rPr>
            </w:pPr>
            <w:r>
              <w:rPr>
                <w:rFonts w:ascii="Arial" w:cs="Arial" w:eastAsia="Arial" w:hAnsi="Arial"/>
                <w:sz w:val="18"/>
                <w:szCs w:val="18"/>
                <w:color w:val="auto"/>
              </w:rPr>
              <w:t>Finance leases</w:t>
            </w:r>
          </w:p>
        </w:tc>
        <w:tc>
          <w:tcPr>
            <w:tcW w:w="220" w:type="dxa"/>
            <w:vAlign w:val="bottom"/>
            <w:shd w:val="clear" w:color="auto" w:fill="E5E5E5"/>
          </w:tcPr>
          <w:p>
            <w:pPr>
              <w:spacing w:after="0"/>
              <w:rPr>
                <w:sz w:val="21"/>
                <w:szCs w:val="21"/>
                <w:color w:val="auto"/>
              </w:rPr>
            </w:pPr>
          </w:p>
        </w:tc>
        <w:tc>
          <w:tcPr>
            <w:tcW w:w="200" w:type="dxa"/>
            <w:vAlign w:val="bottom"/>
            <w:shd w:val="clear" w:color="auto" w:fill="E5E5E5"/>
          </w:tcPr>
          <w:p>
            <w:pPr>
              <w:spacing w:after="0"/>
              <w:rPr>
                <w:sz w:val="21"/>
                <w:szCs w:val="21"/>
                <w:color w:val="auto"/>
              </w:rPr>
            </w:pPr>
          </w:p>
        </w:tc>
        <w:tc>
          <w:tcPr>
            <w:tcW w:w="940" w:type="dxa"/>
            <w:vAlign w:val="bottom"/>
            <w:shd w:val="clear" w:color="auto" w:fill="E5E5E5"/>
          </w:tcPr>
          <w:p>
            <w:pPr>
              <w:jc w:val="right"/>
              <w:ind w:right="13"/>
              <w:spacing w:after="0"/>
              <w:rPr>
                <w:sz w:val="20"/>
                <w:szCs w:val="20"/>
                <w:color w:val="auto"/>
              </w:rPr>
            </w:pPr>
            <w:r>
              <w:rPr>
                <w:rFonts w:ascii="Arial" w:cs="Arial" w:eastAsia="Arial" w:hAnsi="Arial"/>
                <w:sz w:val="18"/>
                <w:szCs w:val="18"/>
                <w:b w:val="1"/>
                <w:bCs w:val="1"/>
                <w:color w:val="auto"/>
              </w:rPr>
              <w:t>728</w:t>
            </w:r>
          </w:p>
        </w:tc>
        <w:tc>
          <w:tcPr>
            <w:tcW w:w="100" w:type="dxa"/>
            <w:vAlign w:val="bottom"/>
            <w:shd w:val="clear" w:color="auto" w:fill="E5E5E5"/>
          </w:tcPr>
          <w:p>
            <w:pPr>
              <w:spacing w:after="0"/>
              <w:rPr>
                <w:sz w:val="21"/>
                <w:szCs w:val="21"/>
                <w:color w:val="auto"/>
              </w:rPr>
            </w:pPr>
          </w:p>
        </w:tc>
        <w:tc>
          <w:tcPr>
            <w:tcW w:w="120" w:type="dxa"/>
            <w:vAlign w:val="bottom"/>
            <w:shd w:val="clear" w:color="auto" w:fill="E5E5E5"/>
          </w:tcPr>
          <w:p>
            <w:pPr>
              <w:spacing w:after="0"/>
              <w:rPr>
                <w:sz w:val="21"/>
                <w:szCs w:val="21"/>
                <w:color w:val="auto"/>
              </w:rPr>
            </w:pPr>
          </w:p>
        </w:tc>
        <w:tc>
          <w:tcPr>
            <w:tcW w:w="20" w:type="dxa"/>
            <w:vAlign w:val="bottom"/>
            <w:shd w:val="clear" w:color="auto" w:fill="E5E5E5"/>
          </w:tcPr>
          <w:p>
            <w:pPr>
              <w:spacing w:after="0"/>
              <w:rPr>
                <w:sz w:val="21"/>
                <w:szCs w:val="21"/>
                <w:color w:val="auto"/>
              </w:rPr>
            </w:pPr>
          </w:p>
        </w:tc>
        <w:tc>
          <w:tcPr>
            <w:tcW w:w="80" w:type="dxa"/>
            <w:vAlign w:val="bottom"/>
            <w:shd w:val="clear" w:color="auto" w:fill="E5E5E5"/>
          </w:tcPr>
          <w:p>
            <w:pPr>
              <w:spacing w:after="0"/>
              <w:rPr>
                <w:sz w:val="21"/>
                <w:szCs w:val="21"/>
                <w:color w:val="auto"/>
              </w:rPr>
            </w:pPr>
          </w:p>
        </w:tc>
        <w:tc>
          <w:tcPr>
            <w:tcW w:w="1040" w:type="dxa"/>
            <w:vAlign w:val="bottom"/>
            <w:gridSpan w:val="2"/>
            <w:shd w:val="clear" w:color="auto" w:fill="E5E5E5"/>
          </w:tcPr>
          <w:p>
            <w:pPr>
              <w:jc w:val="right"/>
              <w:ind w:right="60"/>
              <w:spacing w:after="0"/>
              <w:rPr>
                <w:sz w:val="20"/>
                <w:szCs w:val="20"/>
                <w:color w:val="auto"/>
              </w:rPr>
            </w:pPr>
            <w:r>
              <w:rPr>
                <w:rFonts w:ascii="Arial" w:cs="Arial" w:eastAsia="Arial" w:hAnsi="Arial"/>
                <w:sz w:val="18"/>
                <w:szCs w:val="18"/>
                <w:color w:val="auto"/>
              </w:rPr>
              <w:t>267</w:t>
            </w:r>
          </w:p>
        </w:tc>
        <w:tc>
          <w:tcPr>
            <w:tcW w:w="100" w:type="dxa"/>
            <w:vAlign w:val="bottom"/>
            <w:shd w:val="clear" w:color="auto" w:fill="E5E5E5"/>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8600" w:type="dxa"/>
            <w:vAlign w:val="bottom"/>
            <w:gridSpan w:val="2"/>
          </w:tcPr>
          <w:p>
            <w:pPr>
              <w:spacing w:after="0"/>
              <w:rPr>
                <w:sz w:val="20"/>
                <w:szCs w:val="20"/>
                <w:color w:val="auto"/>
              </w:rPr>
            </w:pPr>
            <w:r>
              <w:rPr>
                <w:rFonts w:ascii="Arial" w:cs="Arial" w:eastAsia="Arial" w:hAnsi="Arial"/>
                <w:sz w:val="14"/>
                <w:szCs w:val="14"/>
                <w:b w:val="1"/>
                <w:bCs w:val="1"/>
                <w:color w:val="auto"/>
              </w:rPr>
              <w:t>Weighted Average Remaining Lease Term</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
        </w:trPr>
        <w:tc>
          <w:tcPr>
            <w:tcW w:w="20" w:type="dxa"/>
            <w:vAlign w:val="bottom"/>
            <w:vMerge w:val="restart"/>
          </w:tcPr>
          <w:p>
            <w:pPr>
              <w:spacing w:after="0"/>
              <w:rPr>
                <w:sz w:val="3"/>
                <w:szCs w:val="3"/>
                <w:color w:val="auto"/>
              </w:rPr>
            </w:pPr>
          </w:p>
        </w:tc>
        <w:tc>
          <w:tcPr>
            <w:tcW w:w="8580" w:type="dxa"/>
            <w:vAlign w:val="bottom"/>
          </w:tcPr>
          <w:p>
            <w:pPr>
              <w:spacing w:after="0"/>
              <w:rPr>
                <w:sz w:val="3"/>
                <w:szCs w:val="3"/>
                <w:color w:val="auto"/>
              </w:rPr>
            </w:pPr>
          </w:p>
        </w:tc>
        <w:tc>
          <w:tcPr>
            <w:tcW w:w="220" w:type="dxa"/>
            <w:vAlign w:val="bottom"/>
          </w:tcPr>
          <w:p>
            <w:pPr>
              <w:spacing w:after="0"/>
              <w:rPr>
                <w:sz w:val="3"/>
                <w:szCs w:val="3"/>
                <w:color w:val="auto"/>
              </w:rPr>
            </w:pPr>
          </w:p>
        </w:tc>
        <w:tc>
          <w:tcPr>
            <w:tcW w:w="2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98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8580" w:type="dxa"/>
            <w:vAlign w:val="bottom"/>
            <w:shd w:val="clear" w:color="auto" w:fill="E5E5E5"/>
          </w:tcPr>
          <w:p>
            <w:pPr>
              <w:spacing w:after="0"/>
              <w:rPr>
                <w:sz w:val="20"/>
                <w:szCs w:val="20"/>
                <w:color w:val="auto"/>
              </w:rPr>
            </w:pPr>
            <w:r>
              <w:rPr>
                <w:rFonts w:ascii="Arial" w:cs="Arial" w:eastAsia="Arial" w:hAnsi="Arial"/>
                <w:sz w:val="18"/>
                <w:szCs w:val="18"/>
                <w:color w:val="auto"/>
              </w:rPr>
              <w:t>Operating leases</w:t>
            </w:r>
          </w:p>
        </w:tc>
        <w:tc>
          <w:tcPr>
            <w:tcW w:w="220" w:type="dxa"/>
            <w:vAlign w:val="bottom"/>
            <w:shd w:val="clear" w:color="auto" w:fill="E5E5E5"/>
          </w:tcPr>
          <w:p>
            <w:pPr>
              <w:spacing w:after="0"/>
              <w:rPr>
                <w:sz w:val="21"/>
                <w:szCs w:val="21"/>
                <w:color w:val="auto"/>
              </w:rPr>
            </w:pPr>
          </w:p>
        </w:tc>
        <w:tc>
          <w:tcPr>
            <w:tcW w:w="200" w:type="dxa"/>
            <w:vAlign w:val="bottom"/>
            <w:shd w:val="clear" w:color="auto" w:fill="E5E5E5"/>
          </w:tcPr>
          <w:p>
            <w:pPr>
              <w:spacing w:after="0"/>
              <w:rPr>
                <w:sz w:val="21"/>
                <w:szCs w:val="21"/>
                <w:color w:val="auto"/>
              </w:rPr>
            </w:pPr>
          </w:p>
        </w:tc>
        <w:tc>
          <w:tcPr>
            <w:tcW w:w="1040" w:type="dxa"/>
            <w:vAlign w:val="bottom"/>
            <w:gridSpan w:val="2"/>
            <w:shd w:val="clear" w:color="auto" w:fill="E5E5E5"/>
          </w:tcPr>
          <w:p>
            <w:pPr>
              <w:jc w:val="right"/>
              <w:ind w:right="200"/>
              <w:spacing w:after="0"/>
              <w:rPr>
                <w:sz w:val="20"/>
                <w:szCs w:val="20"/>
                <w:color w:val="auto"/>
              </w:rPr>
            </w:pPr>
            <w:r>
              <w:rPr>
                <w:rFonts w:ascii="Arial" w:cs="Arial" w:eastAsia="Arial" w:hAnsi="Arial"/>
                <w:sz w:val="18"/>
                <w:szCs w:val="18"/>
                <w:b w:val="1"/>
                <w:bCs w:val="1"/>
                <w:color w:val="auto"/>
              </w:rPr>
              <w:t>7 years</w:t>
            </w:r>
          </w:p>
        </w:tc>
        <w:tc>
          <w:tcPr>
            <w:tcW w:w="120" w:type="dxa"/>
            <w:vAlign w:val="bottom"/>
            <w:shd w:val="clear" w:color="auto" w:fill="E5E5E5"/>
          </w:tcPr>
          <w:p>
            <w:pPr>
              <w:spacing w:after="0"/>
              <w:rPr>
                <w:sz w:val="21"/>
                <w:szCs w:val="21"/>
                <w:color w:val="auto"/>
              </w:rPr>
            </w:pPr>
          </w:p>
        </w:tc>
        <w:tc>
          <w:tcPr>
            <w:tcW w:w="20" w:type="dxa"/>
            <w:vAlign w:val="bottom"/>
            <w:shd w:val="clear" w:color="auto" w:fill="E5E5E5"/>
          </w:tcPr>
          <w:p>
            <w:pPr>
              <w:spacing w:after="0"/>
              <w:rPr>
                <w:sz w:val="21"/>
                <w:szCs w:val="21"/>
                <w:color w:val="auto"/>
              </w:rPr>
            </w:pPr>
          </w:p>
        </w:tc>
        <w:tc>
          <w:tcPr>
            <w:tcW w:w="80" w:type="dxa"/>
            <w:vAlign w:val="bottom"/>
            <w:shd w:val="clear" w:color="auto" w:fill="E5E5E5"/>
          </w:tcPr>
          <w:p>
            <w:pPr>
              <w:spacing w:after="0"/>
              <w:rPr>
                <w:sz w:val="21"/>
                <w:szCs w:val="21"/>
                <w:color w:val="auto"/>
              </w:rPr>
            </w:pPr>
          </w:p>
        </w:tc>
        <w:tc>
          <w:tcPr>
            <w:tcW w:w="1140" w:type="dxa"/>
            <w:vAlign w:val="bottom"/>
            <w:gridSpan w:val="3"/>
            <w:shd w:val="clear" w:color="auto" w:fill="E5E5E5"/>
          </w:tcPr>
          <w:p>
            <w:pPr>
              <w:jc w:val="right"/>
              <w:ind w:right="160"/>
              <w:spacing w:after="0"/>
              <w:rPr>
                <w:sz w:val="20"/>
                <w:szCs w:val="20"/>
                <w:color w:val="auto"/>
              </w:rPr>
            </w:pPr>
            <w:r>
              <w:rPr>
                <w:rFonts w:ascii="Arial" w:cs="Arial" w:eastAsia="Arial" w:hAnsi="Arial"/>
                <w:sz w:val="18"/>
                <w:szCs w:val="18"/>
                <w:color w:val="auto"/>
              </w:rPr>
              <w:t>5 years</w:t>
            </w: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8580" w:type="dxa"/>
            <w:vAlign w:val="bottom"/>
          </w:tcPr>
          <w:p>
            <w:pPr>
              <w:spacing w:after="0"/>
              <w:rPr>
                <w:sz w:val="20"/>
                <w:szCs w:val="20"/>
                <w:color w:val="auto"/>
              </w:rPr>
            </w:pPr>
            <w:r>
              <w:rPr>
                <w:rFonts w:ascii="Arial" w:cs="Arial" w:eastAsia="Arial" w:hAnsi="Arial"/>
                <w:sz w:val="18"/>
                <w:szCs w:val="18"/>
                <w:color w:val="auto"/>
              </w:rPr>
              <w:t>Finance leases</w:t>
            </w: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14 years</w:t>
            </w: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140" w:type="dxa"/>
            <w:vAlign w:val="bottom"/>
            <w:gridSpan w:val="3"/>
          </w:tcPr>
          <w:p>
            <w:pPr>
              <w:jc w:val="right"/>
              <w:ind w:right="160"/>
              <w:spacing w:after="0"/>
              <w:rPr>
                <w:sz w:val="20"/>
                <w:szCs w:val="20"/>
                <w:color w:val="auto"/>
              </w:rPr>
            </w:pPr>
            <w:r>
              <w:rPr>
                <w:rFonts w:ascii="Arial" w:cs="Arial" w:eastAsia="Arial" w:hAnsi="Arial"/>
                <w:sz w:val="18"/>
                <w:szCs w:val="18"/>
                <w:color w:val="auto"/>
              </w:rPr>
              <w:t>12 years</w:t>
            </w:r>
          </w:p>
        </w:tc>
        <w:tc>
          <w:tcPr>
            <w:tcW w:w="0" w:type="dxa"/>
            <w:vAlign w:val="bottom"/>
          </w:tcPr>
          <w:p>
            <w:pPr>
              <w:spacing w:after="0"/>
              <w:rPr>
                <w:sz w:val="1"/>
                <w:szCs w:val="1"/>
                <w:color w:val="auto"/>
              </w:rPr>
            </w:pPr>
          </w:p>
        </w:tc>
      </w:tr>
      <w:tr>
        <w:trPr>
          <w:trHeight w:val="214"/>
        </w:trPr>
        <w:tc>
          <w:tcPr>
            <w:tcW w:w="8600" w:type="dxa"/>
            <w:vAlign w:val="bottom"/>
            <w:gridSpan w:val="2"/>
          </w:tcPr>
          <w:p>
            <w:pPr>
              <w:spacing w:after="0"/>
              <w:rPr>
                <w:sz w:val="20"/>
                <w:szCs w:val="20"/>
                <w:color w:val="auto"/>
              </w:rPr>
            </w:pPr>
            <w:r>
              <w:rPr>
                <w:rFonts w:ascii="Arial" w:cs="Arial" w:eastAsia="Arial" w:hAnsi="Arial"/>
                <w:sz w:val="14"/>
                <w:szCs w:val="14"/>
                <w:b w:val="1"/>
                <w:bCs w:val="1"/>
                <w:color w:val="auto"/>
              </w:rPr>
              <w:t>Weighted Average Discount Rate</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
        </w:trPr>
        <w:tc>
          <w:tcPr>
            <w:tcW w:w="20" w:type="dxa"/>
            <w:vAlign w:val="bottom"/>
            <w:vMerge w:val="restart"/>
          </w:tcPr>
          <w:p>
            <w:pPr>
              <w:spacing w:after="0"/>
              <w:rPr>
                <w:sz w:val="3"/>
                <w:szCs w:val="3"/>
                <w:color w:val="auto"/>
              </w:rPr>
            </w:pPr>
          </w:p>
        </w:tc>
        <w:tc>
          <w:tcPr>
            <w:tcW w:w="8580" w:type="dxa"/>
            <w:vAlign w:val="bottom"/>
          </w:tcPr>
          <w:p>
            <w:pPr>
              <w:spacing w:after="0"/>
              <w:rPr>
                <w:sz w:val="3"/>
                <w:szCs w:val="3"/>
                <w:color w:val="auto"/>
              </w:rPr>
            </w:pPr>
          </w:p>
        </w:tc>
        <w:tc>
          <w:tcPr>
            <w:tcW w:w="220" w:type="dxa"/>
            <w:vAlign w:val="bottom"/>
          </w:tcPr>
          <w:p>
            <w:pPr>
              <w:spacing w:after="0"/>
              <w:rPr>
                <w:sz w:val="3"/>
                <w:szCs w:val="3"/>
                <w:color w:val="auto"/>
              </w:rPr>
            </w:pPr>
          </w:p>
        </w:tc>
        <w:tc>
          <w:tcPr>
            <w:tcW w:w="2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98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8580" w:type="dxa"/>
            <w:vAlign w:val="bottom"/>
            <w:shd w:val="clear" w:color="auto" w:fill="E5E5E5"/>
          </w:tcPr>
          <w:p>
            <w:pPr>
              <w:spacing w:after="0"/>
              <w:rPr>
                <w:sz w:val="20"/>
                <w:szCs w:val="20"/>
                <w:color w:val="auto"/>
              </w:rPr>
            </w:pPr>
            <w:r>
              <w:rPr>
                <w:rFonts w:ascii="Arial" w:cs="Arial" w:eastAsia="Arial" w:hAnsi="Arial"/>
                <w:sz w:val="18"/>
                <w:szCs w:val="18"/>
                <w:color w:val="auto"/>
              </w:rPr>
              <w:t>Operating leases</w:t>
            </w:r>
          </w:p>
        </w:tc>
        <w:tc>
          <w:tcPr>
            <w:tcW w:w="220" w:type="dxa"/>
            <w:vAlign w:val="bottom"/>
            <w:shd w:val="clear" w:color="auto" w:fill="E5E5E5"/>
          </w:tcPr>
          <w:p>
            <w:pPr>
              <w:spacing w:after="0"/>
              <w:rPr>
                <w:sz w:val="21"/>
                <w:szCs w:val="21"/>
                <w:color w:val="auto"/>
              </w:rPr>
            </w:pPr>
          </w:p>
        </w:tc>
        <w:tc>
          <w:tcPr>
            <w:tcW w:w="200" w:type="dxa"/>
            <w:vAlign w:val="bottom"/>
            <w:shd w:val="clear" w:color="auto" w:fill="E5E5E5"/>
          </w:tcPr>
          <w:p>
            <w:pPr>
              <w:spacing w:after="0"/>
              <w:rPr>
                <w:sz w:val="21"/>
                <w:szCs w:val="21"/>
                <w:color w:val="auto"/>
              </w:rPr>
            </w:pPr>
          </w:p>
        </w:tc>
        <w:tc>
          <w:tcPr>
            <w:tcW w:w="1040" w:type="dxa"/>
            <w:vAlign w:val="bottom"/>
            <w:gridSpan w:val="2"/>
            <w:shd w:val="clear" w:color="auto" w:fill="E5E5E5"/>
          </w:tcPr>
          <w:p>
            <w:pPr>
              <w:jc w:val="right"/>
              <w:ind w:right="40"/>
              <w:spacing w:after="0"/>
              <w:rPr>
                <w:sz w:val="20"/>
                <w:szCs w:val="20"/>
                <w:color w:val="auto"/>
              </w:rPr>
            </w:pPr>
            <w:r>
              <w:rPr>
                <w:rFonts w:ascii="Arial" w:cs="Arial" w:eastAsia="Arial" w:hAnsi="Arial"/>
                <w:sz w:val="18"/>
                <w:szCs w:val="18"/>
                <w:b w:val="1"/>
                <w:bCs w:val="1"/>
                <w:color w:val="auto"/>
              </w:rPr>
              <w:t>2.5%</w:t>
            </w:r>
          </w:p>
        </w:tc>
        <w:tc>
          <w:tcPr>
            <w:tcW w:w="120" w:type="dxa"/>
            <w:vAlign w:val="bottom"/>
            <w:shd w:val="clear" w:color="auto" w:fill="E5E5E5"/>
          </w:tcPr>
          <w:p>
            <w:pPr>
              <w:spacing w:after="0"/>
              <w:rPr>
                <w:sz w:val="21"/>
                <w:szCs w:val="21"/>
                <w:color w:val="auto"/>
              </w:rPr>
            </w:pPr>
          </w:p>
        </w:tc>
        <w:tc>
          <w:tcPr>
            <w:tcW w:w="20" w:type="dxa"/>
            <w:vAlign w:val="bottom"/>
            <w:shd w:val="clear" w:color="auto" w:fill="E5E5E5"/>
          </w:tcPr>
          <w:p>
            <w:pPr>
              <w:spacing w:after="0"/>
              <w:rPr>
                <w:sz w:val="21"/>
                <w:szCs w:val="21"/>
                <w:color w:val="auto"/>
              </w:rPr>
            </w:pPr>
          </w:p>
        </w:tc>
        <w:tc>
          <w:tcPr>
            <w:tcW w:w="80" w:type="dxa"/>
            <w:vAlign w:val="bottom"/>
            <w:shd w:val="clear" w:color="auto" w:fill="E5E5E5"/>
          </w:tcPr>
          <w:p>
            <w:pPr>
              <w:spacing w:after="0"/>
              <w:rPr>
                <w:sz w:val="21"/>
                <w:szCs w:val="21"/>
                <w:color w:val="auto"/>
              </w:rPr>
            </w:pPr>
          </w:p>
        </w:tc>
        <w:tc>
          <w:tcPr>
            <w:tcW w:w="1140" w:type="dxa"/>
            <w:vAlign w:val="bottom"/>
            <w:gridSpan w:val="3"/>
            <w:shd w:val="clear" w:color="auto" w:fill="E5E5E5"/>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8580" w:type="dxa"/>
            <w:vAlign w:val="bottom"/>
          </w:tcPr>
          <w:p>
            <w:pPr>
              <w:spacing w:after="0"/>
              <w:rPr>
                <w:sz w:val="20"/>
                <w:szCs w:val="20"/>
                <w:color w:val="auto"/>
              </w:rPr>
            </w:pPr>
            <w:r>
              <w:rPr>
                <w:rFonts w:ascii="Arial" w:cs="Arial" w:eastAsia="Arial" w:hAnsi="Arial"/>
                <w:sz w:val="18"/>
                <w:szCs w:val="18"/>
                <w:color w:val="auto"/>
              </w:rPr>
              <w:t>Finance leases</w:t>
            </w: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4.7%</w:t>
            </w: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42"/>
        </w:trPr>
        <w:tc>
          <w:tcPr>
            <w:tcW w:w="8600" w:type="dxa"/>
            <w:vAlign w:val="bottom"/>
            <w:tcBorders>
              <w:bottom w:val="single" w:sz="8" w:color="auto"/>
            </w:tcBorders>
            <w:gridSpan w:val="2"/>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76"/>
        </w:trPr>
        <w:tc>
          <w:tcPr>
            <w:tcW w:w="8600" w:type="dxa"/>
            <w:vAlign w:val="bottom"/>
            <w:gridSpan w:val="2"/>
          </w:tcPr>
          <w:p>
            <w:pPr>
              <w:spacing w:after="0"/>
              <w:rPr>
                <w:sz w:val="20"/>
                <w:szCs w:val="20"/>
                <w:color w:val="auto"/>
              </w:rPr>
            </w:pPr>
            <w:r>
              <w:rPr>
                <w:rFonts w:ascii="Arial" w:cs="Arial" w:eastAsia="Arial" w:hAnsi="Arial"/>
                <w:sz w:val="18"/>
                <w:szCs w:val="18"/>
                <w:color w:val="auto"/>
              </w:rPr>
              <w:t>Future minimum lease payments under non-cancellable leases as of September 30, 2017 were as follows:</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3"/>
        </w:trPr>
        <w:tc>
          <w:tcPr>
            <w:tcW w:w="8600" w:type="dxa"/>
            <w:vAlign w:val="bottom"/>
            <w:gridSpan w:val="2"/>
          </w:tcPr>
          <w:p>
            <w:pPr>
              <w:spacing w:after="0"/>
              <w:rPr>
                <w:sz w:val="20"/>
                <w:szCs w:val="20"/>
                <w:color w:val="auto"/>
              </w:rPr>
            </w:pPr>
            <w:r>
              <w:rPr>
                <w:rFonts w:ascii="Arial" w:cs="Arial" w:eastAsia="Arial" w:hAnsi="Arial"/>
                <w:sz w:val="14"/>
                <w:szCs w:val="14"/>
                <w:b w:val="1"/>
                <w:bCs w:val="1"/>
                <w:color w:val="auto"/>
              </w:rPr>
              <w:t>(In millions)</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85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gridSpan w:val="2"/>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1"/>
        </w:trPr>
        <w:tc>
          <w:tcPr>
            <w:tcW w:w="86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Year Ending June 30,</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Operating</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gridSpan w:val="3"/>
            <w:vMerge w:val="restart"/>
          </w:tcPr>
          <w:p>
            <w:pPr>
              <w:jc w:val="right"/>
              <w:ind w:right="120"/>
              <w:spacing w:after="0"/>
              <w:rPr>
                <w:sz w:val="20"/>
                <w:szCs w:val="20"/>
                <w:color w:val="auto"/>
              </w:rPr>
            </w:pPr>
            <w:r>
              <w:rPr>
                <w:rFonts w:ascii="Arial" w:cs="Arial" w:eastAsia="Arial" w:hAnsi="Arial"/>
                <w:sz w:val="14"/>
                <w:szCs w:val="14"/>
                <w:b w:val="1"/>
                <w:bCs w:val="1"/>
                <w:color w:val="auto"/>
                <w:w w:val="95"/>
              </w:rPr>
              <w:t>Finance Leases</w:t>
            </w:r>
          </w:p>
        </w:tc>
        <w:tc>
          <w:tcPr>
            <w:tcW w:w="0" w:type="dxa"/>
            <w:vAlign w:val="bottom"/>
          </w:tcPr>
          <w:p>
            <w:pPr>
              <w:spacing w:after="0"/>
              <w:rPr>
                <w:sz w:val="1"/>
                <w:szCs w:val="1"/>
                <w:color w:val="auto"/>
              </w:rPr>
            </w:pPr>
          </w:p>
        </w:tc>
      </w:tr>
      <w:tr>
        <w:trPr>
          <w:trHeight w:val="190"/>
        </w:trPr>
        <w:tc>
          <w:tcPr>
            <w:tcW w:w="860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Leases</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 w:type="dxa"/>
            <w:vAlign w:val="bottom"/>
            <w:vMerge w:val="restart"/>
          </w:tcPr>
          <w:p>
            <w:pPr>
              <w:spacing w:after="0"/>
              <w:rPr>
                <w:sz w:val="3"/>
                <w:szCs w:val="3"/>
                <w:color w:val="auto"/>
              </w:rPr>
            </w:pPr>
          </w:p>
        </w:tc>
        <w:tc>
          <w:tcPr>
            <w:tcW w:w="8580" w:type="dxa"/>
            <w:vAlign w:val="bottom"/>
          </w:tcPr>
          <w:p>
            <w:pPr>
              <w:spacing w:after="0"/>
              <w:rPr>
                <w:sz w:val="3"/>
                <w:szCs w:val="3"/>
                <w:color w:val="auto"/>
              </w:rPr>
            </w:pPr>
          </w:p>
        </w:tc>
        <w:tc>
          <w:tcPr>
            <w:tcW w:w="220" w:type="dxa"/>
            <w:vAlign w:val="bottom"/>
          </w:tcPr>
          <w:p>
            <w:pPr>
              <w:spacing w:after="0"/>
              <w:rPr>
                <w:sz w:val="3"/>
                <w:szCs w:val="3"/>
                <w:color w:val="auto"/>
              </w:rPr>
            </w:pPr>
          </w:p>
        </w:tc>
        <w:tc>
          <w:tcPr>
            <w:tcW w:w="2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4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80" w:type="dxa"/>
            <w:vAlign w:val="bottom"/>
            <w:shd w:val="clear" w:color="auto" w:fill="E5E5E5"/>
          </w:tcPr>
          <w:p>
            <w:pPr>
              <w:spacing w:after="0"/>
              <w:rPr>
                <w:sz w:val="20"/>
                <w:szCs w:val="20"/>
                <w:color w:val="auto"/>
              </w:rPr>
            </w:pPr>
            <w:r>
              <w:rPr>
                <w:rFonts w:ascii="Arial" w:cs="Arial" w:eastAsia="Arial" w:hAnsi="Arial"/>
                <w:sz w:val="18"/>
                <w:szCs w:val="18"/>
                <w:color w:val="auto"/>
              </w:rPr>
              <w:t>2018 (excluding the three months ended September 30, 2017)</w:t>
            </w:r>
          </w:p>
        </w:tc>
        <w:tc>
          <w:tcPr>
            <w:tcW w:w="420" w:type="dxa"/>
            <w:vAlign w:val="bottom"/>
            <w:gridSpan w:val="2"/>
            <w:shd w:val="clear" w:color="auto" w:fill="E5E5E5"/>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E5E5E5"/>
          </w:tcPr>
          <w:p>
            <w:pPr>
              <w:jc w:val="right"/>
              <w:ind w:right="100"/>
              <w:spacing w:after="0"/>
              <w:rPr>
                <w:sz w:val="20"/>
                <w:szCs w:val="20"/>
                <w:color w:val="auto"/>
              </w:rPr>
            </w:pPr>
            <w:r>
              <w:rPr>
                <w:rFonts w:ascii="Arial" w:cs="Arial" w:eastAsia="Arial" w:hAnsi="Arial"/>
                <w:sz w:val="18"/>
                <w:szCs w:val="18"/>
                <w:color w:val="auto"/>
              </w:rPr>
              <w:t>1,110</w:t>
            </w:r>
          </w:p>
        </w:tc>
        <w:tc>
          <w:tcPr>
            <w:tcW w:w="220" w:type="dxa"/>
            <w:vAlign w:val="bottom"/>
            <w:gridSpan w:val="3"/>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E5E5E5"/>
          </w:tcPr>
          <w:p>
            <w:pPr>
              <w:jc w:val="right"/>
              <w:spacing w:after="0"/>
              <w:rPr>
                <w:sz w:val="20"/>
                <w:szCs w:val="20"/>
                <w:color w:val="auto"/>
              </w:rPr>
            </w:pPr>
            <w:r>
              <w:rPr>
                <w:rFonts w:ascii="Arial" w:cs="Arial" w:eastAsia="Arial" w:hAnsi="Arial"/>
                <w:sz w:val="18"/>
                <w:szCs w:val="18"/>
                <w:color w:val="auto"/>
              </w:rPr>
              <w:t>205</w:t>
            </w:r>
          </w:p>
        </w:tc>
        <w:tc>
          <w:tcPr>
            <w:tcW w:w="10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spacing w:after="0"/>
              <w:rPr>
                <w:sz w:val="20"/>
                <w:szCs w:val="20"/>
                <w:color w:val="auto"/>
              </w:rPr>
            </w:pPr>
            <w:r>
              <w:rPr>
                <w:rFonts w:ascii="Arial" w:cs="Arial" w:eastAsia="Arial" w:hAnsi="Arial"/>
                <w:sz w:val="18"/>
                <w:szCs w:val="18"/>
                <w:color w:val="auto"/>
              </w:rPr>
              <w:t>2019</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1,385</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281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580" w:type="dxa"/>
            <w:vAlign w:val="bottom"/>
            <w:shd w:val="clear" w:color="auto" w:fill="E5E5E5"/>
          </w:tcPr>
          <w:p>
            <w:pPr>
              <w:spacing w:after="0"/>
              <w:rPr>
                <w:sz w:val="20"/>
                <w:szCs w:val="20"/>
                <w:color w:val="auto"/>
              </w:rPr>
            </w:pPr>
            <w:r>
              <w:rPr>
                <w:rFonts w:ascii="Arial" w:cs="Arial" w:eastAsia="Arial" w:hAnsi="Arial"/>
                <w:sz w:val="18"/>
                <w:szCs w:val="18"/>
                <w:color w:val="auto"/>
              </w:rPr>
              <w:t>2020</w:t>
            </w:r>
          </w:p>
        </w:tc>
        <w:tc>
          <w:tcPr>
            <w:tcW w:w="220" w:type="dxa"/>
            <w:vAlign w:val="bottom"/>
            <w:shd w:val="clear" w:color="auto" w:fill="E5E5E5"/>
          </w:tcPr>
          <w:p>
            <w:pPr>
              <w:spacing w:after="0"/>
              <w:rPr>
                <w:sz w:val="21"/>
                <w:szCs w:val="21"/>
                <w:color w:val="auto"/>
              </w:rPr>
            </w:pPr>
          </w:p>
        </w:tc>
        <w:tc>
          <w:tcPr>
            <w:tcW w:w="200" w:type="dxa"/>
            <w:vAlign w:val="bottom"/>
            <w:shd w:val="clear" w:color="auto" w:fill="E5E5E5"/>
          </w:tcPr>
          <w:p>
            <w:pPr>
              <w:spacing w:after="0"/>
              <w:rPr>
                <w:sz w:val="21"/>
                <w:szCs w:val="21"/>
                <w:color w:val="auto"/>
              </w:rPr>
            </w:pPr>
          </w:p>
        </w:tc>
        <w:tc>
          <w:tcPr>
            <w:tcW w:w="1040" w:type="dxa"/>
            <w:vAlign w:val="bottom"/>
            <w:gridSpan w:val="2"/>
            <w:shd w:val="clear" w:color="auto" w:fill="E5E5E5"/>
          </w:tcPr>
          <w:p>
            <w:pPr>
              <w:jc w:val="right"/>
              <w:ind w:right="100"/>
              <w:spacing w:after="0"/>
              <w:rPr>
                <w:sz w:val="20"/>
                <w:szCs w:val="20"/>
                <w:color w:val="auto"/>
              </w:rPr>
            </w:pPr>
            <w:r>
              <w:rPr>
                <w:rFonts w:ascii="Arial" w:cs="Arial" w:eastAsia="Arial" w:hAnsi="Arial"/>
                <w:sz w:val="18"/>
                <w:szCs w:val="18"/>
                <w:color w:val="auto"/>
              </w:rPr>
              <w:t>1,267</w:t>
            </w:r>
          </w:p>
        </w:tc>
        <w:tc>
          <w:tcPr>
            <w:tcW w:w="120" w:type="dxa"/>
            <w:vAlign w:val="bottom"/>
            <w:shd w:val="clear" w:color="auto" w:fill="E5E5E5"/>
          </w:tcPr>
          <w:p>
            <w:pPr>
              <w:spacing w:after="0"/>
              <w:rPr>
                <w:sz w:val="21"/>
                <w:szCs w:val="21"/>
                <w:color w:val="auto"/>
              </w:rPr>
            </w:pPr>
          </w:p>
        </w:tc>
        <w:tc>
          <w:tcPr>
            <w:tcW w:w="20" w:type="dxa"/>
            <w:vAlign w:val="bottom"/>
            <w:shd w:val="clear" w:color="auto" w:fill="E5E5E5"/>
          </w:tcPr>
          <w:p>
            <w:pPr>
              <w:spacing w:after="0"/>
              <w:rPr>
                <w:sz w:val="21"/>
                <w:szCs w:val="21"/>
                <w:color w:val="auto"/>
              </w:rPr>
            </w:pPr>
          </w:p>
        </w:tc>
        <w:tc>
          <w:tcPr>
            <w:tcW w:w="80" w:type="dxa"/>
            <w:vAlign w:val="bottom"/>
            <w:shd w:val="clear" w:color="auto" w:fill="E5E5E5"/>
          </w:tcPr>
          <w:p>
            <w:pPr>
              <w:spacing w:after="0"/>
              <w:rPr>
                <w:sz w:val="21"/>
                <w:szCs w:val="21"/>
                <w:color w:val="auto"/>
              </w:rPr>
            </w:pPr>
          </w:p>
        </w:tc>
        <w:tc>
          <w:tcPr>
            <w:tcW w:w="1040" w:type="dxa"/>
            <w:vAlign w:val="bottom"/>
            <w:gridSpan w:val="2"/>
            <w:shd w:val="clear" w:color="auto" w:fill="E5E5E5"/>
          </w:tcPr>
          <w:p>
            <w:pPr>
              <w:jc w:val="right"/>
              <w:spacing w:after="0"/>
              <w:rPr>
                <w:sz w:val="20"/>
                <w:szCs w:val="20"/>
                <w:color w:val="auto"/>
              </w:rPr>
            </w:pPr>
            <w:r>
              <w:rPr>
                <w:rFonts w:ascii="Arial" w:cs="Arial" w:eastAsia="Arial" w:hAnsi="Arial"/>
                <w:sz w:val="18"/>
                <w:szCs w:val="18"/>
                <w:color w:val="auto"/>
              </w:rPr>
              <w:t>287</w:t>
            </w:r>
          </w:p>
        </w:tc>
        <w:tc>
          <w:tcPr>
            <w:tcW w:w="100" w:type="dxa"/>
            <w:vAlign w:val="bottom"/>
            <w:shd w:val="clear" w:color="auto" w:fill="E5E5E5"/>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spacing w:after="0"/>
              <w:rPr>
                <w:sz w:val="20"/>
                <w:szCs w:val="20"/>
                <w:color w:val="auto"/>
              </w:rPr>
            </w:pPr>
            <w:r>
              <w:rPr>
                <w:rFonts w:ascii="Arial" w:cs="Arial" w:eastAsia="Arial" w:hAnsi="Arial"/>
                <w:sz w:val="18"/>
                <w:szCs w:val="18"/>
                <w:color w:val="auto"/>
              </w:rPr>
              <w:t>2021</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1,022</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293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E5E5E5"/>
          </w:tcPr>
          <w:p>
            <w:pPr>
              <w:spacing w:after="0"/>
              <w:rPr>
                <w:sz w:val="20"/>
                <w:szCs w:val="20"/>
                <w:color w:val="auto"/>
              </w:rPr>
            </w:pPr>
            <w:r>
              <w:rPr>
                <w:rFonts w:ascii="Arial" w:cs="Arial" w:eastAsia="Arial" w:hAnsi="Arial"/>
                <w:sz w:val="18"/>
                <w:szCs w:val="18"/>
                <w:color w:val="auto"/>
              </w:rPr>
              <w:t>2022</w:t>
            </w:r>
          </w:p>
        </w:tc>
        <w:tc>
          <w:tcPr>
            <w:tcW w:w="220" w:type="dxa"/>
            <w:vAlign w:val="bottom"/>
            <w:shd w:val="clear" w:color="auto" w:fill="E5E5E5"/>
          </w:tcPr>
          <w:p>
            <w:pPr>
              <w:spacing w:after="0"/>
              <w:rPr>
                <w:sz w:val="18"/>
                <w:szCs w:val="18"/>
                <w:color w:val="auto"/>
              </w:rPr>
            </w:pPr>
          </w:p>
        </w:tc>
        <w:tc>
          <w:tcPr>
            <w:tcW w:w="200" w:type="dxa"/>
            <w:vAlign w:val="bottom"/>
            <w:shd w:val="clear" w:color="auto" w:fill="E5E5E5"/>
          </w:tcPr>
          <w:p>
            <w:pPr>
              <w:spacing w:after="0"/>
              <w:rPr>
                <w:sz w:val="18"/>
                <w:szCs w:val="18"/>
                <w:color w:val="auto"/>
              </w:rPr>
            </w:pPr>
          </w:p>
        </w:tc>
        <w:tc>
          <w:tcPr>
            <w:tcW w:w="1040" w:type="dxa"/>
            <w:vAlign w:val="bottom"/>
            <w:gridSpan w:val="2"/>
            <w:shd w:val="clear" w:color="auto" w:fill="E5E5E5"/>
          </w:tcPr>
          <w:p>
            <w:pPr>
              <w:jc w:val="right"/>
              <w:ind w:right="100"/>
              <w:spacing w:after="0"/>
              <w:rPr>
                <w:sz w:val="20"/>
                <w:szCs w:val="20"/>
                <w:color w:val="auto"/>
              </w:rPr>
            </w:pPr>
            <w:r>
              <w:rPr>
                <w:rFonts w:ascii="Arial" w:cs="Arial" w:eastAsia="Arial" w:hAnsi="Arial"/>
                <w:sz w:val="18"/>
                <w:szCs w:val="18"/>
                <w:color w:val="auto"/>
              </w:rPr>
              <w:t>833</w:t>
            </w:r>
          </w:p>
        </w:tc>
        <w:tc>
          <w:tcPr>
            <w:tcW w:w="120" w:type="dxa"/>
            <w:vAlign w:val="bottom"/>
            <w:shd w:val="clear" w:color="auto" w:fill="E5E5E5"/>
          </w:tcPr>
          <w:p>
            <w:pPr>
              <w:spacing w:after="0"/>
              <w:rPr>
                <w:sz w:val="18"/>
                <w:szCs w:val="18"/>
                <w:color w:val="auto"/>
              </w:rPr>
            </w:pPr>
          </w:p>
        </w:tc>
        <w:tc>
          <w:tcPr>
            <w:tcW w:w="20" w:type="dxa"/>
            <w:vAlign w:val="bottom"/>
            <w:shd w:val="clear" w:color="auto" w:fill="E5E5E5"/>
          </w:tcPr>
          <w:p>
            <w:pPr>
              <w:spacing w:after="0"/>
              <w:rPr>
                <w:sz w:val="18"/>
                <w:szCs w:val="18"/>
                <w:color w:val="auto"/>
              </w:rPr>
            </w:pPr>
          </w:p>
        </w:tc>
        <w:tc>
          <w:tcPr>
            <w:tcW w:w="80" w:type="dxa"/>
            <w:vAlign w:val="bottom"/>
            <w:shd w:val="clear" w:color="auto" w:fill="E5E5E5"/>
          </w:tcPr>
          <w:p>
            <w:pPr>
              <w:spacing w:after="0"/>
              <w:rPr>
                <w:sz w:val="18"/>
                <w:szCs w:val="18"/>
                <w:color w:val="auto"/>
              </w:rPr>
            </w:pPr>
          </w:p>
        </w:tc>
        <w:tc>
          <w:tcPr>
            <w:tcW w:w="1040" w:type="dxa"/>
            <w:vAlign w:val="bottom"/>
            <w:gridSpan w:val="2"/>
            <w:shd w:val="clear" w:color="auto" w:fill="E5E5E5"/>
          </w:tcPr>
          <w:p>
            <w:pPr>
              <w:jc w:val="right"/>
              <w:spacing w:after="0"/>
              <w:rPr>
                <w:sz w:val="20"/>
                <w:szCs w:val="20"/>
                <w:color w:val="auto"/>
              </w:rPr>
            </w:pPr>
            <w:r>
              <w:rPr>
                <w:rFonts w:ascii="Arial" w:cs="Arial" w:eastAsia="Arial" w:hAnsi="Arial"/>
                <w:sz w:val="18"/>
                <w:szCs w:val="18"/>
                <w:color w:val="auto"/>
              </w:rPr>
              <w:t>299</w:t>
            </w:r>
          </w:p>
        </w:tc>
        <w:tc>
          <w:tcPr>
            <w:tcW w:w="10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580" w:type="dxa"/>
            <w:vAlign w:val="bottom"/>
          </w:tcPr>
          <w:p>
            <w:pPr>
              <w:spacing w:after="0"/>
              <w:rPr>
                <w:sz w:val="20"/>
                <w:szCs w:val="20"/>
                <w:color w:val="auto"/>
              </w:rPr>
            </w:pPr>
            <w:r>
              <w:rPr>
                <w:rFonts w:ascii="Arial" w:cs="Arial" w:eastAsia="Arial" w:hAnsi="Arial"/>
                <w:sz w:val="18"/>
                <w:szCs w:val="18"/>
                <w:color w:val="auto"/>
              </w:rPr>
              <w:t>Thereafter</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2,333</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3,133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5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gridSpan w:val="2"/>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858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0" w:type="dxa"/>
            <w:vAlign w:val="bottom"/>
          </w:tcPr>
          <w:p>
            <w:pPr>
              <w:spacing w:after="0"/>
              <w:rPr>
                <w:sz w:val="5"/>
                <w:szCs w:val="5"/>
                <w:color w:val="auto"/>
              </w:rPr>
            </w:pPr>
          </w:p>
        </w:tc>
        <w:tc>
          <w:tcPr>
            <w:tcW w:w="9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98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580" w:type="dxa"/>
            <w:vAlign w:val="bottom"/>
            <w:shd w:val="clear" w:color="auto" w:fill="E5E5E5"/>
          </w:tcPr>
          <w:p>
            <w:pPr>
              <w:ind w:left="200"/>
              <w:spacing w:after="0"/>
              <w:rPr>
                <w:sz w:val="20"/>
                <w:szCs w:val="20"/>
                <w:color w:val="auto"/>
              </w:rPr>
            </w:pPr>
            <w:r>
              <w:rPr>
                <w:rFonts w:ascii="Arial" w:cs="Arial" w:eastAsia="Arial" w:hAnsi="Arial"/>
                <w:sz w:val="18"/>
                <w:szCs w:val="18"/>
                <w:color w:val="auto"/>
              </w:rPr>
              <w:t>Total future minimum lease payments</w:t>
            </w:r>
          </w:p>
        </w:tc>
        <w:tc>
          <w:tcPr>
            <w:tcW w:w="220" w:type="dxa"/>
            <w:vAlign w:val="bottom"/>
            <w:shd w:val="clear" w:color="auto" w:fill="E5E5E5"/>
          </w:tcPr>
          <w:p>
            <w:pPr>
              <w:spacing w:after="0"/>
              <w:rPr>
                <w:sz w:val="21"/>
                <w:szCs w:val="21"/>
                <w:color w:val="auto"/>
              </w:rPr>
            </w:pPr>
          </w:p>
        </w:tc>
        <w:tc>
          <w:tcPr>
            <w:tcW w:w="200" w:type="dxa"/>
            <w:vAlign w:val="bottom"/>
            <w:shd w:val="clear" w:color="auto" w:fill="E5E5E5"/>
          </w:tcPr>
          <w:p>
            <w:pPr>
              <w:spacing w:after="0"/>
              <w:rPr>
                <w:sz w:val="21"/>
                <w:szCs w:val="21"/>
                <w:color w:val="auto"/>
              </w:rPr>
            </w:pPr>
          </w:p>
        </w:tc>
        <w:tc>
          <w:tcPr>
            <w:tcW w:w="1040" w:type="dxa"/>
            <w:vAlign w:val="bottom"/>
            <w:gridSpan w:val="2"/>
            <w:shd w:val="clear" w:color="auto" w:fill="E5E5E5"/>
          </w:tcPr>
          <w:p>
            <w:pPr>
              <w:jc w:val="right"/>
              <w:ind w:right="100"/>
              <w:spacing w:after="0"/>
              <w:rPr>
                <w:sz w:val="20"/>
                <w:szCs w:val="20"/>
                <w:color w:val="auto"/>
              </w:rPr>
            </w:pPr>
            <w:r>
              <w:rPr>
                <w:rFonts w:ascii="Arial" w:cs="Arial" w:eastAsia="Arial" w:hAnsi="Arial"/>
                <w:sz w:val="18"/>
                <w:szCs w:val="18"/>
                <w:color w:val="auto"/>
              </w:rPr>
              <w:t>7,950</w:t>
            </w:r>
          </w:p>
        </w:tc>
        <w:tc>
          <w:tcPr>
            <w:tcW w:w="120" w:type="dxa"/>
            <w:vAlign w:val="bottom"/>
            <w:shd w:val="clear" w:color="auto" w:fill="E5E5E5"/>
          </w:tcPr>
          <w:p>
            <w:pPr>
              <w:spacing w:after="0"/>
              <w:rPr>
                <w:sz w:val="21"/>
                <w:szCs w:val="21"/>
                <w:color w:val="auto"/>
              </w:rPr>
            </w:pPr>
          </w:p>
        </w:tc>
        <w:tc>
          <w:tcPr>
            <w:tcW w:w="20" w:type="dxa"/>
            <w:vAlign w:val="bottom"/>
            <w:shd w:val="clear" w:color="auto" w:fill="E5E5E5"/>
          </w:tcPr>
          <w:p>
            <w:pPr>
              <w:spacing w:after="0"/>
              <w:rPr>
                <w:sz w:val="21"/>
                <w:szCs w:val="21"/>
                <w:color w:val="auto"/>
              </w:rPr>
            </w:pPr>
          </w:p>
        </w:tc>
        <w:tc>
          <w:tcPr>
            <w:tcW w:w="80" w:type="dxa"/>
            <w:vAlign w:val="bottom"/>
            <w:shd w:val="clear" w:color="auto" w:fill="E5E5E5"/>
          </w:tcPr>
          <w:p>
            <w:pPr>
              <w:spacing w:after="0"/>
              <w:rPr>
                <w:sz w:val="21"/>
                <w:szCs w:val="21"/>
                <w:color w:val="auto"/>
              </w:rPr>
            </w:pPr>
          </w:p>
        </w:tc>
        <w:tc>
          <w:tcPr>
            <w:tcW w:w="1040" w:type="dxa"/>
            <w:vAlign w:val="bottom"/>
            <w:gridSpan w:val="2"/>
            <w:shd w:val="clear" w:color="auto" w:fill="E5E5E5"/>
          </w:tcPr>
          <w:p>
            <w:pPr>
              <w:jc w:val="right"/>
              <w:spacing w:after="0"/>
              <w:rPr>
                <w:sz w:val="20"/>
                <w:szCs w:val="20"/>
                <w:color w:val="auto"/>
              </w:rPr>
            </w:pPr>
            <w:r>
              <w:rPr>
                <w:rFonts w:ascii="Arial" w:cs="Arial" w:eastAsia="Arial" w:hAnsi="Arial"/>
                <w:sz w:val="18"/>
                <w:szCs w:val="18"/>
                <w:color w:val="auto"/>
              </w:rPr>
              <w:t>4,498</w:t>
            </w:r>
          </w:p>
        </w:tc>
        <w:tc>
          <w:tcPr>
            <w:tcW w:w="100" w:type="dxa"/>
            <w:vAlign w:val="bottom"/>
            <w:shd w:val="clear" w:color="auto" w:fill="E5E5E5"/>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580" w:type="dxa"/>
            <w:vAlign w:val="bottom"/>
          </w:tcPr>
          <w:p>
            <w:pPr>
              <w:spacing w:after="0"/>
              <w:rPr>
                <w:sz w:val="20"/>
                <w:szCs w:val="20"/>
                <w:color w:val="auto"/>
              </w:rPr>
            </w:pPr>
            <w:r>
              <w:rPr>
                <w:rFonts w:ascii="Arial" w:cs="Arial" w:eastAsia="Arial" w:hAnsi="Arial"/>
                <w:sz w:val="18"/>
                <w:szCs w:val="18"/>
                <w:color w:val="auto"/>
              </w:rPr>
              <w:t>Less imputed interest</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(930)</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40" w:type="dxa"/>
            <w:vAlign w:val="bottom"/>
            <w:gridSpan w:val="3"/>
          </w:tcPr>
          <w:p>
            <w:pPr>
              <w:jc w:val="right"/>
              <w:ind w:right="40"/>
              <w:spacing w:after="0"/>
              <w:rPr>
                <w:sz w:val="20"/>
                <w:szCs w:val="20"/>
                <w:color w:val="auto"/>
              </w:rPr>
            </w:pPr>
            <w:r>
              <w:rPr>
                <w:rFonts w:ascii="Arial" w:cs="Arial" w:eastAsia="Arial" w:hAnsi="Arial"/>
                <w:sz w:val="18"/>
                <w:szCs w:val="18"/>
                <w:color w:val="auto"/>
              </w:rPr>
              <w:t>(1,225</w:t>
            </w: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5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gridSpan w:val="2"/>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858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0" w:type="dxa"/>
            <w:vAlign w:val="bottom"/>
          </w:tcPr>
          <w:p>
            <w:pPr>
              <w:spacing w:after="0"/>
              <w:rPr>
                <w:sz w:val="5"/>
                <w:szCs w:val="5"/>
                <w:color w:val="auto"/>
              </w:rPr>
            </w:pPr>
          </w:p>
        </w:tc>
        <w:tc>
          <w:tcPr>
            <w:tcW w:w="9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98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580" w:type="dxa"/>
            <w:vAlign w:val="bottom"/>
            <w:shd w:val="clear" w:color="auto" w:fill="E5E5E5"/>
          </w:tcPr>
          <w:p>
            <w:pPr>
              <w:ind w:left="420"/>
              <w:spacing w:after="0"/>
              <w:rPr>
                <w:sz w:val="20"/>
                <w:szCs w:val="20"/>
                <w:color w:val="auto"/>
              </w:rPr>
            </w:pPr>
            <w:r>
              <w:rPr>
                <w:rFonts w:ascii="Arial" w:cs="Arial" w:eastAsia="Arial" w:hAnsi="Arial"/>
                <w:sz w:val="18"/>
                <w:szCs w:val="18"/>
                <w:color w:val="auto"/>
              </w:rPr>
              <w:t>Total</w:t>
            </w:r>
          </w:p>
        </w:tc>
        <w:tc>
          <w:tcPr>
            <w:tcW w:w="420" w:type="dxa"/>
            <w:vAlign w:val="bottom"/>
            <w:gridSpan w:val="2"/>
            <w:shd w:val="clear" w:color="auto" w:fill="E5E5E5"/>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E5E5E5"/>
          </w:tcPr>
          <w:p>
            <w:pPr>
              <w:jc w:val="right"/>
              <w:ind w:right="100"/>
              <w:spacing w:after="0"/>
              <w:rPr>
                <w:sz w:val="20"/>
                <w:szCs w:val="20"/>
                <w:color w:val="auto"/>
              </w:rPr>
            </w:pPr>
            <w:r>
              <w:rPr>
                <w:rFonts w:ascii="Arial" w:cs="Arial" w:eastAsia="Arial" w:hAnsi="Arial"/>
                <w:sz w:val="18"/>
                <w:szCs w:val="18"/>
                <w:color w:val="auto"/>
              </w:rPr>
              <w:t>7,020</w:t>
            </w:r>
          </w:p>
        </w:tc>
        <w:tc>
          <w:tcPr>
            <w:tcW w:w="220" w:type="dxa"/>
            <w:vAlign w:val="bottom"/>
            <w:gridSpan w:val="3"/>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E5E5E5"/>
          </w:tcPr>
          <w:p>
            <w:pPr>
              <w:jc w:val="right"/>
              <w:spacing w:after="0"/>
              <w:rPr>
                <w:sz w:val="20"/>
                <w:szCs w:val="20"/>
                <w:color w:val="auto"/>
              </w:rPr>
            </w:pPr>
            <w:r>
              <w:rPr>
                <w:rFonts w:ascii="Arial" w:cs="Arial" w:eastAsia="Arial" w:hAnsi="Arial"/>
                <w:sz w:val="18"/>
                <w:szCs w:val="18"/>
                <w:color w:val="auto"/>
              </w:rPr>
              <w:t>3,273</w:t>
            </w:r>
          </w:p>
        </w:tc>
        <w:tc>
          <w:tcPr>
            <w:tcW w:w="100" w:type="dxa"/>
            <w:vAlign w:val="bottom"/>
            <w:shd w:val="clear" w:color="auto" w:fill="E5E5E5"/>
          </w:tcPr>
          <w:p>
            <w:pPr>
              <w:spacing w:after="0"/>
              <w:rPr>
                <w:sz w:val="21"/>
                <w:szCs w:val="21"/>
                <w:color w:val="auto"/>
              </w:rPr>
            </w:pPr>
          </w:p>
        </w:tc>
        <w:tc>
          <w:tcPr>
            <w:tcW w:w="0" w:type="dxa"/>
            <w:vAlign w:val="bottom"/>
          </w:tcPr>
          <w:p>
            <w:pPr>
              <w:spacing w:after="0"/>
              <w:rPr>
                <w:sz w:val="1"/>
                <w:szCs w:val="1"/>
                <w:color w:val="auto"/>
              </w:rPr>
            </w:pPr>
          </w:p>
        </w:tc>
      </w:tr>
      <w:tr>
        <w:trPr>
          <w:trHeight w:val="88"/>
        </w:trPr>
        <w:tc>
          <w:tcPr>
            <w:tcW w:w="86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Reported as of September 30, 2017</w:t>
            </w:r>
          </w:p>
        </w:tc>
        <w:tc>
          <w:tcPr>
            <w:tcW w:w="220" w:type="dxa"/>
            <w:vAlign w:val="bottom"/>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98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8600" w:type="dxa"/>
            <w:vAlign w:val="bottom"/>
            <w:gridSpan w:val="2"/>
            <w:vMerge w:val="continue"/>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8"/>
        </w:trPr>
        <w:tc>
          <w:tcPr>
            <w:tcW w:w="20" w:type="dxa"/>
            <w:vAlign w:val="bottom"/>
            <w:vMerge w:val="restart"/>
          </w:tcPr>
          <w:p>
            <w:pPr>
              <w:spacing w:after="0"/>
              <w:rPr>
                <w:sz w:val="5"/>
                <w:szCs w:val="5"/>
                <w:color w:val="auto"/>
              </w:rPr>
            </w:pPr>
          </w:p>
        </w:tc>
        <w:tc>
          <w:tcPr>
            <w:tcW w:w="858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0" w:type="dxa"/>
            <w:vAlign w:val="bottom"/>
          </w:tcPr>
          <w:p>
            <w:pPr>
              <w:spacing w:after="0"/>
              <w:rPr>
                <w:sz w:val="5"/>
                <w:szCs w:val="5"/>
                <w:color w:val="auto"/>
              </w:rPr>
            </w:pPr>
          </w:p>
        </w:tc>
        <w:tc>
          <w:tcPr>
            <w:tcW w:w="9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40" w:type="dxa"/>
            <w:vAlign w:val="bottom"/>
            <w:gridSpan w:val="2"/>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8580" w:type="dxa"/>
            <w:vAlign w:val="bottom"/>
            <w:shd w:val="clear" w:color="auto" w:fill="E5E5E5"/>
          </w:tcPr>
          <w:p>
            <w:pPr>
              <w:spacing w:after="0"/>
              <w:rPr>
                <w:sz w:val="20"/>
                <w:szCs w:val="20"/>
                <w:color w:val="auto"/>
              </w:rPr>
            </w:pPr>
            <w:r>
              <w:rPr>
                <w:rFonts w:ascii="Arial" w:cs="Arial" w:eastAsia="Arial" w:hAnsi="Arial"/>
                <w:sz w:val="18"/>
                <w:szCs w:val="18"/>
                <w:color w:val="auto"/>
              </w:rPr>
              <w:t>Other current liabilities</w:t>
            </w:r>
          </w:p>
        </w:tc>
        <w:tc>
          <w:tcPr>
            <w:tcW w:w="420" w:type="dxa"/>
            <w:vAlign w:val="bottom"/>
            <w:gridSpan w:val="2"/>
            <w:shd w:val="clear" w:color="auto" w:fill="E5E5E5"/>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E5E5E5"/>
          </w:tcPr>
          <w:p>
            <w:pPr>
              <w:jc w:val="right"/>
              <w:ind w:right="100"/>
              <w:spacing w:after="0"/>
              <w:rPr>
                <w:sz w:val="20"/>
                <w:szCs w:val="20"/>
                <w:color w:val="auto"/>
              </w:rPr>
            </w:pPr>
            <w:r>
              <w:rPr>
                <w:rFonts w:ascii="Arial" w:cs="Arial" w:eastAsia="Arial" w:hAnsi="Arial"/>
                <w:sz w:val="18"/>
                <w:szCs w:val="18"/>
                <w:color w:val="auto"/>
              </w:rPr>
              <w:t>1,252</w:t>
            </w:r>
          </w:p>
        </w:tc>
        <w:tc>
          <w:tcPr>
            <w:tcW w:w="220" w:type="dxa"/>
            <w:vAlign w:val="bottom"/>
            <w:gridSpan w:val="3"/>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E5E5E5"/>
          </w:tcPr>
          <w:p>
            <w:pPr>
              <w:jc w:val="right"/>
              <w:spacing w:after="0"/>
              <w:rPr>
                <w:sz w:val="20"/>
                <w:szCs w:val="20"/>
                <w:color w:val="auto"/>
              </w:rPr>
            </w:pPr>
            <w:r>
              <w:rPr>
                <w:rFonts w:ascii="Arial" w:cs="Arial" w:eastAsia="Arial" w:hAnsi="Arial"/>
                <w:sz w:val="18"/>
                <w:szCs w:val="18"/>
                <w:color w:val="auto"/>
              </w:rPr>
              <w:t>146</w:t>
            </w:r>
          </w:p>
        </w:tc>
        <w:tc>
          <w:tcPr>
            <w:tcW w:w="100" w:type="dxa"/>
            <w:vAlign w:val="bottom"/>
            <w:shd w:val="clear" w:color="auto" w:fill="E5E5E5"/>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580" w:type="dxa"/>
            <w:vAlign w:val="bottom"/>
          </w:tcPr>
          <w:p>
            <w:pPr>
              <w:spacing w:after="0"/>
              <w:rPr>
                <w:sz w:val="20"/>
                <w:szCs w:val="20"/>
                <w:color w:val="auto"/>
              </w:rPr>
            </w:pPr>
            <w:r>
              <w:rPr>
                <w:rFonts w:ascii="Arial" w:cs="Arial" w:eastAsia="Arial" w:hAnsi="Arial"/>
                <w:sz w:val="18"/>
                <w:szCs w:val="18"/>
                <w:color w:val="auto"/>
              </w:rPr>
              <w:t>Operating lease liabilities</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5,768</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58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Other long-term liabilities</w:t>
            </w:r>
          </w:p>
        </w:tc>
        <w:tc>
          <w:tcPr>
            <w:tcW w:w="220" w:type="dxa"/>
            <w:vAlign w:val="bottom"/>
            <w:shd w:val="clear" w:color="auto" w:fill="E5E5E5"/>
          </w:tcPr>
          <w:p>
            <w:pPr>
              <w:spacing w:after="0"/>
              <w:rPr>
                <w:sz w:val="17"/>
                <w:szCs w:val="17"/>
                <w:color w:val="auto"/>
              </w:rPr>
            </w:pPr>
          </w:p>
        </w:tc>
        <w:tc>
          <w:tcPr>
            <w:tcW w:w="200" w:type="dxa"/>
            <w:vAlign w:val="bottom"/>
            <w:shd w:val="clear" w:color="auto" w:fill="E5E5E5"/>
          </w:tcPr>
          <w:p>
            <w:pPr>
              <w:spacing w:after="0"/>
              <w:rPr>
                <w:sz w:val="17"/>
                <w:szCs w:val="17"/>
                <w:color w:val="auto"/>
              </w:rPr>
            </w:pPr>
          </w:p>
        </w:tc>
        <w:tc>
          <w:tcPr>
            <w:tcW w:w="104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0</w:t>
            </w:r>
          </w:p>
        </w:tc>
        <w:tc>
          <w:tcPr>
            <w:tcW w:w="120" w:type="dxa"/>
            <w:vAlign w:val="bottom"/>
            <w:shd w:val="clear" w:color="auto" w:fill="E5E5E5"/>
          </w:tcPr>
          <w:p>
            <w:pPr>
              <w:spacing w:after="0"/>
              <w:rPr>
                <w:sz w:val="17"/>
                <w:szCs w:val="17"/>
                <w:color w:val="auto"/>
              </w:rPr>
            </w:pPr>
          </w:p>
        </w:tc>
        <w:tc>
          <w:tcPr>
            <w:tcW w:w="20" w:type="dxa"/>
            <w:vAlign w:val="bottom"/>
            <w:shd w:val="clear" w:color="auto" w:fill="E5E5E5"/>
          </w:tcPr>
          <w:p>
            <w:pPr>
              <w:spacing w:after="0"/>
              <w:rPr>
                <w:sz w:val="17"/>
                <w:szCs w:val="17"/>
                <w:color w:val="auto"/>
              </w:rPr>
            </w:pPr>
          </w:p>
        </w:tc>
        <w:tc>
          <w:tcPr>
            <w:tcW w:w="80" w:type="dxa"/>
            <w:vAlign w:val="bottom"/>
            <w:shd w:val="clear" w:color="auto" w:fill="E5E5E5"/>
          </w:tcPr>
          <w:p>
            <w:pPr>
              <w:spacing w:after="0"/>
              <w:rPr>
                <w:sz w:val="17"/>
                <w:szCs w:val="17"/>
                <w:color w:val="auto"/>
              </w:rPr>
            </w:pPr>
          </w:p>
        </w:tc>
        <w:tc>
          <w:tcPr>
            <w:tcW w:w="1040" w:type="dxa"/>
            <w:vAlign w:val="bottom"/>
            <w:gridSpan w:val="2"/>
            <w:shd w:val="clear" w:color="auto" w:fill="E5E5E5"/>
          </w:tcPr>
          <w:p>
            <w:pPr>
              <w:jc w:val="right"/>
              <w:spacing w:after="0" w:line="202" w:lineRule="exact"/>
              <w:rPr>
                <w:sz w:val="20"/>
                <w:szCs w:val="20"/>
                <w:color w:val="auto"/>
              </w:rPr>
            </w:pPr>
            <w:r>
              <w:rPr>
                <w:rFonts w:ascii="Arial" w:cs="Arial" w:eastAsia="Arial" w:hAnsi="Arial"/>
                <w:sz w:val="18"/>
                <w:szCs w:val="18"/>
                <w:color w:val="auto"/>
              </w:rPr>
              <w:t>3,127</w:t>
            </w:r>
          </w:p>
        </w:tc>
        <w:tc>
          <w:tcPr>
            <w:tcW w:w="10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858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gridSpan w:val="2"/>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gridSpan w:val="2"/>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gridSpan w:val="2"/>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81"/>
        </w:trPr>
        <w:tc>
          <w:tcPr>
            <w:tcW w:w="20" w:type="dxa"/>
            <w:vAlign w:val="bottom"/>
          </w:tcPr>
          <w:p>
            <w:pPr>
              <w:spacing w:after="0"/>
              <w:rPr>
                <w:sz w:val="24"/>
                <w:szCs w:val="24"/>
                <w:color w:val="auto"/>
              </w:rPr>
            </w:pPr>
          </w:p>
        </w:tc>
        <w:tc>
          <w:tcPr>
            <w:tcW w:w="8580" w:type="dxa"/>
            <w:vAlign w:val="bottom"/>
          </w:tcPr>
          <w:p>
            <w:pPr>
              <w:ind w:left="420"/>
              <w:spacing w:after="0"/>
              <w:rPr>
                <w:sz w:val="20"/>
                <w:szCs w:val="20"/>
                <w:color w:val="auto"/>
              </w:rPr>
            </w:pPr>
            <w:r>
              <w:rPr>
                <w:rFonts w:ascii="Arial" w:cs="Arial" w:eastAsia="Arial" w:hAnsi="Arial"/>
                <w:sz w:val="18"/>
                <w:szCs w:val="18"/>
                <w:color w:val="auto"/>
              </w:rPr>
              <w:t>Total</w:t>
            </w: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7,020</w:t>
            </w:r>
          </w:p>
        </w:tc>
        <w:tc>
          <w:tcPr>
            <w:tcW w:w="2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3,273</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58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139" w:lineRule="exact"/>
        <w:rPr>
          <w:sz w:val="20"/>
          <w:szCs w:val="20"/>
          <w:color w:val="auto"/>
        </w:rPr>
      </w:pPr>
    </w:p>
    <w:p>
      <w:pPr>
        <w:jc w:val="both"/>
        <w:spacing w:after="0" w:line="279" w:lineRule="auto"/>
        <w:rPr>
          <w:sz w:val="20"/>
          <w:szCs w:val="20"/>
          <w:color w:val="auto"/>
        </w:rPr>
      </w:pPr>
      <w:r>
        <w:rPr>
          <w:rFonts w:ascii="Arial" w:cs="Arial" w:eastAsia="Arial" w:hAnsi="Arial"/>
          <w:sz w:val="18"/>
          <w:szCs w:val="18"/>
          <w:color w:val="auto"/>
        </w:rPr>
        <w:t>As of September 30, 2017, we have additional operating and finance leases, primarily for datacenters, that have not yet commenced of $219 million and $2.3 billion, respectively. These operating and finance leases will commence between fiscal year 2018 and fiscal year 2019 with lease terms of 1 year to 20 years.</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 16 — CONTINGENCIES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Patent and Intellectual Property Claims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IPCom Patent Litigation</w:t>
      </w:r>
    </w:p>
    <w:p>
      <w:pPr>
        <w:spacing w:after="0" w:line="158"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IPCom GmbH &amp; Co. (“IPCom”) is a German company that holds a large portfolio of mobile technology-related patents spanning about 170 patent families and addressing a broad range of cellular technologies. IPCom has asserted 19 of these patents in litigation against Nokia Corporation (“Nokia”) and many of the leading cellular phone companies and operators. In November 2014, Microsoft and IPCom entered into a standstill agreement staying all of the pending litigation against Microsoft to permit the parties to pursue settlement discussions, which continue.</w:t>
      </w:r>
    </w:p>
    <w:p>
      <w:pPr>
        <w:sectPr>
          <w:pgSz w:w="11900" w:h="16838" w:orient="portrait"/>
          <w:cols w:equalWidth="0" w:num="1">
            <w:col w:w="11420"/>
          </w:cols>
          <w:pgMar w:left="240" w:top="121" w:right="239" w:bottom="1440" w:gutter="0" w:footer="0" w:header="0"/>
        </w:sectPr>
      </w:pP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289165"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30" w:name="page31"/>
    <w:bookmarkEnd w:id="30"/>
    <w:p>
      <w:pPr>
        <w:ind w:left="5500"/>
        <w:spacing w:after="0"/>
        <w:rPr>
          <w:sz w:val="20"/>
          <w:szCs w:val="20"/>
          <w:color w:val="auto"/>
        </w:rPr>
      </w:pPr>
      <w:r>
        <w:rPr>
          <w:rFonts w:ascii="Arial" w:cs="Arial" w:eastAsia="Arial" w:hAnsi="Arial"/>
          <w:sz w:val="14"/>
          <w:szCs w:val="14"/>
          <w:u w:val="single" w:color="auto"/>
          <w:color w:val="auto"/>
        </w:rPr>
        <w:t>PART I</w:t>
      </w:r>
    </w:p>
    <w:p>
      <w:pPr>
        <w:spacing w:after="0" w:line="5" w:lineRule="exact"/>
        <w:rPr>
          <w:sz w:val="20"/>
          <w:szCs w:val="20"/>
          <w:color w:val="auto"/>
        </w:rPr>
      </w:pPr>
    </w:p>
    <w:p>
      <w:pPr>
        <w:ind w:left="5520"/>
        <w:spacing w:after="0"/>
        <w:rPr>
          <w:sz w:val="20"/>
          <w:szCs w:val="20"/>
          <w:color w:val="auto"/>
        </w:rPr>
      </w:pPr>
      <w:r>
        <w:rPr>
          <w:rFonts w:ascii="Arial" w:cs="Arial" w:eastAsia="Arial" w:hAnsi="Arial"/>
          <w:sz w:val="14"/>
          <w:szCs w:val="14"/>
          <w:color w:val="auto"/>
        </w:rPr>
        <w:t>Item 1</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European Copyright Levies</w:t>
      </w:r>
    </w:p>
    <w:p>
      <w:pPr>
        <w:spacing w:after="0" w:line="15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We assumed from Nokia all potential liability due to Nokia’s alleged failure to pay “private copyright levies” in various European countries based upon sale of memory cards and mobile phones that incorporate blank memory. The levies are based upon a 2001 European Union (“EU”) directive establishing a right for end users to make copies of copyrighted works for personal or private use, but also allowing the collection of levies based upon sales of blank media or recording devices to compensate copyright holders for private copying. Various collecting societies in EU countries initiated litigation against Nokia, stating it must pay levies not only based upon sales of blank memory cards, but also phones that include blank memory for data storage on the phones, regardless of actual usage of that memory. The most significant cases against Nokia were pending in Germany and Austria, due to both the high volume of sales and high levy amounts sought in these countries. We reached a settlement of the Austrian case in August 2016. In July 2016, the German Supreme Court heard our appeal contesting the legality of the levy assessed on phones with music players and over five megabytes of memory. The Supreme Court issued a ruling in December 2016, finding that the levy may not be appropriate for phones that have the ability to receive music files only via Bluetooth or infrared inputs, and remanded for further proceedings. We reached a final settlement of the pending cases in October 2017.</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Patent and Intellectual Property Claims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In addition to the IPCom cases, there were 40 other patent infringement cases pending against Microsoft as of September 30, 2017.</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Antitrust, Unfair Competition, and Overcharge Class Actions</w:t>
      </w:r>
    </w:p>
    <w:p>
      <w:pPr>
        <w:spacing w:after="0" w:line="16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Antitrust and unfair competition class action lawsuits were filed against us in British Columbia, Ontario, and Quebec, Canada. All three have been certified on behalf of Canadian indirect purchasers who acquired licenses for Microsoft operating system software and/or productivity application software between 1998 and 2010.</w:t>
      </w:r>
    </w:p>
    <w:p>
      <w:pPr>
        <w:spacing w:after="0" w:line="11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trial of the British Columbia action commenced in May 2016. The plaintiffs filed their case in chief in August 2016, setting out claims made, authorities, and evidence in support of their claims. A six-month oral hearing is expected to begin in summer 2018, consisting of cross examination on witness affidavits. The Ontario and Quebec cases are inactive.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Antitrust Litigation and Claims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China State Administration for Industry and Commerce Investigation</w:t>
      </w:r>
    </w:p>
    <w:p>
      <w:pPr>
        <w:spacing w:after="0" w:line="158"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In 2014, Microsoft was informed that China’s State Administration for Industry and Commerce (“SAIC”) had begun a formal investigation relating to China’s Anti-Monopoly Law, and the SAIC conducted onsite inspections of Microsoft offices in Beijing, Shanghai, Guangzhou, and Chengdu. SAIC has stated the investigation relates to compatibility, bundle sales, file verification issues related to Windows and Office software, and potentially other issues.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Product-Related Litigation</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Cell Phone Litigation</w:t>
      </w:r>
    </w:p>
    <w:p>
      <w:pPr>
        <w:spacing w:after="0" w:line="158" w:lineRule="exact"/>
        <w:rPr>
          <w:sz w:val="20"/>
          <w:szCs w:val="20"/>
          <w:color w:val="auto"/>
        </w:rPr>
      </w:pPr>
    </w:p>
    <w:p>
      <w:pPr>
        <w:jc w:val="both"/>
        <w:spacing w:after="0"/>
        <w:rPr>
          <w:sz w:val="20"/>
          <w:szCs w:val="20"/>
          <w:color w:val="auto"/>
        </w:rPr>
      </w:pPr>
      <w:r>
        <w:rPr>
          <w:rFonts w:ascii="Arial" w:cs="Arial" w:eastAsia="Arial" w:hAnsi="Arial"/>
          <w:sz w:val="18"/>
          <w:szCs w:val="18"/>
          <w:color w:val="auto"/>
        </w:rPr>
        <w:t>Nokia, along with other handset manufacturers and network operators, is a defendant in 19 lawsuits filed in the Superior Court for the District of Columbia by individual plaintiffs who allege that radio emissions from cellular handsets caused their brain tumors and other adverse health effects. We assumed responsibility for these claims in our agreement to acquire Nokia’s Devices and Services business and have been substituted for the Nokia defendants. Nine of these cases were filed in 2002 and are consolidated for certain pre-trial proceedings; the remaining 10 cases are stayed. In a separate 2009 decision, the Court of Appeals for the District of Columbia held that adverse health effect claims arising from the use of cellular handsets that operate within the U.S. Federal Communications Commission radio frequency emission guidelines (“FCC Guidelines”) are pre-empted by federal law. The plaintiffs allege that their handsets either operated outside the FCC Guidelines or were manufactured before the FCC Guidelines went into effect. The lawsuits also allege an industry-wide conspiracy to manipulate the science and testing around emission guidelines.</w:t>
      </w:r>
    </w:p>
    <w:p>
      <w:pPr>
        <w:spacing w:after="0" w:line="122"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In 2013, defendants in the consolidated cases moved to exclude plaintiffs’ expert evidence of general causation on the basis of flawed scientific methodologies. In 2014, the trial court granted in part and denied in part defendants’</w:t>
      </w: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289165"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1" w:name="page32"/>
    <w:bookmarkEnd w:id="31"/>
    <w:p>
      <w:pPr>
        <w:ind w:left="5500"/>
        <w:spacing w:after="0"/>
        <w:rPr>
          <w:sz w:val="20"/>
          <w:szCs w:val="20"/>
          <w:color w:val="auto"/>
        </w:rPr>
      </w:pPr>
      <w:r>
        <w:rPr>
          <w:rFonts w:ascii="Arial" w:cs="Arial" w:eastAsia="Arial" w:hAnsi="Arial"/>
          <w:sz w:val="14"/>
          <w:szCs w:val="14"/>
          <w:u w:val="single" w:color="auto"/>
          <w:color w:val="auto"/>
        </w:rPr>
        <w:t>PART I</w:t>
      </w:r>
    </w:p>
    <w:p>
      <w:pPr>
        <w:spacing w:after="0" w:line="5" w:lineRule="exact"/>
        <w:rPr>
          <w:sz w:val="20"/>
          <w:szCs w:val="20"/>
          <w:color w:val="auto"/>
        </w:rPr>
      </w:pPr>
    </w:p>
    <w:p>
      <w:pPr>
        <w:ind w:left="5520"/>
        <w:spacing w:after="0"/>
        <w:rPr>
          <w:sz w:val="20"/>
          <w:szCs w:val="20"/>
          <w:color w:val="auto"/>
        </w:rPr>
      </w:pPr>
      <w:r>
        <w:rPr>
          <w:rFonts w:ascii="Arial" w:cs="Arial" w:eastAsia="Arial" w:hAnsi="Arial"/>
          <w:sz w:val="14"/>
          <w:szCs w:val="14"/>
          <w:color w:val="auto"/>
        </w:rPr>
        <w:t>Item 1</w:t>
      </w:r>
    </w:p>
    <w:p>
      <w:pPr>
        <w:spacing w:after="0" w:line="127"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 xml:space="preserve">motion to exclude plaintiffs’ general causation experts. The defendants filed an interlocutory appeal challenging the standard for evaluating expert scientific evidence, which the District of Columbia Court of Appeals heard </w:t>
      </w:r>
      <w:r>
        <w:rPr>
          <w:rFonts w:ascii="Arial" w:cs="Arial" w:eastAsia="Arial" w:hAnsi="Arial"/>
          <w:sz w:val="18"/>
          <w:szCs w:val="18"/>
          <w:i w:val="1"/>
          <w:iCs w:val="1"/>
          <w:color w:val="auto"/>
        </w:rPr>
        <w:t>en banc</w:t>
      </w:r>
      <w:r>
        <w:rPr>
          <w:rFonts w:ascii="Arial" w:cs="Arial" w:eastAsia="Arial" w:hAnsi="Arial"/>
          <w:sz w:val="18"/>
          <w:szCs w:val="18"/>
          <w:color w:val="auto"/>
        </w:rPr>
        <w:t>. In October 2016, the Court of Appeals issued its decision adopting the standard advocated by defendants and remanding the cases to the trial court for further proceedings under that standard. Plaintiffs have filed supplemental expert evidence, portions of which defendants have moved to strike.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Canadian Cell Phone Class Action</w:t>
      </w:r>
    </w:p>
    <w:p>
      <w:pPr>
        <w:spacing w:after="0" w:line="158"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Nokia, along with other handset manufacturers and network operators, is a defendant in a 2013 class action lawsuit filed in the Supreme Court of British Columbia by a purported class of Canadians who have used cellular phones for at least 1,600 hours, including a subclass of users with brain tumors, alleging adverse health effects from cellular phone use. Microsoft was served with the complaint in June 2014 and has been substituted for the Nokia defendants. The litigation has been dormant for more than three years.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Contingencies</w:t>
      </w:r>
    </w:p>
    <w:p>
      <w:pPr>
        <w:spacing w:after="0" w:line="160"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We also are subject to a variety of other claims and suits that arise from time to time in the ordinary course of our business. Although management currently believes that resolving claims against us, individually or in aggregate, will not have a material adverse impact on our consolidated financial statements, these matters are subject to inherent uncertainties and management’s view of these matters may change in the future.</w:t>
      </w:r>
    </w:p>
    <w:p>
      <w:pPr>
        <w:spacing w:after="0" w:line="117"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As of September 30, 2017, we accrued aggregate legal liabilities of $371 million. While we intend to defend these matters vigorously, adverse outcomes that we estimate could reach approximately $1.1 billion in aggregate beyond recorded amounts are reasonably possible. Were unfavorable final outcomes to occur, there exists the possibility of a material adverse impact on our consolidated financial statements for the period in which the effects become reasonably estimable.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 17 — STOCKHOLDERS’ EQUITY</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Repurchases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auto"/>
        </w:rPr>
        <w:t>On September 16, 2013, our Board of Directors approved a share repurchase program authorizing up to $40.0 billion in share repurchases.</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This share repurchase program became effective on October 1, 2013, and was completed on December 22, 2016.</w:t>
      </w:r>
    </w:p>
    <w:p>
      <w:pPr>
        <w:spacing w:after="0" w:line="136"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On September 20, 2016, our Board of Directors approved a share repurchase program authorizing up to an additional $40.0 billion in share repurchases. This share repurchase program commenced on December 22, 2016 following completion of the prior program approved on September 16, 2013, has no expiration date, and may be suspended or discontinued at any time without notice. As of September 30, 2017, $35.2 billion remained of this $40.0 billion share repurchase program.</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We repurchased the following shares of common stock under the share repurchase programs: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60" w:type="dxa"/>
            <w:vAlign w:val="bottom"/>
            <w:gridSpan w:val="2"/>
          </w:tcPr>
          <w:p>
            <w:pPr>
              <w:spacing w:after="0"/>
              <w:rPr>
                <w:sz w:val="20"/>
                <w:szCs w:val="20"/>
                <w:color w:val="auto"/>
              </w:rPr>
            </w:pPr>
            <w:r>
              <w:rPr>
                <w:rFonts w:ascii="Arial" w:cs="Arial" w:eastAsia="Arial" w:hAnsi="Arial"/>
                <w:sz w:val="14"/>
                <w:szCs w:val="14"/>
                <w:b w:val="1"/>
                <w:bCs w:val="1"/>
                <w:color w:val="auto"/>
              </w:rPr>
              <w:t>(In millions)</w:t>
            </w:r>
          </w:p>
        </w:tc>
        <w:tc>
          <w:tcPr>
            <w:tcW w:w="3640" w:type="dxa"/>
            <w:vAlign w:val="bottom"/>
          </w:tcPr>
          <w:p>
            <w:pPr>
              <w:jc w:val="right"/>
              <w:ind w:right="61"/>
              <w:spacing w:after="0"/>
              <w:rPr>
                <w:sz w:val="20"/>
                <w:szCs w:val="20"/>
                <w:color w:val="auto"/>
              </w:rPr>
            </w:pPr>
            <w:r>
              <w:rPr>
                <w:rFonts w:ascii="Arial" w:cs="Arial" w:eastAsia="Arial" w:hAnsi="Arial"/>
                <w:sz w:val="14"/>
                <w:szCs w:val="14"/>
                <w:b w:val="1"/>
                <w:bCs w:val="1"/>
                <w:color w:val="auto"/>
              </w:rPr>
              <w:t>Shares</w:t>
            </w:r>
          </w:p>
        </w:tc>
        <w:tc>
          <w:tcPr>
            <w:tcW w:w="420" w:type="dxa"/>
            <w:vAlign w:val="bottom"/>
          </w:tcPr>
          <w:p>
            <w:pPr>
              <w:spacing w:after="0"/>
              <w:rPr>
                <w:sz w:val="16"/>
                <w:szCs w:val="16"/>
                <w:color w:val="auto"/>
              </w:rPr>
            </w:pPr>
          </w:p>
        </w:tc>
        <w:tc>
          <w:tcPr>
            <w:tcW w:w="1120" w:type="dxa"/>
            <w:vAlign w:val="bottom"/>
          </w:tcPr>
          <w:p>
            <w:pPr>
              <w:jc w:val="right"/>
              <w:ind w:right="305"/>
              <w:spacing w:after="0"/>
              <w:rPr>
                <w:sz w:val="20"/>
                <w:szCs w:val="20"/>
                <w:color w:val="auto"/>
              </w:rPr>
            </w:pPr>
            <w:r>
              <w:rPr>
                <w:rFonts w:ascii="Arial" w:cs="Arial" w:eastAsia="Arial" w:hAnsi="Arial"/>
                <w:sz w:val="14"/>
                <w:szCs w:val="14"/>
                <w:b w:val="1"/>
                <w:bCs w:val="1"/>
                <w:color w:val="auto"/>
              </w:rPr>
              <w:t>Amount</w:t>
            </w:r>
          </w:p>
        </w:tc>
        <w:tc>
          <w:tcPr>
            <w:tcW w:w="960" w:type="dxa"/>
            <w:vAlign w:val="bottom"/>
          </w:tcPr>
          <w:p>
            <w:pPr>
              <w:jc w:val="right"/>
              <w:ind w:right="41"/>
              <w:spacing w:after="0"/>
              <w:rPr>
                <w:sz w:val="20"/>
                <w:szCs w:val="20"/>
                <w:color w:val="auto"/>
              </w:rPr>
            </w:pPr>
            <w:r>
              <w:rPr>
                <w:rFonts w:ascii="Arial" w:cs="Arial" w:eastAsia="Arial" w:hAnsi="Arial"/>
                <w:sz w:val="14"/>
                <w:szCs w:val="14"/>
                <w:b w:val="1"/>
                <w:bCs w:val="1"/>
                <w:color w:val="auto"/>
              </w:rPr>
              <w:t>Shares</w:t>
            </w:r>
          </w:p>
        </w:tc>
        <w:tc>
          <w:tcPr>
            <w:tcW w:w="400" w:type="dxa"/>
            <w:vAlign w:val="bottom"/>
          </w:tcPr>
          <w:p>
            <w:pPr>
              <w:spacing w:after="0"/>
              <w:rPr>
                <w:sz w:val="16"/>
                <w:szCs w:val="16"/>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45"/>
        </w:trPr>
        <w:tc>
          <w:tcPr>
            <w:tcW w:w="4060" w:type="dxa"/>
            <w:vAlign w:val="bottom"/>
            <w:tcBorders>
              <w:bottom w:val="single" w:sz="8" w:color="auto"/>
            </w:tcBorders>
            <w:gridSpan w:val="2"/>
          </w:tcPr>
          <w:p>
            <w:pPr>
              <w:spacing w:after="0"/>
              <w:rPr>
                <w:sz w:val="3"/>
                <w:szCs w:val="3"/>
                <w:color w:val="auto"/>
              </w:rPr>
            </w:pPr>
          </w:p>
        </w:tc>
        <w:tc>
          <w:tcPr>
            <w:tcW w:w="364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3"/>
        </w:trPr>
        <w:tc>
          <w:tcPr>
            <w:tcW w:w="4060" w:type="dxa"/>
            <w:vAlign w:val="bottom"/>
            <w:gridSpan w:val="2"/>
          </w:tcPr>
          <w:p>
            <w:pPr>
              <w:spacing w:after="0"/>
              <w:rPr>
                <w:sz w:val="20"/>
                <w:szCs w:val="20"/>
                <w:color w:val="auto"/>
              </w:rPr>
            </w:pPr>
            <w:r>
              <w:rPr>
                <w:rFonts w:ascii="Arial" w:cs="Arial" w:eastAsia="Arial" w:hAnsi="Arial"/>
                <w:sz w:val="14"/>
                <w:szCs w:val="14"/>
                <w:b w:val="1"/>
                <w:bCs w:val="1"/>
                <w:color w:val="auto"/>
              </w:rPr>
              <w:t>Fiscal Year</w:t>
            </w:r>
          </w:p>
        </w:tc>
        <w:tc>
          <w:tcPr>
            <w:tcW w:w="36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20" w:type="dxa"/>
            <w:vAlign w:val="bottom"/>
          </w:tcPr>
          <w:p>
            <w:pPr>
              <w:jc w:val="right"/>
              <w:ind w:right="325"/>
              <w:spacing w:after="0"/>
              <w:rPr>
                <w:sz w:val="20"/>
                <w:szCs w:val="20"/>
                <w:color w:val="auto"/>
              </w:rPr>
            </w:pPr>
            <w:r>
              <w:rPr>
                <w:rFonts w:ascii="Arial" w:cs="Arial" w:eastAsia="Arial" w:hAnsi="Arial"/>
                <w:sz w:val="14"/>
                <w:szCs w:val="14"/>
                <w:b w:val="1"/>
                <w:bCs w:val="1"/>
                <w:color w:val="auto"/>
              </w:rPr>
              <w:t>2018</w:t>
            </w:r>
          </w:p>
        </w:tc>
        <w:tc>
          <w:tcPr>
            <w:tcW w:w="9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
        </w:trPr>
        <w:tc>
          <w:tcPr>
            <w:tcW w:w="20" w:type="dxa"/>
            <w:vAlign w:val="bottom"/>
            <w:vMerge w:val="restart"/>
          </w:tcPr>
          <w:p>
            <w:pPr>
              <w:spacing w:after="0"/>
              <w:rPr>
                <w:sz w:val="3"/>
                <w:szCs w:val="3"/>
                <w:color w:val="auto"/>
              </w:rPr>
            </w:pPr>
          </w:p>
        </w:tc>
        <w:tc>
          <w:tcPr>
            <w:tcW w:w="4040" w:type="dxa"/>
            <w:vAlign w:val="bottom"/>
          </w:tcPr>
          <w:p>
            <w:pPr>
              <w:spacing w:after="0"/>
              <w:rPr>
                <w:sz w:val="3"/>
                <w:szCs w:val="3"/>
                <w:color w:val="auto"/>
              </w:rPr>
            </w:pPr>
          </w:p>
        </w:tc>
        <w:tc>
          <w:tcPr>
            <w:tcW w:w="3640" w:type="dxa"/>
            <w:vAlign w:val="bottom"/>
          </w:tcPr>
          <w:p>
            <w:pPr>
              <w:spacing w:after="0"/>
              <w:rPr>
                <w:sz w:val="3"/>
                <w:szCs w:val="3"/>
                <w:color w:val="auto"/>
              </w:rPr>
            </w:pPr>
          </w:p>
        </w:tc>
        <w:tc>
          <w:tcPr>
            <w:tcW w:w="4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960" w:type="dxa"/>
            <w:vAlign w:val="bottom"/>
          </w:tcPr>
          <w:p>
            <w:pPr>
              <w:spacing w:after="0"/>
              <w:rPr>
                <w:sz w:val="3"/>
                <w:szCs w:val="3"/>
                <w:color w:val="auto"/>
              </w:rPr>
            </w:pPr>
          </w:p>
        </w:tc>
        <w:tc>
          <w:tcPr>
            <w:tcW w:w="4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40" w:type="dxa"/>
            <w:vAlign w:val="bottom"/>
            <w:shd w:val="clear" w:color="auto" w:fill="E5E5E5"/>
          </w:tcPr>
          <w:p>
            <w:pPr>
              <w:spacing w:after="0"/>
              <w:rPr>
                <w:sz w:val="20"/>
                <w:szCs w:val="20"/>
                <w:color w:val="auto"/>
              </w:rPr>
            </w:pPr>
            <w:r>
              <w:rPr>
                <w:rFonts w:ascii="Arial" w:cs="Arial" w:eastAsia="Arial" w:hAnsi="Arial"/>
                <w:sz w:val="18"/>
                <w:szCs w:val="18"/>
                <w:color w:val="auto"/>
              </w:rPr>
              <w:t>First Quarter</w:t>
            </w:r>
          </w:p>
        </w:tc>
        <w:tc>
          <w:tcPr>
            <w:tcW w:w="3640" w:type="dxa"/>
            <w:vAlign w:val="bottom"/>
            <w:shd w:val="clear" w:color="auto" w:fill="E5E5E5"/>
          </w:tcPr>
          <w:p>
            <w:pPr>
              <w:jc w:val="right"/>
              <w:ind w:right="41"/>
              <w:spacing w:after="0"/>
              <w:rPr>
                <w:sz w:val="20"/>
                <w:szCs w:val="20"/>
                <w:color w:val="auto"/>
              </w:rPr>
            </w:pPr>
            <w:r>
              <w:rPr>
                <w:rFonts w:ascii="Arial" w:cs="Arial" w:eastAsia="Arial" w:hAnsi="Arial"/>
                <w:sz w:val="18"/>
                <w:szCs w:val="18"/>
                <w:b w:val="1"/>
                <w:bCs w:val="1"/>
                <w:color w:val="auto"/>
              </w:rPr>
              <w:t>22</w:t>
            </w:r>
          </w:p>
        </w:tc>
        <w:tc>
          <w:tcPr>
            <w:tcW w:w="420" w:type="dxa"/>
            <w:vAlign w:val="bottom"/>
            <w:shd w:val="clear" w:color="auto" w:fill="E5E5E5"/>
          </w:tcPr>
          <w:p>
            <w:pPr>
              <w:jc w:val="right"/>
              <w:ind w:right="110"/>
              <w:spacing w:after="0"/>
              <w:rPr>
                <w:sz w:val="20"/>
                <w:szCs w:val="20"/>
                <w:color w:val="auto"/>
              </w:rPr>
            </w:pPr>
            <w:r>
              <w:rPr>
                <w:rFonts w:ascii="Arial" w:cs="Arial" w:eastAsia="Arial" w:hAnsi="Arial"/>
                <w:sz w:val="18"/>
                <w:szCs w:val="18"/>
                <w:b w:val="1"/>
                <w:bCs w:val="1"/>
                <w:color w:val="auto"/>
              </w:rPr>
              <w:t>$</w:t>
            </w:r>
          </w:p>
        </w:tc>
        <w:tc>
          <w:tcPr>
            <w:tcW w:w="1120" w:type="dxa"/>
            <w:vAlign w:val="bottom"/>
            <w:shd w:val="clear" w:color="auto" w:fill="E5E5E5"/>
          </w:tcPr>
          <w:p>
            <w:pPr>
              <w:jc w:val="right"/>
              <w:ind w:right="305"/>
              <w:spacing w:after="0"/>
              <w:rPr>
                <w:sz w:val="20"/>
                <w:szCs w:val="20"/>
                <w:color w:val="auto"/>
              </w:rPr>
            </w:pPr>
            <w:r>
              <w:rPr>
                <w:rFonts w:ascii="Arial" w:cs="Arial" w:eastAsia="Arial" w:hAnsi="Arial"/>
                <w:sz w:val="18"/>
                <w:szCs w:val="18"/>
                <w:b w:val="1"/>
                <w:bCs w:val="1"/>
                <w:color w:val="auto"/>
              </w:rPr>
              <w:t>1,600</w:t>
            </w:r>
          </w:p>
        </w:tc>
        <w:tc>
          <w:tcPr>
            <w:tcW w:w="960" w:type="dxa"/>
            <w:vAlign w:val="bottom"/>
            <w:shd w:val="clear" w:color="auto" w:fill="E5E5E5"/>
          </w:tcPr>
          <w:p>
            <w:pPr>
              <w:jc w:val="right"/>
              <w:ind w:right="41"/>
              <w:spacing w:after="0"/>
              <w:rPr>
                <w:sz w:val="20"/>
                <w:szCs w:val="20"/>
                <w:color w:val="auto"/>
              </w:rPr>
            </w:pPr>
            <w:r>
              <w:rPr>
                <w:rFonts w:ascii="Arial" w:cs="Arial" w:eastAsia="Arial" w:hAnsi="Arial"/>
                <w:sz w:val="18"/>
                <w:szCs w:val="18"/>
                <w:color w:val="auto"/>
              </w:rPr>
              <w:t>63</w:t>
            </w:r>
          </w:p>
        </w:tc>
        <w:tc>
          <w:tcPr>
            <w:tcW w:w="400" w:type="dxa"/>
            <w:vAlign w:val="bottom"/>
            <w:shd w:val="clear" w:color="auto" w:fill="E5E5E5"/>
          </w:tcPr>
          <w:p>
            <w:pPr>
              <w:jc w:val="right"/>
              <w:ind w:right="11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E5E5E5"/>
          </w:tcPr>
          <w:p>
            <w:pPr>
              <w:jc w:val="right"/>
              <w:ind w:right="100"/>
              <w:spacing w:after="0"/>
              <w:rPr>
                <w:sz w:val="20"/>
                <w:szCs w:val="20"/>
                <w:color w:val="auto"/>
              </w:rPr>
            </w:pPr>
            <w:r>
              <w:rPr>
                <w:rFonts w:ascii="Arial" w:cs="Arial" w:eastAsia="Arial" w:hAnsi="Arial"/>
                <w:sz w:val="18"/>
                <w:szCs w:val="18"/>
                <w:color w:val="auto"/>
              </w:rPr>
              <w:t>3,550</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4040" w:type="dxa"/>
            <w:vAlign w:val="bottom"/>
            <w:tcBorders>
              <w:bottom w:val="single" w:sz="8" w:color="auto"/>
            </w:tcBorders>
          </w:tcPr>
          <w:p>
            <w:pPr>
              <w:spacing w:after="0"/>
              <w:rPr>
                <w:sz w:val="5"/>
                <w:szCs w:val="5"/>
                <w:color w:val="auto"/>
              </w:rPr>
            </w:pPr>
          </w:p>
        </w:tc>
        <w:tc>
          <w:tcPr>
            <w:tcW w:w="364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39"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Shares repurchased during the first quarter of fiscal year 2018 were under the share repurchase program approved September 20, 2016. Shares repurchased during the first quarter of fiscal year 2017 were under the share repurchase program approved September 16, 2013. The above table excludes shares repurchased to settle employee tax withholding related to the vesting of stock awards. All repurchases were made using cash resources.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289165"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2" w:name="page33"/>
    <w:bookmarkEnd w:id="32"/>
    <w:p>
      <w:pPr>
        <w:ind w:left="5500"/>
        <w:spacing w:after="0"/>
        <w:rPr>
          <w:sz w:val="20"/>
          <w:szCs w:val="20"/>
          <w:color w:val="auto"/>
        </w:rPr>
      </w:pPr>
      <w:r>
        <w:rPr>
          <w:rFonts w:ascii="Arial" w:cs="Arial" w:eastAsia="Arial" w:hAnsi="Arial"/>
          <w:sz w:val="14"/>
          <w:szCs w:val="14"/>
          <w:u w:val="single" w:color="auto"/>
          <w:color w:val="auto"/>
        </w:rPr>
        <w:t>PART I</w:t>
      </w:r>
    </w:p>
    <w:p>
      <w:pPr>
        <w:spacing w:after="0" w:line="5" w:lineRule="exact"/>
        <w:rPr>
          <w:sz w:val="20"/>
          <w:szCs w:val="20"/>
          <w:color w:val="auto"/>
        </w:rPr>
      </w:pPr>
    </w:p>
    <w:p>
      <w:pPr>
        <w:ind w:left="5520"/>
        <w:spacing w:after="0"/>
        <w:rPr>
          <w:sz w:val="20"/>
          <w:szCs w:val="20"/>
          <w:color w:val="auto"/>
        </w:rPr>
      </w:pPr>
      <w:r>
        <w:rPr>
          <w:rFonts w:ascii="Arial" w:cs="Arial" w:eastAsia="Arial" w:hAnsi="Arial"/>
          <w:sz w:val="14"/>
          <w:szCs w:val="14"/>
          <w:color w:val="auto"/>
        </w:rPr>
        <w:t>Item 1</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auto"/>
        </w:rPr>
        <w:t>Our Board of Directors declared the following dividends: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Declaration Date</w:t>
            </w:r>
          </w:p>
        </w:tc>
        <w:tc>
          <w:tcPr>
            <w:tcW w:w="1460" w:type="dxa"/>
            <w:vAlign w:val="bottom"/>
          </w:tcPr>
          <w:p>
            <w:pPr>
              <w:spacing w:after="0"/>
              <w:rPr>
                <w:sz w:val="14"/>
                <w:szCs w:val="14"/>
                <w:color w:val="auto"/>
              </w:rPr>
            </w:pPr>
          </w:p>
        </w:tc>
        <w:tc>
          <w:tcPr>
            <w:tcW w:w="1260" w:type="dxa"/>
            <w:vAlign w:val="bottom"/>
          </w:tcPr>
          <w:p>
            <w:pPr>
              <w:jc w:val="right"/>
              <w:ind w:right="361"/>
              <w:spacing w:after="0"/>
              <w:rPr>
                <w:sz w:val="20"/>
                <w:szCs w:val="20"/>
                <w:color w:val="auto"/>
              </w:rPr>
            </w:pPr>
            <w:r>
              <w:rPr>
                <w:rFonts w:ascii="Arial" w:cs="Arial" w:eastAsia="Arial" w:hAnsi="Arial"/>
                <w:sz w:val="14"/>
                <w:szCs w:val="14"/>
                <w:b w:val="1"/>
                <w:bCs w:val="1"/>
                <w:color w:val="auto"/>
              </w:rPr>
              <w:t>Dividend</w:t>
            </w:r>
          </w:p>
        </w:tc>
        <w:tc>
          <w:tcPr>
            <w:tcW w:w="2160" w:type="dxa"/>
            <w:vAlign w:val="bottom"/>
            <w:gridSpan w:val="2"/>
            <w:vMerge w:val="restart"/>
          </w:tcPr>
          <w:p>
            <w:pPr>
              <w:jc w:val="right"/>
              <w:ind w:right="30"/>
              <w:spacing w:after="0"/>
              <w:rPr>
                <w:sz w:val="20"/>
                <w:szCs w:val="20"/>
                <w:color w:val="auto"/>
              </w:rPr>
            </w:pPr>
            <w:r>
              <w:rPr>
                <w:rFonts w:ascii="Arial" w:cs="Arial" w:eastAsia="Arial" w:hAnsi="Arial"/>
                <w:sz w:val="14"/>
                <w:szCs w:val="14"/>
                <w:b w:val="1"/>
                <w:bCs w:val="1"/>
                <w:color w:val="auto"/>
              </w:rPr>
              <w:t>Record Date</w:t>
            </w:r>
          </w:p>
        </w:tc>
        <w:tc>
          <w:tcPr>
            <w:tcW w:w="300" w:type="dxa"/>
            <w:vAlign w:val="bottom"/>
          </w:tcPr>
          <w:p>
            <w:pPr>
              <w:spacing w:after="0"/>
              <w:rPr>
                <w:sz w:val="14"/>
                <w:szCs w:val="14"/>
                <w:color w:val="auto"/>
              </w:rPr>
            </w:pPr>
          </w:p>
        </w:tc>
        <w:tc>
          <w:tcPr>
            <w:tcW w:w="1320" w:type="dxa"/>
            <w:vAlign w:val="bottom"/>
            <w:vMerge w:val="restart"/>
          </w:tcPr>
          <w:p>
            <w:pPr>
              <w:jc w:val="right"/>
              <w:ind w:right="301"/>
              <w:spacing w:after="0"/>
              <w:rPr>
                <w:sz w:val="20"/>
                <w:szCs w:val="20"/>
                <w:color w:val="auto"/>
              </w:rPr>
            </w:pPr>
            <w:r>
              <w:rPr>
                <w:rFonts w:ascii="Arial" w:cs="Arial" w:eastAsia="Arial" w:hAnsi="Arial"/>
                <w:sz w:val="14"/>
                <w:szCs w:val="14"/>
                <w:b w:val="1"/>
                <w:bCs w:val="1"/>
                <w:color w:val="auto"/>
              </w:rPr>
              <w:t>Total Amount</w:t>
            </w:r>
          </w:p>
        </w:tc>
        <w:tc>
          <w:tcPr>
            <w:tcW w:w="2060" w:type="dxa"/>
            <w:vAlign w:val="bottom"/>
            <w:gridSpan w:val="3"/>
            <w:vMerge w:val="restart"/>
          </w:tcPr>
          <w:p>
            <w:pPr>
              <w:jc w:val="right"/>
              <w:ind w:right="60"/>
              <w:spacing w:after="0"/>
              <w:rPr>
                <w:sz w:val="20"/>
                <w:szCs w:val="20"/>
                <w:color w:val="auto"/>
              </w:rPr>
            </w:pPr>
            <w:r>
              <w:rPr>
                <w:rFonts w:ascii="Arial" w:cs="Arial" w:eastAsia="Arial" w:hAnsi="Arial"/>
                <w:sz w:val="14"/>
                <w:szCs w:val="14"/>
                <w:b w:val="1"/>
                <w:bCs w:val="1"/>
                <w:color w:val="auto"/>
              </w:rPr>
              <w:t>Payment Date</w:t>
            </w:r>
          </w:p>
        </w:tc>
        <w:tc>
          <w:tcPr>
            <w:tcW w:w="0" w:type="dxa"/>
            <w:vAlign w:val="bottom"/>
          </w:tcPr>
          <w:p>
            <w:pPr>
              <w:spacing w:after="0"/>
              <w:rPr>
                <w:sz w:val="1"/>
                <w:szCs w:val="1"/>
                <w:color w:val="auto"/>
              </w:rPr>
            </w:pPr>
          </w:p>
        </w:tc>
      </w:tr>
      <w:tr>
        <w:trPr>
          <w:trHeight w:val="190"/>
        </w:trPr>
        <w:tc>
          <w:tcPr>
            <w:tcW w:w="2860" w:type="dxa"/>
            <w:vAlign w:val="bottom"/>
            <w:gridSpan w:val="2"/>
            <w:vMerge w:val="continue"/>
          </w:tcPr>
          <w:p>
            <w:pPr>
              <w:spacing w:after="0"/>
              <w:rPr>
                <w:sz w:val="16"/>
                <w:szCs w:val="16"/>
                <w:color w:val="auto"/>
              </w:rPr>
            </w:pPr>
          </w:p>
        </w:tc>
        <w:tc>
          <w:tcPr>
            <w:tcW w:w="1460" w:type="dxa"/>
            <w:vAlign w:val="bottom"/>
          </w:tcPr>
          <w:p>
            <w:pPr>
              <w:spacing w:after="0"/>
              <w:rPr>
                <w:sz w:val="16"/>
                <w:szCs w:val="16"/>
                <w:color w:val="auto"/>
              </w:rPr>
            </w:pPr>
          </w:p>
        </w:tc>
        <w:tc>
          <w:tcPr>
            <w:tcW w:w="1260" w:type="dxa"/>
            <w:vAlign w:val="bottom"/>
          </w:tcPr>
          <w:p>
            <w:pPr>
              <w:jc w:val="right"/>
              <w:ind w:right="361"/>
              <w:spacing w:after="0"/>
              <w:rPr>
                <w:sz w:val="20"/>
                <w:szCs w:val="20"/>
                <w:color w:val="auto"/>
              </w:rPr>
            </w:pPr>
            <w:r>
              <w:rPr>
                <w:rFonts w:ascii="Arial" w:cs="Arial" w:eastAsia="Arial" w:hAnsi="Arial"/>
                <w:sz w:val="14"/>
                <w:szCs w:val="14"/>
                <w:b w:val="1"/>
                <w:bCs w:val="1"/>
                <w:color w:val="auto"/>
              </w:rPr>
              <w:t>Per Share</w:t>
            </w:r>
          </w:p>
        </w:tc>
        <w:tc>
          <w:tcPr>
            <w:tcW w:w="216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320" w:type="dxa"/>
            <w:vAlign w:val="bottom"/>
            <w:vMerge w:val="continue"/>
          </w:tcPr>
          <w:p>
            <w:pPr>
              <w:spacing w:after="0"/>
              <w:rPr>
                <w:sz w:val="16"/>
                <w:szCs w:val="16"/>
                <w:color w:val="auto"/>
              </w:rPr>
            </w:pPr>
          </w:p>
        </w:tc>
        <w:tc>
          <w:tcPr>
            <w:tcW w:w="206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284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20" w:type="dxa"/>
            <w:vAlign w:val="bottom"/>
          </w:tcPr>
          <w:p>
            <w:pPr>
              <w:jc w:val="right"/>
              <w:ind w:right="301"/>
              <w:spacing w:after="0"/>
              <w:rPr>
                <w:sz w:val="20"/>
                <w:szCs w:val="20"/>
                <w:color w:val="auto"/>
              </w:rPr>
            </w:pPr>
            <w:r>
              <w:rPr>
                <w:rFonts w:ascii="Arial" w:cs="Arial" w:eastAsia="Arial" w:hAnsi="Arial"/>
                <w:sz w:val="14"/>
                <w:szCs w:val="14"/>
                <w:b w:val="1"/>
                <w:bCs w:val="1"/>
                <w:color w:val="auto"/>
              </w:rPr>
              <w:t>(in millions)</w:t>
            </w:r>
          </w:p>
        </w:tc>
        <w:tc>
          <w:tcPr>
            <w:tcW w:w="15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
        </w:trPr>
        <w:tc>
          <w:tcPr>
            <w:tcW w:w="20" w:type="dxa"/>
            <w:vAlign w:val="bottom"/>
            <w:vMerge w:val="restart"/>
          </w:tcPr>
          <w:p>
            <w:pPr>
              <w:spacing w:after="0"/>
              <w:rPr>
                <w:sz w:val="3"/>
                <w:szCs w:val="3"/>
                <w:color w:val="auto"/>
              </w:rPr>
            </w:pPr>
          </w:p>
        </w:tc>
        <w:tc>
          <w:tcPr>
            <w:tcW w:w="2840" w:type="dxa"/>
            <w:vAlign w:val="bottom"/>
          </w:tcPr>
          <w:p>
            <w:pPr>
              <w:spacing w:after="0"/>
              <w:rPr>
                <w:sz w:val="3"/>
                <w:szCs w:val="3"/>
                <w:color w:val="auto"/>
              </w:rPr>
            </w:pPr>
          </w:p>
        </w:tc>
        <w:tc>
          <w:tcPr>
            <w:tcW w:w="146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580" w:type="dxa"/>
            <w:vAlign w:val="bottom"/>
          </w:tcPr>
          <w:p>
            <w:pPr>
              <w:spacing w:after="0"/>
              <w:rPr>
                <w:sz w:val="3"/>
                <w:szCs w:val="3"/>
                <w:color w:val="auto"/>
              </w:rPr>
            </w:pPr>
          </w:p>
        </w:tc>
        <w:tc>
          <w:tcPr>
            <w:tcW w:w="42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2840" w:type="dxa"/>
            <w:vAlign w:val="bottom"/>
            <w:shd w:val="clear" w:color="auto" w:fill="E5E5E5"/>
          </w:tcPr>
          <w:p>
            <w:pPr>
              <w:spacing w:after="0" w:line="189" w:lineRule="exact"/>
              <w:rPr>
                <w:sz w:val="20"/>
                <w:szCs w:val="20"/>
                <w:color w:val="auto"/>
              </w:rPr>
            </w:pPr>
            <w:r>
              <w:rPr>
                <w:rFonts w:ascii="Arial" w:cs="Arial" w:eastAsia="Arial" w:hAnsi="Arial"/>
                <w:sz w:val="18"/>
                <w:szCs w:val="18"/>
                <w:b w:val="1"/>
                <w:bCs w:val="1"/>
                <w:color w:val="auto"/>
              </w:rPr>
              <w:t>September 19, 2017</w:t>
            </w:r>
          </w:p>
        </w:tc>
        <w:tc>
          <w:tcPr>
            <w:tcW w:w="1460" w:type="dxa"/>
            <w:vAlign w:val="bottom"/>
            <w:shd w:val="clear" w:color="auto" w:fill="E5E5E5"/>
          </w:tcPr>
          <w:p>
            <w:pPr>
              <w:jc w:val="right"/>
              <w:ind w:right="110"/>
              <w:spacing w:after="0" w:line="189" w:lineRule="exact"/>
              <w:rPr>
                <w:sz w:val="20"/>
                <w:szCs w:val="20"/>
                <w:color w:val="auto"/>
              </w:rPr>
            </w:pPr>
            <w:r>
              <w:rPr>
                <w:rFonts w:ascii="Arial" w:cs="Arial" w:eastAsia="Arial" w:hAnsi="Arial"/>
                <w:sz w:val="18"/>
                <w:szCs w:val="18"/>
                <w:b w:val="1"/>
                <w:bCs w:val="1"/>
                <w:color w:val="auto"/>
              </w:rPr>
              <w:t>$</w:t>
            </w:r>
          </w:p>
        </w:tc>
        <w:tc>
          <w:tcPr>
            <w:tcW w:w="1260" w:type="dxa"/>
            <w:vAlign w:val="bottom"/>
            <w:shd w:val="clear" w:color="auto" w:fill="E5E5E5"/>
          </w:tcPr>
          <w:p>
            <w:pPr>
              <w:jc w:val="right"/>
              <w:ind w:right="341"/>
              <w:spacing w:after="0" w:line="189" w:lineRule="exact"/>
              <w:rPr>
                <w:sz w:val="20"/>
                <w:szCs w:val="20"/>
                <w:color w:val="auto"/>
              </w:rPr>
            </w:pPr>
            <w:r>
              <w:rPr>
                <w:rFonts w:ascii="Arial" w:cs="Arial" w:eastAsia="Arial" w:hAnsi="Arial"/>
                <w:sz w:val="18"/>
                <w:szCs w:val="18"/>
                <w:b w:val="1"/>
                <w:bCs w:val="1"/>
                <w:color w:val="auto"/>
              </w:rPr>
              <w:t>0.42</w:t>
            </w:r>
          </w:p>
        </w:tc>
        <w:tc>
          <w:tcPr>
            <w:tcW w:w="164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rPr>
              <w:t>November 16,</w:t>
            </w:r>
          </w:p>
        </w:tc>
        <w:tc>
          <w:tcPr>
            <w:tcW w:w="520" w:type="dxa"/>
            <w:vAlign w:val="bottom"/>
            <w:shd w:val="clear" w:color="auto" w:fill="E5E5E5"/>
          </w:tcPr>
          <w:p>
            <w:pPr>
              <w:jc w:val="right"/>
              <w:ind w:right="10"/>
              <w:spacing w:after="0" w:line="189" w:lineRule="exact"/>
              <w:rPr>
                <w:sz w:val="20"/>
                <w:szCs w:val="20"/>
                <w:color w:val="auto"/>
              </w:rPr>
            </w:pPr>
            <w:r>
              <w:rPr>
                <w:rFonts w:ascii="Arial" w:cs="Arial" w:eastAsia="Arial" w:hAnsi="Arial"/>
                <w:sz w:val="18"/>
                <w:szCs w:val="18"/>
                <w:b w:val="1"/>
                <w:bCs w:val="1"/>
                <w:color w:val="auto"/>
                <w:w w:val="99"/>
              </w:rPr>
              <w:t>2017</w:t>
            </w:r>
          </w:p>
        </w:tc>
        <w:tc>
          <w:tcPr>
            <w:tcW w:w="30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rPr>
              <w:t>$</w:t>
            </w:r>
          </w:p>
        </w:tc>
        <w:tc>
          <w:tcPr>
            <w:tcW w:w="1320" w:type="dxa"/>
            <w:vAlign w:val="bottom"/>
            <w:shd w:val="clear" w:color="auto" w:fill="E5E5E5"/>
          </w:tcPr>
          <w:p>
            <w:pPr>
              <w:jc w:val="right"/>
              <w:ind w:right="301"/>
              <w:spacing w:after="0" w:line="189" w:lineRule="exact"/>
              <w:rPr>
                <w:sz w:val="20"/>
                <w:szCs w:val="20"/>
                <w:color w:val="auto"/>
              </w:rPr>
            </w:pPr>
            <w:r>
              <w:rPr>
                <w:rFonts w:ascii="Arial" w:cs="Arial" w:eastAsia="Arial" w:hAnsi="Arial"/>
                <w:sz w:val="18"/>
                <w:szCs w:val="18"/>
                <w:b w:val="1"/>
                <w:bCs w:val="1"/>
                <w:color w:val="auto"/>
              </w:rPr>
              <w:t>3,242</w:t>
            </w:r>
          </w:p>
        </w:tc>
        <w:tc>
          <w:tcPr>
            <w:tcW w:w="158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rPr>
              <w:t>December 14,</w:t>
            </w:r>
          </w:p>
        </w:tc>
        <w:tc>
          <w:tcPr>
            <w:tcW w:w="42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w w:val="99"/>
              </w:rPr>
              <w:t>2017</w:t>
            </w:r>
          </w:p>
        </w:tc>
        <w:tc>
          <w:tcPr>
            <w:tcW w:w="6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0" w:type="dxa"/>
            <w:vAlign w:val="bottom"/>
            <w:tcBorders>
              <w:bottom w:val="single" w:sz="8" w:color="auto"/>
            </w:tcBorders>
          </w:tcPr>
          <w:p>
            <w:pPr>
              <w:spacing w:after="0"/>
              <w:rPr>
                <w:sz w:val="21"/>
                <w:szCs w:val="21"/>
                <w:color w:val="auto"/>
              </w:rPr>
            </w:pPr>
          </w:p>
        </w:tc>
        <w:tc>
          <w:tcPr>
            <w:tcW w:w="2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September 20, 2016</w:t>
            </w:r>
          </w:p>
        </w:tc>
        <w:tc>
          <w:tcPr>
            <w:tcW w:w="14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tcPr>
          <w:p>
            <w:pPr>
              <w:jc w:val="right"/>
              <w:ind w:right="341"/>
              <w:spacing w:after="0"/>
              <w:rPr>
                <w:sz w:val="20"/>
                <w:szCs w:val="20"/>
                <w:color w:val="auto"/>
              </w:rPr>
            </w:pPr>
            <w:r>
              <w:rPr>
                <w:rFonts w:ascii="Arial" w:cs="Arial" w:eastAsia="Arial" w:hAnsi="Arial"/>
                <w:sz w:val="18"/>
                <w:szCs w:val="18"/>
                <w:color w:val="auto"/>
              </w:rPr>
              <w:t>0.39</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November 17,</w:t>
            </w:r>
          </w:p>
        </w:tc>
        <w:tc>
          <w:tcPr>
            <w:tcW w:w="5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2016</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tcPr>
          <w:p>
            <w:pPr>
              <w:jc w:val="right"/>
              <w:ind w:right="301"/>
              <w:spacing w:after="0"/>
              <w:rPr>
                <w:sz w:val="20"/>
                <w:szCs w:val="20"/>
                <w:color w:val="auto"/>
              </w:rPr>
            </w:pPr>
            <w:r>
              <w:rPr>
                <w:rFonts w:ascii="Arial" w:cs="Arial" w:eastAsia="Arial" w:hAnsi="Arial"/>
                <w:sz w:val="18"/>
                <w:szCs w:val="18"/>
                <w:color w:val="auto"/>
              </w:rPr>
              <w:t>3,024</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December 8,</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2016</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The dividend declared on September 19, 2017 was included in other current liabilities as of September 30, 2017.</w:t>
      </w:r>
    </w:p>
    <w:p>
      <w:pPr>
        <w:spacing w:after="0" w:line="279" w:lineRule="exact"/>
        <w:rPr>
          <w:sz w:val="20"/>
          <w:szCs w:val="20"/>
          <w:color w:val="auto"/>
        </w:rPr>
      </w:pPr>
    </w:p>
    <w:p>
      <w:pPr>
        <w:ind w:left="2980"/>
        <w:spacing w:after="0"/>
        <w:rPr>
          <w:sz w:val="20"/>
          <w:szCs w:val="20"/>
          <w:color w:val="auto"/>
        </w:rPr>
      </w:pPr>
      <w:r>
        <w:rPr>
          <w:rFonts w:ascii="Arial" w:cs="Arial" w:eastAsia="Arial" w:hAnsi="Arial"/>
          <w:sz w:val="18"/>
          <w:szCs w:val="18"/>
          <w:u w:val="single" w:color="auto"/>
          <w:color w:val="auto"/>
        </w:rPr>
        <w:t>NOTE 18 — ACCUMULATED OTHER COMPREHENSIVE INCOME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changes in accumulated other comprehensive income by component:</w:t>
      </w:r>
    </w:p>
    <w:p>
      <w:pPr>
        <w:spacing w:after="0" w:line="18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46990</wp:posOffset>
            </wp:positionV>
            <wp:extent cx="7220585"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20585" cy="8890"/>
                    </a:xfrm>
                    <a:prstGeom prst="rect">
                      <a:avLst/>
                    </a:prstGeom>
                    <a:noFill/>
                  </pic:spPr>
                </pic:pic>
              </a:graphicData>
            </a:graphic>
          </wp:anchor>
        </w:drawing>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500" w:type="dxa"/>
            <w:vAlign w:val="bottom"/>
            <w:gridSpan w:val="2"/>
          </w:tcPr>
          <w:p>
            <w:pPr>
              <w:spacing w:after="0"/>
              <w:rPr>
                <w:sz w:val="20"/>
                <w:szCs w:val="20"/>
                <w:color w:val="auto"/>
              </w:rPr>
            </w:pPr>
            <w:r>
              <w:rPr>
                <w:rFonts w:ascii="Arial" w:cs="Arial" w:eastAsia="Arial" w:hAnsi="Arial"/>
                <w:sz w:val="14"/>
                <w:szCs w:val="14"/>
                <w:b w:val="1"/>
                <w:bCs w:val="1"/>
                <w:color w:val="auto"/>
              </w:rPr>
              <w:t>Three Months Ended September 30,</w:t>
            </w:r>
          </w:p>
        </w:tc>
        <w:tc>
          <w:tcPr>
            <w:tcW w:w="1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2017</w:t>
            </w: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500" w:type="dxa"/>
            <w:vAlign w:val="bottom"/>
            <w:gridSpan w:val="2"/>
          </w:tcPr>
          <w:p>
            <w:pPr>
              <w:spacing w:after="0"/>
              <w:rPr>
                <w:sz w:val="20"/>
                <w:szCs w:val="20"/>
                <w:color w:val="auto"/>
              </w:rPr>
            </w:pPr>
            <w:r>
              <w:rPr>
                <w:rFonts w:ascii="Arial" w:cs="Arial" w:eastAsia="Arial" w:hAnsi="Arial"/>
                <w:sz w:val="14"/>
                <w:szCs w:val="14"/>
                <w:b w:val="1"/>
                <w:bCs w:val="1"/>
                <w:color w:val="auto"/>
              </w:rPr>
              <w:t>Derivatives</w:t>
            </w:r>
          </w:p>
        </w:tc>
        <w:tc>
          <w:tcPr>
            <w:tcW w:w="1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
        </w:trPr>
        <w:tc>
          <w:tcPr>
            <w:tcW w:w="20" w:type="dxa"/>
            <w:vAlign w:val="bottom"/>
            <w:vMerge w:val="restart"/>
          </w:tcPr>
          <w:p>
            <w:pPr>
              <w:spacing w:after="0"/>
              <w:rPr>
                <w:sz w:val="3"/>
                <w:szCs w:val="3"/>
                <w:color w:val="auto"/>
              </w:rPr>
            </w:pPr>
          </w:p>
        </w:tc>
        <w:tc>
          <w:tcPr>
            <w:tcW w:w="74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360" w:type="dxa"/>
            <w:vAlign w:val="bottom"/>
          </w:tcPr>
          <w:p>
            <w:pPr>
              <w:spacing w:after="0"/>
              <w:rPr>
                <w:sz w:val="3"/>
                <w:szCs w:val="3"/>
                <w:color w:val="auto"/>
              </w:rPr>
            </w:pPr>
          </w:p>
        </w:tc>
        <w:tc>
          <w:tcPr>
            <w:tcW w:w="780" w:type="dxa"/>
            <w:vAlign w:val="bottom"/>
          </w:tcPr>
          <w:p>
            <w:pPr>
              <w:spacing w:after="0"/>
              <w:rPr>
                <w:sz w:val="3"/>
                <w:szCs w:val="3"/>
                <w:color w:val="auto"/>
              </w:rPr>
            </w:pPr>
          </w:p>
        </w:tc>
        <w:tc>
          <w:tcPr>
            <w:tcW w:w="220" w:type="dxa"/>
            <w:vAlign w:val="bottom"/>
          </w:tcPr>
          <w:p>
            <w:pPr>
              <w:spacing w:after="0"/>
              <w:rPr>
                <w:sz w:val="3"/>
                <w:szCs w:val="3"/>
                <w:color w:val="auto"/>
              </w:rPr>
            </w:pPr>
          </w:p>
        </w:tc>
        <w:tc>
          <w:tcPr>
            <w:tcW w:w="36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48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Balance, beginning of period</w:t>
            </w:r>
          </w:p>
        </w:tc>
        <w:tc>
          <w:tcPr>
            <w:tcW w:w="1640" w:type="dxa"/>
            <w:vAlign w:val="bottom"/>
            <w:gridSpan w:val="2"/>
            <w:shd w:val="clear" w:color="auto" w:fill="E5E5E5"/>
          </w:tcPr>
          <w:p>
            <w:pPr>
              <w:jc w:val="right"/>
              <w:ind w:right="260"/>
              <w:spacing w:after="0" w:line="202" w:lineRule="exact"/>
              <w:rPr>
                <w:sz w:val="20"/>
                <w:szCs w:val="20"/>
                <w:color w:val="auto"/>
              </w:rPr>
            </w:pPr>
            <w:r>
              <w:rPr>
                <w:rFonts w:ascii="Arial" w:cs="Arial" w:eastAsia="Arial" w:hAnsi="Arial"/>
                <w:sz w:val="18"/>
                <w:szCs w:val="18"/>
                <w:b w:val="1"/>
                <w:bCs w:val="1"/>
                <w:color w:val="auto"/>
              </w:rPr>
              <w:t>$</w:t>
            </w:r>
          </w:p>
        </w:tc>
        <w:tc>
          <w:tcPr>
            <w:tcW w:w="1000" w:type="dxa"/>
            <w:vAlign w:val="bottom"/>
            <w:gridSpan w:val="2"/>
            <w:shd w:val="clear" w:color="auto" w:fill="E5E5E5"/>
          </w:tcPr>
          <w:p>
            <w:pPr>
              <w:jc w:val="right"/>
              <w:ind w:right="220"/>
              <w:spacing w:after="0" w:line="202" w:lineRule="exact"/>
              <w:rPr>
                <w:sz w:val="20"/>
                <w:szCs w:val="20"/>
                <w:color w:val="auto"/>
              </w:rPr>
            </w:pPr>
            <w:r>
              <w:rPr>
                <w:rFonts w:ascii="Arial" w:cs="Arial" w:eastAsia="Arial" w:hAnsi="Arial"/>
                <w:sz w:val="18"/>
                <w:szCs w:val="18"/>
                <w:b w:val="1"/>
                <w:bCs w:val="1"/>
                <w:color w:val="auto"/>
              </w:rPr>
              <w:t>134</w:t>
            </w:r>
          </w:p>
        </w:tc>
        <w:tc>
          <w:tcPr>
            <w:tcW w:w="360" w:type="dxa"/>
            <w:vAlign w:val="bottom"/>
            <w:shd w:val="clear" w:color="auto" w:fill="E5E5E5"/>
          </w:tcPr>
          <w:p>
            <w:pPr>
              <w:jc w:val="right"/>
              <w:ind w:right="170"/>
              <w:spacing w:after="0" w:line="202" w:lineRule="exact"/>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352</w:t>
            </w: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7480" w:type="dxa"/>
            <w:vAlign w:val="bottom"/>
          </w:tcPr>
          <w:p>
            <w:pPr>
              <w:spacing w:after="0"/>
              <w:rPr>
                <w:sz w:val="20"/>
                <w:szCs w:val="20"/>
                <w:color w:val="auto"/>
              </w:rPr>
            </w:pPr>
            <w:r>
              <w:rPr>
                <w:rFonts w:ascii="Arial" w:cs="Arial" w:eastAsia="Arial" w:hAnsi="Arial"/>
                <w:sz w:val="18"/>
                <w:szCs w:val="18"/>
                <w:color w:val="auto"/>
              </w:rPr>
              <w:t xml:space="preserve">Unrealized gains, net of tax of </w:t>
            </w:r>
            <w:r>
              <w:rPr>
                <w:rFonts w:ascii="Arial" w:cs="Arial" w:eastAsia="Arial" w:hAnsi="Arial"/>
                <w:sz w:val="18"/>
                <w:szCs w:val="18"/>
                <w:b w:val="1"/>
                <w:bCs w:val="1"/>
                <w:color w:val="auto"/>
              </w:rPr>
              <w:t>$0</w:t>
            </w:r>
            <w:r>
              <w:rPr>
                <w:rFonts w:ascii="Arial" w:cs="Arial" w:eastAsia="Arial" w:hAnsi="Arial"/>
                <w:sz w:val="18"/>
                <w:szCs w:val="18"/>
                <w:color w:val="auto"/>
              </w:rPr>
              <w:t xml:space="preserve"> and $1</w:t>
            </w:r>
          </w:p>
        </w:tc>
        <w:tc>
          <w:tcPr>
            <w:tcW w:w="1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4</w:t>
            </w:r>
          </w:p>
        </w:tc>
        <w:tc>
          <w:tcPr>
            <w:tcW w:w="360" w:type="dxa"/>
            <w:vAlign w:val="bottom"/>
          </w:tcPr>
          <w:p>
            <w:pPr>
              <w:spacing w:after="0"/>
              <w:rPr>
                <w:sz w:val="21"/>
                <w:szCs w:val="21"/>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480" w:type="dxa"/>
            <w:vAlign w:val="bottom"/>
            <w:shd w:val="clear" w:color="auto" w:fill="E5E5E5"/>
          </w:tcPr>
          <w:p>
            <w:pPr>
              <w:spacing w:after="0"/>
              <w:rPr>
                <w:sz w:val="20"/>
                <w:szCs w:val="20"/>
                <w:color w:val="auto"/>
              </w:rPr>
            </w:pPr>
            <w:r>
              <w:rPr>
                <w:rFonts w:ascii="Arial" w:cs="Arial" w:eastAsia="Arial" w:hAnsi="Arial"/>
                <w:sz w:val="18"/>
                <w:szCs w:val="18"/>
                <w:color w:val="auto"/>
              </w:rPr>
              <w:t>Reclassification adjustments for gains included in revenue</w:t>
            </w:r>
          </w:p>
        </w:tc>
        <w:tc>
          <w:tcPr>
            <w:tcW w:w="1280" w:type="dxa"/>
            <w:vAlign w:val="bottom"/>
            <w:shd w:val="clear" w:color="auto" w:fill="E5E5E5"/>
          </w:tcPr>
          <w:p>
            <w:pPr>
              <w:spacing w:after="0"/>
              <w:rPr>
                <w:sz w:val="19"/>
                <w:szCs w:val="19"/>
                <w:color w:val="auto"/>
              </w:rPr>
            </w:pPr>
          </w:p>
        </w:tc>
        <w:tc>
          <w:tcPr>
            <w:tcW w:w="360" w:type="dxa"/>
            <w:vAlign w:val="bottom"/>
            <w:shd w:val="clear" w:color="auto" w:fill="E5E5E5"/>
          </w:tcPr>
          <w:p>
            <w:pPr>
              <w:spacing w:after="0"/>
              <w:rPr>
                <w:sz w:val="19"/>
                <w:szCs w:val="19"/>
                <w:color w:val="auto"/>
              </w:rPr>
            </w:pPr>
          </w:p>
        </w:tc>
        <w:tc>
          <w:tcPr>
            <w:tcW w:w="1000" w:type="dxa"/>
            <w:vAlign w:val="bottom"/>
            <w:gridSpan w:val="2"/>
            <w:shd w:val="clear" w:color="auto" w:fill="E5E5E5"/>
          </w:tcPr>
          <w:p>
            <w:pPr>
              <w:jc w:val="right"/>
              <w:ind w:right="160"/>
              <w:spacing w:after="0"/>
              <w:rPr>
                <w:sz w:val="20"/>
                <w:szCs w:val="20"/>
                <w:color w:val="auto"/>
              </w:rPr>
            </w:pPr>
            <w:r>
              <w:rPr>
                <w:rFonts w:ascii="Arial" w:cs="Arial" w:eastAsia="Arial" w:hAnsi="Arial"/>
                <w:sz w:val="18"/>
                <w:szCs w:val="18"/>
                <w:b w:val="1"/>
                <w:bCs w:val="1"/>
                <w:color w:val="auto"/>
              </w:rPr>
              <w:t>(111)</w:t>
            </w:r>
          </w:p>
        </w:tc>
        <w:tc>
          <w:tcPr>
            <w:tcW w:w="360" w:type="dxa"/>
            <w:vAlign w:val="bottom"/>
            <w:shd w:val="clear" w:color="auto" w:fill="E5E5E5"/>
          </w:tcPr>
          <w:p>
            <w:pPr>
              <w:spacing w:after="0"/>
              <w:rPr>
                <w:sz w:val="19"/>
                <w:szCs w:val="19"/>
                <w:color w:val="auto"/>
              </w:rPr>
            </w:pPr>
          </w:p>
        </w:tc>
        <w:tc>
          <w:tcPr>
            <w:tcW w:w="880" w:type="dxa"/>
            <w:vAlign w:val="bottom"/>
            <w:gridSpan w:val="2"/>
            <w:shd w:val="clear" w:color="auto" w:fill="E5E5E5"/>
          </w:tcPr>
          <w:p>
            <w:pPr>
              <w:jc w:val="right"/>
              <w:ind w:right="4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7480" w:type="dxa"/>
            <w:vAlign w:val="bottom"/>
          </w:tcPr>
          <w:p>
            <w:pPr>
              <w:spacing w:after="0"/>
              <w:rPr>
                <w:sz w:val="20"/>
                <w:szCs w:val="20"/>
                <w:color w:val="auto"/>
              </w:rPr>
            </w:pPr>
            <w:r>
              <w:rPr>
                <w:rFonts w:ascii="Arial" w:cs="Arial" w:eastAsia="Arial" w:hAnsi="Arial"/>
                <w:sz w:val="18"/>
                <w:szCs w:val="18"/>
                <w:color w:val="auto"/>
              </w:rPr>
              <w:t>Tax expense included in provision for income taxes</w:t>
            </w:r>
          </w:p>
        </w:tc>
        <w:tc>
          <w:tcPr>
            <w:tcW w:w="12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w:t>
            </w:r>
          </w:p>
        </w:tc>
        <w:tc>
          <w:tcPr>
            <w:tcW w:w="360" w:type="dxa"/>
            <w:vAlign w:val="bottom"/>
          </w:tcPr>
          <w:p>
            <w:pPr>
              <w:spacing w:after="0"/>
              <w:rPr>
                <w:sz w:val="22"/>
                <w:szCs w:val="22"/>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80" w:type="dxa"/>
            <w:vAlign w:val="bottom"/>
            <w:tcBorders>
              <w:top w:val="single" w:sz="8" w:color="auto"/>
            </w:tcBorders>
          </w:tcPr>
          <w:p>
            <w:pPr>
              <w:spacing w:after="0"/>
              <w:rPr>
                <w:sz w:val="5"/>
                <w:szCs w:val="5"/>
                <w:color w:val="auto"/>
              </w:rPr>
            </w:pPr>
          </w:p>
        </w:tc>
        <w:tc>
          <w:tcPr>
            <w:tcW w:w="1280" w:type="dxa"/>
            <w:vAlign w:val="bottom"/>
            <w:tcBorders>
              <w:top w:val="single" w:sz="8" w:color="auto"/>
            </w:tcBorders>
          </w:tcPr>
          <w:p>
            <w:pPr>
              <w:spacing w:after="0"/>
              <w:rPr>
                <w:sz w:val="5"/>
                <w:szCs w:val="5"/>
                <w:color w:val="auto"/>
              </w:rPr>
            </w:pPr>
          </w:p>
        </w:tc>
        <w:tc>
          <w:tcPr>
            <w:tcW w:w="360" w:type="dxa"/>
            <w:vAlign w:val="bottom"/>
            <w:tcBorders>
              <w:top w:val="single" w:sz="8" w:color="auto"/>
            </w:tcBorders>
          </w:tcPr>
          <w:p>
            <w:pPr>
              <w:spacing w:after="0"/>
              <w:rPr>
                <w:sz w:val="5"/>
                <w:szCs w:val="5"/>
                <w:color w:val="auto"/>
              </w:rPr>
            </w:pPr>
          </w:p>
        </w:tc>
        <w:tc>
          <w:tcPr>
            <w:tcW w:w="780" w:type="dxa"/>
            <w:vAlign w:val="bottom"/>
            <w:tcBorders>
              <w:top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360" w:type="dxa"/>
            <w:vAlign w:val="bottom"/>
            <w:tcBorders>
              <w:top w:val="single" w:sz="8" w:color="auto"/>
            </w:tcBorders>
          </w:tcPr>
          <w:p>
            <w:pPr>
              <w:spacing w:after="0"/>
              <w:rPr>
                <w:sz w:val="5"/>
                <w:szCs w:val="5"/>
                <w:color w:val="auto"/>
              </w:rPr>
            </w:pPr>
          </w:p>
        </w:tc>
        <w:tc>
          <w:tcPr>
            <w:tcW w:w="78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80" w:type="dxa"/>
            <w:vAlign w:val="bottom"/>
            <w:shd w:val="clear" w:color="auto" w:fill="E5E5E5"/>
          </w:tcPr>
          <w:p>
            <w:pPr>
              <w:ind w:left="200"/>
              <w:spacing w:after="0" w:line="202" w:lineRule="exact"/>
              <w:rPr>
                <w:sz w:val="20"/>
                <w:szCs w:val="20"/>
                <w:color w:val="auto"/>
              </w:rPr>
            </w:pPr>
            <w:r>
              <w:rPr>
                <w:rFonts w:ascii="Arial" w:cs="Arial" w:eastAsia="Arial" w:hAnsi="Arial"/>
                <w:sz w:val="18"/>
                <w:szCs w:val="18"/>
                <w:color w:val="auto"/>
              </w:rPr>
              <w:t>Amounts reclassified from accumulated other comprehensive income</w:t>
            </w:r>
          </w:p>
        </w:tc>
        <w:tc>
          <w:tcPr>
            <w:tcW w:w="1280" w:type="dxa"/>
            <w:vAlign w:val="bottom"/>
            <w:shd w:val="clear" w:color="auto" w:fill="E5E5E5"/>
          </w:tcPr>
          <w:p>
            <w:pPr>
              <w:spacing w:after="0"/>
              <w:rPr>
                <w:sz w:val="17"/>
                <w:szCs w:val="17"/>
                <w:color w:val="auto"/>
              </w:rPr>
            </w:pPr>
          </w:p>
        </w:tc>
        <w:tc>
          <w:tcPr>
            <w:tcW w:w="360" w:type="dxa"/>
            <w:vAlign w:val="bottom"/>
            <w:shd w:val="clear" w:color="auto" w:fill="E5E5E5"/>
          </w:tcPr>
          <w:p>
            <w:pPr>
              <w:spacing w:after="0"/>
              <w:rPr>
                <w:sz w:val="17"/>
                <w:szCs w:val="17"/>
                <w:color w:val="auto"/>
              </w:rPr>
            </w:pPr>
          </w:p>
        </w:tc>
        <w:tc>
          <w:tcPr>
            <w:tcW w:w="1000" w:type="dxa"/>
            <w:vAlign w:val="bottom"/>
            <w:gridSpan w:val="2"/>
            <w:shd w:val="clear" w:color="auto" w:fill="E5E5E5"/>
          </w:tcPr>
          <w:p>
            <w:pPr>
              <w:jc w:val="right"/>
              <w:ind w:right="160"/>
              <w:spacing w:after="0" w:line="202" w:lineRule="exact"/>
              <w:rPr>
                <w:sz w:val="20"/>
                <w:szCs w:val="20"/>
                <w:color w:val="auto"/>
              </w:rPr>
            </w:pPr>
            <w:r>
              <w:rPr>
                <w:rFonts w:ascii="Arial" w:cs="Arial" w:eastAsia="Arial" w:hAnsi="Arial"/>
                <w:sz w:val="18"/>
                <w:szCs w:val="18"/>
                <w:b w:val="1"/>
                <w:bCs w:val="1"/>
                <w:color w:val="auto"/>
              </w:rPr>
              <w:t>(110)</w:t>
            </w:r>
          </w:p>
        </w:tc>
        <w:tc>
          <w:tcPr>
            <w:tcW w:w="360" w:type="dxa"/>
            <w:vAlign w:val="bottom"/>
            <w:shd w:val="clear" w:color="auto" w:fill="E5E5E5"/>
          </w:tcPr>
          <w:p>
            <w:pPr>
              <w:spacing w:after="0"/>
              <w:rPr>
                <w:sz w:val="17"/>
                <w:szCs w:val="17"/>
                <w:color w:val="auto"/>
              </w:rPr>
            </w:pPr>
          </w:p>
        </w:tc>
        <w:tc>
          <w:tcPr>
            <w:tcW w:w="880" w:type="dxa"/>
            <w:vAlign w:val="bottom"/>
            <w:gridSpan w:val="2"/>
            <w:shd w:val="clear" w:color="auto" w:fill="E5E5E5"/>
          </w:tcPr>
          <w:p>
            <w:pPr>
              <w:jc w:val="right"/>
              <w:ind w:right="40"/>
              <w:spacing w:after="0" w:line="202" w:lineRule="exact"/>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8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7480" w:type="dxa"/>
            <w:vAlign w:val="bottom"/>
          </w:tcPr>
          <w:p>
            <w:pPr>
              <w:spacing w:after="0"/>
              <w:rPr>
                <w:sz w:val="5"/>
                <w:szCs w:val="5"/>
                <w:color w:val="auto"/>
              </w:rPr>
            </w:pPr>
          </w:p>
        </w:tc>
        <w:tc>
          <w:tcPr>
            <w:tcW w:w="1280" w:type="dxa"/>
            <w:vAlign w:val="bottom"/>
          </w:tcPr>
          <w:p>
            <w:pPr>
              <w:spacing w:after="0"/>
              <w:rPr>
                <w:sz w:val="5"/>
                <w:szCs w:val="5"/>
                <w:color w:val="auto"/>
              </w:rPr>
            </w:pPr>
          </w:p>
        </w:tc>
        <w:tc>
          <w:tcPr>
            <w:tcW w:w="360" w:type="dxa"/>
            <w:vAlign w:val="bottom"/>
          </w:tcPr>
          <w:p>
            <w:pPr>
              <w:spacing w:after="0"/>
              <w:rPr>
                <w:sz w:val="5"/>
                <w:szCs w:val="5"/>
                <w:color w:val="auto"/>
              </w:rPr>
            </w:pPr>
          </w:p>
        </w:tc>
        <w:tc>
          <w:tcPr>
            <w:tcW w:w="780" w:type="dxa"/>
            <w:vAlign w:val="bottom"/>
          </w:tcPr>
          <w:p>
            <w:pPr>
              <w:spacing w:after="0"/>
              <w:rPr>
                <w:sz w:val="5"/>
                <w:szCs w:val="5"/>
                <w:color w:val="auto"/>
              </w:rPr>
            </w:pPr>
          </w:p>
        </w:tc>
        <w:tc>
          <w:tcPr>
            <w:tcW w:w="220" w:type="dxa"/>
            <w:vAlign w:val="bottom"/>
          </w:tcPr>
          <w:p>
            <w:pPr>
              <w:spacing w:after="0"/>
              <w:rPr>
                <w:sz w:val="5"/>
                <w:szCs w:val="5"/>
                <w:color w:val="auto"/>
              </w:rPr>
            </w:pPr>
          </w:p>
        </w:tc>
        <w:tc>
          <w:tcPr>
            <w:tcW w:w="36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48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 xml:space="preserve">Net change related to derivatives, net of tax of </w:t>
            </w:r>
            <w:r>
              <w:rPr>
                <w:rFonts w:ascii="Arial" w:cs="Arial" w:eastAsia="Arial" w:hAnsi="Arial"/>
                <w:sz w:val="18"/>
                <w:szCs w:val="18"/>
                <w:b w:val="1"/>
                <w:bCs w:val="1"/>
                <w:color w:val="auto"/>
              </w:rPr>
              <w:t>$(1)</w:t>
            </w:r>
            <w:r>
              <w:rPr>
                <w:rFonts w:ascii="Arial" w:cs="Arial" w:eastAsia="Arial" w:hAnsi="Arial"/>
                <w:sz w:val="18"/>
                <w:szCs w:val="18"/>
                <w:color w:val="auto"/>
              </w:rPr>
              <w:t xml:space="preserve"> and $(2)</w:t>
            </w:r>
          </w:p>
        </w:tc>
        <w:tc>
          <w:tcPr>
            <w:tcW w:w="1280" w:type="dxa"/>
            <w:vAlign w:val="bottom"/>
            <w:shd w:val="clear" w:color="auto" w:fill="E5E5E5"/>
          </w:tcPr>
          <w:p>
            <w:pPr>
              <w:spacing w:after="0"/>
              <w:rPr>
                <w:sz w:val="17"/>
                <w:szCs w:val="17"/>
                <w:color w:val="auto"/>
              </w:rPr>
            </w:pPr>
          </w:p>
        </w:tc>
        <w:tc>
          <w:tcPr>
            <w:tcW w:w="360" w:type="dxa"/>
            <w:vAlign w:val="bottom"/>
            <w:shd w:val="clear" w:color="auto" w:fill="E5E5E5"/>
          </w:tcPr>
          <w:p>
            <w:pPr>
              <w:spacing w:after="0"/>
              <w:rPr>
                <w:sz w:val="17"/>
                <w:szCs w:val="17"/>
                <w:color w:val="auto"/>
              </w:rPr>
            </w:pPr>
          </w:p>
        </w:tc>
        <w:tc>
          <w:tcPr>
            <w:tcW w:w="1000" w:type="dxa"/>
            <w:vAlign w:val="bottom"/>
            <w:gridSpan w:val="2"/>
            <w:shd w:val="clear" w:color="auto" w:fill="E5E5E5"/>
          </w:tcPr>
          <w:p>
            <w:pPr>
              <w:jc w:val="right"/>
              <w:ind w:right="160"/>
              <w:spacing w:after="0" w:line="202" w:lineRule="exact"/>
              <w:rPr>
                <w:sz w:val="20"/>
                <w:szCs w:val="20"/>
                <w:color w:val="auto"/>
              </w:rPr>
            </w:pPr>
            <w:r>
              <w:rPr>
                <w:rFonts w:ascii="Arial" w:cs="Arial" w:eastAsia="Arial" w:hAnsi="Arial"/>
                <w:sz w:val="18"/>
                <w:szCs w:val="18"/>
                <w:b w:val="1"/>
                <w:bCs w:val="1"/>
                <w:color w:val="auto"/>
              </w:rPr>
              <w:t>(106)</w:t>
            </w:r>
          </w:p>
        </w:tc>
        <w:tc>
          <w:tcPr>
            <w:tcW w:w="360" w:type="dxa"/>
            <w:vAlign w:val="bottom"/>
            <w:shd w:val="clear" w:color="auto" w:fill="E5E5E5"/>
          </w:tcPr>
          <w:p>
            <w:pPr>
              <w:spacing w:after="0"/>
              <w:rPr>
                <w:sz w:val="17"/>
                <w:szCs w:val="17"/>
                <w:color w:val="auto"/>
              </w:rPr>
            </w:pPr>
          </w:p>
        </w:tc>
        <w:tc>
          <w:tcPr>
            <w:tcW w:w="880" w:type="dxa"/>
            <w:vAlign w:val="bottom"/>
            <w:gridSpan w:val="2"/>
            <w:shd w:val="clear" w:color="auto" w:fill="E5E5E5"/>
          </w:tcPr>
          <w:p>
            <w:pPr>
              <w:jc w:val="right"/>
              <w:ind w:right="40"/>
              <w:spacing w:after="0" w:line="202" w:lineRule="exact"/>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8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7480" w:type="dxa"/>
            <w:vAlign w:val="bottom"/>
          </w:tcPr>
          <w:p>
            <w:pPr>
              <w:spacing w:after="0"/>
              <w:rPr>
                <w:sz w:val="5"/>
                <w:szCs w:val="5"/>
                <w:color w:val="auto"/>
              </w:rPr>
            </w:pPr>
          </w:p>
        </w:tc>
        <w:tc>
          <w:tcPr>
            <w:tcW w:w="1280" w:type="dxa"/>
            <w:vAlign w:val="bottom"/>
          </w:tcPr>
          <w:p>
            <w:pPr>
              <w:spacing w:after="0"/>
              <w:rPr>
                <w:sz w:val="5"/>
                <w:szCs w:val="5"/>
                <w:color w:val="auto"/>
              </w:rPr>
            </w:pPr>
          </w:p>
        </w:tc>
        <w:tc>
          <w:tcPr>
            <w:tcW w:w="360" w:type="dxa"/>
            <w:vAlign w:val="bottom"/>
          </w:tcPr>
          <w:p>
            <w:pPr>
              <w:spacing w:after="0"/>
              <w:rPr>
                <w:sz w:val="5"/>
                <w:szCs w:val="5"/>
                <w:color w:val="auto"/>
              </w:rPr>
            </w:pPr>
          </w:p>
        </w:tc>
        <w:tc>
          <w:tcPr>
            <w:tcW w:w="780" w:type="dxa"/>
            <w:vAlign w:val="bottom"/>
          </w:tcPr>
          <w:p>
            <w:pPr>
              <w:spacing w:after="0"/>
              <w:rPr>
                <w:sz w:val="5"/>
                <w:szCs w:val="5"/>
                <w:color w:val="auto"/>
              </w:rPr>
            </w:pPr>
          </w:p>
        </w:tc>
        <w:tc>
          <w:tcPr>
            <w:tcW w:w="220" w:type="dxa"/>
            <w:vAlign w:val="bottom"/>
          </w:tcPr>
          <w:p>
            <w:pPr>
              <w:spacing w:after="0"/>
              <w:rPr>
                <w:sz w:val="5"/>
                <w:szCs w:val="5"/>
                <w:color w:val="auto"/>
              </w:rPr>
            </w:pPr>
          </w:p>
        </w:tc>
        <w:tc>
          <w:tcPr>
            <w:tcW w:w="36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48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Balance, end of period</w:t>
            </w:r>
          </w:p>
        </w:tc>
        <w:tc>
          <w:tcPr>
            <w:tcW w:w="1640" w:type="dxa"/>
            <w:vAlign w:val="bottom"/>
            <w:gridSpan w:val="2"/>
            <w:shd w:val="clear" w:color="auto" w:fill="E5E5E5"/>
          </w:tcPr>
          <w:p>
            <w:pPr>
              <w:jc w:val="right"/>
              <w:ind w:right="260"/>
              <w:spacing w:after="0" w:line="202" w:lineRule="exact"/>
              <w:rPr>
                <w:sz w:val="20"/>
                <w:szCs w:val="20"/>
                <w:color w:val="auto"/>
              </w:rPr>
            </w:pPr>
            <w:r>
              <w:rPr>
                <w:rFonts w:ascii="Arial" w:cs="Arial" w:eastAsia="Arial" w:hAnsi="Arial"/>
                <w:sz w:val="18"/>
                <w:szCs w:val="18"/>
                <w:b w:val="1"/>
                <w:bCs w:val="1"/>
                <w:color w:val="auto"/>
              </w:rPr>
              <w:t>$</w:t>
            </w:r>
          </w:p>
        </w:tc>
        <w:tc>
          <w:tcPr>
            <w:tcW w:w="1000" w:type="dxa"/>
            <w:vAlign w:val="bottom"/>
            <w:gridSpan w:val="2"/>
            <w:shd w:val="clear" w:color="auto" w:fill="E5E5E5"/>
          </w:tcPr>
          <w:p>
            <w:pPr>
              <w:jc w:val="right"/>
              <w:ind w:right="220"/>
              <w:spacing w:after="0" w:line="202" w:lineRule="exact"/>
              <w:rPr>
                <w:sz w:val="20"/>
                <w:szCs w:val="20"/>
                <w:color w:val="auto"/>
              </w:rPr>
            </w:pPr>
            <w:r>
              <w:rPr>
                <w:rFonts w:ascii="Arial" w:cs="Arial" w:eastAsia="Arial" w:hAnsi="Arial"/>
                <w:sz w:val="18"/>
                <w:szCs w:val="18"/>
                <w:b w:val="1"/>
                <w:bCs w:val="1"/>
                <w:color w:val="auto"/>
              </w:rPr>
              <w:t>28</w:t>
            </w:r>
          </w:p>
        </w:tc>
        <w:tc>
          <w:tcPr>
            <w:tcW w:w="360" w:type="dxa"/>
            <w:vAlign w:val="bottom"/>
            <w:shd w:val="clear" w:color="auto" w:fill="E5E5E5"/>
          </w:tcPr>
          <w:p>
            <w:pPr>
              <w:jc w:val="right"/>
              <w:ind w:right="170"/>
              <w:spacing w:after="0" w:line="202" w:lineRule="exact"/>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315</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8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3"/>
        </w:trPr>
        <w:tc>
          <w:tcPr>
            <w:tcW w:w="7500" w:type="dxa"/>
            <w:vAlign w:val="bottom"/>
            <w:gridSpan w:val="2"/>
          </w:tcPr>
          <w:p>
            <w:pPr>
              <w:spacing w:after="0"/>
              <w:rPr>
                <w:sz w:val="20"/>
                <w:szCs w:val="20"/>
                <w:color w:val="auto"/>
              </w:rPr>
            </w:pPr>
            <w:r>
              <w:rPr>
                <w:rFonts w:ascii="Arial" w:cs="Arial" w:eastAsia="Arial" w:hAnsi="Arial"/>
                <w:sz w:val="14"/>
                <w:szCs w:val="14"/>
                <w:b w:val="1"/>
                <w:bCs w:val="1"/>
                <w:color w:val="auto"/>
              </w:rPr>
              <w:t>Investments</w:t>
            </w:r>
          </w:p>
        </w:tc>
        <w:tc>
          <w:tcPr>
            <w:tcW w:w="1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
        </w:trPr>
        <w:tc>
          <w:tcPr>
            <w:tcW w:w="20" w:type="dxa"/>
            <w:vAlign w:val="bottom"/>
            <w:vMerge w:val="restart"/>
          </w:tcPr>
          <w:p>
            <w:pPr>
              <w:spacing w:after="0"/>
              <w:rPr>
                <w:sz w:val="3"/>
                <w:szCs w:val="3"/>
                <w:color w:val="auto"/>
              </w:rPr>
            </w:pPr>
          </w:p>
        </w:tc>
        <w:tc>
          <w:tcPr>
            <w:tcW w:w="74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360" w:type="dxa"/>
            <w:vAlign w:val="bottom"/>
          </w:tcPr>
          <w:p>
            <w:pPr>
              <w:spacing w:after="0"/>
              <w:rPr>
                <w:sz w:val="3"/>
                <w:szCs w:val="3"/>
                <w:color w:val="auto"/>
              </w:rPr>
            </w:pPr>
          </w:p>
        </w:tc>
        <w:tc>
          <w:tcPr>
            <w:tcW w:w="780" w:type="dxa"/>
            <w:vAlign w:val="bottom"/>
          </w:tcPr>
          <w:p>
            <w:pPr>
              <w:spacing w:after="0"/>
              <w:rPr>
                <w:sz w:val="3"/>
                <w:szCs w:val="3"/>
                <w:color w:val="auto"/>
              </w:rPr>
            </w:pPr>
          </w:p>
        </w:tc>
        <w:tc>
          <w:tcPr>
            <w:tcW w:w="220" w:type="dxa"/>
            <w:vAlign w:val="bottom"/>
          </w:tcPr>
          <w:p>
            <w:pPr>
              <w:spacing w:after="0"/>
              <w:rPr>
                <w:sz w:val="3"/>
                <w:szCs w:val="3"/>
                <w:color w:val="auto"/>
              </w:rPr>
            </w:pPr>
          </w:p>
        </w:tc>
        <w:tc>
          <w:tcPr>
            <w:tcW w:w="36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48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Balance, beginning of period</w:t>
            </w:r>
          </w:p>
        </w:tc>
        <w:tc>
          <w:tcPr>
            <w:tcW w:w="1640" w:type="dxa"/>
            <w:vAlign w:val="bottom"/>
            <w:gridSpan w:val="2"/>
            <w:shd w:val="clear" w:color="auto" w:fill="E5E5E5"/>
          </w:tcPr>
          <w:p>
            <w:pPr>
              <w:jc w:val="right"/>
              <w:ind w:right="260"/>
              <w:spacing w:after="0" w:line="202" w:lineRule="exact"/>
              <w:rPr>
                <w:sz w:val="20"/>
                <w:szCs w:val="20"/>
                <w:color w:val="auto"/>
              </w:rPr>
            </w:pPr>
            <w:r>
              <w:rPr>
                <w:rFonts w:ascii="Arial" w:cs="Arial" w:eastAsia="Arial" w:hAnsi="Arial"/>
                <w:sz w:val="18"/>
                <w:szCs w:val="18"/>
                <w:b w:val="1"/>
                <w:bCs w:val="1"/>
                <w:color w:val="auto"/>
              </w:rPr>
              <w:t>$</w:t>
            </w:r>
          </w:p>
        </w:tc>
        <w:tc>
          <w:tcPr>
            <w:tcW w:w="1000" w:type="dxa"/>
            <w:vAlign w:val="bottom"/>
            <w:gridSpan w:val="2"/>
            <w:shd w:val="clear" w:color="auto" w:fill="E5E5E5"/>
          </w:tcPr>
          <w:p>
            <w:pPr>
              <w:jc w:val="right"/>
              <w:ind w:right="220"/>
              <w:spacing w:after="0" w:line="202" w:lineRule="exact"/>
              <w:rPr>
                <w:sz w:val="20"/>
                <w:szCs w:val="20"/>
                <w:color w:val="auto"/>
              </w:rPr>
            </w:pPr>
            <w:r>
              <w:rPr>
                <w:rFonts w:ascii="Arial" w:cs="Arial" w:eastAsia="Arial" w:hAnsi="Arial"/>
                <w:sz w:val="18"/>
                <w:szCs w:val="18"/>
                <w:b w:val="1"/>
                <w:bCs w:val="1"/>
                <w:color w:val="auto"/>
              </w:rPr>
              <w:t>1,825</w:t>
            </w:r>
          </w:p>
        </w:tc>
        <w:tc>
          <w:tcPr>
            <w:tcW w:w="360" w:type="dxa"/>
            <w:vAlign w:val="bottom"/>
            <w:shd w:val="clear" w:color="auto" w:fill="E5E5E5"/>
          </w:tcPr>
          <w:p>
            <w:pPr>
              <w:jc w:val="right"/>
              <w:ind w:right="170"/>
              <w:spacing w:after="0" w:line="202" w:lineRule="exact"/>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2,941</w:t>
            </w: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480" w:type="dxa"/>
            <w:vAlign w:val="bottom"/>
          </w:tcPr>
          <w:p>
            <w:pPr>
              <w:spacing w:after="0"/>
              <w:rPr>
                <w:sz w:val="20"/>
                <w:szCs w:val="20"/>
                <w:color w:val="auto"/>
              </w:rPr>
            </w:pPr>
            <w:r>
              <w:rPr>
                <w:rFonts w:ascii="Arial" w:cs="Arial" w:eastAsia="Arial" w:hAnsi="Arial"/>
                <w:sz w:val="18"/>
                <w:szCs w:val="18"/>
                <w:color w:val="auto"/>
              </w:rPr>
              <w:t xml:space="preserve">Unrealized gains, net of tax effects of </w:t>
            </w:r>
            <w:r>
              <w:rPr>
                <w:rFonts w:ascii="Arial" w:cs="Arial" w:eastAsia="Arial" w:hAnsi="Arial"/>
                <w:sz w:val="18"/>
                <w:szCs w:val="18"/>
                <w:b w:val="1"/>
                <w:bCs w:val="1"/>
                <w:color w:val="auto"/>
              </w:rPr>
              <w:t>$50</w:t>
            </w:r>
            <w:r>
              <w:rPr>
                <w:rFonts w:ascii="Arial" w:cs="Arial" w:eastAsia="Arial" w:hAnsi="Arial"/>
                <w:sz w:val="18"/>
                <w:szCs w:val="18"/>
                <w:color w:val="auto"/>
              </w:rPr>
              <w:t xml:space="preserve"> and $182</w:t>
            </w:r>
          </w:p>
        </w:tc>
        <w:tc>
          <w:tcPr>
            <w:tcW w:w="12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73</w:t>
            </w:r>
          </w:p>
        </w:tc>
        <w:tc>
          <w:tcPr>
            <w:tcW w:w="360" w:type="dxa"/>
            <w:vAlign w:val="bottom"/>
          </w:tcPr>
          <w:p>
            <w:pPr>
              <w:spacing w:after="0"/>
              <w:rPr>
                <w:sz w:val="23"/>
                <w:szCs w:val="23"/>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339</w:t>
            </w:r>
          </w:p>
        </w:tc>
        <w:tc>
          <w:tcPr>
            <w:tcW w:w="0" w:type="dxa"/>
            <w:vAlign w:val="bottom"/>
          </w:tcPr>
          <w:p>
            <w:pPr>
              <w:spacing w:after="0"/>
              <w:rPr>
                <w:sz w:val="1"/>
                <w:szCs w:val="1"/>
                <w:color w:val="auto"/>
              </w:rPr>
            </w:pPr>
          </w:p>
        </w:tc>
      </w:tr>
      <w:tr>
        <w:trPr>
          <w:trHeight w:val="42"/>
        </w:trPr>
        <w:tc>
          <w:tcPr>
            <w:tcW w:w="20" w:type="dxa"/>
            <w:vAlign w:val="bottom"/>
            <w:vMerge w:val="restart"/>
          </w:tcPr>
          <w:p>
            <w:pPr>
              <w:spacing w:after="0"/>
              <w:rPr>
                <w:sz w:val="3"/>
                <w:szCs w:val="3"/>
                <w:color w:val="auto"/>
              </w:rPr>
            </w:pPr>
          </w:p>
        </w:tc>
        <w:tc>
          <w:tcPr>
            <w:tcW w:w="74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360" w:type="dxa"/>
            <w:vAlign w:val="bottom"/>
          </w:tcPr>
          <w:p>
            <w:pPr>
              <w:spacing w:after="0"/>
              <w:rPr>
                <w:sz w:val="3"/>
                <w:szCs w:val="3"/>
                <w:color w:val="auto"/>
              </w:rPr>
            </w:pPr>
          </w:p>
        </w:tc>
        <w:tc>
          <w:tcPr>
            <w:tcW w:w="780" w:type="dxa"/>
            <w:vAlign w:val="bottom"/>
          </w:tcPr>
          <w:p>
            <w:pPr>
              <w:spacing w:after="0"/>
              <w:rPr>
                <w:sz w:val="3"/>
                <w:szCs w:val="3"/>
                <w:color w:val="auto"/>
              </w:rPr>
            </w:pPr>
          </w:p>
        </w:tc>
        <w:tc>
          <w:tcPr>
            <w:tcW w:w="220" w:type="dxa"/>
            <w:vAlign w:val="bottom"/>
          </w:tcPr>
          <w:p>
            <w:pPr>
              <w:spacing w:after="0"/>
              <w:rPr>
                <w:sz w:val="3"/>
                <w:szCs w:val="3"/>
                <w:color w:val="auto"/>
              </w:rPr>
            </w:pPr>
          </w:p>
        </w:tc>
        <w:tc>
          <w:tcPr>
            <w:tcW w:w="36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48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Reclassification adjustments for gains included in other income (expense), net</w:t>
            </w:r>
          </w:p>
        </w:tc>
        <w:tc>
          <w:tcPr>
            <w:tcW w:w="1280" w:type="dxa"/>
            <w:vAlign w:val="bottom"/>
            <w:shd w:val="clear" w:color="auto" w:fill="E5E5E5"/>
          </w:tcPr>
          <w:p>
            <w:pPr>
              <w:spacing w:after="0"/>
              <w:rPr>
                <w:sz w:val="17"/>
                <w:szCs w:val="17"/>
                <w:color w:val="auto"/>
              </w:rPr>
            </w:pPr>
          </w:p>
        </w:tc>
        <w:tc>
          <w:tcPr>
            <w:tcW w:w="360" w:type="dxa"/>
            <w:vAlign w:val="bottom"/>
            <w:shd w:val="clear" w:color="auto" w:fill="E5E5E5"/>
          </w:tcPr>
          <w:p>
            <w:pPr>
              <w:spacing w:after="0"/>
              <w:rPr>
                <w:sz w:val="17"/>
                <w:szCs w:val="17"/>
                <w:color w:val="auto"/>
              </w:rPr>
            </w:pPr>
          </w:p>
        </w:tc>
        <w:tc>
          <w:tcPr>
            <w:tcW w:w="1000" w:type="dxa"/>
            <w:vAlign w:val="bottom"/>
            <w:gridSpan w:val="2"/>
            <w:shd w:val="clear" w:color="auto" w:fill="E5E5E5"/>
          </w:tcPr>
          <w:p>
            <w:pPr>
              <w:jc w:val="right"/>
              <w:ind w:right="160"/>
              <w:spacing w:after="0" w:line="202" w:lineRule="exact"/>
              <w:rPr>
                <w:sz w:val="20"/>
                <w:szCs w:val="20"/>
                <w:color w:val="auto"/>
              </w:rPr>
            </w:pPr>
            <w:r>
              <w:rPr>
                <w:rFonts w:ascii="Arial" w:cs="Arial" w:eastAsia="Arial" w:hAnsi="Arial"/>
                <w:sz w:val="18"/>
                <w:szCs w:val="18"/>
                <w:b w:val="1"/>
                <w:bCs w:val="1"/>
                <w:color w:val="auto"/>
              </w:rPr>
              <w:t>(555)</w:t>
            </w:r>
          </w:p>
        </w:tc>
        <w:tc>
          <w:tcPr>
            <w:tcW w:w="360" w:type="dxa"/>
            <w:vAlign w:val="bottom"/>
            <w:shd w:val="clear" w:color="auto" w:fill="E5E5E5"/>
          </w:tcPr>
          <w:p>
            <w:pPr>
              <w:spacing w:after="0"/>
              <w:rPr>
                <w:sz w:val="17"/>
                <w:szCs w:val="17"/>
                <w:color w:val="auto"/>
              </w:rPr>
            </w:pPr>
          </w:p>
        </w:tc>
        <w:tc>
          <w:tcPr>
            <w:tcW w:w="880" w:type="dxa"/>
            <w:vAlign w:val="bottom"/>
            <w:gridSpan w:val="2"/>
            <w:shd w:val="clear" w:color="auto" w:fill="E5E5E5"/>
          </w:tcPr>
          <w:p>
            <w:pPr>
              <w:jc w:val="right"/>
              <w:ind w:right="40"/>
              <w:spacing w:after="0" w:line="202" w:lineRule="exact"/>
              <w:rPr>
                <w:sz w:val="20"/>
                <w:szCs w:val="20"/>
                <w:color w:val="auto"/>
              </w:rPr>
            </w:pPr>
            <w:r>
              <w:rPr>
                <w:rFonts w:ascii="Arial" w:cs="Arial" w:eastAsia="Arial" w:hAnsi="Arial"/>
                <w:sz w:val="18"/>
                <w:szCs w:val="18"/>
                <w:color w:val="auto"/>
              </w:rPr>
              <w:t>(394)</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7480" w:type="dxa"/>
            <w:vAlign w:val="bottom"/>
          </w:tcPr>
          <w:p>
            <w:pPr>
              <w:spacing w:after="0"/>
              <w:rPr>
                <w:sz w:val="20"/>
                <w:szCs w:val="20"/>
                <w:color w:val="auto"/>
              </w:rPr>
            </w:pPr>
            <w:r>
              <w:rPr>
                <w:rFonts w:ascii="Arial" w:cs="Arial" w:eastAsia="Arial" w:hAnsi="Arial"/>
                <w:sz w:val="18"/>
                <w:szCs w:val="18"/>
                <w:color w:val="auto"/>
              </w:rPr>
              <w:t>Tax expense included in provision for income taxes</w:t>
            </w:r>
          </w:p>
        </w:tc>
        <w:tc>
          <w:tcPr>
            <w:tcW w:w="12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194</w:t>
            </w:r>
          </w:p>
        </w:tc>
        <w:tc>
          <w:tcPr>
            <w:tcW w:w="360" w:type="dxa"/>
            <w:vAlign w:val="bottom"/>
          </w:tcPr>
          <w:p>
            <w:pPr>
              <w:spacing w:after="0"/>
              <w:rPr>
                <w:sz w:val="22"/>
                <w:szCs w:val="22"/>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80" w:type="dxa"/>
            <w:vAlign w:val="bottom"/>
            <w:tcBorders>
              <w:top w:val="single" w:sz="8" w:color="auto"/>
            </w:tcBorders>
          </w:tcPr>
          <w:p>
            <w:pPr>
              <w:spacing w:after="0"/>
              <w:rPr>
                <w:sz w:val="5"/>
                <w:szCs w:val="5"/>
                <w:color w:val="auto"/>
              </w:rPr>
            </w:pPr>
          </w:p>
        </w:tc>
        <w:tc>
          <w:tcPr>
            <w:tcW w:w="1280" w:type="dxa"/>
            <w:vAlign w:val="bottom"/>
            <w:tcBorders>
              <w:top w:val="single" w:sz="8" w:color="auto"/>
            </w:tcBorders>
          </w:tcPr>
          <w:p>
            <w:pPr>
              <w:spacing w:after="0"/>
              <w:rPr>
                <w:sz w:val="5"/>
                <w:szCs w:val="5"/>
                <w:color w:val="auto"/>
              </w:rPr>
            </w:pPr>
          </w:p>
        </w:tc>
        <w:tc>
          <w:tcPr>
            <w:tcW w:w="360" w:type="dxa"/>
            <w:vAlign w:val="bottom"/>
            <w:tcBorders>
              <w:top w:val="single" w:sz="8" w:color="auto"/>
            </w:tcBorders>
          </w:tcPr>
          <w:p>
            <w:pPr>
              <w:spacing w:after="0"/>
              <w:rPr>
                <w:sz w:val="5"/>
                <w:szCs w:val="5"/>
                <w:color w:val="auto"/>
              </w:rPr>
            </w:pPr>
          </w:p>
        </w:tc>
        <w:tc>
          <w:tcPr>
            <w:tcW w:w="780" w:type="dxa"/>
            <w:vAlign w:val="bottom"/>
            <w:tcBorders>
              <w:top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360" w:type="dxa"/>
            <w:vAlign w:val="bottom"/>
            <w:tcBorders>
              <w:top w:val="single" w:sz="8" w:color="auto"/>
            </w:tcBorders>
          </w:tcPr>
          <w:p>
            <w:pPr>
              <w:spacing w:after="0"/>
              <w:rPr>
                <w:sz w:val="5"/>
                <w:szCs w:val="5"/>
                <w:color w:val="auto"/>
              </w:rPr>
            </w:pPr>
          </w:p>
        </w:tc>
        <w:tc>
          <w:tcPr>
            <w:tcW w:w="78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80" w:type="dxa"/>
            <w:vAlign w:val="bottom"/>
            <w:shd w:val="clear" w:color="auto" w:fill="E5E5E5"/>
          </w:tcPr>
          <w:p>
            <w:pPr>
              <w:ind w:left="200"/>
              <w:spacing w:after="0" w:line="202" w:lineRule="exact"/>
              <w:rPr>
                <w:sz w:val="20"/>
                <w:szCs w:val="20"/>
                <w:color w:val="auto"/>
              </w:rPr>
            </w:pPr>
            <w:r>
              <w:rPr>
                <w:rFonts w:ascii="Arial" w:cs="Arial" w:eastAsia="Arial" w:hAnsi="Arial"/>
                <w:sz w:val="18"/>
                <w:szCs w:val="18"/>
                <w:color w:val="auto"/>
              </w:rPr>
              <w:t>Amounts reclassified from accumulated other comprehensive income</w:t>
            </w:r>
          </w:p>
        </w:tc>
        <w:tc>
          <w:tcPr>
            <w:tcW w:w="1280" w:type="dxa"/>
            <w:vAlign w:val="bottom"/>
            <w:shd w:val="clear" w:color="auto" w:fill="E5E5E5"/>
          </w:tcPr>
          <w:p>
            <w:pPr>
              <w:spacing w:after="0"/>
              <w:rPr>
                <w:sz w:val="17"/>
                <w:szCs w:val="17"/>
                <w:color w:val="auto"/>
              </w:rPr>
            </w:pPr>
          </w:p>
        </w:tc>
        <w:tc>
          <w:tcPr>
            <w:tcW w:w="360" w:type="dxa"/>
            <w:vAlign w:val="bottom"/>
            <w:shd w:val="clear" w:color="auto" w:fill="E5E5E5"/>
          </w:tcPr>
          <w:p>
            <w:pPr>
              <w:spacing w:after="0"/>
              <w:rPr>
                <w:sz w:val="17"/>
                <w:szCs w:val="17"/>
                <w:color w:val="auto"/>
              </w:rPr>
            </w:pPr>
          </w:p>
        </w:tc>
        <w:tc>
          <w:tcPr>
            <w:tcW w:w="1000" w:type="dxa"/>
            <w:vAlign w:val="bottom"/>
            <w:gridSpan w:val="2"/>
            <w:shd w:val="clear" w:color="auto" w:fill="E5E5E5"/>
          </w:tcPr>
          <w:p>
            <w:pPr>
              <w:jc w:val="right"/>
              <w:ind w:right="160"/>
              <w:spacing w:after="0" w:line="202" w:lineRule="exact"/>
              <w:rPr>
                <w:sz w:val="20"/>
                <w:szCs w:val="20"/>
                <w:color w:val="auto"/>
              </w:rPr>
            </w:pPr>
            <w:r>
              <w:rPr>
                <w:rFonts w:ascii="Arial" w:cs="Arial" w:eastAsia="Arial" w:hAnsi="Arial"/>
                <w:sz w:val="18"/>
                <w:szCs w:val="18"/>
                <w:b w:val="1"/>
                <w:bCs w:val="1"/>
                <w:color w:val="auto"/>
              </w:rPr>
              <w:t>(361)</w:t>
            </w:r>
          </w:p>
        </w:tc>
        <w:tc>
          <w:tcPr>
            <w:tcW w:w="360" w:type="dxa"/>
            <w:vAlign w:val="bottom"/>
            <w:shd w:val="clear" w:color="auto" w:fill="E5E5E5"/>
          </w:tcPr>
          <w:p>
            <w:pPr>
              <w:spacing w:after="0"/>
              <w:rPr>
                <w:sz w:val="17"/>
                <w:szCs w:val="17"/>
                <w:color w:val="auto"/>
              </w:rPr>
            </w:pPr>
          </w:p>
        </w:tc>
        <w:tc>
          <w:tcPr>
            <w:tcW w:w="880" w:type="dxa"/>
            <w:vAlign w:val="bottom"/>
            <w:gridSpan w:val="2"/>
            <w:shd w:val="clear" w:color="auto" w:fill="E5E5E5"/>
          </w:tcPr>
          <w:p>
            <w:pPr>
              <w:jc w:val="right"/>
              <w:ind w:right="40"/>
              <w:spacing w:after="0" w:line="202" w:lineRule="exact"/>
              <w:rPr>
                <w:sz w:val="20"/>
                <w:szCs w:val="20"/>
                <w:color w:val="auto"/>
              </w:rPr>
            </w:pPr>
            <w:r>
              <w:rPr>
                <w:rFonts w:ascii="Arial" w:cs="Arial" w:eastAsia="Arial" w:hAnsi="Arial"/>
                <w:sz w:val="18"/>
                <w:szCs w:val="18"/>
                <w:color w:val="auto"/>
              </w:rPr>
              <w:t>(256)</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8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7480" w:type="dxa"/>
            <w:vAlign w:val="bottom"/>
          </w:tcPr>
          <w:p>
            <w:pPr>
              <w:spacing w:after="0"/>
              <w:rPr>
                <w:sz w:val="5"/>
                <w:szCs w:val="5"/>
                <w:color w:val="auto"/>
              </w:rPr>
            </w:pPr>
          </w:p>
        </w:tc>
        <w:tc>
          <w:tcPr>
            <w:tcW w:w="1280" w:type="dxa"/>
            <w:vAlign w:val="bottom"/>
          </w:tcPr>
          <w:p>
            <w:pPr>
              <w:spacing w:after="0"/>
              <w:rPr>
                <w:sz w:val="5"/>
                <w:szCs w:val="5"/>
                <w:color w:val="auto"/>
              </w:rPr>
            </w:pPr>
          </w:p>
        </w:tc>
        <w:tc>
          <w:tcPr>
            <w:tcW w:w="360" w:type="dxa"/>
            <w:vAlign w:val="bottom"/>
          </w:tcPr>
          <w:p>
            <w:pPr>
              <w:spacing w:after="0"/>
              <w:rPr>
                <w:sz w:val="5"/>
                <w:szCs w:val="5"/>
                <w:color w:val="auto"/>
              </w:rPr>
            </w:pPr>
          </w:p>
        </w:tc>
        <w:tc>
          <w:tcPr>
            <w:tcW w:w="780" w:type="dxa"/>
            <w:vAlign w:val="bottom"/>
          </w:tcPr>
          <w:p>
            <w:pPr>
              <w:spacing w:after="0"/>
              <w:rPr>
                <w:sz w:val="5"/>
                <w:szCs w:val="5"/>
                <w:color w:val="auto"/>
              </w:rPr>
            </w:pPr>
          </w:p>
        </w:tc>
        <w:tc>
          <w:tcPr>
            <w:tcW w:w="220" w:type="dxa"/>
            <w:vAlign w:val="bottom"/>
          </w:tcPr>
          <w:p>
            <w:pPr>
              <w:spacing w:after="0"/>
              <w:rPr>
                <w:sz w:val="5"/>
                <w:szCs w:val="5"/>
                <w:color w:val="auto"/>
              </w:rPr>
            </w:pPr>
          </w:p>
        </w:tc>
        <w:tc>
          <w:tcPr>
            <w:tcW w:w="36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7480" w:type="dxa"/>
            <w:vAlign w:val="bottom"/>
            <w:shd w:val="clear" w:color="auto" w:fill="E5E5E5"/>
          </w:tcPr>
          <w:p>
            <w:pPr>
              <w:spacing w:after="0"/>
              <w:rPr>
                <w:sz w:val="20"/>
                <w:szCs w:val="20"/>
                <w:color w:val="auto"/>
              </w:rPr>
            </w:pPr>
            <w:r>
              <w:rPr>
                <w:rFonts w:ascii="Arial" w:cs="Arial" w:eastAsia="Arial" w:hAnsi="Arial"/>
                <w:sz w:val="18"/>
                <w:szCs w:val="18"/>
                <w:color w:val="auto"/>
              </w:rPr>
              <w:t xml:space="preserve">Net change related to investments, net of tax of </w:t>
            </w:r>
            <w:r>
              <w:rPr>
                <w:rFonts w:ascii="Arial" w:cs="Arial" w:eastAsia="Arial" w:hAnsi="Arial"/>
                <w:sz w:val="18"/>
                <w:szCs w:val="18"/>
                <w:b w:val="1"/>
                <w:bCs w:val="1"/>
                <w:color w:val="auto"/>
              </w:rPr>
              <w:t>$(144)</w:t>
            </w:r>
            <w:r>
              <w:rPr>
                <w:rFonts w:ascii="Arial" w:cs="Arial" w:eastAsia="Arial" w:hAnsi="Arial"/>
                <w:sz w:val="18"/>
                <w:szCs w:val="18"/>
                <w:color w:val="auto"/>
              </w:rPr>
              <w:t xml:space="preserve"> and $44</w:t>
            </w:r>
          </w:p>
        </w:tc>
        <w:tc>
          <w:tcPr>
            <w:tcW w:w="1280" w:type="dxa"/>
            <w:vAlign w:val="bottom"/>
            <w:shd w:val="clear" w:color="auto" w:fill="E5E5E5"/>
          </w:tcPr>
          <w:p>
            <w:pPr>
              <w:spacing w:after="0"/>
              <w:rPr>
                <w:sz w:val="21"/>
                <w:szCs w:val="21"/>
                <w:color w:val="auto"/>
              </w:rPr>
            </w:pPr>
          </w:p>
        </w:tc>
        <w:tc>
          <w:tcPr>
            <w:tcW w:w="360" w:type="dxa"/>
            <w:vAlign w:val="bottom"/>
            <w:shd w:val="clear" w:color="auto" w:fill="E5E5E5"/>
          </w:tcPr>
          <w:p>
            <w:pPr>
              <w:spacing w:after="0"/>
              <w:rPr>
                <w:sz w:val="21"/>
                <w:szCs w:val="21"/>
                <w:color w:val="auto"/>
              </w:rPr>
            </w:pPr>
          </w:p>
        </w:tc>
        <w:tc>
          <w:tcPr>
            <w:tcW w:w="1000" w:type="dxa"/>
            <w:vAlign w:val="bottom"/>
            <w:gridSpan w:val="2"/>
            <w:shd w:val="clear" w:color="auto" w:fill="E5E5E5"/>
          </w:tcPr>
          <w:p>
            <w:pPr>
              <w:jc w:val="right"/>
              <w:ind w:right="160"/>
              <w:spacing w:after="0"/>
              <w:rPr>
                <w:sz w:val="20"/>
                <w:szCs w:val="20"/>
                <w:color w:val="auto"/>
              </w:rPr>
            </w:pPr>
            <w:r>
              <w:rPr>
                <w:rFonts w:ascii="Arial" w:cs="Arial" w:eastAsia="Arial" w:hAnsi="Arial"/>
                <w:sz w:val="18"/>
                <w:szCs w:val="18"/>
                <w:b w:val="1"/>
                <w:bCs w:val="1"/>
                <w:color w:val="auto"/>
              </w:rPr>
              <w:t>(288)</w:t>
            </w:r>
          </w:p>
        </w:tc>
        <w:tc>
          <w:tcPr>
            <w:tcW w:w="360" w:type="dxa"/>
            <w:vAlign w:val="bottom"/>
            <w:shd w:val="clear" w:color="auto" w:fill="E5E5E5"/>
          </w:tcPr>
          <w:p>
            <w:pPr>
              <w:spacing w:after="0"/>
              <w:rPr>
                <w:sz w:val="21"/>
                <w:szCs w:val="21"/>
                <w:color w:val="auto"/>
              </w:rPr>
            </w:pPr>
          </w:p>
        </w:tc>
        <w:tc>
          <w:tcPr>
            <w:tcW w:w="880" w:type="dxa"/>
            <w:vAlign w:val="bottom"/>
            <w:gridSpan w:val="2"/>
            <w:shd w:val="clear" w:color="auto" w:fill="E5E5E5"/>
          </w:tcPr>
          <w:p>
            <w:pPr>
              <w:jc w:val="right"/>
              <w:ind w:right="10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8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7480" w:type="dxa"/>
            <w:vAlign w:val="bottom"/>
          </w:tcPr>
          <w:p>
            <w:pPr>
              <w:spacing w:after="0"/>
              <w:rPr>
                <w:sz w:val="5"/>
                <w:szCs w:val="5"/>
                <w:color w:val="auto"/>
              </w:rPr>
            </w:pPr>
          </w:p>
        </w:tc>
        <w:tc>
          <w:tcPr>
            <w:tcW w:w="1280" w:type="dxa"/>
            <w:vAlign w:val="bottom"/>
          </w:tcPr>
          <w:p>
            <w:pPr>
              <w:spacing w:after="0"/>
              <w:rPr>
                <w:sz w:val="5"/>
                <w:szCs w:val="5"/>
                <w:color w:val="auto"/>
              </w:rPr>
            </w:pPr>
          </w:p>
        </w:tc>
        <w:tc>
          <w:tcPr>
            <w:tcW w:w="360" w:type="dxa"/>
            <w:vAlign w:val="bottom"/>
          </w:tcPr>
          <w:p>
            <w:pPr>
              <w:spacing w:after="0"/>
              <w:rPr>
                <w:sz w:val="5"/>
                <w:szCs w:val="5"/>
                <w:color w:val="auto"/>
              </w:rPr>
            </w:pPr>
          </w:p>
        </w:tc>
        <w:tc>
          <w:tcPr>
            <w:tcW w:w="780" w:type="dxa"/>
            <w:vAlign w:val="bottom"/>
          </w:tcPr>
          <w:p>
            <w:pPr>
              <w:spacing w:after="0"/>
              <w:rPr>
                <w:sz w:val="5"/>
                <w:szCs w:val="5"/>
                <w:color w:val="auto"/>
              </w:rPr>
            </w:pPr>
          </w:p>
        </w:tc>
        <w:tc>
          <w:tcPr>
            <w:tcW w:w="220" w:type="dxa"/>
            <w:vAlign w:val="bottom"/>
          </w:tcPr>
          <w:p>
            <w:pPr>
              <w:spacing w:after="0"/>
              <w:rPr>
                <w:sz w:val="5"/>
                <w:szCs w:val="5"/>
                <w:color w:val="auto"/>
              </w:rPr>
            </w:pPr>
          </w:p>
        </w:tc>
        <w:tc>
          <w:tcPr>
            <w:tcW w:w="36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48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Balance, end of period</w:t>
            </w:r>
          </w:p>
        </w:tc>
        <w:tc>
          <w:tcPr>
            <w:tcW w:w="1640" w:type="dxa"/>
            <w:vAlign w:val="bottom"/>
            <w:gridSpan w:val="2"/>
            <w:shd w:val="clear" w:color="auto" w:fill="E5E5E5"/>
          </w:tcPr>
          <w:p>
            <w:pPr>
              <w:jc w:val="right"/>
              <w:ind w:right="260"/>
              <w:spacing w:after="0" w:line="202" w:lineRule="exact"/>
              <w:rPr>
                <w:sz w:val="20"/>
                <w:szCs w:val="20"/>
                <w:color w:val="auto"/>
              </w:rPr>
            </w:pPr>
            <w:r>
              <w:rPr>
                <w:rFonts w:ascii="Arial" w:cs="Arial" w:eastAsia="Arial" w:hAnsi="Arial"/>
                <w:sz w:val="18"/>
                <w:szCs w:val="18"/>
                <w:b w:val="1"/>
                <w:bCs w:val="1"/>
                <w:color w:val="auto"/>
              </w:rPr>
              <w:t>$</w:t>
            </w:r>
          </w:p>
        </w:tc>
        <w:tc>
          <w:tcPr>
            <w:tcW w:w="1000" w:type="dxa"/>
            <w:vAlign w:val="bottom"/>
            <w:gridSpan w:val="2"/>
            <w:shd w:val="clear" w:color="auto" w:fill="E5E5E5"/>
          </w:tcPr>
          <w:p>
            <w:pPr>
              <w:jc w:val="right"/>
              <w:ind w:right="220"/>
              <w:spacing w:after="0" w:line="202" w:lineRule="exact"/>
              <w:rPr>
                <w:sz w:val="20"/>
                <w:szCs w:val="20"/>
                <w:color w:val="auto"/>
              </w:rPr>
            </w:pPr>
            <w:r>
              <w:rPr>
                <w:rFonts w:ascii="Arial" w:cs="Arial" w:eastAsia="Arial" w:hAnsi="Arial"/>
                <w:sz w:val="18"/>
                <w:szCs w:val="18"/>
                <w:b w:val="1"/>
                <w:bCs w:val="1"/>
                <w:color w:val="auto"/>
              </w:rPr>
              <w:t>1,537</w:t>
            </w:r>
          </w:p>
        </w:tc>
        <w:tc>
          <w:tcPr>
            <w:tcW w:w="360" w:type="dxa"/>
            <w:vAlign w:val="bottom"/>
            <w:shd w:val="clear" w:color="auto" w:fill="E5E5E5"/>
          </w:tcPr>
          <w:p>
            <w:pPr>
              <w:jc w:val="right"/>
              <w:ind w:right="170"/>
              <w:spacing w:after="0" w:line="202" w:lineRule="exact"/>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3,024</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8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3"/>
        </w:trPr>
        <w:tc>
          <w:tcPr>
            <w:tcW w:w="7500" w:type="dxa"/>
            <w:vAlign w:val="bottom"/>
            <w:gridSpan w:val="2"/>
          </w:tcPr>
          <w:p>
            <w:pPr>
              <w:spacing w:after="0"/>
              <w:rPr>
                <w:sz w:val="20"/>
                <w:szCs w:val="20"/>
                <w:color w:val="auto"/>
              </w:rPr>
            </w:pPr>
            <w:r>
              <w:rPr>
                <w:rFonts w:ascii="Arial" w:cs="Arial" w:eastAsia="Arial" w:hAnsi="Arial"/>
                <w:sz w:val="14"/>
                <w:szCs w:val="14"/>
                <w:b w:val="1"/>
                <w:bCs w:val="1"/>
                <w:color w:val="auto"/>
              </w:rPr>
              <w:t>Translation Adjustments and Other</w:t>
            </w:r>
          </w:p>
        </w:tc>
        <w:tc>
          <w:tcPr>
            <w:tcW w:w="1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
        </w:trPr>
        <w:tc>
          <w:tcPr>
            <w:tcW w:w="20" w:type="dxa"/>
            <w:vAlign w:val="bottom"/>
            <w:vMerge w:val="restart"/>
          </w:tcPr>
          <w:p>
            <w:pPr>
              <w:spacing w:after="0"/>
              <w:rPr>
                <w:sz w:val="3"/>
                <w:szCs w:val="3"/>
                <w:color w:val="auto"/>
              </w:rPr>
            </w:pPr>
          </w:p>
        </w:tc>
        <w:tc>
          <w:tcPr>
            <w:tcW w:w="74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360" w:type="dxa"/>
            <w:vAlign w:val="bottom"/>
          </w:tcPr>
          <w:p>
            <w:pPr>
              <w:spacing w:after="0"/>
              <w:rPr>
                <w:sz w:val="3"/>
                <w:szCs w:val="3"/>
                <w:color w:val="auto"/>
              </w:rPr>
            </w:pPr>
          </w:p>
        </w:tc>
        <w:tc>
          <w:tcPr>
            <w:tcW w:w="780" w:type="dxa"/>
            <w:vAlign w:val="bottom"/>
          </w:tcPr>
          <w:p>
            <w:pPr>
              <w:spacing w:after="0"/>
              <w:rPr>
                <w:sz w:val="3"/>
                <w:szCs w:val="3"/>
                <w:color w:val="auto"/>
              </w:rPr>
            </w:pPr>
          </w:p>
        </w:tc>
        <w:tc>
          <w:tcPr>
            <w:tcW w:w="220" w:type="dxa"/>
            <w:vAlign w:val="bottom"/>
          </w:tcPr>
          <w:p>
            <w:pPr>
              <w:spacing w:after="0"/>
              <w:rPr>
                <w:sz w:val="3"/>
                <w:szCs w:val="3"/>
                <w:color w:val="auto"/>
              </w:rPr>
            </w:pPr>
          </w:p>
        </w:tc>
        <w:tc>
          <w:tcPr>
            <w:tcW w:w="36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48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Balance, beginning of period</w:t>
            </w:r>
          </w:p>
        </w:tc>
        <w:tc>
          <w:tcPr>
            <w:tcW w:w="1640" w:type="dxa"/>
            <w:vAlign w:val="bottom"/>
            <w:gridSpan w:val="2"/>
            <w:shd w:val="clear" w:color="auto" w:fill="E5E5E5"/>
          </w:tcPr>
          <w:p>
            <w:pPr>
              <w:jc w:val="right"/>
              <w:ind w:right="260"/>
              <w:spacing w:after="0" w:line="202" w:lineRule="exact"/>
              <w:rPr>
                <w:sz w:val="20"/>
                <w:szCs w:val="20"/>
                <w:color w:val="auto"/>
              </w:rPr>
            </w:pPr>
            <w:r>
              <w:rPr>
                <w:rFonts w:ascii="Arial" w:cs="Arial" w:eastAsia="Arial" w:hAnsi="Arial"/>
                <w:sz w:val="18"/>
                <w:szCs w:val="18"/>
                <w:b w:val="1"/>
                <w:bCs w:val="1"/>
                <w:color w:val="auto"/>
              </w:rPr>
              <w:t>$</w:t>
            </w:r>
          </w:p>
        </w:tc>
        <w:tc>
          <w:tcPr>
            <w:tcW w:w="1000" w:type="dxa"/>
            <w:vAlign w:val="bottom"/>
            <w:gridSpan w:val="2"/>
            <w:shd w:val="clear" w:color="auto" w:fill="E5E5E5"/>
          </w:tcPr>
          <w:p>
            <w:pPr>
              <w:jc w:val="right"/>
              <w:ind w:right="160"/>
              <w:spacing w:after="0" w:line="202" w:lineRule="exact"/>
              <w:rPr>
                <w:sz w:val="20"/>
                <w:szCs w:val="20"/>
                <w:color w:val="auto"/>
              </w:rPr>
            </w:pPr>
            <w:r>
              <w:rPr>
                <w:rFonts w:ascii="Arial" w:cs="Arial" w:eastAsia="Arial" w:hAnsi="Arial"/>
                <w:sz w:val="18"/>
                <w:szCs w:val="18"/>
                <w:b w:val="1"/>
                <w:bCs w:val="1"/>
                <w:color w:val="auto"/>
              </w:rPr>
              <w:t>(1,332)</w:t>
            </w:r>
          </w:p>
        </w:tc>
        <w:tc>
          <w:tcPr>
            <w:tcW w:w="360" w:type="dxa"/>
            <w:vAlign w:val="bottom"/>
            <w:shd w:val="clear" w:color="auto" w:fill="E5E5E5"/>
          </w:tcPr>
          <w:p>
            <w:pPr>
              <w:jc w:val="right"/>
              <w:ind w:right="170"/>
              <w:spacing w:after="0" w:line="202" w:lineRule="exact"/>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E5E5E5"/>
          </w:tcPr>
          <w:p>
            <w:pPr>
              <w:jc w:val="right"/>
              <w:ind w:right="40"/>
              <w:spacing w:after="0" w:line="202" w:lineRule="exact"/>
              <w:rPr>
                <w:sz w:val="20"/>
                <w:szCs w:val="20"/>
                <w:color w:val="auto"/>
              </w:rPr>
            </w:pPr>
            <w:r>
              <w:rPr>
                <w:rFonts w:ascii="Arial" w:cs="Arial" w:eastAsia="Arial" w:hAnsi="Arial"/>
                <w:sz w:val="18"/>
                <w:szCs w:val="18"/>
                <w:color w:val="auto"/>
              </w:rPr>
              <w:t>(1,499)</w:t>
            </w: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480" w:type="dxa"/>
            <w:vAlign w:val="bottom"/>
          </w:tcPr>
          <w:p>
            <w:pPr>
              <w:spacing w:after="0"/>
              <w:rPr>
                <w:sz w:val="20"/>
                <w:szCs w:val="20"/>
                <w:color w:val="auto"/>
              </w:rPr>
            </w:pPr>
            <w:r>
              <w:rPr>
                <w:rFonts w:ascii="Arial" w:cs="Arial" w:eastAsia="Arial" w:hAnsi="Arial"/>
                <w:sz w:val="18"/>
                <w:szCs w:val="18"/>
                <w:color w:val="auto"/>
              </w:rPr>
              <w:t xml:space="preserve">Translation adjustments and other, net of tax of </w:t>
            </w:r>
            <w:r>
              <w:rPr>
                <w:rFonts w:ascii="Arial" w:cs="Arial" w:eastAsia="Arial" w:hAnsi="Arial"/>
                <w:sz w:val="18"/>
                <w:szCs w:val="18"/>
                <w:b w:val="1"/>
                <w:bCs w:val="1"/>
                <w:color w:val="auto"/>
              </w:rPr>
              <w:t>$(1)</w:t>
            </w:r>
            <w:r>
              <w:rPr>
                <w:rFonts w:ascii="Arial" w:cs="Arial" w:eastAsia="Arial" w:hAnsi="Arial"/>
                <w:sz w:val="18"/>
                <w:szCs w:val="18"/>
                <w:color w:val="auto"/>
              </w:rPr>
              <w:t xml:space="preserve"> and $7</w:t>
            </w:r>
          </w:p>
        </w:tc>
        <w:tc>
          <w:tcPr>
            <w:tcW w:w="12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293</w:t>
            </w:r>
          </w:p>
        </w:tc>
        <w:tc>
          <w:tcPr>
            <w:tcW w:w="360" w:type="dxa"/>
            <w:vAlign w:val="bottom"/>
          </w:tcPr>
          <w:p>
            <w:pPr>
              <w:spacing w:after="0"/>
              <w:rPr>
                <w:sz w:val="23"/>
                <w:szCs w:val="23"/>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48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7480" w:type="dxa"/>
            <w:vAlign w:val="bottom"/>
          </w:tcPr>
          <w:p>
            <w:pPr>
              <w:spacing w:after="0"/>
              <w:rPr>
                <w:sz w:val="5"/>
                <w:szCs w:val="5"/>
                <w:color w:val="auto"/>
              </w:rPr>
            </w:pPr>
          </w:p>
        </w:tc>
        <w:tc>
          <w:tcPr>
            <w:tcW w:w="1280" w:type="dxa"/>
            <w:vAlign w:val="bottom"/>
          </w:tcPr>
          <w:p>
            <w:pPr>
              <w:spacing w:after="0"/>
              <w:rPr>
                <w:sz w:val="5"/>
                <w:szCs w:val="5"/>
                <w:color w:val="auto"/>
              </w:rPr>
            </w:pPr>
          </w:p>
        </w:tc>
        <w:tc>
          <w:tcPr>
            <w:tcW w:w="360" w:type="dxa"/>
            <w:vAlign w:val="bottom"/>
          </w:tcPr>
          <w:p>
            <w:pPr>
              <w:spacing w:after="0"/>
              <w:rPr>
                <w:sz w:val="5"/>
                <w:szCs w:val="5"/>
                <w:color w:val="auto"/>
              </w:rPr>
            </w:pPr>
          </w:p>
        </w:tc>
        <w:tc>
          <w:tcPr>
            <w:tcW w:w="780" w:type="dxa"/>
            <w:vAlign w:val="bottom"/>
          </w:tcPr>
          <w:p>
            <w:pPr>
              <w:spacing w:after="0"/>
              <w:rPr>
                <w:sz w:val="5"/>
                <w:szCs w:val="5"/>
                <w:color w:val="auto"/>
              </w:rPr>
            </w:pPr>
          </w:p>
        </w:tc>
        <w:tc>
          <w:tcPr>
            <w:tcW w:w="220" w:type="dxa"/>
            <w:vAlign w:val="bottom"/>
          </w:tcPr>
          <w:p>
            <w:pPr>
              <w:spacing w:after="0"/>
              <w:rPr>
                <w:sz w:val="5"/>
                <w:szCs w:val="5"/>
                <w:color w:val="auto"/>
              </w:rPr>
            </w:pPr>
          </w:p>
        </w:tc>
        <w:tc>
          <w:tcPr>
            <w:tcW w:w="36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48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Balance, end of period</w:t>
            </w:r>
          </w:p>
        </w:tc>
        <w:tc>
          <w:tcPr>
            <w:tcW w:w="1640" w:type="dxa"/>
            <w:vAlign w:val="bottom"/>
            <w:gridSpan w:val="2"/>
            <w:shd w:val="clear" w:color="auto" w:fill="E5E5E5"/>
          </w:tcPr>
          <w:p>
            <w:pPr>
              <w:jc w:val="right"/>
              <w:ind w:right="260"/>
              <w:spacing w:after="0" w:line="202" w:lineRule="exact"/>
              <w:rPr>
                <w:sz w:val="20"/>
                <w:szCs w:val="20"/>
                <w:color w:val="auto"/>
              </w:rPr>
            </w:pPr>
            <w:r>
              <w:rPr>
                <w:rFonts w:ascii="Arial" w:cs="Arial" w:eastAsia="Arial" w:hAnsi="Arial"/>
                <w:sz w:val="18"/>
                <w:szCs w:val="18"/>
                <w:b w:val="1"/>
                <w:bCs w:val="1"/>
                <w:color w:val="auto"/>
              </w:rPr>
              <w:t>$</w:t>
            </w:r>
          </w:p>
        </w:tc>
        <w:tc>
          <w:tcPr>
            <w:tcW w:w="1000" w:type="dxa"/>
            <w:vAlign w:val="bottom"/>
            <w:gridSpan w:val="2"/>
            <w:shd w:val="clear" w:color="auto" w:fill="E5E5E5"/>
          </w:tcPr>
          <w:p>
            <w:pPr>
              <w:jc w:val="right"/>
              <w:ind w:right="160"/>
              <w:spacing w:after="0" w:line="202" w:lineRule="exact"/>
              <w:rPr>
                <w:sz w:val="20"/>
                <w:szCs w:val="20"/>
                <w:color w:val="auto"/>
              </w:rPr>
            </w:pPr>
            <w:r>
              <w:rPr>
                <w:rFonts w:ascii="Arial" w:cs="Arial" w:eastAsia="Arial" w:hAnsi="Arial"/>
                <w:sz w:val="18"/>
                <w:szCs w:val="18"/>
                <w:b w:val="1"/>
                <w:bCs w:val="1"/>
                <w:color w:val="auto"/>
              </w:rPr>
              <w:t>(1,039)</w:t>
            </w:r>
          </w:p>
        </w:tc>
        <w:tc>
          <w:tcPr>
            <w:tcW w:w="360" w:type="dxa"/>
            <w:vAlign w:val="bottom"/>
            <w:shd w:val="clear" w:color="auto" w:fill="E5E5E5"/>
          </w:tcPr>
          <w:p>
            <w:pPr>
              <w:jc w:val="right"/>
              <w:ind w:right="170"/>
              <w:spacing w:after="0" w:line="202" w:lineRule="exact"/>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E5E5E5"/>
          </w:tcPr>
          <w:p>
            <w:pPr>
              <w:jc w:val="right"/>
              <w:ind w:right="40"/>
              <w:spacing w:after="0" w:line="202" w:lineRule="exact"/>
              <w:rPr>
                <w:sz w:val="20"/>
                <w:szCs w:val="20"/>
                <w:color w:val="auto"/>
              </w:rPr>
            </w:pPr>
            <w:r>
              <w:rPr>
                <w:rFonts w:ascii="Arial" w:cs="Arial" w:eastAsia="Arial" w:hAnsi="Arial"/>
                <w:sz w:val="18"/>
                <w:szCs w:val="18"/>
                <w:color w:val="auto"/>
              </w:rPr>
              <w:t>(1,381)</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8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7480" w:type="dxa"/>
            <w:vAlign w:val="bottom"/>
          </w:tcPr>
          <w:p>
            <w:pPr>
              <w:spacing w:after="0"/>
              <w:rPr>
                <w:sz w:val="5"/>
                <w:szCs w:val="5"/>
                <w:color w:val="auto"/>
              </w:rPr>
            </w:pPr>
          </w:p>
        </w:tc>
        <w:tc>
          <w:tcPr>
            <w:tcW w:w="1280" w:type="dxa"/>
            <w:vAlign w:val="bottom"/>
          </w:tcPr>
          <w:p>
            <w:pPr>
              <w:spacing w:after="0"/>
              <w:rPr>
                <w:sz w:val="5"/>
                <w:szCs w:val="5"/>
                <w:color w:val="auto"/>
              </w:rPr>
            </w:pPr>
          </w:p>
        </w:tc>
        <w:tc>
          <w:tcPr>
            <w:tcW w:w="360" w:type="dxa"/>
            <w:vAlign w:val="bottom"/>
          </w:tcPr>
          <w:p>
            <w:pPr>
              <w:spacing w:after="0"/>
              <w:rPr>
                <w:sz w:val="5"/>
                <w:szCs w:val="5"/>
                <w:color w:val="auto"/>
              </w:rPr>
            </w:pPr>
          </w:p>
        </w:tc>
        <w:tc>
          <w:tcPr>
            <w:tcW w:w="780" w:type="dxa"/>
            <w:vAlign w:val="bottom"/>
          </w:tcPr>
          <w:p>
            <w:pPr>
              <w:spacing w:after="0"/>
              <w:rPr>
                <w:sz w:val="5"/>
                <w:szCs w:val="5"/>
                <w:color w:val="auto"/>
              </w:rPr>
            </w:pPr>
          </w:p>
        </w:tc>
        <w:tc>
          <w:tcPr>
            <w:tcW w:w="220" w:type="dxa"/>
            <w:vAlign w:val="bottom"/>
          </w:tcPr>
          <w:p>
            <w:pPr>
              <w:spacing w:after="0"/>
              <w:rPr>
                <w:sz w:val="5"/>
                <w:szCs w:val="5"/>
                <w:color w:val="auto"/>
              </w:rPr>
            </w:pPr>
          </w:p>
        </w:tc>
        <w:tc>
          <w:tcPr>
            <w:tcW w:w="36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48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Accumulated other comprehensive income, end of period</w:t>
            </w:r>
          </w:p>
        </w:tc>
        <w:tc>
          <w:tcPr>
            <w:tcW w:w="1640" w:type="dxa"/>
            <w:vAlign w:val="bottom"/>
            <w:gridSpan w:val="2"/>
            <w:shd w:val="clear" w:color="auto" w:fill="E5E5E5"/>
          </w:tcPr>
          <w:p>
            <w:pPr>
              <w:jc w:val="right"/>
              <w:ind w:right="260"/>
              <w:spacing w:after="0" w:line="202" w:lineRule="exact"/>
              <w:rPr>
                <w:sz w:val="20"/>
                <w:szCs w:val="20"/>
                <w:color w:val="auto"/>
              </w:rPr>
            </w:pPr>
            <w:r>
              <w:rPr>
                <w:rFonts w:ascii="Arial" w:cs="Arial" w:eastAsia="Arial" w:hAnsi="Arial"/>
                <w:sz w:val="18"/>
                <w:szCs w:val="18"/>
                <w:b w:val="1"/>
                <w:bCs w:val="1"/>
                <w:color w:val="auto"/>
              </w:rPr>
              <w:t>$</w:t>
            </w:r>
          </w:p>
        </w:tc>
        <w:tc>
          <w:tcPr>
            <w:tcW w:w="1000" w:type="dxa"/>
            <w:vAlign w:val="bottom"/>
            <w:gridSpan w:val="2"/>
            <w:shd w:val="clear" w:color="auto" w:fill="E5E5E5"/>
          </w:tcPr>
          <w:p>
            <w:pPr>
              <w:jc w:val="right"/>
              <w:ind w:right="220"/>
              <w:spacing w:after="0" w:line="202" w:lineRule="exact"/>
              <w:rPr>
                <w:sz w:val="20"/>
                <w:szCs w:val="20"/>
                <w:color w:val="auto"/>
              </w:rPr>
            </w:pPr>
            <w:r>
              <w:rPr>
                <w:rFonts w:ascii="Arial" w:cs="Arial" w:eastAsia="Arial" w:hAnsi="Arial"/>
                <w:sz w:val="18"/>
                <w:szCs w:val="18"/>
                <w:b w:val="1"/>
                <w:bCs w:val="1"/>
                <w:color w:val="auto"/>
              </w:rPr>
              <w:t>526</w:t>
            </w:r>
          </w:p>
        </w:tc>
        <w:tc>
          <w:tcPr>
            <w:tcW w:w="360" w:type="dxa"/>
            <w:vAlign w:val="bottom"/>
            <w:shd w:val="clear" w:color="auto" w:fill="E5E5E5"/>
          </w:tcPr>
          <w:p>
            <w:pPr>
              <w:jc w:val="right"/>
              <w:ind w:right="170"/>
              <w:spacing w:after="0" w:line="202" w:lineRule="exact"/>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1,958</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480" w:type="dxa"/>
            <w:vAlign w:val="bottom"/>
          </w:tcPr>
          <w:p>
            <w:pPr>
              <w:spacing w:after="0"/>
              <w:rPr>
                <w:sz w:val="6"/>
                <w:szCs w:val="6"/>
                <w:color w:val="auto"/>
              </w:rPr>
            </w:pPr>
          </w:p>
        </w:tc>
        <w:tc>
          <w:tcPr>
            <w:tcW w:w="1280" w:type="dxa"/>
            <w:vAlign w:val="bottom"/>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 19 — SEGMENT INFORMATION AND GEOGRAPHIC DATA</w:t>
      </w:r>
    </w:p>
    <w:p>
      <w:pPr>
        <w:spacing w:after="0" w:line="15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its operation of the business, management, including our chief operating decision maker, who is also our Chief Executive Officer, reviews certain financial information, including segmented internal profit and loss statements prepared on a basis not consistent with U.S. GAAP. During the periods presented, we reported our financial</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289165"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3" w:name="page34"/>
    <w:bookmarkEnd w:id="33"/>
    <w:p>
      <w:pPr>
        <w:ind w:left="5500"/>
        <w:spacing w:after="0"/>
        <w:rPr>
          <w:sz w:val="20"/>
          <w:szCs w:val="20"/>
          <w:color w:val="auto"/>
        </w:rPr>
      </w:pPr>
      <w:r>
        <w:rPr>
          <w:rFonts w:ascii="Arial" w:cs="Arial" w:eastAsia="Arial" w:hAnsi="Arial"/>
          <w:sz w:val="14"/>
          <w:szCs w:val="14"/>
          <w:u w:val="single" w:color="auto"/>
          <w:color w:val="auto"/>
        </w:rPr>
        <w:t>PART I</w:t>
      </w:r>
    </w:p>
    <w:p>
      <w:pPr>
        <w:spacing w:after="0" w:line="5" w:lineRule="exact"/>
        <w:rPr>
          <w:sz w:val="20"/>
          <w:szCs w:val="20"/>
          <w:color w:val="auto"/>
        </w:rPr>
      </w:pPr>
    </w:p>
    <w:p>
      <w:pPr>
        <w:ind w:left="5520"/>
        <w:spacing w:after="0"/>
        <w:rPr>
          <w:sz w:val="20"/>
          <w:szCs w:val="20"/>
          <w:color w:val="auto"/>
        </w:rPr>
      </w:pPr>
      <w:r>
        <w:rPr>
          <w:rFonts w:ascii="Arial" w:cs="Arial" w:eastAsia="Arial" w:hAnsi="Arial"/>
          <w:sz w:val="14"/>
          <w:szCs w:val="14"/>
          <w:color w:val="auto"/>
        </w:rPr>
        <w:t>Item 1</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performance based on the following segments: Productivity and Business Processes, Intelligent Cloud, and More Personal Computing.</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Our reportable segments are described below.</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Productivity and Business Processes</w:t>
      </w:r>
    </w:p>
    <w:p>
      <w:pPr>
        <w:spacing w:after="0" w:line="160" w:lineRule="exact"/>
        <w:rPr>
          <w:sz w:val="20"/>
          <w:szCs w:val="20"/>
          <w:color w:val="auto"/>
        </w:rPr>
      </w:pPr>
    </w:p>
    <w:p>
      <w:pPr>
        <w:ind w:right="20"/>
        <w:spacing w:after="0" w:line="276" w:lineRule="auto"/>
        <w:rPr>
          <w:sz w:val="20"/>
          <w:szCs w:val="20"/>
          <w:color w:val="auto"/>
        </w:rPr>
      </w:pPr>
      <w:r>
        <w:rPr>
          <w:rFonts w:ascii="Arial" w:cs="Arial" w:eastAsia="Arial" w:hAnsi="Arial"/>
          <w:sz w:val="18"/>
          <w:szCs w:val="18"/>
          <w:color w:val="auto"/>
        </w:rPr>
        <w:t>Our Productivity and Business Processes segment consists of products and services in our portfolio of productivity, communication, and information services, spanning a variety of devices and platforms. This segment primarily comprises:</w:t>
      </w:r>
    </w:p>
    <w:p>
      <w:pPr>
        <w:spacing w:after="0" w:line="10" w:lineRule="exact"/>
        <w:rPr>
          <w:sz w:val="20"/>
          <w:szCs w:val="20"/>
          <w:color w:val="auto"/>
        </w:rPr>
      </w:pPr>
    </w:p>
    <w:p>
      <w:pPr>
        <w:ind w:left="1060" w:hanging="390"/>
        <w:spacing w:after="0" w:line="274" w:lineRule="auto"/>
        <w:tabs>
          <w:tab w:leader="none" w:pos="10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Office Commercial, including Office 365 subscriptions and Office licensed on-premises, comprising Office, Exchange, SharePoint, Skype for Business, and Microsoft Teams, and related Client Access Licenses (“CALs”).</w:t>
      </w:r>
    </w:p>
    <w:p>
      <w:pPr>
        <w:ind w:left="1060" w:hanging="390"/>
        <w:spacing w:after="0" w:line="274" w:lineRule="auto"/>
        <w:tabs>
          <w:tab w:leader="none" w:pos="10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Office Consumer, including Office 365 subscriptions and Office licensed on-premises, and Office Consumer Services, including Skype, Outlook.com, and OneDrive.</w:t>
      </w:r>
    </w:p>
    <w:p>
      <w:pPr>
        <w:ind w:left="1060" w:hanging="390"/>
        <w:spacing w:after="0"/>
        <w:tabs>
          <w:tab w:leader="none" w:pos="10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LinkedIn, including Talent Solutions, Marketing Solutions, and Premium Subscriptions.</w:t>
      </w:r>
    </w:p>
    <w:p>
      <w:pPr>
        <w:spacing w:after="0" w:line="63" w:lineRule="exact"/>
        <w:rPr>
          <w:rFonts w:ascii="Arial" w:cs="Arial" w:eastAsia="Arial" w:hAnsi="Arial"/>
          <w:sz w:val="18"/>
          <w:szCs w:val="18"/>
          <w:color w:val="auto"/>
        </w:rPr>
      </w:pPr>
    </w:p>
    <w:p>
      <w:pPr>
        <w:ind w:left="1060" w:hanging="390"/>
        <w:spacing w:after="0" w:line="276" w:lineRule="auto"/>
        <w:tabs>
          <w:tab w:leader="none" w:pos="10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Dynamics business solutions, including Dynamics ERP on-premises, Dynamics CRM on-premises, and Dynamics 365, a set of cloud-based applications across ERP and CRM.</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Intelligent Cloud</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auto"/>
        </w:rPr>
        <w:t>Our Intelligent Cloud segment consists of our public, private, and hybrid server products and cloud services that can power modern business.</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This segment primarily comprises:</w:t>
      </w:r>
    </w:p>
    <w:p>
      <w:pPr>
        <w:spacing w:after="0" w:line="41" w:lineRule="exact"/>
        <w:rPr>
          <w:sz w:val="20"/>
          <w:szCs w:val="20"/>
          <w:color w:val="auto"/>
        </w:rPr>
      </w:pPr>
    </w:p>
    <w:p>
      <w:pPr>
        <w:ind w:left="1060" w:right="20" w:hanging="390"/>
        <w:spacing w:after="0" w:line="274" w:lineRule="auto"/>
        <w:tabs>
          <w:tab w:leader="none" w:pos="10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Server products and cloud services, including Microsoft SQL Server, Windows Server, Visual Studio, System Center, and related CALs, and Azure.</w:t>
      </w:r>
    </w:p>
    <w:p>
      <w:pPr>
        <w:ind w:left="1060" w:hanging="390"/>
        <w:spacing w:after="0"/>
        <w:tabs>
          <w:tab w:leader="none" w:pos="10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Enterprise Services, including Premier Support Services and Microsoft Consulting Services.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More Personal Computing</w:t>
      </w:r>
    </w:p>
    <w:p>
      <w:pPr>
        <w:spacing w:after="0" w:line="160" w:lineRule="exact"/>
        <w:rPr>
          <w:sz w:val="20"/>
          <w:szCs w:val="20"/>
          <w:color w:val="auto"/>
        </w:rPr>
      </w:pPr>
    </w:p>
    <w:p>
      <w:pPr>
        <w:ind w:right="20"/>
        <w:spacing w:after="0" w:line="274" w:lineRule="auto"/>
        <w:rPr>
          <w:sz w:val="20"/>
          <w:szCs w:val="20"/>
          <w:color w:val="auto"/>
        </w:rPr>
      </w:pPr>
      <w:r>
        <w:rPr>
          <w:rFonts w:ascii="Arial" w:cs="Arial" w:eastAsia="Arial" w:hAnsi="Arial"/>
          <w:sz w:val="18"/>
          <w:szCs w:val="18"/>
          <w:color w:val="auto"/>
        </w:rPr>
        <w:t>Our More Personal Computing segment consists of products and services geared towards harmonizing the interests of end users, developers, and IT professionals across all devices. This segment primarily comprises:</w:t>
      </w:r>
    </w:p>
    <w:p>
      <w:pPr>
        <w:jc w:val="both"/>
        <w:ind w:left="1060" w:hanging="390"/>
        <w:spacing w:after="0" w:line="255" w:lineRule="auto"/>
        <w:tabs>
          <w:tab w:leader="none" w:pos="10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Windows, including Windows original equipment manufacturer licensing and other non-volume licensing of the Windows operating system; Windows Commercial, comprising volume licensing of the Windows operating system, Windows cloud services, and other Windows commercial offerings; patent licensing; Windows Internet of Things (“IoT”); and MSN display advertising.</w:t>
      </w:r>
    </w:p>
    <w:p>
      <w:pPr>
        <w:spacing w:after="0" w:line="15" w:lineRule="exact"/>
        <w:rPr>
          <w:rFonts w:ascii="Arial" w:cs="Arial" w:eastAsia="Arial" w:hAnsi="Arial"/>
          <w:sz w:val="18"/>
          <w:szCs w:val="18"/>
          <w:color w:val="auto"/>
        </w:rPr>
      </w:pPr>
    </w:p>
    <w:p>
      <w:pPr>
        <w:ind w:left="1060" w:hanging="390"/>
        <w:spacing w:after="0"/>
        <w:tabs>
          <w:tab w:leader="none" w:pos="10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Devices, including Microsoft Surface, PC accessories, and other intelligent devices.</w:t>
      </w:r>
    </w:p>
    <w:p>
      <w:pPr>
        <w:spacing w:after="0" w:line="63" w:lineRule="exact"/>
        <w:rPr>
          <w:rFonts w:ascii="Arial" w:cs="Arial" w:eastAsia="Arial" w:hAnsi="Arial"/>
          <w:sz w:val="18"/>
          <w:szCs w:val="18"/>
          <w:color w:val="auto"/>
        </w:rPr>
      </w:pPr>
    </w:p>
    <w:p>
      <w:pPr>
        <w:ind w:left="1060" w:right="20" w:hanging="390"/>
        <w:spacing w:after="0" w:line="274" w:lineRule="auto"/>
        <w:tabs>
          <w:tab w:leader="none" w:pos="10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Gaming, including Xbox hardware and Xbox software and services, comprising Xbox Live transactions, subscriptions, and advertising (“Xbox Live”), video games, and third-party video game royalties.</w:t>
      </w:r>
    </w:p>
    <w:p>
      <w:pPr>
        <w:ind w:left="1060" w:hanging="390"/>
        <w:spacing w:after="0"/>
        <w:tabs>
          <w:tab w:leader="none" w:pos="10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Search advertising.</w:t>
      </w:r>
    </w:p>
    <w:p>
      <w:pPr>
        <w:spacing w:after="0" w:line="158"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Revenue and costs are generally directly attributed to our segments. However, due to the integrated structure of our business, certain revenue recognized and costs incurred by one segment may benefit other segments. Revenue from certain contracts is allocated among the segments based on the relative value of the underlying products and services, which can include allocation based on actual prices charged, prices when sold separately, or estimated costs plus a profit margin. Cost of revenue is allocated in certain cases based on a relative revenue methodology. Operating expenses that are allocated primarily include those relating to marketing of products and services from which multiple segments benefit, and are generally allocated based on relative gross margin.</w:t>
      </w:r>
    </w:p>
    <w:p>
      <w:pPr>
        <w:spacing w:after="0" w:line="120"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In addition, certain costs incurred at a corporate level that are identifiable and that benefit our segments are allocated to them. These allocated costs include costs of: legal, including settlements, and fines; information technology; human resources; finance; excise taxes; field selling; shared facilities services; and customer service and support. Each allocation is measured differently based on the specific facts and circumstances of the costs being allocated. Certain corporate-level activity is not allocated to our segments, including impairment, integration, and restructuring expenses.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289165"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4" w:name="page35"/>
    <w:bookmarkEnd w:id="34"/>
    <w:p>
      <w:pPr>
        <w:ind w:left="5500"/>
        <w:spacing w:after="0"/>
        <w:rPr>
          <w:sz w:val="20"/>
          <w:szCs w:val="20"/>
          <w:color w:val="auto"/>
        </w:rPr>
      </w:pPr>
      <w:r>
        <w:rPr>
          <w:rFonts w:ascii="Arial" w:cs="Arial" w:eastAsia="Arial" w:hAnsi="Arial"/>
          <w:sz w:val="14"/>
          <w:szCs w:val="14"/>
          <w:u w:val="single" w:color="auto"/>
          <w:color w:val="auto"/>
        </w:rPr>
        <w:t>PART I</w:t>
      </w:r>
    </w:p>
    <w:p>
      <w:pPr>
        <w:spacing w:after="0" w:line="5" w:lineRule="exact"/>
        <w:rPr>
          <w:sz w:val="20"/>
          <w:szCs w:val="20"/>
          <w:color w:val="auto"/>
        </w:rPr>
      </w:pPr>
    </w:p>
    <w:p>
      <w:pPr>
        <w:ind w:left="5520"/>
        <w:spacing w:after="0"/>
        <w:rPr>
          <w:sz w:val="20"/>
          <w:szCs w:val="20"/>
          <w:color w:val="auto"/>
        </w:rPr>
      </w:pPr>
      <w:r>
        <w:rPr>
          <w:rFonts w:ascii="Arial" w:cs="Arial" w:eastAsia="Arial" w:hAnsi="Arial"/>
          <w:sz w:val="14"/>
          <w:szCs w:val="14"/>
          <w:color w:val="auto"/>
        </w:rPr>
        <w:t>Item 1</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Segment revenue and operating income were as follows during the periods presented:</w:t>
      </w:r>
    </w:p>
    <w:p>
      <w:pPr>
        <w:spacing w:after="0" w:line="20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46990</wp:posOffset>
            </wp:positionV>
            <wp:extent cx="710946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09460" cy="8890"/>
                    </a:xfrm>
                    <a:prstGeom prst="rect">
                      <a:avLst/>
                    </a:prstGeom>
                    <a:noFill/>
                  </pic:spPr>
                </pic:pic>
              </a:graphicData>
            </a:graphic>
          </wp:anchor>
        </w:drawing>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80" w:type="dxa"/>
            <w:vAlign w:val="bottom"/>
            <w:gridSpan w:val="2"/>
          </w:tcPr>
          <w:p>
            <w:pPr>
              <w:spacing w:after="0"/>
              <w:rPr>
                <w:sz w:val="20"/>
                <w:szCs w:val="20"/>
                <w:color w:val="auto"/>
              </w:rPr>
            </w:pPr>
            <w:r>
              <w:rPr>
                <w:rFonts w:ascii="Arial" w:cs="Arial" w:eastAsia="Arial" w:hAnsi="Arial"/>
                <w:sz w:val="14"/>
                <w:szCs w:val="14"/>
                <w:b w:val="1"/>
                <w:bCs w:val="1"/>
                <w:color w:val="auto"/>
              </w:rPr>
              <w:t>Three Months Ended September 30,</w:t>
            </w:r>
          </w:p>
        </w:tc>
        <w:tc>
          <w:tcPr>
            <w:tcW w:w="5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2017</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2016</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880" w:type="dxa"/>
            <w:vAlign w:val="bottom"/>
            <w:gridSpan w:val="2"/>
          </w:tcPr>
          <w:p>
            <w:pPr>
              <w:spacing w:after="0"/>
              <w:rPr>
                <w:sz w:val="20"/>
                <w:szCs w:val="20"/>
                <w:color w:val="auto"/>
              </w:rPr>
            </w:pPr>
            <w:r>
              <w:rPr>
                <w:rFonts w:ascii="Arial" w:cs="Arial" w:eastAsia="Arial" w:hAnsi="Arial"/>
                <w:sz w:val="14"/>
                <w:szCs w:val="14"/>
                <w:b w:val="1"/>
                <w:bCs w:val="1"/>
                <w:color w:val="auto"/>
              </w:rPr>
              <w:t>Revenue</w:t>
            </w:r>
          </w:p>
        </w:tc>
        <w:tc>
          <w:tcPr>
            <w:tcW w:w="5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
        </w:trPr>
        <w:tc>
          <w:tcPr>
            <w:tcW w:w="20" w:type="dxa"/>
            <w:vAlign w:val="bottom"/>
            <w:vMerge w:val="restart"/>
          </w:tcPr>
          <w:p>
            <w:pPr>
              <w:spacing w:after="0"/>
              <w:rPr>
                <w:sz w:val="3"/>
                <w:szCs w:val="3"/>
                <w:color w:val="auto"/>
              </w:rPr>
            </w:pPr>
          </w:p>
        </w:tc>
        <w:tc>
          <w:tcPr>
            <w:tcW w:w="7860" w:type="dxa"/>
            <w:vAlign w:val="bottom"/>
          </w:tcPr>
          <w:p>
            <w:pPr>
              <w:spacing w:after="0"/>
              <w:rPr>
                <w:sz w:val="3"/>
                <w:szCs w:val="3"/>
                <w:color w:val="auto"/>
              </w:rPr>
            </w:pPr>
          </w:p>
        </w:tc>
        <w:tc>
          <w:tcPr>
            <w:tcW w:w="5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20" w:type="dxa"/>
            <w:vAlign w:val="bottom"/>
          </w:tcPr>
          <w:p>
            <w:pPr>
              <w:spacing w:after="0"/>
              <w:rPr>
                <w:sz w:val="3"/>
                <w:szCs w:val="3"/>
                <w:color w:val="auto"/>
              </w:rPr>
            </w:pPr>
          </w:p>
        </w:tc>
        <w:tc>
          <w:tcPr>
            <w:tcW w:w="980" w:type="dxa"/>
            <w:vAlign w:val="bottom"/>
          </w:tcPr>
          <w:p>
            <w:pPr>
              <w:spacing w:after="0"/>
              <w:rPr>
                <w:sz w:val="3"/>
                <w:szCs w:val="3"/>
                <w:color w:val="auto"/>
              </w:rPr>
            </w:pPr>
          </w:p>
        </w:tc>
        <w:tc>
          <w:tcPr>
            <w:tcW w:w="2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86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Productivity and Business Processes</w:t>
            </w:r>
          </w:p>
        </w:tc>
        <w:tc>
          <w:tcPr>
            <w:tcW w:w="540" w:type="dxa"/>
            <w:vAlign w:val="bottom"/>
            <w:shd w:val="clear" w:color="auto" w:fill="E5E5E5"/>
          </w:tcPr>
          <w:p>
            <w:pPr>
              <w:jc w:val="right"/>
              <w:ind w:right="350"/>
              <w:spacing w:after="0" w:line="202" w:lineRule="exact"/>
              <w:rPr>
                <w:sz w:val="20"/>
                <w:szCs w:val="20"/>
                <w:color w:val="auto"/>
              </w:rPr>
            </w:pPr>
            <w:r>
              <w:rPr>
                <w:rFonts w:ascii="Arial" w:cs="Arial" w:eastAsia="Arial" w:hAnsi="Arial"/>
                <w:sz w:val="18"/>
                <w:szCs w:val="18"/>
                <w:b w:val="1"/>
                <w:bCs w:val="1"/>
                <w:color w:val="auto"/>
                <w:w w:val="79"/>
              </w:rPr>
              <w:t>$</w:t>
            </w:r>
          </w:p>
        </w:tc>
        <w:tc>
          <w:tcPr>
            <w:tcW w:w="1120" w:type="dxa"/>
            <w:vAlign w:val="bottom"/>
            <w:gridSpan w:val="2"/>
            <w:shd w:val="clear" w:color="auto" w:fill="E5E5E5"/>
          </w:tcPr>
          <w:p>
            <w:pPr>
              <w:jc w:val="right"/>
              <w:ind w:right="140"/>
              <w:spacing w:after="0" w:line="202" w:lineRule="exact"/>
              <w:rPr>
                <w:sz w:val="20"/>
                <w:szCs w:val="20"/>
                <w:color w:val="auto"/>
              </w:rPr>
            </w:pPr>
            <w:r>
              <w:rPr>
                <w:rFonts w:ascii="Arial" w:cs="Arial" w:eastAsia="Arial" w:hAnsi="Arial"/>
                <w:sz w:val="18"/>
                <w:szCs w:val="18"/>
                <w:b w:val="1"/>
                <w:bCs w:val="1"/>
                <w:color w:val="auto"/>
              </w:rPr>
              <w:t>8,238</w:t>
            </w:r>
          </w:p>
        </w:tc>
        <w:tc>
          <w:tcPr>
            <w:tcW w:w="680" w:type="dxa"/>
            <w:vAlign w:val="bottom"/>
            <w:gridSpan w:val="2"/>
            <w:shd w:val="clear" w:color="auto" w:fill="E5E5E5"/>
          </w:tcPr>
          <w:p>
            <w:pPr>
              <w:jc w:val="right"/>
              <w:ind w:right="420"/>
              <w:spacing w:after="0" w:line="202" w:lineRule="exact"/>
              <w:rPr>
                <w:sz w:val="20"/>
                <w:szCs w:val="20"/>
                <w:color w:val="auto"/>
              </w:rPr>
            </w:pPr>
            <w:r>
              <w:rPr>
                <w:rFonts w:ascii="Arial" w:cs="Arial" w:eastAsia="Arial" w:hAnsi="Arial"/>
                <w:sz w:val="18"/>
                <w:szCs w:val="18"/>
                <w:color w:val="auto"/>
              </w:rPr>
              <w:t>$</w:t>
            </w:r>
          </w:p>
        </w:tc>
        <w:tc>
          <w:tcPr>
            <w:tcW w:w="1200" w:type="dxa"/>
            <w:vAlign w:val="bottom"/>
            <w:gridSpan w:val="2"/>
            <w:shd w:val="clear" w:color="auto" w:fill="E5E5E5"/>
          </w:tcPr>
          <w:p>
            <w:pPr>
              <w:jc w:val="right"/>
              <w:ind w:right="220"/>
              <w:spacing w:after="0" w:line="202" w:lineRule="exact"/>
              <w:rPr>
                <w:sz w:val="20"/>
                <w:szCs w:val="20"/>
                <w:color w:val="auto"/>
              </w:rPr>
            </w:pPr>
            <w:r>
              <w:rPr>
                <w:rFonts w:ascii="Arial" w:cs="Arial" w:eastAsia="Arial" w:hAnsi="Arial"/>
                <w:sz w:val="18"/>
                <w:szCs w:val="18"/>
                <w:color w:val="auto"/>
              </w:rPr>
              <w:t>6,436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60" w:type="dxa"/>
            <w:vAlign w:val="bottom"/>
          </w:tcPr>
          <w:p>
            <w:pPr>
              <w:spacing w:after="0" w:line="202" w:lineRule="exact"/>
              <w:rPr>
                <w:sz w:val="20"/>
                <w:szCs w:val="20"/>
                <w:color w:val="auto"/>
              </w:rPr>
            </w:pPr>
            <w:r>
              <w:rPr>
                <w:rFonts w:ascii="Arial" w:cs="Arial" w:eastAsia="Arial" w:hAnsi="Arial"/>
                <w:sz w:val="18"/>
                <w:szCs w:val="18"/>
                <w:color w:val="auto"/>
              </w:rPr>
              <w:t>Intelligent Cloud</w:t>
            </w:r>
          </w:p>
        </w:tc>
        <w:tc>
          <w:tcPr>
            <w:tcW w:w="540" w:type="dxa"/>
            <w:vAlign w:val="bottom"/>
          </w:tcPr>
          <w:p>
            <w:pPr>
              <w:spacing w:after="0"/>
              <w:rPr>
                <w:sz w:val="17"/>
                <w:szCs w:val="17"/>
                <w:color w:val="auto"/>
              </w:rPr>
            </w:pPr>
          </w:p>
        </w:tc>
        <w:tc>
          <w:tcPr>
            <w:tcW w:w="1120" w:type="dxa"/>
            <w:vAlign w:val="bottom"/>
            <w:gridSpan w:val="2"/>
          </w:tcPr>
          <w:p>
            <w:pPr>
              <w:jc w:val="right"/>
              <w:ind w:right="140"/>
              <w:spacing w:after="0" w:line="202" w:lineRule="exact"/>
              <w:rPr>
                <w:sz w:val="20"/>
                <w:szCs w:val="20"/>
                <w:color w:val="auto"/>
              </w:rPr>
            </w:pPr>
            <w:r>
              <w:rPr>
                <w:rFonts w:ascii="Arial" w:cs="Arial" w:eastAsia="Arial" w:hAnsi="Arial"/>
                <w:sz w:val="18"/>
                <w:szCs w:val="18"/>
                <w:b w:val="1"/>
                <w:bCs w:val="1"/>
                <w:color w:val="auto"/>
              </w:rPr>
              <w:t>6,922</w:t>
            </w: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6,097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6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More Personal Computing</w:t>
            </w:r>
          </w:p>
        </w:tc>
        <w:tc>
          <w:tcPr>
            <w:tcW w:w="540" w:type="dxa"/>
            <w:vAlign w:val="bottom"/>
            <w:shd w:val="clear" w:color="auto" w:fill="E5E5E5"/>
          </w:tcPr>
          <w:p>
            <w:pPr>
              <w:spacing w:after="0"/>
              <w:rPr>
                <w:sz w:val="17"/>
                <w:szCs w:val="17"/>
                <w:color w:val="auto"/>
              </w:rPr>
            </w:pPr>
          </w:p>
        </w:tc>
        <w:tc>
          <w:tcPr>
            <w:tcW w:w="1120" w:type="dxa"/>
            <w:vAlign w:val="bottom"/>
            <w:gridSpan w:val="2"/>
            <w:shd w:val="clear" w:color="auto" w:fill="E5E5E5"/>
          </w:tcPr>
          <w:p>
            <w:pPr>
              <w:jc w:val="right"/>
              <w:ind w:right="140"/>
              <w:spacing w:after="0" w:line="202" w:lineRule="exact"/>
              <w:rPr>
                <w:sz w:val="20"/>
                <w:szCs w:val="20"/>
                <w:color w:val="auto"/>
              </w:rPr>
            </w:pPr>
            <w:r>
              <w:rPr>
                <w:rFonts w:ascii="Arial" w:cs="Arial" w:eastAsia="Arial" w:hAnsi="Arial"/>
                <w:sz w:val="18"/>
                <w:szCs w:val="18"/>
                <w:b w:val="1"/>
                <w:bCs w:val="1"/>
                <w:color w:val="auto"/>
              </w:rPr>
              <w:t>9,378</w:t>
            </w:r>
          </w:p>
        </w:tc>
        <w:tc>
          <w:tcPr>
            <w:tcW w:w="160" w:type="dxa"/>
            <w:vAlign w:val="bottom"/>
            <w:shd w:val="clear" w:color="auto" w:fill="E5E5E5"/>
          </w:tcPr>
          <w:p>
            <w:pPr>
              <w:spacing w:after="0"/>
              <w:rPr>
                <w:sz w:val="17"/>
                <w:szCs w:val="17"/>
                <w:color w:val="auto"/>
              </w:rPr>
            </w:pPr>
          </w:p>
        </w:tc>
        <w:tc>
          <w:tcPr>
            <w:tcW w:w="520" w:type="dxa"/>
            <w:vAlign w:val="bottom"/>
            <w:shd w:val="clear" w:color="auto" w:fill="E5E5E5"/>
          </w:tcPr>
          <w:p>
            <w:pPr>
              <w:spacing w:after="0"/>
              <w:rPr>
                <w:sz w:val="17"/>
                <w:szCs w:val="17"/>
                <w:color w:val="auto"/>
              </w:rPr>
            </w:pPr>
          </w:p>
        </w:tc>
        <w:tc>
          <w:tcPr>
            <w:tcW w:w="1200" w:type="dxa"/>
            <w:vAlign w:val="bottom"/>
            <w:gridSpan w:val="2"/>
            <w:shd w:val="clear" w:color="auto" w:fill="E5E5E5"/>
          </w:tcPr>
          <w:p>
            <w:pPr>
              <w:jc w:val="right"/>
              <w:ind w:right="220"/>
              <w:spacing w:after="0" w:line="202" w:lineRule="exact"/>
              <w:rPr>
                <w:sz w:val="20"/>
                <w:szCs w:val="20"/>
                <w:color w:val="auto"/>
              </w:rPr>
            </w:pPr>
            <w:r>
              <w:rPr>
                <w:rFonts w:ascii="Arial" w:cs="Arial" w:eastAsia="Arial" w:hAnsi="Arial"/>
                <w:sz w:val="18"/>
                <w:szCs w:val="18"/>
                <w:color w:val="auto"/>
              </w:rPr>
              <w:t>9,395</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86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860" w:type="dxa"/>
            <w:vAlign w:val="bottom"/>
          </w:tcPr>
          <w:p>
            <w:pPr>
              <w:spacing w:after="0"/>
              <w:rPr>
                <w:sz w:val="5"/>
                <w:szCs w:val="5"/>
                <w:color w:val="auto"/>
              </w:rPr>
            </w:pPr>
          </w:p>
        </w:tc>
        <w:tc>
          <w:tcPr>
            <w:tcW w:w="540" w:type="dxa"/>
            <w:vAlign w:val="bottom"/>
          </w:tcPr>
          <w:p>
            <w:pPr>
              <w:spacing w:after="0"/>
              <w:rPr>
                <w:sz w:val="5"/>
                <w:szCs w:val="5"/>
                <w:color w:val="auto"/>
              </w:rPr>
            </w:pPr>
          </w:p>
        </w:tc>
        <w:tc>
          <w:tcPr>
            <w:tcW w:w="9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20" w:type="dxa"/>
            <w:vAlign w:val="bottom"/>
          </w:tcPr>
          <w:p>
            <w:pPr>
              <w:spacing w:after="0"/>
              <w:rPr>
                <w:sz w:val="5"/>
                <w:szCs w:val="5"/>
                <w:color w:val="auto"/>
              </w:rPr>
            </w:pPr>
          </w:p>
        </w:tc>
        <w:tc>
          <w:tcPr>
            <w:tcW w:w="980" w:type="dxa"/>
            <w:vAlign w:val="bottom"/>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60" w:type="dxa"/>
            <w:vAlign w:val="bottom"/>
            <w:shd w:val="clear" w:color="auto" w:fill="E5E5E5"/>
          </w:tcPr>
          <w:p>
            <w:pPr>
              <w:ind w:left="200"/>
              <w:spacing w:after="0" w:line="202" w:lineRule="exact"/>
              <w:rPr>
                <w:sz w:val="20"/>
                <w:szCs w:val="20"/>
                <w:color w:val="auto"/>
              </w:rPr>
            </w:pPr>
            <w:r>
              <w:rPr>
                <w:rFonts w:ascii="Arial" w:cs="Arial" w:eastAsia="Arial" w:hAnsi="Arial"/>
                <w:sz w:val="18"/>
                <w:szCs w:val="18"/>
                <w:color w:val="auto"/>
              </w:rPr>
              <w:t>Total</w:t>
            </w:r>
          </w:p>
        </w:tc>
        <w:tc>
          <w:tcPr>
            <w:tcW w:w="540" w:type="dxa"/>
            <w:vAlign w:val="bottom"/>
            <w:shd w:val="clear" w:color="auto" w:fill="E5E5E5"/>
          </w:tcPr>
          <w:p>
            <w:pPr>
              <w:jc w:val="right"/>
              <w:ind w:right="350"/>
              <w:spacing w:after="0" w:line="202" w:lineRule="exact"/>
              <w:rPr>
                <w:sz w:val="20"/>
                <w:szCs w:val="20"/>
                <w:color w:val="auto"/>
              </w:rPr>
            </w:pPr>
            <w:r>
              <w:rPr>
                <w:rFonts w:ascii="Arial" w:cs="Arial" w:eastAsia="Arial" w:hAnsi="Arial"/>
                <w:sz w:val="18"/>
                <w:szCs w:val="18"/>
                <w:b w:val="1"/>
                <w:bCs w:val="1"/>
                <w:color w:val="auto"/>
                <w:w w:val="79"/>
              </w:rPr>
              <w:t>$</w:t>
            </w:r>
          </w:p>
        </w:tc>
        <w:tc>
          <w:tcPr>
            <w:tcW w:w="1120" w:type="dxa"/>
            <w:vAlign w:val="bottom"/>
            <w:gridSpan w:val="2"/>
            <w:shd w:val="clear" w:color="auto" w:fill="E5E5E5"/>
          </w:tcPr>
          <w:p>
            <w:pPr>
              <w:jc w:val="right"/>
              <w:ind w:right="140"/>
              <w:spacing w:after="0" w:line="202" w:lineRule="exact"/>
              <w:rPr>
                <w:sz w:val="20"/>
                <w:szCs w:val="20"/>
                <w:color w:val="auto"/>
              </w:rPr>
            </w:pPr>
            <w:r>
              <w:rPr>
                <w:rFonts w:ascii="Arial" w:cs="Arial" w:eastAsia="Arial" w:hAnsi="Arial"/>
                <w:sz w:val="18"/>
                <w:szCs w:val="18"/>
                <w:b w:val="1"/>
                <w:bCs w:val="1"/>
                <w:color w:val="auto"/>
              </w:rPr>
              <w:t>24,538</w:t>
            </w:r>
          </w:p>
        </w:tc>
        <w:tc>
          <w:tcPr>
            <w:tcW w:w="680" w:type="dxa"/>
            <w:vAlign w:val="bottom"/>
            <w:gridSpan w:val="2"/>
            <w:shd w:val="clear" w:color="auto" w:fill="E5E5E5"/>
          </w:tcPr>
          <w:p>
            <w:pPr>
              <w:jc w:val="right"/>
              <w:ind w:right="420"/>
              <w:spacing w:after="0" w:line="202" w:lineRule="exact"/>
              <w:rPr>
                <w:sz w:val="20"/>
                <w:szCs w:val="20"/>
                <w:color w:val="auto"/>
              </w:rPr>
            </w:pPr>
            <w:r>
              <w:rPr>
                <w:rFonts w:ascii="Arial" w:cs="Arial" w:eastAsia="Arial" w:hAnsi="Arial"/>
                <w:sz w:val="18"/>
                <w:szCs w:val="18"/>
                <w:color w:val="auto"/>
              </w:rPr>
              <w:t>$</w:t>
            </w:r>
          </w:p>
        </w:tc>
        <w:tc>
          <w:tcPr>
            <w:tcW w:w="1200" w:type="dxa"/>
            <w:vAlign w:val="bottom"/>
            <w:gridSpan w:val="2"/>
            <w:shd w:val="clear" w:color="auto" w:fill="E5E5E5"/>
          </w:tcPr>
          <w:p>
            <w:pPr>
              <w:jc w:val="right"/>
              <w:ind w:right="220"/>
              <w:spacing w:after="0" w:line="202" w:lineRule="exact"/>
              <w:rPr>
                <w:sz w:val="20"/>
                <w:szCs w:val="20"/>
                <w:color w:val="auto"/>
              </w:rPr>
            </w:pPr>
            <w:r>
              <w:rPr>
                <w:rFonts w:ascii="Arial" w:cs="Arial" w:eastAsia="Arial" w:hAnsi="Arial"/>
                <w:sz w:val="18"/>
                <w:szCs w:val="18"/>
                <w:color w:val="auto"/>
              </w:rPr>
              <w:t>21,928</w:t>
            </w:r>
          </w:p>
        </w:tc>
        <w:tc>
          <w:tcPr>
            <w:tcW w:w="0" w:type="dxa"/>
            <w:vAlign w:val="bottom"/>
          </w:tcPr>
          <w:p>
            <w:pPr>
              <w:spacing w:after="0"/>
              <w:rPr>
                <w:sz w:val="1"/>
                <w:szCs w:val="1"/>
                <w:color w:val="auto"/>
              </w:rPr>
            </w:pPr>
          </w:p>
        </w:tc>
      </w:tr>
      <w:tr>
        <w:trPr>
          <w:trHeight w:val="75"/>
        </w:trPr>
        <w:tc>
          <w:tcPr>
            <w:tcW w:w="78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Operating Income</w:t>
            </w:r>
          </w:p>
        </w:tc>
        <w:tc>
          <w:tcPr>
            <w:tcW w:w="54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9"/>
        </w:trPr>
        <w:tc>
          <w:tcPr>
            <w:tcW w:w="7880" w:type="dxa"/>
            <w:vAlign w:val="bottom"/>
            <w:gridSpan w:val="2"/>
            <w:vMerge w:val="continue"/>
          </w:tcPr>
          <w:p>
            <w:pPr>
              <w:spacing w:after="0"/>
              <w:rPr>
                <w:sz w:val="20"/>
                <w:szCs w:val="20"/>
                <w:color w:val="auto"/>
              </w:rPr>
            </w:pPr>
          </w:p>
        </w:tc>
        <w:tc>
          <w:tcPr>
            <w:tcW w:w="5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
        </w:trPr>
        <w:tc>
          <w:tcPr>
            <w:tcW w:w="20" w:type="dxa"/>
            <w:vAlign w:val="bottom"/>
            <w:vMerge w:val="restart"/>
          </w:tcPr>
          <w:p>
            <w:pPr>
              <w:spacing w:after="0"/>
              <w:rPr>
                <w:sz w:val="3"/>
                <w:szCs w:val="3"/>
                <w:color w:val="auto"/>
              </w:rPr>
            </w:pPr>
          </w:p>
        </w:tc>
        <w:tc>
          <w:tcPr>
            <w:tcW w:w="7860" w:type="dxa"/>
            <w:vAlign w:val="bottom"/>
          </w:tcPr>
          <w:p>
            <w:pPr>
              <w:spacing w:after="0"/>
              <w:rPr>
                <w:sz w:val="3"/>
                <w:szCs w:val="3"/>
                <w:color w:val="auto"/>
              </w:rPr>
            </w:pPr>
          </w:p>
        </w:tc>
        <w:tc>
          <w:tcPr>
            <w:tcW w:w="5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20" w:type="dxa"/>
            <w:vAlign w:val="bottom"/>
          </w:tcPr>
          <w:p>
            <w:pPr>
              <w:spacing w:after="0"/>
              <w:rPr>
                <w:sz w:val="3"/>
                <w:szCs w:val="3"/>
                <w:color w:val="auto"/>
              </w:rPr>
            </w:pPr>
          </w:p>
        </w:tc>
        <w:tc>
          <w:tcPr>
            <w:tcW w:w="980" w:type="dxa"/>
            <w:vAlign w:val="bottom"/>
          </w:tcPr>
          <w:p>
            <w:pPr>
              <w:spacing w:after="0"/>
              <w:rPr>
                <w:sz w:val="3"/>
                <w:szCs w:val="3"/>
                <w:color w:val="auto"/>
              </w:rPr>
            </w:pPr>
          </w:p>
        </w:tc>
        <w:tc>
          <w:tcPr>
            <w:tcW w:w="2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86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Productivity and Business Processes</w:t>
            </w:r>
          </w:p>
        </w:tc>
        <w:tc>
          <w:tcPr>
            <w:tcW w:w="540" w:type="dxa"/>
            <w:vAlign w:val="bottom"/>
            <w:shd w:val="clear" w:color="auto" w:fill="E5E5E5"/>
          </w:tcPr>
          <w:p>
            <w:pPr>
              <w:jc w:val="right"/>
              <w:ind w:right="350"/>
              <w:spacing w:after="0" w:line="202" w:lineRule="exact"/>
              <w:rPr>
                <w:sz w:val="20"/>
                <w:szCs w:val="20"/>
                <w:color w:val="auto"/>
              </w:rPr>
            </w:pPr>
            <w:r>
              <w:rPr>
                <w:rFonts w:ascii="Arial" w:cs="Arial" w:eastAsia="Arial" w:hAnsi="Arial"/>
                <w:sz w:val="18"/>
                <w:szCs w:val="18"/>
                <w:b w:val="1"/>
                <w:bCs w:val="1"/>
                <w:color w:val="auto"/>
                <w:w w:val="79"/>
              </w:rPr>
              <w:t>$</w:t>
            </w:r>
          </w:p>
        </w:tc>
        <w:tc>
          <w:tcPr>
            <w:tcW w:w="1120" w:type="dxa"/>
            <w:vAlign w:val="bottom"/>
            <w:gridSpan w:val="2"/>
            <w:shd w:val="clear" w:color="auto" w:fill="E5E5E5"/>
          </w:tcPr>
          <w:p>
            <w:pPr>
              <w:jc w:val="right"/>
              <w:ind w:right="140"/>
              <w:spacing w:after="0" w:line="202" w:lineRule="exact"/>
              <w:rPr>
                <w:sz w:val="20"/>
                <w:szCs w:val="20"/>
                <w:color w:val="auto"/>
              </w:rPr>
            </w:pPr>
            <w:r>
              <w:rPr>
                <w:rFonts w:ascii="Arial" w:cs="Arial" w:eastAsia="Arial" w:hAnsi="Arial"/>
                <w:sz w:val="18"/>
                <w:szCs w:val="18"/>
                <w:b w:val="1"/>
                <w:bCs w:val="1"/>
                <w:color w:val="auto"/>
              </w:rPr>
              <w:t>3,006</w:t>
            </w:r>
          </w:p>
        </w:tc>
        <w:tc>
          <w:tcPr>
            <w:tcW w:w="680" w:type="dxa"/>
            <w:vAlign w:val="bottom"/>
            <w:gridSpan w:val="2"/>
            <w:shd w:val="clear" w:color="auto" w:fill="E5E5E5"/>
          </w:tcPr>
          <w:p>
            <w:pPr>
              <w:jc w:val="right"/>
              <w:ind w:right="420"/>
              <w:spacing w:after="0" w:line="202" w:lineRule="exact"/>
              <w:rPr>
                <w:sz w:val="20"/>
                <w:szCs w:val="20"/>
                <w:color w:val="auto"/>
              </w:rPr>
            </w:pPr>
            <w:r>
              <w:rPr>
                <w:rFonts w:ascii="Arial" w:cs="Arial" w:eastAsia="Arial" w:hAnsi="Arial"/>
                <w:sz w:val="18"/>
                <w:szCs w:val="18"/>
                <w:color w:val="auto"/>
              </w:rPr>
              <w:t>$</w:t>
            </w:r>
          </w:p>
        </w:tc>
        <w:tc>
          <w:tcPr>
            <w:tcW w:w="1200" w:type="dxa"/>
            <w:vAlign w:val="bottom"/>
            <w:gridSpan w:val="2"/>
            <w:shd w:val="clear" w:color="auto" w:fill="E5E5E5"/>
          </w:tcPr>
          <w:p>
            <w:pPr>
              <w:jc w:val="right"/>
              <w:ind w:right="220"/>
              <w:spacing w:after="0" w:line="202" w:lineRule="exact"/>
              <w:rPr>
                <w:sz w:val="20"/>
                <w:szCs w:val="20"/>
                <w:color w:val="auto"/>
              </w:rPr>
            </w:pPr>
            <w:r>
              <w:rPr>
                <w:rFonts w:ascii="Arial" w:cs="Arial" w:eastAsia="Arial" w:hAnsi="Arial"/>
                <w:sz w:val="18"/>
                <w:szCs w:val="18"/>
                <w:color w:val="auto"/>
              </w:rPr>
              <w:t>2,905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60" w:type="dxa"/>
            <w:vAlign w:val="bottom"/>
          </w:tcPr>
          <w:p>
            <w:pPr>
              <w:spacing w:after="0" w:line="202" w:lineRule="exact"/>
              <w:rPr>
                <w:sz w:val="20"/>
                <w:szCs w:val="20"/>
                <w:color w:val="auto"/>
              </w:rPr>
            </w:pPr>
            <w:r>
              <w:rPr>
                <w:rFonts w:ascii="Arial" w:cs="Arial" w:eastAsia="Arial" w:hAnsi="Arial"/>
                <w:sz w:val="18"/>
                <w:szCs w:val="18"/>
                <w:color w:val="auto"/>
              </w:rPr>
              <w:t>Intelligent Cloud</w:t>
            </w:r>
          </w:p>
        </w:tc>
        <w:tc>
          <w:tcPr>
            <w:tcW w:w="540" w:type="dxa"/>
            <w:vAlign w:val="bottom"/>
          </w:tcPr>
          <w:p>
            <w:pPr>
              <w:spacing w:after="0"/>
              <w:rPr>
                <w:sz w:val="17"/>
                <w:szCs w:val="17"/>
                <w:color w:val="auto"/>
              </w:rPr>
            </w:pPr>
          </w:p>
        </w:tc>
        <w:tc>
          <w:tcPr>
            <w:tcW w:w="1120" w:type="dxa"/>
            <w:vAlign w:val="bottom"/>
            <w:gridSpan w:val="2"/>
          </w:tcPr>
          <w:p>
            <w:pPr>
              <w:jc w:val="right"/>
              <w:ind w:right="140"/>
              <w:spacing w:after="0" w:line="202" w:lineRule="exact"/>
              <w:rPr>
                <w:sz w:val="20"/>
                <w:szCs w:val="20"/>
                <w:color w:val="auto"/>
              </w:rPr>
            </w:pPr>
            <w:r>
              <w:rPr>
                <w:rFonts w:ascii="Arial" w:cs="Arial" w:eastAsia="Arial" w:hAnsi="Arial"/>
                <w:sz w:val="18"/>
                <w:szCs w:val="18"/>
                <w:b w:val="1"/>
                <w:bCs w:val="1"/>
                <w:color w:val="auto"/>
              </w:rPr>
              <w:t>2,137</w:t>
            </w: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1,777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860" w:type="dxa"/>
            <w:vAlign w:val="bottom"/>
            <w:shd w:val="clear" w:color="auto" w:fill="E5E5E5"/>
          </w:tcPr>
          <w:p>
            <w:pPr>
              <w:spacing w:after="0"/>
              <w:rPr>
                <w:sz w:val="20"/>
                <w:szCs w:val="20"/>
                <w:color w:val="auto"/>
              </w:rPr>
            </w:pPr>
            <w:r>
              <w:rPr>
                <w:rFonts w:ascii="Arial" w:cs="Arial" w:eastAsia="Arial" w:hAnsi="Arial"/>
                <w:sz w:val="18"/>
                <w:szCs w:val="18"/>
                <w:color w:val="auto"/>
              </w:rPr>
              <w:t>More Personal Computing</w:t>
            </w:r>
          </w:p>
        </w:tc>
        <w:tc>
          <w:tcPr>
            <w:tcW w:w="540" w:type="dxa"/>
            <w:vAlign w:val="bottom"/>
            <w:shd w:val="clear" w:color="auto" w:fill="E5E5E5"/>
          </w:tcPr>
          <w:p>
            <w:pPr>
              <w:spacing w:after="0"/>
              <w:rPr>
                <w:sz w:val="21"/>
                <w:szCs w:val="21"/>
                <w:color w:val="auto"/>
              </w:rPr>
            </w:pPr>
          </w:p>
        </w:tc>
        <w:tc>
          <w:tcPr>
            <w:tcW w:w="1120" w:type="dxa"/>
            <w:vAlign w:val="bottom"/>
            <w:gridSpan w:val="2"/>
            <w:shd w:val="clear" w:color="auto" w:fill="E5E5E5"/>
          </w:tcPr>
          <w:p>
            <w:pPr>
              <w:jc w:val="right"/>
              <w:ind w:right="140"/>
              <w:spacing w:after="0"/>
              <w:rPr>
                <w:sz w:val="20"/>
                <w:szCs w:val="20"/>
                <w:color w:val="auto"/>
              </w:rPr>
            </w:pPr>
            <w:r>
              <w:rPr>
                <w:rFonts w:ascii="Arial" w:cs="Arial" w:eastAsia="Arial" w:hAnsi="Arial"/>
                <w:sz w:val="18"/>
                <w:szCs w:val="18"/>
                <w:b w:val="1"/>
                <w:bCs w:val="1"/>
                <w:color w:val="auto"/>
              </w:rPr>
              <w:t>2,565</w:t>
            </w:r>
          </w:p>
        </w:tc>
        <w:tc>
          <w:tcPr>
            <w:tcW w:w="160" w:type="dxa"/>
            <w:vAlign w:val="bottom"/>
            <w:shd w:val="clear" w:color="auto" w:fill="E5E5E5"/>
          </w:tcPr>
          <w:p>
            <w:pPr>
              <w:spacing w:after="0"/>
              <w:rPr>
                <w:sz w:val="21"/>
                <w:szCs w:val="21"/>
                <w:color w:val="auto"/>
              </w:rPr>
            </w:pPr>
          </w:p>
        </w:tc>
        <w:tc>
          <w:tcPr>
            <w:tcW w:w="520" w:type="dxa"/>
            <w:vAlign w:val="bottom"/>
            <w:shd w:val="clear" w:color="auto" w:fill="E5E5E5"/>
          </w:tcPr>
          <w:p>
            <w:pPr>
              <w:spacing w:after="0"/>
              <w:rPr>
                <w:sz w:val="21"/>
                <w:szCs w:val="21"/>
                <w:color w:val="auto"/>
              </w:rPr>
            </w:pPr>
          </w:p>
        </w:tc>
        <w:tc>
          <w:tcPr>
            <w:tcW w:w="1200" w:type="dxa"/>
            <w:vAlign w:val="bottom"/>
            <w:gridSpan w:val="2"/>
            <w:shd w:val="clear" w:color="auto" w:fill="E5E5E5"/>
          </w:tcPr>
          <w:p>
            <w:pPr>
              <w:jc w:val="right"/>
              <w:ind w:right="220"/>
              <w:spacing w:after="0"/>
              <w:rPr>
                <w:sz w:val="20"/>
                <w:szCs w:val="20"/>
                <w:color w:val="auto"/>
              </w:rPr>
            </w:pPr>
            <w:r>
              <w:rPr>
                <w:rFonts w:ascii="Arial" w:cs="Arial" w:eastAsia="Arial" w:hAnsi="Arial"/>
                <w:sz w:val="18"/>
                <w:szCs w:val="18"/>
                <w:color w:val="auto"/>
              </w:rPr>
              <w:t>2,033</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86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860" w:type="dxa"/>
            <w:vAlign w:val="bottom"/>
          </w:tcPr>
          <w:p>
            <w:pPr>
              <w:spacing w:after="0"/>
              <w:rPr>
                <w:sz w:val="5"/>
                <w:szCs w:val="5"/>
                <w:color w:val="auto"/>
              </w:rPr>
            </w:pPr>
          </w:p>
        </w:tc>
        <w:tc>
          <w:tcPr>
            <w:tcW w:w="540" w:type="dxa"/>
            <w:vAlign w:val="bottom"/>
          </w:tcPr>
          <w:p>
            <w:pPr>
              <w:spacing w:after="0"/>
              <w:rPr>
                <w:sz w:val="5"/>
                <w:szCs w:val="5"/>
                <w:color w:val="auto"/>
              </w:rPr>
            </w:pPr>
          </w:p>
        </w:tc>
        <w:tc>
          <w:tcPr>
            <w:tcW w:w="9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20" w:type="dxa"/>
            <w:vAlign w:val="bottom"/>
          </w:tcPr>
          <w:p>
            <w:pPr>
              <w:spacing w:after="0"/>
              <w:rPr>
                <w:sz w:val="5"/>
                <w:szCs w:val="5"/>
                <w:color w:val="auto"/>
              </w:rPr>
            </w:pPr>
          </w:p>
        </w:tc>
        <w:tc>
          <w:tcPr>
            <w:tcW w:w="980" w:type="dxa"/>
            <w:vAlign w:val="bottom"/>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860" w:type="dxa"/>
            <w:vAlign w:val="bottom"/>
            <w:shd w:val="clear" w:color="auto" w:fill="E5E5E5"/>
          </w:tcPr>
          <w:p>
            <w:pPr>
              <w:ind w:left="200"/>
              <w:spacing w:after="0"/>
              <w:rPr>
                <w:sz w:val="20"/>
                <w:szCs w:val="20"/>
                <w:color w:val="auto"/>
              </w:rPr>
            </w:pPr>
            <w:r>
              <w:rPr>
                <w:rFonts w:ascii="Arial" w:cs="Arial" w:eastAsia="Arial" w:hAnsi="Arial"/>
                <w:sz w:val="18"/>
                <w:szCs w:val="18"/>
                <w:color w:val="auto"/>
              </w:rPr>
              <w:t>Total</w:t>
            </w:r>
          </w:p>
        </w:tc>
        <w:tc>
          <w:tcPr>
            <w:tcW w:w="540" w:type="dxa"/>
            <w:vAlign w:val="bottom"/>
            <w:shd w:val="clear" w:color="auto" w:fill="E5E5E5"/>
          </w:tcPr>
          <w:p>
            <w:pPr>
              <w:jc w:val="right"/>
              <w:ind w:right="350"/>
              <w:spacing w:after="0"/>
              <w:rPr>
                <w:sz w:val="20"/>
                <w:szCs w:val="20"/>
                <w:color w:val="auto"/>
              </w:rPr>
            </w:pPr>
            <w:r>
              <w:rPr>
                <w:rFonts w:ascii="Arial" w:cs="Arial" w:eastAsia="Arial" w:hAnsi="Arial"/>
                <w:sz w:val="18"/>
                <w:szCs w:val="18"/>
                <w:b w:val="1"/>
                <w:bCs w:val="1"/>
                <w:color w:val="auto"/>
                <w:w w:val="79"/>
              </w:rPr>
              <w:t>$</w:t>
            </w:r>
          </w:p>
        </w:tc>
        <w:tc>
          <w:tcPr>
            <w:tcW w:w="1120" w:type="dxa"/>
            <w:vAlign w:val="bottom"/>
            <w:gridSpan w:val="2"/>
            <w:shd w:val="clear" w:color="auto" w:fill="E5E5E5"/>
          </w:tcPr>
          <w:p>
            <w:pPr>
              <w:jc w:val="right"/>
              <w:ind w:right="140"/>
              <w:spacing w:after="0"/>
              <w:rPr>
                <w:sz w:val="20"/>
                <w:szCs w:val="20"/>
                <w:color w:val="auto"/>
              </w:rPr>
            </w:pPr>
            <w:r>
              <w:rPr>
                <w:rFonts w:ascii="Arial" w:cs="Arial" w:eastAsia="Arial" w:hAnsi="Arial"/>
                <w:sz w:val="18"/>
                <w:szCs w:val="18"/>
                <w:b w:val="1"/>
                <w:bCs w:val="1"/>
                <w:color w:val="auto"/>
              </w:rPr>
              <w:t>7,708</w:t>
            </w:r>
          </w:p>
        </w:tc>
        <w:tc>
          <w:tcPr>
            <w:tcW w:w="680" w:type="dxa"/>
            <w:vAlign w:val="bottom"/>
            <w:gridSpan w:val="2"/>
            <w:shd w:val="clear" w:color="auto" w:fill="E5E5E5"/>
          </w:tcPr>
          <w:p>
            <w:pPr>
              <w:jc w:val="right"/>
              <w:ind w:right="4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E5E5E5"/>
          </w:tcPr>
          <w:p>
            <w:pPr>
              <w:jc w:val="right"/>
              <w:ind w:right="220"/>
              <w:spacing w:after="0"/>
              <w:rPr>
                <w:sz w:val="20"/>
                <w:szCs w:val="20"/>
                <w:color w:val="auto"/>
              </w:rPr>
            </w:pPr>
            <w:r>
              <w:rPr>
                <w:rFonts w:ascii="Arial" w:cs="Arial" w:eastAsia="Arial" w:hAnsi="Arial"/>
                <w:sz w:val="18"/>
                <w:szCs w:val="18"/>
                <w:color w:val="auto"/>
              </w:rPr>
              <w:t>6,715</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860" w:type="dxa"/>
            <w:vAlign w:val="bottom"/>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No sales to an individual customer or country other than the United States accounted for more than 10% of revenue for the three months ended</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2017 or 2016. Revenue, classified by the major geographic areas in which our customers are located, was as follows:</w:t>
      </w:r>
    </w:p>
    <w:p>
      <w:pPr>
        <w:spacing w:after="0" w:line="16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46990</wp:posOffset>
            </wp:positionV>
            <wp:extent cx="7152005"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2005" cy="8890"/>
                    </a:xfrm>
                    <a:prstGeom prst="rect">
                      <a:avLst/>
                    </a:prstGeom>
                    <a:noFill/>
                  </pic:spPr>
                </pic:pic>
              </a:graphicData>
            </a:graphic>
          </wp:anchor>
        </w:drawing>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120" w:type="dxa"/>
            <w:vAlign w:val="bottom"/>
            <w:gridSpan w:val="2"/>
          </w:tcPr>
          <w:p>
            <w:pPr>
              <w:spacing w:after="0"/>
              <w:rPr>
                <w:sz w:val="20"/>
                <w:szCs w:val="20"/>
                <w:color w:val="auto"/>
              </w:rPr>
            </w:pPr>
            <w:r>
              <w:rPr>
                <w:rFonts w:ascii="Arial" w:cs="Arial" w:eastAsia="Arial" w:hAnsi="Arial"/>
                <w:sz w:val="14"/>
                <w:szCs w:val="14"/>
                <w:b w:val="1"/>
                <w:bCs w:val="1"/>
                <w:color w:val="auto"/>
              </w:rPr>
              <w:t>Three Months Ended September 30,</w:t>
            </w:r>
          </w:p>
        </w:tc>
        <w:tc>
          <w:tcPr>
            <w:tcW w:w="28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2017</w:t>
            </w:r>
          </w:p>
        </w:tc>
        <w:tc>
          <w:tcPr>
            <w:tcW w:w="3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2016</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 w:type="dxa"/>
            <w:vAlign w:val="bottom"/>
            <w:vMerge w:val="restart"/>
          </w:tcPr>
          <w:p>
            <w:pPr>
              <w:spacing w:after="0"/>
              <w:rPr>
                <w:sz w:val="3"/>
                <w:szCs w:val="3"/>
                <w:color w:val="auto"/>
              </w:rPr>
            </w:pPr>
          </w:p>
        </w:tc>
        <w:tc>
          <w:tcPr>
            <w:tcW w:w="5100" w:type="dxa"/>
            <w:vAlign w:val="bottom"/>
          </w:tcPr>
          <w:p>
            <w:pPr>
              <w:spacing w:after="0"/>
              <w:rPr>
                <w:sz w:val="3"/>
                <w:szCs w:val="3"/>
                <w:color w:val="auto"/>
              </w:rPr>
            </w:pPr>
          </w:p>
        </w:tc>
        <w:tc>
          <w:tcPr>
            <w:tcW w:w="2820" w:type="dxa"/>
            <w:vAlign w:val="bottom"/>
          </w:tcPr>
          <w:p>
            <w:pPr>
              <w:spacing w:after="0"/>
              <w:rPr>
                <w:sz w:val="3"/>
                <w:szCs w:val="3"/>
                <w:color w:val="auto"/>
              </w:rPr>
            </w:pPr>
          </w:p>
        </w:tc>
        <w:tc>
          <w:tcPr>
            <w:tcW w:w="520" w:type="dxa"/>
            <w:vAlign w:val="bottom"/>
          </w:tcPr>
          <w:p>
            <w:pPr>
              <w:spacing w:after="0"/>
              <w:rPr>
                <w:sz w:val="3"/>
                <w:szCs w:val="3"/>
                <w:color w:val="auto"/>
              </w:rPr>
            </w:pPr>
          </w:p>
        </w:tc>
        <w:tc>
          <w:tcPr>
            <w:tcW w:w="980" w:type="dxa"/>
            <w:vAlign w:val="bottom"/>
          </w:tcPr>
          <w:p>
            <w:pPr>
              <w:spacing w:after="0"/>
              <w:rPr>
                <w:sz w:val="3"/>
                <w:szCs w:val="3"/>
                <w:color w:val="auto"/>
              </w:rPr>
            </w:pPr>
          </w:p>
        </w:tc>
        <w:tc>
          <w:tcPr>
            <w:tcW w:w="3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10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 xml:space="preserve">United States </w:t>
            </w:r>
            <w:r>
              <w:rPr>
                <w:rFonts w:ascii="Arial" w:cs="Arial" w:eastAsia="Arial" w:hAnsi="Arial"/>
                <w:sz w:val="15"/>
                <w:szCs w:val="15"/>
                <w:color w:val="auto"/>
              </w:rPr>
              <w:t>(a)</w:t>
            </w:r>
          </w:p>
        </w:tc>
        <w:tc>
          <w:tcPr>
            <w:tcW w:w="3340" w:type="dxa"/>
            <w:vAlign w:val="bottom"/>
            <w:gridSpan w:val="2"/>
            <w:shd w:val="clear" w:color="auto" w:fill="E5E5E5"/>
          </w:tcPr>
          <w:p>
            <w:pPr>
              <w:jc w:val="right"/>
              <w:ind w:right="420"/>
              <w:spacing w:after="0" w:line="202" w:lineRule="exact"/>
              <w:rPr>
                <w:sz w:val="20"/>
                <w:szCs w:val="20"/>
                <w:color w:val="auto"/>
              </w:rPr>
            </w:pPr>
            <w:r>
              <w:rPr>
                <w:rFonts w:ascii="Arial" w:cs="Arial" w:eastAsia="Arial" w:hAnsi="Arial"/>
                <w:sz w:val="18"/>
                <w:szCs w:val="18"/>
                <w:b w:val="1"/>
                <w:bCs w:val="1"/>
                <w:color w:val="auto"/>
              </w:rPr>
              <w:t>$</w:t>
            </w:r>
          </w:p>
        </w:tc>
        <w:tc>
          <w:tcPr>
            <w:tcW w:w="1280" w:type="dxa"/>
            <w:vAlign w:val="bottom"/>
            <w:gridSpan w:val="2"/>
            <w:shd w:val="clear" w:color="auto" w:fill="E5E5E5"/>
          </w:tcPr>
          <w:p>
            <w:pPr>
              <w:jc w:val="right"/>
              <w:ind w:right="300"/>
              <w:spacing w:after="0" w:line="202" w:lineRule="exact"/>
              <w:rPr>
                <w:sz w:val="20"/>
                <w:szCs w:val="20"/>
                <w:color w:val="auto"/>
              </w:rPr>
            </w:pPr>
            <w:r>
              <w:rPr>
                <w:rFonts w:ascii="Arial" w:cs="Arial" w:eastAsia="Arial" w:hAnsi="Arial"/>
                <w:sz w:val="18"/>
                <w:szCs w:val="18"/>
                <w:b w:val="1"/>
                <w:bCs w:val="1"/>
                <w:color w:val="auto"/>
              </w:rPr>
              <w:t>12,527</w:t>
            </w:r>
          </w:p>
        </w:tc>
        <w:tc>
          <w:tcPr>
            <w:tcW w:w="540" w:type="dxa"/>
            <w:vAlign w:val="bottom"/>
            <w:shd w:val="clear" w:color="auto" w:fill="E5E5E5"/>
          </w:tcPr>
          <w:p>
            <w:pPr>
              <w:jc w:val="right"/>
              <w:ind w:right="350"/>
              <w:spacing w:after="0" w:line="202" w:lineRule="exact"/>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E5E5E5"/>
          </w:tcPr>
          <w:p>
            <w:pPr>
              <w:jc w:val="right"/>
              <w:ind w:right="140"/>
              <w:spacing w:after="0" w:line="202" w:lineRule="exact"/>
              <w:rPr>
                <w:sz w:val="20"/>
                <w:szCs w:val="20"/>
                <w:color w:val="auto"/>
              </w:rPr>
            </w:pPr>
            <w:r>
              <w:rPr>
                <w:rFonts w:ascii="Arial" w:cs="Arial" w:eastAsia="Arial" w:hAnsi="Arial"/>
                <w:sz w:val="18"/>
                <w:szCs w:val="18"/>
                <w:color w:val="auto"/>
              </w:rPr>
              <w:t>11,215</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Other countries</w:t>
            </w:r>
          </w:p>
        </w:tc>
        <w:tc>
          <w:tcPr>
            <w:tcW w:w="28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28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12,011</w:t>
            </w:r>
          </w:p>
        </w:tc>
        <w:tc>
          <w:tcPr>
            <w:tcW w:w="540" w:type="dxa"/>
            <w:vAlign w:val="bottom"/>
          </w:tcPr>
          <w:p>
            <w:pPr>
              <w:spacing w:after="0"/>
              <w:rPr>
                <w:sz w:val="22"/>
                <w:szCs w:val="22"/>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10,713</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5100" w:type="dxa"/>
            <w:vAlign w:val="bottom"/>
            <w:tcBorders>
              <w:top w:val="single" w:sz="8" w:color="auto"/>
            </w:tcBorders>
          </w:tcPr>
          <w:p>
            <w:pPr>
              <w:spacing w:after="0"/>
              <w:rPr>
                <w:sz w:val="5"/>
                <w:szCs w:val="5"/>
                <w:color w:val="auto"/>
              </w:rPr>
            </w:pPr>
          </w:p>
        </w:tc>
        <w:tc>
          <w:tcPr>
            <w:tcW w:w="2820" w:type="dxa"/>
            <w:vAlign w:val="bottom"/>
            <w:tcBorders>
              <w:top w:val="single" w:sz="8" w:color="auto"/>
            </w:tcBorders>
          </w:tcPr>
          <w:p>
            <w:pPr>
              <w:spacing w:after="0"/>
              <w:rPr>
                <w:sz w:val="5"/>
                <w:szCs w:val="5"/>
                <w:color w:val="auto"/>
              </w:rPr>
            </w:pPr>
          </w:p>
        </w:tc>
        <w:tc>
          <w:tcPr>
            <w:tcW w:w="520" w:type="dxa"/>
            <w:vAlign w:val="bottom"/>
            <w:tcBorders>
              <w:top w:val="single" w:sz="8" w:color="auto"/>
            </w:tcBorders>
          </w:tcPr>
          <w:p>
            <w:pPr>
              <w:spacing w:after="0"/>
              <w:rPr>
                <w:sz w:val="5"/>
                <w:szCs w:val="5"/>
                <w:color w:val="auto"/>
              </w:rPr>
            </w:pPr>
          </w:p>
        </w:tc>
        <w:tc>
          <w:tcPr>
            <w:tcW w:w="980" w:type="dxa"/>
            <w:vAlign w:val="bottom"/>
            <w:tcBorders>
              <w:top w:val="single" w:sz="8" w:color="auto"/>
            </w:tcBorders>
          </w:tcPr>
          <w:p>
            <w:pPr>
              <w:spacing w:after="0"/>
              <w:rPr>
                <w:sz w:val="5"/>
                <w:szCs w:val="5"/>
                <w:color w:val="auto"/>
              </w:rPr>
            </w:pPr>
          </w:p>
        </w:tc>
        <w:tc>
          <w:tcPr>
            <w:tcW w:w="300" w:type="dxa"/>
            <w:vAlign w:val="bottom"/>
          </w:tcPr>
          <w:p>
            <w:pPr>
              <w:spacing w:after="0"/>
              <w:rPr>
                <w:sz w:val="5"/>
                <w:szCs w:val="5"/>
                <w:color w:val="auto"/>
              </w:rPr>
            </w:pPr>
          </w:p>
        </w:tc>
        <w:tc>
          <w:tcPr>
            <w:tcW w:w="540" w:type="dxa"/>
            <w:vAlign w:val="bottom"/>
            <w:tcBorders>
              <w:top w:val="single" w:sz="8" w:color="auto"/>
            </w:tcBorders>
          </w:tcPr>
          <w:p>
            <w:pPr>
              <w:spacing w:after="0"/>
              <w:rPr>
                <w:sz w:val="5"/>
                <w:szCs w:val="5"/>
                <w:color w:val="auto"/>
              </w:rPr>
            </w:pPr>
          </w:p>
        </w:tc>
        <w:tc>
          <w:tcPr>
            <w:tcW w:w="1000" w:type="dxa"/>
            <w:vAlign w:val="bottom"/>
            <w:tcBorders>
              <w:top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00" w:type="dxa"/>
            <w:vAlign w:val="bottom"/>
            <w:shd w:val="clear" w:color="auto" w:fill="E5E5E5"/>
          </w:tcPr>
          <w:p>
            <w:pPr>
              <w:ind w:left="200"/>
              <w:spacing w:after="0" w:line="202" w:lineRule="exact"/>
              <w:rPr>
                <w:sz w:val="20"/>
                <w:szCs w:val="20"/>
                <w:color w:val="auto"/>
              </w:rPr>
            </w:pPr>
            <w:r>
              <w:rPr>
                <w:rFonts w:ascii="Arial" w:cs="Arial" w:eastAsia="Arial" w:hAnsi="Arial"/>
                <w:sz w:val="18"/>
                <w:szCs w:val="18"/>
                <w:color w:val="auto"/>
              </w:rPr>
              <w:t>Total</w:t>
            </w:r>
          </w:p>
        </w:tc>
        <w:tc>
          <w:tcPr>
            <w:tcW w:w="3340" w:type="dxa"/>
            <w:vAlign w:val="bottom"/>
            <w:gridSpan w:val="2"/>
            <w:shd w:val="clear" w:color="auto" w:fill="E5E5E5"/>
          </w:tcPr>
          <w:p>
            <w:pPr>
              <w:jc w:val="right"/>
              <w:ind w:right="420"/>
              <w:spacing w:after="0" w:line="202" w:lineRule="exact"/>
              <w:rPr>
                <w:sz w:val="20"/>
                <w:szCs w:val="20"/>
                <w:color w:val="auto"/>
              </w:rPr>
            </w:pPr>
            <w:r>
              <w:rPr>
                <w:rFonts w:ascii="Arial" w:cs="Arial" w:eastAsia="Arial" w:hAnsi="Arial"/>
                <w:sz w:val="18"/>
                <w:szCs w:val="18"/>
                <w:b w:val="1"/>
                <w:bCs w:val="1"/>
                <w:color w:val="auto"/>
              </w:rPr>
              <w:t>$</w:t>
            </w:r>
          </w:p>
        </w:tc>
        <w:tc>
          <w:tcPr>
            <w:tcW w:w="1280" w:type="dxa"/>
            <w:vAlign w:val="bottom"/>
            <w:gridSpan w:val="2"/>
            <w:shd w:val="clear" w:color="auto" w:fill="E5E5E5"/>
          </w:tcPr>
          <w:p>
            <w:pPr>
              <w:jc w:val="right"/>
              <w:ind w:right="300"/>
              <w:spacing w:after="0" w:line="202" w:lineRule="exact"/>
              <w:rPr>
                <w:sz w:val="20"/>
                <w:szCs w:val="20"/>
                <w:color w:val="auto"/>
              </w:rPr>
            </w:pPr>
            <w:r>
              <w:rPr>
                <w:rFonts w:ascii="Arial" w:cs="Arial" w:eastAsia="Arial" w:hAnsi="Arial"/>
                <w:sz w:val="18"/>
                <w:szCs w:val="18"/>
                <w:b w:val="1"/>
                <w:bCs w:val="1"/>
                <w:color w:val="auto"/>
              </w:rPr>
              <w:t>24,538</w:t>
            </w:r>
          </w:p>
        </w:tc>
        <w:tc>
          <w:tcPr>
            <w:tcW w:w="540" w:type="dxa"/>
            <w:vAlign w:val="bottom"/>
            <w:shd w:val="clear" w:color="auto" w:fill="E5E5E5"/>
          </w:tcPr>
          <w:p>
            <w:pPr>
              <w:jc w:val="right"/>
              <w:ind w:right="350"/>
              <w:spacing w:after="0" w:line="202" w:lineRule="exact"/>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E5E5E5"/>
          </w:tcPr>
          <w:p>
            <w:pPr>
              <w:jc w:val="right"/>
              <w:ind w:right="140"/>
              <w:spacing w:after="0" w:line="202" w:lineRule="exact"/>
              <w:rPr>
                <w:sz w:val="20"/>
                <w:szCs w:val="20"/>
                <w:color w:val="auto"/>
              </w:rPr>
            </w:pPr>
            <w:r>
              <w:rPr>
                <w:rFonts w:ascii="Arial" w:cs="Arial" w:eastAsia="Arial" w:hAnsi="Arial"/>
                <w:sz w:val="18"/>
                <w:szCs w:val="18"/>
                <w:color w:val="auto"/>
              </w:rPr>
              <w:t>21,928</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5100" w:type="dxa"/>
            <w:vAlign w:val="bottom"/>
          </w:tcPr>
          <w:p>
            <w:pPr>
              <w:spacing w:after="0"/>
              <w:rPr>
                <w:sz w:val="6"/>
                <w:szCs w:val="6"/>
                <w:color w:val="auto"/>
              </w:rPr>
            </w:pPr>
          </w:p>
        </w:tc>
        <w:tc>
          <w:tcPr>
            <w:tcW w:w="2820" w:type="dxa"/>
            <w:vAlign w:val="bottom"/>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300" w:type="dxa"/>
            <w:vAlign w:val="bottom"/>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47" w:lineRule="exact"/>
        <w:rPr>
          <w:sz w:val="20"/>
          <w:szCs w:val="20"/>
          <w:color w:val="auto"/>
        </w:rPr>
      </w:pPr>
    </w:p>
    <w:p>
      <w:pPr>
        <w:ind w:left="540" w:hanging="532"/>
        <w:spacing w:after="0" w:line="274" w:lineRule="auto"/>
        <w:tabs>
          <w:tab w:leader="none" w:pos="540"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Includes billings to original equipment manufacturers and certain multinational organizations because of the nature of these businesses and the impracticability of determining the geographic source of the revenue.</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Revenue from external customers, classified by significant product and service offerings, was as follows:</w:t>
      </w:r>
    </w:p>
    <w:p>
      <w:pPr>
        <w:spacing w:after="0" w:line="18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46990</wp:posOffset>
            </wp:positionV>
            <wp:extent cx="7160895"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80" w:type="dxa"/>
            <w:vAlign w:val="bottom"/>
            <w:gridSpan w:val="2"/>
          </w:tcPr>
          <w:p>
            <w:pPr>
              <w:spacing w:after="0"/>
              <w:rPr>
                <w:sz w:val="20"/>
                <w:szCs w:val="20"/>
                <w:color w:val="auto"/>
              </w:rPr>
            </w:pPr>
            <w:r>
              <w:rPr>
                <w:rFonts w:ascii="Arial" w:cs="Arial" w:eastAsia="Arial" w:hAnsi="Arial"/>
                <w:sz w:val="14"/>
                <w:szCs w:val="14"/>
                <w:b w:val="1"/>
                <w:bCs w:val="1"/>
                <w:color w:val="auto"/>
              </w:rPr>
              <w:t>Three Months Ended September 30,</w:t>
            </w:r>
          </w:p>
        </w:tc>
        <w:tc>
          <w:tcPr>
            <w:tcW w:w="5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2017</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2016</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 w:type="dxa"/>
            <w:vAlign w:val="bottom"/>
            <w:vMerge w:val="restart"/>
          </w:tcPr>
          <w:p>
            <w:pPr>
              <w:spacing w:after="0"/>
              <w:rPr>
                <w:sz w:val="3"/>
                <w:szCs w:val="3"/>
                <w:color w:val="auto"/>
              </w:rPr>
            </w:pPr>
          </w:p>
        </w:tc>
        <w:tc>
          <w:tcPr>
            <w:tcW w:w="7960" w:type="dxa"/>
            <w:vAlign w:val="bottom"/>
          </w:tcPr>
          <w:p>
            <w:pPr>
              <w:spacing w:after="0"/>
              <w:rPr>
                <w:sz w:val="3"/>
                <w:szCs w:val="3"/>
                <w:color w:val="auto"/>
              </w:rPr>
            </w:pPr>
          </w:p>
        </w:tc>
        <w:tc>
          <w:tcPr>
            <w:tcW w:w="5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96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Office products and cloud services</w:t>
            </w:r>
          </w:p>
        </w:tc>
        <w:tc>
          <w:tcPr>
            <w:tcW w:w="520" w:type="dxa"/>
            <w:vAlign w:val="bottom"/>
            <w:shd w:val="clear" w:color="auto" w:fill="E5E5E5"/>
          </w:tcPr>
          <w:p>
            <w:pPr>
              <w:jc w:val="right"/>
              <w:ind w:right="330"/>
              <w:spacing w:after="0" w:line="202" w:lineRule="exact"/>
              <w:rPr>
                <w:sz w:val="20"/>
                <w:szCs w:val="20"/>
                <w:color w:val="auto"/>
              </w:rPr>
            </w:pPr>
            <w:r>
              <w:rPr>
                <w:rFonts w:ascii="Arial" w:cs="Arial" w:eastAsia="Arial" w:hAnsi="Arial"/>
                <w:sz w:val="18"/>
                <w:szCs w:val="18"/>
                <w:b w:val="1"/>
                <w:bCs w:val="1"/>
                <w:color w:val="auto"/>
                <w:w w:val="79"/>
              </w:rPr>
              <w:t>$</w:t>
            </w:r>
          </w:p>
        </w:tc>
        <w:tc>
          <w:tcPr>
            <w:tcW w:w="1120" w:type="dxa"/>
            <w:vAlign w:val="bottom"/>
            <w:gridSpan w:val="2"/>
            <w:shd w:val="clear" w:color="auto" w:fill="E5E5E5"/>
          </w:tcPr>
          <w:p>
            <w:pPr>
              <w:jc w:val="right"/>
              <w:ind w:right="140"/>
              <w:spacing w:after="0" w:line="202" w:lineRule="exact"/>
              <w:rPr>
                <w:sz w:val="20"/>
                <w:szCs w:val="20"/>
                <w:color w:val="auto"/>
              </w:rPr>
            </w:pPr>
            <w:r>
              <w:rPr>
                <w:rFonts w:ascii="Arial" w:cs="Arial" w:eastAsia="Arial" w:hAnsi="Arial"/>
                <w:sz w:val="18"/>
                <w:szCs w:val="18"/>
                <w:b w:val="1"/>
                <w:bCs w:val="1"/>
                <w:color w:val="auto"/>
              </w:rPr>
              <w:t>6,575</w:t>
            </w:r>
          </w:p>
        </w:tc>
        <w:tc>
          <w:tcPr>
            <w:tcW w:w="680" w:type="dxa"/>
            <w:vAlign w:val="bottom"/>
            <w:gridSpan w:val="2"/>
            <w:shd w:val="clear" w:color="auto" w:fill="E5E5E5"/>
          </w:tcPr>
          <w:p>
            <w:pPr>
              <w:jc w:val="right"/>
              <w:ind w:right="440"/>
              <w:spacing w:after="0" w:line="202" w:lineRule="exact"/>
              <w:rPr>
                <w:sz w:val="20"/>
                <w:szCs w:val="20"/>
                <w:color w:val="auto"/>
              </w:rPr>
            </w:pPr>
            <w:r>
              <w:rPr>
                <w:rFonts w:ascii="Arial" w:cs="Arial" w:eastAsia="Arial" w:hAnsi="Arial"/>
                <w:sz w:val="18"/>
                <w:szCs w:val="18"/>
                <w:color w:val="auto"/>
              </w:rPr>
              <w:t>$</w:t>
            </w:r>
          </w:p>
        </w:tc>
        <w:tc>
          <w:tcPr>
            <w:tcW w:w="1120" w:type="dxa"/>
            <w:vAlign w:val="bottom"/>
            <w:gridSpan w:val="2"/>
            <w:shd w:val="clear" w:color="auto" w:fill="E5E5E5"/>
          </w:tcPr>
          <w:p>
            <w:pPr>
              <w:jc w:val="right"/>
              <w:ind w:right="140"/>
              <w:spacing w:after="0" w:line="202" w:lineRule="exact"/>
              <w:rPr>
                <w:sz w:val="20"/>
                <w:szCs w:val="20"/>
                <w:color w:val="auto"/>
              </w:rPr>
            </w:pPr>
            <w:r>
              <w:rPr>
                <w:rFonts w:ascii="Arial" w:cs="Arial" w:eastAsia="Arial" w:hAnsi="Arial"/>
                <w:sz w:val="18"/>
                <w:szCs w:val="18"/>
                <w:color w:val="auto"/>
              </w:rPr>
              <w:t>5,982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960" w:type="dxa"/>
            <w:vAlign w:val="bottom"/>
          </w:tcPr>
          <w:p>
            <w:pPr>
              <w:spacing w:after="0"/>
              <w:rPr>
                <w:sz w:val="20"/>
                <w:szCs w:val="20"/>
                <w:color w:val="auto"/>
              </w:rPr>
            </w:pPr>
            <w:r>
              <w:rPr>
                <w:rFonts w:ascii="Arial" w:cs="Arial" w:eastAsia="Arial" w:hAnsi="Arial"/>
                <w:sz w:val="18"/>
                <w:szCs w:val="18"/>
                <w:color w:val="auto"/>
              </w:rPr>
              <w:t>Server products and cloud services</w:t>
            </w:r>
          </w:p>
        </w:tc>
        <w:tc>
          <w:tcPr>
            <w:tcW w:w="520" w:type="dxa"/>
            <w:vAlign w:val="bottom"/>
          </w:tcPr>
          <w:p>
            <w:pPr>
              <w:spacing w:after="0"/>
              <w:rPr>
                <w:sz w:val="21"/>
                <w:szCs w:val="21"/>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5,496</w:t>
            </w:r>
          </w:p>
        </w:tc>
        <w:tc>
          <w:tcPr>
            <w:tcW w:w="1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4,689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960" w:type="dxa"/>
            <w:vAlign w:val="bottom"/>
            <w:shd w:val="clear" w:color="auto" w:fill="E5E5E5"/>
          </w:tcPr>
          <w:p>
            <w:pPr>
              <w:spacing w:after="0"/>
              <w:rPr>
                <w:sz w:val="20"/>
                <w:szCs w:val="20"/>
                <w:color w:val="auto"/>
              </w:rPr>
            </w:pPr>
            <w:r>
              <w:rPr>
                <w:rFonts w:ascii="Arial" w:cs="Arial" w:eastAsia="Arial" w:hAnsi="Arial"/>
                <w:sz w:val="18"/>
                <w:szCs w:val="18"/>
                <w:color w:val="auto"/>
              </w:rPr>
              <w:t>Windows</w:t>
            </w:r>
          </w:p>
        </w:tc>
        <w:tc>
          <w:tcPr>
            <w:tcW w:w="520" w:type="dxa"/>
            <w:vAlign w:val="bottom"/>
            <w:shd w:val="clear" w:color="auto" w:fill="E5E5E5"/>
          </w:tcPr>
          <w:p>
            <w:pPr>
              <w:spacing w:after="0"/>
              <w:rPr>
                <w:sz w:val="21"/>
                <w:szCs w:val="21"/>
                <w:color w:val="auto"/>
              </w:rPr>
            </w:pPr>
          </w:p>
        </w:tc>
        <w:tc>
          <w:tcPr>
            <w:tcW w:w="1120" w:type="dxa"/>
            <w:vAlign w:val="bottom"/>
            <w:gridSpan w:val="2"/>
            <w:shd w:val="clear" w:color="auto" w:fill="E5E5E5"/>
          </w:tcPr>
          <w:p>
            <w:pPr>
              <w:jc w:val="right"/>
              <w:ind w:right="140"/>
              <w:spacing w:after="0"/>
              <w:rPr>
                <w:sz w:val="20"/>
                <w:szCs w:val="20"/>
                <w:color w:val="auto"/>
              </w:rPr>
            </w:pPr>
            <w:r>
              <w:rPr>
                <w:rFonts w:ascii="Arial" w:cs="Arial" w:eastAsia="Arial" w:hAnsi="Arial"/>
                <w:sz w:val="18"/>
                <w:szCs w:val="18"/>
                <w:b w:val="1"/>
                <w:bCs w:val="1"/>
                <w:color w:val="auto"/>
              </w:rPr>
              <w:t>4,643</w:t>
            </w:r>
          </w:p>
        </w:tc>
        <w:tc>
          <w:tcPr>
            <w:tcW w:w="140" w:type="dxa"/>
            <w:vAlign w:val="bottom"/>
            <w:shd w:val="clear" w:color="auto" w:fill="E5E5E5"/>
          </w:tcPr>
          <w:p>
            <w:pPr>
              <w:spacing w:after="0"/>
              <w:rPr>
                <w:sz w:val="21"/>
                <w:szCs w:val="21"/>
                <w:color w:val="auto"/>
              </w:rPr>
            </w:pPr>
          </w:p>
        </w:tc>
        <w:tc>
          <w:tcPr>
            <w:tcW w:w="540" w:type="dxa"/>
            <w:vAlign w:val="bottom"/>
            <w:shd w:val="clear" w:color="auto" w:fill="E5E5E5"/>
          </w:tcPr>
          <w:p>
            <w:pPr>
              <w:spacing w:after="0"/>
              <w:rPr>
                <w:sz w:val="21"/>
                <w:szCs w:val="21"/>
                <w:color w:val="auto"/>
              </w:rPr>
            </w:pPr>
          </w:p>
        </w:tc>
        <w:tc>
          <w:tcPr>
            <w:tcW w:w="1120" w:type="dxa"/>
            <w:vAlign w:val="bottom"/>
            <w:gridSpan w:val="2"/>
            <w:shd w:val="clear" w:color="auto" w:fill="E5E5E5"/>
          </w:tcPr>
          <w:p>
            <w:pPr>
              <w:jc w:val="right"/>
              <w:ind w:right="140"/>
              <w:spacing w:after="0"/>
              <w:rPr>
                <w:sz w:val="20"/>
                <w:szCs w:val="20"/>
                <w:color w:val="auto"/>
              </w:rPr>
            </w:pPr>
            <w:r>
              <w:rPr>
                <w:rFonts w:ascii="Arial" w:cs="Arial" w:eastAsia="Arial" w:hAnsi="Arial"/>
                <w:sz w:val="18"/>
                <w:szCs w:val="18"/>
                <w:color w:val="auto"/>
              </w:rPr>
              <w:t>4,643</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960" w:type="dxa"/>
            <w:vAlign w:val="bottom"/>
          </w:tcPr>
          <w:p>
            <w:pPr>
              <w:spacing w:after="0"/>
              <w:rPr>
                <w:sz w:val="20"/>
                <w:szCs w:val="20"/>
                <w:color w:val="auto"/>
              </w:rPr>
            </w:pPr>
            <w:r>
              <w:rPr>
                <w:rFonts w:ascii="Arial" w:cs="Arial" w:eastAsia="Arial" w:hAnsi="Arial"/>
                <w:sz w:val="18"/>
                <w:szCs w:val="18"/>
                <w:color w:val="auto"/>
              </w:rPr>
              <w:t>Gaming</w:t>
            </w:r>
          </w:p>
        </w:tc>
        <w:tc>
          <w:tcPr>
            <w:tcW w:w="520" w:type="dxa"/>
            <w:vAlign w:val="bottom"/>
          </w:tcPr>
          <w:p>
            <w:pPr>
              <w:spacing w:after="0"/>
              <w:rPr>
                <w:sz w:val="21"/>
                <w:szCs w:val="21"/>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1,896</w:t>
            </w:r>
          </w:p>
        </w:tc>
        <w:tc>
          <w:tcPr>
            <w:tcW w:w="1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1,885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960" w:type="dxa"/>
            <w:vAlign w:val="bottom"/>
            <w:shd w:val="clear" w:color="auto" w:fill="E5E5E5"/>
          </w:tcPr>
          <w:p>
            <w:pPr>
              <w:spacing w:after="0"/>
              <w:rPr>
                <w:sz w:val="20"/>
                <w:szCs w:val="20"/>
                <w:color w:val="auto"/>
              </w:rPr>
            </w:pPr>
            <w:r>
              <w:rPr>
                <w:rFonts w:ascii="Arial" w:cs="Arial" w:eastAsia="Arial" w:hAnsi="Arial"/>
                <w:sz w:val="18"/>
                <w:szCs w:val="18"/>
                <w:color w:val="auto"/>
              </w:rPr>
              <w:t>Search advertising</w:t>
            </w:r>
          </w:p>
        </w:tc>
        <w:tc>
          <w:tcPr>
            <w:tcW w:w="520" w:type="dxa"/>
            <w:vAlign w:val="bottom"/>
            <w:shd w:val="clear" w:color="auto" w:fill="E5E5E5"/>
          </w:tcPr>
          <w:p>
            <w:pPr>
              <w:spacing w:after="0"/>
              <w:rPr>
                <w:sz w:val="21"/>
                <w:szCs w:val="21"/>
                <w:color w:val="auto"/>
              </w:rPr>
            </w:pPr>
          </w:p>
        </w:tc>
        <w:tc>
          <w:tcPr>
            <w:tcW w:w="1120" w:type="dxa"/>
            <w:vAlign w:val="bottom"/>
            <w:gridSpan w:val="2"/>
            <w:shd w:val="clear" w:color="auto" w:fill="E5E5E5"/>
          </w:tcPr>
          <w:p>
            <w:pPr>
              <w:jc w:val="right"/>
              <w:ind w:right="140"/>
              <w:spacing w:after="0"/>
              <w:rPr>
                <w:sz w:val="20"/>
                <w:szCs w:val="20"/>
                <w:color w:val="auto"/>
              </w:rPr>
            </w:pPr>
            <w:r>
              <w:rPr>
                <w:rFonts w:ascii="Arial" w:cs="Arial" w:eastAsia="Arial" w:hAnsi="Arial"/>
                <w:sz w:val="18"/>
                <w:szCs w:val="18"/>
                <w:b w:val="1"/>
                <w:bCs w:val="1"/>
                <w:color w:val="auto"/>
              </w:rPr>
              <w:t>1,639</w:t>
            </w:r>
          </w:p>
        </w:tc>
        <w:tc>
          <w:tcPr>
            <w:tcW w:w="140" w:type="dxa"/>
            <w:vAlign w:val="bottom"/>
            <w:shd w:val="clear" w:color="auto" w:fill="E5E5E5"/>
          </w:tcPr>
          <w:p>
            <w:pPr>
              <w:spacing w:after="0"/>
              <w:rPr>
                <w:sz w:val="21"/>
                <w:szCs w:val="21"/>
                <w:color w:val="auto"/>
              </w:rPr>
            </w:pPr>
          </w:p>
        </w:tc>
        <w:tc>
          <w:tcPr>
            <w:tcW w:w="540" w:type="dxa"/>
            <w:vAlign w:val="bottom"/>
            <w:shd w:val="clear" w:color="auto" w:fill="E5E5E5"/>
          </w:tcPr>
          <w:p>
            <w:pPr>
              <w:spacing w:after="0"/>
              <w:rPr>
                <w:sz w:val="21"/>
                <w:szCs w:val="21"/>
                <w:color w:val="auto"/>
              </w:rPr>
            </w:pPr>
          </w:p>
        </w:tc>
        <w:tc>
          <w:tcPr>
            <w:tcW w:w="1120" w:type="dxa"/>
            <w:vAlign w:val="bottom"/>
            <w:gridSpan w:val="2"/>
            <w:shd w:val="clear" w:color="auto" w:fill="E5E5E5"/>
          </w:tcPr>
          <w:p>
            <w:pPr>
              <w:jc w:val="right"/>
              <w:ind w:right="140"/>
              <w:spacing w:after="0"/>
              <w:rPr>
                <w:sz w:val="20"/>
                <w:szCs w:val="20"/>
                <w:color w:val="auto"/>
              </w:rPr>
            </w:pPr>
            <w:r>
              <w:rPr>
                <w:rFonts w:ascii="Arial" w:cs="Arial" w:eastAsia="Arial" w:hAnsi="Arial"/>
                <w:sz w:val="18"/>
                <w:szCs w:val="18"/>
                <w:color w:val="auto"/>
              </w:rPr>
              <w:t>1,429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960" w:type="dxa"/>
            <w:vAlign w:val="bottom"/>
          </w:tcPr>
          <w:p>
            <w:pPr>
              <w:spacing w:after="0"/>
              <w:rPr>
                <w:sz w:val="20"/>
                <w:szCs w:val="20"/>
                <w:color w:val="auto"/>
              </w:rPr>
            </w:pPr>
            <w:r>
              <w:rPr>
                <w:rFonts w:ascii="Arial" w:cs="Arial" w:eastAsia="Arial" w:hAnsi="Arial"/>
                <w:sz w:val="18"/>
                <w:szCs w:val="18"/>
                <w:color w:val="auto"/>
              </w:rPr>
              <w:t>Enterprise Services</w:t>
            </w:r>
          </w:p>
        </w:tc>
        <w:tc>
          <w:tcPr>
            <w:tcW w:w="520" w:type="dxa"/>
            <w:vAlign w:val="bottom"/>
          </w:tcPr>
          <w:p>
            <w:pPr>
              <w:spacing w:after="0"/>
              <w:rPr>
                <w:sz w:val="21"/>
                <w:szCs w:val="21"/>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1,371</w:t>
            </w:r>
          </w:p>
        </w:tc>
        <w:tc>
          <w:tcPr>
            <w:tcW w:w="1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1,355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960" w:type="dxa"/>
            <w:vAlign w:val="bottom"/>
            <w:shd w:val="clear" w:color="auto" w:fill="E5E5E5"/>
          </w:tcPr>
          <w:p>
            <w:pPr>
              <w:spacing w:after="0"/>
              <w:rPr>
                <w:sz w:val="20"/>
                <w:szCs w:val="20"/>
                <w:color w:val="auto"/>
              </w:rPr>
            </w:pPr>
            <w:r>
              <w:rPr>
                <w:rFonts w:ascii="Arial" w:cs="Arial" w:eastAsia="Arial" w:hAnsi="Arial"/>
                <w:sz w:val="18"/>
                <w:szCs w:val="18"/>
                <w:color w:val="auto"/>
              </w:rPr>
              <w:t>Devices</w:t>
            </w:r>
          </w:p>
        </w:tc>
        <w:tc>
          <w:tcPr>
            <w:tcW w:w="520" w:type="dxa"/>
            <w:vAlign w:val="bottom"/>
            <w:shd w:val="clear" w:color="auto" w:fill="E5E5E5"/>
          </w:tcPr>
          <w:p>
            <w:pPr>
              <w:spacing w:after="0"/>
              <w:rPr>
                <w:sz w:val="21"/>
                <w:szCs w:val="21"/>
                <w:color w:val="auto"/>
              </w:rPr>
            </w:pPr>
          </w:p>
        </w:tc>
        <w:tc>
          <w:tcPr>
            <w:tcW w:w="1120" w:type="dxa"/>
            <w:vAlign w:val="bottom"/>
            <w:gridSpan w:val="2"/>
            <w:shd w:val="clear" w:color="auto" w:fill="E5E5E5"/>
          </w:tcPr>
          <w:p>
            <w:pPr>
              <w:jc w:val="right"/>
              <w:ind w:right="140"/>
              <w:spacing w:after="0"/>
              <w:rPr>
                <w:sz w:val="20"/>
                <w:szCs w:val="20"/>
                <w:color w:val="auto"/>
              </w:rPr>
            </w:pPr>
            <w:r>
              <w:rPr>
                <w:rFonts w:ascii="Arial" w:cs="Arial" w:eastAsia="Arial" w:hAnsi="Arial"/>
                <w:sz w:val="18"/>
                <w:szCs w:val="18"/>
                <w:b w:val="1"/>
                <w:bCs w:val="1"/>
                <w:color w:val="auto"/>
              </w:rPr>
              <w:t>1,154</w:t>
            </w:r>
          </w:p>
        </w:tc>
        <w:tc>
          <w:tcPr>
            <w:tcW w:w="140" w:type="dxa"/>
            <w:vAlign w:val="bottom"/>
            <w:shd w:val="clear" w:color="auto" w:fill="E5E5E5"/>
          </w:tcPr>
          <w:p>
            <w:pPr>
              <w:spacing w:after="0"/>
              <w:rPr>
                <w:sz w:val="21"/>
                <w:szCs w:val="21"/>
                <w:color w:val="auto"/>
              </w:rPr>
            </w:pPr>
          </w:p>
        </w:tc>
        <w:tc>
          <w:tcPr>
            <w:tcW w:w="540" w:type="dxa"/>
            <w:vAlign w:val="bottom"/>
            <w:shd w:val="clear" w:color="auto" w:fill="E5E5E5"/>
          </w:tcPr>
          <w:p>
            <w:pPr>
              <w:spacing w:after="0"/>
              <w:rPr>
                <w:sz w:val="21"/>
                <w:szCs w:val="21"/>
                <w:color w:val="auto"/>
              </w:rPr>
            </w:pPr>
          </w:p>
        </w:tc>
        <w:tc>
          <w:tcPr>
            <w:tcW w:w="1120" w:type="dxa"/>
            <w:vAlign w:val="bottom"/>
            <w:gridSpan w:val="2"/>
            <w:shd w:val="clear" w:color="auto" w:fill="E5E5E5"/>
          </w:tcPr>
          <w:p>
            <w:pPr>
              <w:jc w:val="right"/>
              <w:ind w:right="140"/>
              <w:spacing w:after="0"/>
              <w:rPr>
                <w:sz w:val="20"/>
                <w:szCs w:val="20"/>
                <w:color w:val="auto"/>
              </w:rPr>
            </w:pPr>
            <w:r>
              <w:rPr>
                <w:rFonts w:ascii="Arial" w:cs="Arial" w:eastAsia="Arial" w:hAnsi="Arial"/>
                <w:sz w:val="18"/>
                <w:szCs w:val="18"/>
                <w:color w:val="auto"/>
              </w:rPr>
              <w:t>1,362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960" w:type="dxa"/>
            <w:vAlign w:val="bottom"/>
          </w:tcPr>
          <w:p>
            <w:pPr>
              <w:spacing w:after="0"/>
              <w:rPr>
                <w:sz w:val="20"/>
                <w:szCs w:val="20"/>
                <w:color w:val="auto"/>
              </w:rPr>
            </w:pPr>
            <w:r>
              <w:rPr>
                <w:rFonts w:ascii="Arial" w:cs="Arial" w:eastAsia="Arial" w:hAnsi="Arial"/>
                <w:sz w:val="18"/>
                <w:szCs w:val="18"/>
                <w:color w:val="auto"/>
              </w:rPr>
              <w:t>LinkedIn</w:t>
            </w:r>
          </w:p>
        </w:tc>
        <w:tc>
          <w:tcPr>
            <w:tcW w:w="520" w:type="dxa"/>
            <w:vAlign w:val="bottom"/>
          </w:tcPr>
          <w:p>
            <w:pPr>
              <w:spacing w:after="0"/>
              <w:rPr>
                <w:sz w:val="21"/>
                <w:szCs w:val="21"/>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1,148</w:t>
            </w:r>
          </w:p>
        </w:tc>
        <w:tc>
          <w:tcPr>
            <w:tcW w:w="1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96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Other</w:t>
            </w:r>
          </w:p>
        </w:tc>
        <w:tc>
          <w:tcPr>
            <w:tcW w:w="520" w:type="dxa"/>
            <w:vAlign w:val="bottom"/>
            <w:shd w:val="clear" w:color="auto" w:fill="E5E5E5"/>
          </w:tcPr>
          <w:p>
            <w:pPr>
              <w:spacing w:after="0"/>
              <w:rPr>
                <w:sz w:val="17"/>
                <w:szCs w:val="17"/>
                <w:color w:val="auto"/>
              </w:rPr>
            </w:pPr>
          </w:p>
        </w:tc>
        <w:tc>
          <w:tcPr>
            <w:tcW w:w="1120" w:type="dxa"/>
            <w:vAlign w:val="bottom"/>
            <w:gridSpan w:val="2"/>
            <w:shd w:val="clear" w:color="auto" w:fill="E5E5E5"/>
          </w:tcPr>
          <w:p>
            <w:pPr>
              <w:jc w:val="right"/>
              <w:ind w:right="140"/>
              <w:spacing w:after="0" w:line="202" w:lineRule="exact"/>
              <w:rPr>
                <w:sz w:val="20"/>
                <w:szCs w:val="20"/>
                <w:color w:val="auto"/>
              </w:rPr>
            </w:pPr>
            <w:r>
              <w:rPr>
                <w:rFonts w:ascii="Arial" w:cs="Arial" w:eastAsia="Arial" w:hAnsi="Arial"/>
                <w:sz w:val="18"/>
                <w:szCs w:val="18"/>
                <w:b w:val="1"/>
                <w:bCs w:val="1"/>
                <w:color w:val="auto"/>
              </w:rPr>
              <w:t>616</w:t>
            </w:r>
          </w:p>
        </w:tc>
        <w:tc>
          <w:tcPr>
            <w:tcW w:w="140" w:type="dxa"/>
            <w:vAlign w:val="bottom"/>
            <w:shd w:val="clear" w:color="auto" w:fill="E5E5E5"/>
          </w:tcPr>
          <w:p>
            <w:pPr>
              <w:spacing w:after="0"/>
              <w:rPr>
                <w:sz w:val="17"/>
                <w:szCs w:val="17"/>
                <w:color w:val="auto"/>
              </w:rPr>
            </w:pPr>
          </w:p>
        </w:tc>
        <w:tc>
          <w:tcPr>
            <w:tcW w:w="540" w:type="dxa"/>
            <w:vAlign w:val="bottom"/>
            <w:shd w:val="clear" w:color="auto" w:fill="E5E5E5"/>
          </w:tcPr>
          <w:p>
            <w:pPr>
              <w:spacing w:after="0"/>
              <w:rPr>
                <w:sz w:val="17"/>
                <w:szCs w:val="17"/>
                <w:color w:val="auto"/>
              </w:rPr>
            </w:pPr>
          </w:p>
        </w:tc>
        <w:tc>
          <w:tcPr>
            <w:tcW w:w="1120" w:type="dxa"/>
            <w:vAlign w:val="bottom"/>
            <w:gridSpan w:val="2"/>
            <w:shd w:val="clear" w:color="auto" w:fill="E5E5E5"/>
          </w:tcPr>
          <w:p>
            <w:pPr>
              <w:jc w:val="right"/>
              <w:ind w:right="140"/>
              <w:spacing w:after="0" w:line="202" w:lineRule="exact"/>
              <w:rPr>
                <w:sz w:val="20"/>
                <w:szCs w:val="20"/>
                <w:color w:val="auto"/>
              </w:rPr>
            </w:pPr>
            <w:r>
              <w:rPr>
                <w:rFonts w:ascii="Arial" w:cs="Arial" w:eastAsia="Arial" w:hAnsi="Arial"/>
                <w:sz w:val="18"/>
                <w:szCs w:val="18"/>
                <w:color w:val="auto"/>
              </w:rPr>
              <w:t>583</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96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960" w:type="dxa"/>
            <w:vAlign w:val="bottom"/>
          </w:tcPr>
          <w:p>
            <w:pPr>
              <w:spacing w:after="0"/>
              <w:rPr>
                <w:sz w:val="5"/>
                <w:szCs w:val="5"/>
                <w:color w:val="auto"/>
              </w:rPr>
            </w:pPr>
          </w:p>
        </w:tc>
        <w:tc>
          <w:tcPr>
            <w:tcW w:w="520" w:type="dxa"/>
            <w:vAlign w:val="bottom"/>
          </w:tcPr>
          <w:p>
            <w:pPr>
              <w:spacing w:after="0"/>
              <w:rPr>
                <w:sz w:val="5"/>
                <w:szCs w:val="5"/>
                <w:color w:val="auto"/>
              </w:rPr>
            </w:pPr>
          </w:p>
        </w:tc>
        <w:tc>
          <w:tcPr>
            <w:tcW w:w="9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540" w:type="dxa"/>
            <w:vAlign w:val="bottom"/>
          </w:tcPr>
          <w:p>
            <w:pPr>
              <w:spacing w:after="0"/>
              <w:rPr>
                <w:sz w:val="5"/>
                <w:szCs w:val="5"/>
                <w:color w:val="auto"/>
              </w:rPr>
            </w:pPr>
          </w:p>
        </w:tc>
        <w:tc>
          <w:tcPr>
            <w:tcW w:w="980" w:type="dxa"/>
            <w:vAlign w:val="bottom"/>
          </w:tcPr>
          <w:p>
            <w:pPr>
              <w:spacing w:after="0"/>
              <w:rPr>
                <w:sz w:val="5"/>
                <w:szCs w:val="5"/>
                <w:color w:val="auto"/>
              </w:rPr>
            </w:pPr>
          </w:p>
        </w:tc>
        <w:tc>
          <w:tcPr>
            <w:tcW w:w="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960" w:type="dxa"/>
            <w:vAlign w:val="bottom"/>
            <w:shd w:val="clear" w:color="auto" w:fill="E5E5E5"/>
          </w:tcPr>
          <w:p>
            <w:pPr>
              <w:ind w:left="200"/>
              <w:spacing w:after="0" w:line="202" w:lineRule="exact"/>
              <w:rPr>
                <w:sz w:val="20"/>
                <w:szCs w:val="20"/>
                <w:color w:val="auto"/>
              </w:rPr>
            </w:pPr>
            <w:r>
              <w:rPr>
                <w:rFonts w:ascii="Arial" w:cs="Arial" w:eastAsia="Arial" w:hAnsi="Arial"/>
                <w:sz w:val="18"/>
                <w:szCs w:val="18"/>
                <w:color w:val="auto"/>
              </w:rPr>
              <w:t>Total</w:t>
            </w:r>
          </w:p>
        </w:tc>
        <w:tc>
          <w:tcPr>
            <w:tcW w:w="520" w:type="dxa"/>
            <w:vAlign w:val="bottom"/>
            <w:shd w:val="clear" w:color="auto" w:fill="E5E5E5"/>
          </w:tcPr>
          <w:p>
            <w:pPr>
              <w:jc w:val="right"/>
              <w:ind w:right="330"/>
              <w:spacing w:after="0" w:line="202" w:lineRule="exact"/>
              <w:rPr>
                <w:sz w:val="20"/>
                <w:szCs w:val="20"/>
                <w:color w:val="auto"/>
              </w:rPr>
            </w:pPr>
            <w:r>
              <w:rPr>
                <w:rFonts w:ascii="Arial" w:cs="Arial" w:eastAsia="Arial" w:hAnsi="Arial"/>
                <w:sz w:val="18"/>
                <w:szCs w:val="18"/>
                <w:b w:val="1"/>
                <w:bCs w:val="1"/>
                <w:color w:val="auto"/>
                <w:w w:val="79"/>
              </w:rPr>
              <w:t>$</w:t>
            </w:r>
          </w:p>
        </w:tc>
        <w:tc>
          <w:tcPr>
            <w:tcW w:w="1120" w:type="dxa"/>
            <w:vAlign w:val="bottom"/>
            <w:gridSpan w:val="2"/>
            <w:shd w:val="clear" w:color="auto" w:fill="E5E5E5"/>
          </w:tcPr>
          <w:p>
            <w:pPr>
              <w:jc w:val="right"/>
              <w:ind w:right="140"/>
              <w:spacing w:after="0" w:line="202" w:lineRule="exact"/>
              <w:rPr>
                <w:sz w:val="20"/>
                <w:szCs w:val="20"/>
                <w:color w:val="auto"/>
              </w:rPr>
            </w:pPr>
            <w:r>
              <w:rPr>
                <w:rFonts w:ascii="Arial" w:cs="Arial" w:eastAsia="Arial" w:hAnsi="Arial"/>
                <w:sz w:val="18"/>
                <w:szCs w:val="18"/>
                <w:b w:val="1"/>
                <w:bCs w:val="1"/>
                <w:color w:val="auto"/>
              </w:rPr>
              <w:t>24,538</w:t>
            </w:r>
          </w:p>
        </w:tc>
        <w:tc>
          <w:tcPr>
            <w:tcW w:w="680" w:type="dxa"/>
            <w:vAlign w:val="bottom"/>
            <w:gridSpan w:val="2"/>
            <w:shd w:val="clear" w:color="auto" w:fill="E5E5E5"/>
          </w:tcPr>
          <w:p>
            <w:pPr>
              <w:jc w:val="right"/>
              <w:ind w:right="440"/>
              <w:spacing w:after="0" w:line="202" w:lineRule="exact"/>
              <w:rPr>
                <w:sz w:val="20"/>
                <w:szCs w:val="20"/>
                <w:color w:val="auto"/>
              </w:rPr>
            </w:pPr>
            <w:r>
              <w:rPr>
                <w:rFonts w:ascii="Arial" w:cs="Arial" w:eastAsia="Arial" w:hAnsi="Arial"/>
                <w:sz w:val="18"/>
                <w:szCs w:val="18"/>
                <w:color w:val="auto"/>
              </w:rPr>
              <w:t>$</w:t>
            </w:r>
          </w:p>
        </w:tc>
        <w:tc>
          <w:tcPr>
            <w:tcW w:w="1120" w:type="dxa"/>
            <w:vAlign w:val="bottom"/>
            <w:gridSpan w:val="2"/>
            <w:shd w:val="clear" w:color="auto" w:fill="E5E5E5"/>
          </w:tcPr>
          <w:p>
            <w:pPr>
              <w:jc w:val="right"/>
              <w:ind w:right="140"/>
              <w:spacing w:after="0" w:line="202" w:lineRule="exact"/>
              <w:rPr>
                <w:sz w:val="20"/>
                <w:szCs w:val="20"/>
                <w:color w:val="auto"/>
              </w:rPr>
            </w:pPr>
            <w:r>
              <w:rPr>
                <w:rFonts w:ascii="Arial" w:cs="Arial" w:eastAsia="Arial" w:hAnsi="Arial"/>
                <w:sz w:val="18"/>
                <w:szCs w:val="18"/>
                <w:color w:val="auto"/>
              </w:rPr>
              <w:t>21,928</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960" w:type="dxa"/>
            <w:vAlign w:val="bottom"/>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13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total commercial cloud revenue, which primarily comprises Office 365 commercial, Azure, Dynamics 365, and other cloud properties, was $5.0 billion and $3.2 billion for the three months ended September 30, 2017 and 2016, respectively. These amounts are primarily included in Office products and cloud services and server products and cloud services in the table above.</w:t>
      </w:r>
    </w:p>
    <w:p>
      <w:pPr>
        <w:spacing w:after="0" w:line="15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Assets are not allocated to segments for internal reporting presentations. A portion of amortization and depreciation is included with various other costs in an overhead allocation to each segment; it is impracticable for us to separately identify the amount of amortization and depreciation by segment that is included in the measure of segment profit or loss.</w:t>
      </w: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289165"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35" w:name="page36"/>
    <w:bookmarkEnd w:id="35"/>
    <w:p>
      <w:pPr>
        <w:ind w:left="5500"/>
        <w:spacing w:after="0"/>
        <w:rPr>
          <w:sz w:val="20"/>
          <w:szCs w:val="20"/>
          <w:color w:val="auto"/>
        </w:rPr>
      </w:pPr>
      <w:r>
        <w:rPr>
          <w:rFonts w:ascii="Arial" w:cs="Arial" w:eastAsia="Arial" w:hAnsi="Arial"/>
          <w:sz w:val="14"/>
          <w:szCs w:val="14"/>
          <w:u w:val="single" w:color="auto"/>
          <w:color w:val="auto"/>
        </w:rPr>
        <w:t>PART I</w:t>
      </w:r>
    </w:p>
    <w:p>
      <w:pPr>
        <w:spacing w:after="0" w:line="5" w:lineRule="exact"/>
        <w:rPr>
          <w:sz w:val="20"/>
          <w:szCs w:val="20"/>
          <w:color w:val="auto"/>
        </w:rPr>
      </w:pPr>
    </w:p>
    <w:p>
      <w:pPr>
        <w:ind w:left="5520"/>
        <w:spacing w:after="0"/>
        <w:rPr>
          <w:sz w:val="20"/>
          <w:szCs w:val="20"/>
          <w:color w:val="auto"/>
        </w:rPr>
      </w:pPr>
      <w:r>
        <w:rPr>
          <w:rFonts w:ascii="Arial" w:cs="Arial" w:eastAsia="Arial" w:hAnsi="Arial"/>
          <w:sz w:val="14"/>
          <w:szCs w:val="14"/>
          <w:color w:val="auto"/>
        </w:rPr>
        <w:t>Item 1</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 Microsoft Corporation</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Redmond, Washington</w:t>
      </w:r>
    </w:p>
    <w:p>
      <w:pPr>
        <w:spacing w:after="0" w:line="13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reviewed the accompanying consolidated balance sheet of Microsoft Corporation and subsidiaries (the “Company”) as of September 30, 2017, and the related consolidated statements of income, comprehensive income, cash flows, and stockholders’ equity for the three-month periods ended September 30, 2017 and 2016. These interim financial statements are the responsibility of the Company’s management.</w:t>
      </w:r>
    </w:p>
    <w:p>
      <w:pPr>
        <w:spacing w:after="0" w:line="110"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We conducted our reviews in accordance with the standards of the Public Company Accounting Oversight Board (United States). A review of interim financial information consists principally of applying analytical procedures and making inquiries of persons responsible for financial and accounting matters. It is substantially less in scope than an audit conducted in accordance with the standards of the Public Company Accounting Oversight Board (United States), the objective of which is the expression of an opinion regarding the financial statements taken as a whole. Accordingly, we do not express such an opinion.</w:t>
      </w:r>
    </w:p>
    <w:p>
      <w:pPr>
        <w:spacing w:after="0" w:line="118"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Based on our reviews, we are not aware of any material modifications that should be made to such consolidated interim financial statements for them to be in conformity with accounting principles generally accepted in the United States of America.</w:t>
      </w:r>
    </w:p>
    <w:p>
      <w:pPr>
        <w:spacing w:after="0" w:line="91"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have previously audited, in accordance with the standards of the Public Company Accounting Oversight Board (United States), the consolidated balance sheet of the Company as of June 30, 2017, and the related consolidated statements of income, comprehensive income, cash flows, and stockholders’ equity for the year then ended prior to retrospective adjustment for the changes in the Company's method of accounting for revenue from contracts with customers and for leases, (not presented herein); and in our report dated August 2, 2017, we expressed an unqualified opinion on those consolidated financial statements. We also audited the adjustments described in Note 1 that were applied to retrospectively adjust the June 30, 2017 consolidated balance sheet of Microsoft Corporation and subsidiaries. In our opinion, such adjustments are appropriate and have been properly applied to the previously issued consolidated balance sheet in deriving the accompanying retrospectively adjusted consolidated balance sheet as of June 30, 2017.</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3"/>
          <w:szCs w:val="13"/>
          <w:color w:val="auto"/>
        </w:rPr>
        <w:t>S</w:t>
      </w:r>
      <w:r>
        <w:rPr>
          <w:rFonts w:ascii="Arial" w:cs="Arial" w:eastAsia="Arial" w:hAnsi="Arial"/>
          <w:sz w:val="18"/>
          <w:szCs w:val="18"/>
          <w:color w:val="auto"/>
        </w:rPr>
        <w:t>/ D</w:t>
      </w:r>
      <w:r>
        <w:rPr>
          <w:rFonts w:ascii="Arial" w:cs="Arial" w:eastAsia="Arial" w:hAnsi="Arial"/>
          <w:sz w:val="13"/>
          <w:szCs w:val="13"/>
          <w:color w:val="auto"/>
        </w:rPr>
        <w:t>ELOITTE</w:t>
      </w:r>
      <w:r>
        <w:rPr>
          <w:rFonts w:ascii="Arial" w:cs="Arial" w:eastAsia="Arial" w:hAnsi="Arial"/>
          <w:sz w:val="18"/>
          <w:szCs w:val="18"/>
          <w:color w:val="auto"/>
        </w:rPr>
        <w:t xml:space="preserve"> &amp; T</w:t>
      </w:r>
      <w:r>
        <w:rPr>
          <w:rFonts w:ascii="Arial" w:cs="Arial" w:eastAsia="Arial" w:hAnsi="Arial"/>
          <w:sz w:val="13"/>
          <w:szCs w:val="13"/>
          <w:color w:val="auto"/>
        </w:rPr>
        <w:t>OUCHE</w:t>
      </w:r>
      <w:r>
        <w:rPr>
          <w:rFonts w:ascii="Arial" w:cs="Arial" w:eastAsia="Arial" w:hAnsi="Arial"/>
          <w:sz w:val="18"/>
          <w:szCs w:val="18"/>
          <w:color w:val="auto"/>
        </w:rPr>
        <w:t xml:space="preserve"> LLP</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Seattle, Washington</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October 26,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289165"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6" w:name="page37"/>
    <w:bookmarkEnd w:id="36"/>
    <w:p>
      <w:pPr>
        <w:ind w:left="5500"/>
        <w:spacing w:after="0"/>
        <w:rPr>
          <w:sz w:val="20"/>
          <w:szCs w:val="20"/>
          <w:color w:val="auto"/>
        </w:rPr>
      </w:pPr>
      <w:r>
        <w:rPr>
          <w:rFonts w:ascii="Arial" w:cs="Arial" w:eastAsia="Arial" w:hAnsi="Arial"/>
          <w:sz w:val="14"/>
          <w:szCs w:val="14"/>
          <w:u w:val="single" w:color="auto"/>
          <w:color w:val="auto"/>
        </w:rPr>
        <w:t>PART I</w:t>
      </w:r>
    </w:p>
    <w:p>
      <w:pPr>
        <w:spacing w:after="0" w:line="5" w:lineRule="exact"/>
        <w:rPr>
          <w:sz w:val="20"/>
          <w:szCs w:val="20"/>
          <w:color w:val="auto"/>
        </w:rPr>
      </w:pPr>
    </w:p>
    <w:p>
      <w:pPr>
        <w:ind w:left="5520"/>
        <w:spacing w:after="0"/>
        <w:rPr>
          <w:sz w:val="20"/>
          <w:szCs w:val="20"/>
          <w:color w:val="auto"/>
        </w:rPr>
      </w:pPr>
      <w:r>
        <w:rPr>
          <w:rFonts w:ascii="Arial" w:cs="Arial" w:eastAsia="Arial" w:hAnsi="Arial"/>
          <w:sz w:val="14"/>
          <w:szCs w:val="14"/>
          <w:color w:val="auto"/>
        </w:rPr>
        <w:t>Item 2</w:t>
      </w:r>
    </w:p>
    <w:p>
      <w:pPr>
        <w:spacing w:after="0" w:line="114" w:lineRule="exact"/>
        <w:rPr>
          <w:sz w:val="20"/>
          <w:szCs w:val="20"/>
          <w:color w:val="auto"/>
        </w:rPr>
      </w:pPr>
    </w:p>
    <w:p>
      <w:pPr>
        <w:jc w:val="center"/>
        <w:spacing w:after="0" w:line="280" w:lineRule="auto"/>
        <w:rPr>
          <w:sz w:val="20"/>
          <w:szCs w:val="20"/>
          <w:color w:val="auto"/>
        </w:rPr>
      </w:pPr>
      <w:r>
        <w:rPr>
          <w:rFonts w:ascii="Arial" w:cs="Arial" w:eastAsia="Arial" w:hAnsi="Arial"/>
          <w:sz w:val="22"/>
          <w:szCs w:val="22"/>
          <w:b w:val="1"/>
          <w:bCs w:val="1"/>
          <w:color w:val="auto"/>
        </w:rPr>
        <w:t>ITEM 2. MANAGEMENT’S DISCUSSION AND ANALYSIS OF FINANCIAL CONDITION AND RESULTS OF OPERATIONS</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 About Forward-Looking Statements</w:t>
      </w:r>
    </w:p>
    <w:p>
      <w:pPr>
        <w:spacing w:after="0" w:line="160"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This report includes estimates, projections, statements relating to our business plans, objectives, and expected operating results that are “forward-looking statements” within the meaning of the Private Securities Litigation Reform Act of 1995, Section 27A of the Securities Act of 1933, and Section 21E of the Securities Exchange Act of 1934. Forward-looking statements may appear throughout this report, including the following sections: “Management’s Discussion and Analysis of Financial Condition and Results of Operations” (Part I, Item 2 of this Form 10-Q) and “Risk Factors” (Part II, Item 1A of this Form 10-Q). These forward-looking statements generally are identified by the words “believe,” “project,” “expect,” “anticipate,” “estimate,” “intend,” “strategy,” “future,” “opportunity,” “plan,” “may,” “should,” “will,” “would,” “will be,” “will continue,” “will likely result,” and similar expressions. Forward-looking statements are based on current expectations and assumptions that are subject to risks and uncertainties that may cause actual results to differ materially. We describe risks and uncertainties that could cause actual results and events to differ materially in “Risk Factors,” “Management’s Discussion and Analysis of Financial Condition and Results of Operations,” and “Quantitative and Qualitative Disclosures about Market Risk” (Part I, Item 3 of this Form 10-Q). We undertake no obligation to update or revise publicly any forward-looking statements, whether because of new information, future events, or otherwise.</w:t>
      </w:r>
    </w:p>
    <w:p>
      <w:pPr>
        <w:spacing w:after="0" w:line="123"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The following Management’s Discussion and Analysis of Financial Condition and Results of Operations (“MD&amp;A”) is intended to help the reader understand the results of operations and financial condition of Microsoft Corporation. MD&amp;A is provided as a supplement to, and should be read in conjunction with, our Annual Report on Form 10-K for the year ended June 30, 2017, and our financial statements and the accompanying Notes to Financial Statements (Part I, Item 1 of this Form 10-Q).</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OVERVIEW</w:t>
      </w:r>
    </w:p>
    <w:p>
      <w:pPr>
        <w:spacing w:after="0" w:line="158"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Microsoft is a technology company whose mission is to empower every person and every organization on the planet to achieve more. We strive to create local opportunity, growth, and impact in every country around the world. Our strategy is to build best-in-class platforms and productivity services for an intelligent cloud and an intelligent edge infused with artificial intelligence. We develop, license, and support a wide range of software products, services, and devices that deliver new opportunities, greater convenience, and enhanced value to people’s lives. Our platforms and tools help drive small business productivity, large business competitiveness, and public-sector efficiency. They also support new startups, improve educational and health outcomes, and empower human ingenuity.</w:t>
      </w:r>
    </w:p>
    <w:p>
      <w:pPr>
        <w:spacing w:after="0" w:line="120"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We generate revenue by licensing and supporting an array of software products, by offering a wide range of cloud-based and other services to consumers and businesses, by designing, manufacturing, and selling devices that integrate with our cloud-based services, and by delivering relevant online advertising to a global audience. Our most significant expenses are related to compensating employees; designing, manufacturing, marketing, and selling our products and services; datacenter costs in support of our cloud-based services; and income taxes.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Highlights from the first quarter of fiscal year 2018 included:</w:t>
      </w:r>
    </w:p>
    <w:p>
      <w:pPr>
        <w:spacing w:after="0" w:line="63" w:lineRule="exact"/>
        <w:rPr>
          <w:sz w:val="20"/>
          <w:szCs w:val="20"/>
          <w:color w:val="auto"/>
        </w:rPr>
      </w:pPr>
    </w:p>
    <w:p>
      <w:pPr>
        <w:ind w:left="1060" w:hanging="390"/>
        <w:spacing w:after="0"/>
        <w:tabs>
          <w:tab w:leader="none" w:pos="10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Commercial cloud annualized revenue run rate* reached $20.4 billion.</w:t>
      </w:r>
    </w:p>
    <w:p>
      <w:pPr>
        <w:spacing w:after="0" w:line="63" w:lineRule="exact"/>
        <w:rPr>
          <w:rFonts w:ascii="Arial" w:cs="Arial" w:eastAsia="Arial" w:hAnsi="Arial"/>
          <w:sz w:val="18"/>
          <w:szCs w:val="18"/>
          <w:color w:val="auto"/>
        </w:rPr>
      </w:pPr>
    </w:p>
    <w:p>
      <w:pPr>
        <w:ind w:left="1060" w:hanging="390"/>
        <w:spacing w:after="0"/>
        <w:tabs>
          <w:tab w:leader="none" w:pos="10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Office Commercial revenue increased 10%, driven by Microsoft Office 365 commercial revenue growth of 42%.</w:t>
      </w:r>
    </w:p>
    <w:p>
      <w:pPr>
        <w:spacing w:after="0" w:line="63" w:lineRule="exact"/>
        <w:rPr>
          <w:rFonts w:ascii="Arial" w:cs="Arial" w:eastAsia="Arial" w:hAnsi="Arial"/>
          <w:sz w:val="18"/>
          <w:szCs w:val="18"/>
          <w:color w:val="auto"/>
        </w:rPr>
      </w:pPr>
    </w:p>
    <w:p>
      <w:pPr>
        <w:ind w:left="1060" w:hanging="390"/>
        <w:spacing w:after="0"/>
        <w:tabs>
          <w:tab w:leader="none" w:pos="10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Office Consumer revenue increased 12%, and Office 365 consumer subscribers increased to 28.0 million.</w:t>
      </w:r>
    </w:p>
    <w:p>
      <w:pPr>
        <w:spacing w:after="0" w:line="63" w:lineRule="exact"/>
        <w:rPr>
          <w:rFonts w:ascii="Arial" w:cs="Arial" w:eastAsia="Arial" w:hAnsi="Arial"/>
          <w:sz w:val="18"/>
          <w:szCs w:val="18"/>
          <w:color w:val="auto"/>
        </w:rPr>
      </w:pPr>
    </w:p>
    <w:p>
      <w:pPr>
        <w:ind w:left="1060" w:hanging="390"/>
        <w:spacing w:after="0"/>
        <w:tabs>
          <w:tab w:leader="none" w:pos="10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Microsoft Dynamics revenue increased 13%, driven by Dynamics 365 revenue growth of 69%.</w:t>
      </w:r>
    </w:p>
    <w:p>
      <w:pPr>
        <w:spacing w:after="0" w:line="63" w:lineRule="exact"/>
        <w:rPr>
          <w:rFonts w:ascii="Arial" w:cs="Arial" w:eastAsia="Arial" w:hAnsi="Arial"/>
          <w:sz w:val="18"/>
          <w:szCs w:val="18"/>
          <w:color w:val="auto"/>
        </w:rPr>
      </w:pPr>
    </w:p>
    <w:p>
      <w:pPr>
        <w:ind w:left="1060" w:hanging="390"/>
        <w:spacing w:after="0"/>
        <w:tabs>
          <w:tab w:leader="none" w:pos="10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LinkedIn contributed revenue of $1.1 billion.</w:t>
      </w:r>
    </w:p>
    <w:p>
      <w:pPr>
        <w:spacing w:after="0" w:line="63" w:lineRule="exact"/>
        <w:rPr>
          <w:rFonts w:ascii="Arial" w:cs="Arial" w:eastAsia="Arial" w:hAnsi="Arial"/>
          <w:sz w:val="18"/>
          <w:szCs w:val="18"/>
          <w:color w:val="auto"/>
        </w:rPr>
      </w:pPr>
    </w:p>
    <w:p>
      <w:pPr>
        <w:ind w:left="1060" w:hanging="390"/>
        <w:spacing w:after="0"/>
        <w:tabs>
          <w:tab w:leader="none" w:pos="10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Server products and cloud services revenue increased 17%, driven by Microsoft Azure revenue growth of 90%.</w:t>
      </w:r>
    </w:p>
    <w:p>
      <w:pPr>
        <w:spacing w:after="0" w:line="63" w:lineRule="exact"/>
        <w:rPr>
          <w:rFonts w:ascii="Arial" w:cs="Arial" w:eastAsia="Arial" w:hAnsi="Arial"/>
          <w:sz w:val="18"/>
          <w:szCs w:val="18"/>
          <w:color w:val="auto"/>
        </w:rPr>
      </w:pPr>
    </w:p>
    <w:p>
      <w:pPr>
        <w:ind w:left="1060" w:hanging="390"/>
        <w:spacing w:after="0" w:line="274" w:lineRule="auto"/>
        <w:tabs>
          <w:tab w:leader="none" w:pos="10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Enterprise Services revenue increased 1%, driven by higher revenue from Premier Support Services, offset in part by a decline in revenue from custom support agreements.</w:t>
      </w:r>
    </w:p>
    <w:p>
      <w:pPr>
        <w:ind w:left="1060" w:hanging="390"/>
        <w:spacing w:after="0"/>
        <w:tabs>
          <w:tab w:leader="none" w:pos="10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Windows original equipment manufacturer licensing (“Windows OEM”) revenue increased 4%, ahead of the overall PC market.</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289165"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7" w:name="page38"/>
    <w:bookmarkEnd w:id="37"/>
    <w:p>
      <w:pPr>
        <w:ind w:left="5500"/>
        <w:spacing w:after="0"/>
        <w:rPr>
          <w:sz w:val="20"/>
          <w:szCs w:val="20"/>
          <w:color w:val="auto"/>
        </w:rPr>
      </w:pPr>
      <w:r>
        <w:rPr>
          <w:rFonts w:ascii="Arial" w:cs="Arial" w:eastAsia="Arial" w:hAnsi="Arial"/>
          <w:sz w:val="14"/>
          <w:szCs w:val="14"/>
          <w:u w:val="single" w:color="auto"/>
          <w:color w:val="auto"/>
        </w:rPr>
        <w:t>PART I</w:t>
      </w:r>
    </w:p>
    <w:p>
      <w:pPr>
        <w:spacing w:after="0" w:line="5" w:lineRule="exact"/>
        <w:rPr>
          <w:sz w:val="20"/>
          <w:szCs w:val="20"/>
          <w:color w:val="auto"/>
        </w:rPr>
      </w:pPr>
    </w:p>
    <w:p>
      <w:pPr>
        <w:ind w:left="5520"/>
        <w:spacing w:after="0"/>
        <w:rPr>
          <w:sz w:val="20"/>
          <w:szCs w:val="20"/>
          <w:color w:val="auto"/>
        </w:rPr>
      </w:pPr>
      <w:r>
        <w:rPr>
          <w:rFonts w:ascii="Arial" w:cs="Arial" w:eastAsia="Arial" w:hAnsi="Arial"/>
          <w:sz w:val="14"/>
          <w:szCs w:val="14"/>
          <w:color w:val="auto"/>
        </w:rPr>
        <w:t>Item 2</w:t>
      </w:r>
    </w:p>
    <w:p>
      <w:pPr>
        <w:spacing w:after="0" w:line="195" w:lineRule="exact"/>
        <w:rPr>
          <w:sz w:val="20"/>
          <w:szCs w:val="20"/>
          <w:color w:val="auto"/>
        </w:rPr>
      </w:pPr>
    </w:p>
    <w:p>
      <w:pPr>
        <w:ind w:left="1060" w:hanging="390"/>
        <w:spacing w:after="0"/>
        <w:tabs>
          <w:tab w:leader="none" w:pos="1060" w:val="left"/>
        </w:tabs>
        <w:numPr>
          <w:ilvl w:val="1"/>
          <w:numId w:val="22"/>
        </w:numPr>
        <w:rPr>
          <w:rFonts w:ascii="Arial" w:cs="Arial" w:eastAsia="Arial" w:hAnsi="Arial"/>
          <w:sz w:val="18"/>
          <w:szCs w:val="18"/>
          <w:color w:val="auto"/>
        </w:rPr>
      </w:pPr>
      <w:r>
        <w:rPr>
          <w:rFonts w:ascii="Arial" w:cs="Arial" w:eastAsia="Arial" w:hAnsi="Arial"/>
          <w:sz w:val="18"/>
          <w:szCs w:val="18"/>
          <w:color w:val="auto"/>
        </w:rPr>
        <w:t>Windows Commercial revenue increased 7%, driven by multi-year agreement revenue growth.</w:t>
      </w:r>
    </w:p>
    <w:p>
      <w:pPr>
        <w:spacing w:after="0" w:line="63" w:lineRule="exact"/>
        <w:rPr>
          <w:rFonts w:ascii="Arial" w:cs="Arial" w:eastAsia="Arial" w:hAnsi="Arial"/>
          <w:sz w:val="18"/>
          <w:szCs w:val="18"/>
          <w:color w:val="auto"/>
        </w:rPr>
      </w:pPr>
    </w:p>
    <w:p>
      <w:pPr>
        <w:ind w:left="1060" w:hanging="390"/>
        <w:spacing w:after="0" w:line="274" w:lineRule="auto"/>
        <w:tabs>
          <w:tab w:leader="none" w:pos="1060" w:val="left"/>
        </w:tabs>
        <w:numPr>
          <w:ilvl w:val="1"/>
          <w:numId w:val="22"/>
        </w:numPr>
        <w:rPr>
          <w:rFonts w:ascii="Arial" w:cs="Arial" w:eastAsia="Arial" w:hAnsi="Arial"/>
          <w:sz w:val="18"/>
          <w:szCs w:val="18"/>
          <w:color w:val="auto"/>
        </w:rPr>
      </w:pPr>
      <w:r>
        <w:rPr>
          <w:rFonts w:ascii="Arial" w:cs="Arial" w:eastAsia="Arial" w:hAnsi="Arial"/>
          <w:sz w:val="18"/>
          <w:szCs w:val="18"/>
          <w:color w:val="auto"/>
        </w:rPr>
        <w:t>Search advertising revenue, excluding traffic acquisition costs, increased 15%, driven by higher revenue per search and search volume.</w:t>
      </w:r>
    </w:p>
    <w:p>
      <w:pPr>
        <w:ind w:left="1060" w:hanging="390"/>
        <w:spacing w:after="0"/>
        <w:tabs>
          <w:tab w:leader="none" w:pos="1060" w:val="left"/>
        </w:tabs>
        <w:numPr>
          <w:ilvl w:val="1"/>
          <w:numId w:val="22"/>
        </w:numPr>
        <w:rPr>
          <w:rFonts w:ascii="Arial" w:cs="Arial" w:eastAsia="Arial" w:hAnsi="Arial"/>
          <w:sz w:val="18"/>
          <w:szCs w:val="18"/>
          <w:color w:val="auto"/>
        </w:rPr>
      </w:pPr>
      <w:r>
        <w:rPr>
          <w:rFonts w:ascii="Arial" w:cs="Arial" w:eastAsia="Arial" w:hAnsi="Arial"/>
          <w:sz w:val="18"/>
          <w:szCs w:val="18"/>
          <w:color w:val="auto"/>
        </w:rPr>
        <w:t>Microsoft Surface revenue increased 12%, driven by sales of the new Surface Laptop.</w:t>
      </w:r>
    </w:p>
    <w:p>
      <w:pPr>
        <w:spacing w:after="0" w:line="63" w:lineRule="exact"/>
        <w:rPr>
          <w:rFonts w:ascii="Arial" w:cs="Arial" w:eastAsia="Arial" w:hAnsi="Arial"/>
          <w:sz w:val="18"/>
          <w:szCs w:val="18"/>
          <w:color w:val="auto"/>
        </w:rPr>
      </w:pPr>
    </w:p>
    <w:p>
      <w:pPr>
        <w:ind w:left="1060" w:hanging="390"/>
        <w:spacing w:after="0" w:line="274" w:lineRule="auto"/>
        <w:tabs>
          <w:tab w:leader="none" w:pos="1060" w:val="left"/>
        </w:tabs>
        <w:numPr>
          <w:ilvl w:val="1"/>
          <w:numId w:val="22"/>
        </w:numPr>
        <w:rPr>
          <w:rFonts w:ascii="Arial" w:cs="Arial" w:eastAsia="Arial" w:hAnsi="Arial"/>
          <w:sz w:val="18"/>
          <w:szCs w:val="18"/>
          <w:color w:val="auto"/>
        </w:rPr>
      </w:pPr>
      <w:r>
        <w:rPr>
          <w:rFonts w:ascii="Arial" w:cs="Arial" w:eastAsia="Arial" w:hAnsi="Arial"/>
          <w:sz w:val="18"/>
          <w:szCs w:val="18"/>
          <w:color w:val="auto"/>
        </w:rPr>
        <w:t>Gaming revenue increased 1%, driven by Xbox software and services revenue growth of 21%, offset in part by lower Xbox hardware revenue.</w:t>
      </w:r>
    </w:p>
    <w:p>
      <w:pPr>
        <w:ind w:left="540" w:hanging="527"/>
        <w:spacing w:after="0" w:line="274" w:lineRule="auto"/>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Commercial cloud annualized revenue run rate is calculated by multiplying revenue for the last month of the quarter by twelve for Office 365 commercial, Azure, Dynamics 365, and other cloud properties.</w:t>
      </w:r>
    </w:p>
    <w:p>
      <w:pPr>
        <w:spacing w:after="0" w:line="95"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We adopted the new accounting standards for revenue recognition and leases effective July 1, 2017. These new standards had a material impact on our consolidated financial statements. Beginning with the first quarter of fiscal year 2018, our financial results reflect adoption of the standards with prior periods restated accordingly. Refer to Note 1 – Accounting Policies in the Notes to Financial Statements (Part I, Item 1 of this Form 10-Q) for further discussion.</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December 8, 2016, we completed our acquisition of LinkedIn Corporation for a total purchase price of $27.0 billion. LinkedIn has been included in our consolidated results of operations since the date of acquisition. Refer to Note 8 – Business Combinations in the Notes to Financial Statements (Part I, Item 1 of this Form 10-Q) for further discussion.</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 Trends</w:t>
      </w:r>
    </w:p>
    <w:p>
      <w:pPr>
        <w:spacing w:after="0" w:line="160"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Our industry is dynamic and highly competitive, with frequent changes in both technologies and business models. Each industry shift is an opportunity to conceive new products, new technologies, or new ideas that can further transform the industry and our business. At Microsoft, we push the boundaries of what is possible through a broad range of research and development activities that seek to identify and address the changing demands of customers and users, industry trends, and competitive forces.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Economic Conditions, Challenges, and Risks</w:t>
      </w:r>
    </w:p>
    <w:p>
      <w:pPr>
        <w:spacing w:after="0" w:line="160"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The markets for software, devices, and cloud-based services are dynamic and highly competitive. Our competitors are developing new software and devices, while also deploying competing cloud-based services for consumers and businesses. The devices and form factors customers prefer evolve rapidly, and influence how users access services in the cloud, and in some cases, the user’s choice of which suite of cloud-based services to use. We must continue to evolve and adapt over an extended time in pace with this changing environment. The investments we are making in infrastructure and devices will continue to increase our operating costs and may decrease our operating margins.</w:t>
      </w:r>
    </w:p>
    <w:p>
      <w:pPr>
        <w:spacing w:after="0" w:line="118"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Our success is highly dependent on our ability to attract and retain qualified employees. We hire a mix of university and industry talent worldwide. Microsoft competes for talented individuals globally by offering an exceptional working environment, broad customer reach, scale in resources, the ability to grow one’s career across many different products and businesses, and competitive compensation and benefits. Aggregate demand for our software, services, and devices is correlated to global macroeconomic and geopolitical factors, which remain dynamic.</w:t>
      </w:r>
    </w:p>
    <w:p>
      <w:pPr>
        <w:spacing w:after="0" w:line="118"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Our international operations provide a significant portion of our total revenue and expenses. Many of these revenue and expenses are denominated in currencies other than the U.S. dollar. As a result, changes in foreign exchange rates may significantly affect revenue and expenses. Strengthening of the U.S. dollar relative to certain foreign currencies throughout fiscal year 2017 negatively impacted reported revenue and reduced reported expenses from our international operations. This trend has reversed in fiscal year 2018 and foreign currencies strengthening relative to the U.S. dollar have positively impacted our financial results.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Refer to Risk Factors (Part II, Item 1A of this Form 10-Q) for a discussion of these factors and other risks.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16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expect our revenue to fluctuate quarterly and to be higher in the second and fourth quarters of our fiscal year. Second quarter revenue is driven by corporate year-end spending trends in our major markets and holiday season spending by consumers, and fourth quarter revenue is driven by the volume of multi-year on-premises contracts executed during the period.</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289165"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38" w:name="page39"/>
    <w:bookmarkEnd w:id="38"/>
    <w:p>
      <w:pPr>
        <w:ind w:left="5500"/>
        <w:spacing w:after="0"/>
        <w:rPr>
          <w:sz w:val="20"/>
          <w:szCs w:val="20"/>
          <w:color w:val="auto"/>
        </w:rPr>
      </w:pPr>
      <w:r>
        <w:rPr>
          <w:rFonts w:ascii="Arial" w:cs="Arial" w:eastAsia="Arial" w:hAnsi="Arial"/>
          <w:sz w:val="14"/>
          <w:szCs w:val="14"/>
          <w:u w:val="single" w:color="auto"/>
          <w:color w:val="auto"/>
        </w:rPr>
        <w:t>PART I</w:t>
      </w:r>
    </w:p>
    <w:p>
      <w:pPr>
        <w:spacing w:after="0" w:line="5" w:lineRule="exact"/>
        <w:rPr>
          <w:sz w:val="20"/>
          <w:szCs w:val="20"/>
          <w:color w:val="auto"/>
        </w:rPr>
      </w:pPr>
    </w:p>
    <w:p>
      <w:pPr>
        <w:ind w:left="5520"/>
        <w:spacing w:after="0"/>
        <w:rPr>
          <w:sz w:val="20"/>
          <w:szCs w:val="20"/>
          <w:color w:val="auto"/>
        </w:rPr>
      </w:pPr>
      <w:r>
        <w:rPr>
          <w:rFonts w:ascii="Arial" w:cs="Arial" w:eastAsia="Arial" w:hAnsi="Arial"/>
          <w:sz w:val="14"/>
          <w:szCs w:val="14"/>
          <w:color w:val="auto"/>
        </w:rPr>
        <w:t>Item 2</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Reportable Segments</w:t>
      </w:r>
    </w:p>
    <w:p>
      <w:pPr>
        <w:spacing w:after="0" w:line="160"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We report our financial performance based on the following segments: Productivity and Business Processes, Intelligent Cloud, and More Personal Computing. The segment amounts included in MD&amp;A are presented on a basis consistent with our internal management reporting. All differences between our internal management reporting basis and accounting principles generally accepted in the United States (“U.S. GAAP”), along with certain corporate-level and other activity, are included in Corporate and Other. We have recast certain previously reported amounts to conform to the way we internally manage and monitor segment performance.</w:t>
      </w:r>
    </w:p>
    <w:p>
      <w:pPr>
        <w:spacing w:after="0" w:line="118"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Additional information on our reportable segments is contained in Note 19 – Segment Information and Geographic Data of the Notes to Financial Statements (Part I, Item 1 of this Form 10-Q).</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SUMMARY RESULTS OF OPERATIONS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 except percentages and per share amounts)</w:t>
            </w:r>
          </w:p>
        </w:tc>
        <w:tc>
          <w:tcPr>
            <w:tcW w:w="2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60" w:type="dxa"/>
            <w:vAlign w:val="bottom"/>
            <w:gridSpan w:val="2"/>
          </w:tcPr>
          <w:p>
            <w:pPr>
              <w:jc w:val="right"/>
              <w:ind w:right="236"/>
              <w:spacing w:after="0"/>
              <w:rPr>
                <w:sz w:val="20"/>
                <w:szCs w:val="20"/>
                <w:color w:val="auto"/>
              </w:rPr>
            </w:pPr>
            <w:r>
              <w:rPr>
                <w:rFonts w:ascii="Arial" w:cs="Arial" w:eastAsia="Arial" w:hAnsi="Arial"/>
                <w:sz w:val="14"/>
                <w:szCs w:val="14"/>
                <w:b w:val="1"/>
                <w:bCs w:val="1"/>
                <w:color w:val="auto"/>
                <w:w w:val="95"/>
              </w:rPr>
              <w:t>Three Months Ended</w:t>
            </w:r>
          </w:p>
        </w:tc>
        <w:tc>
          <w:tcPr>
            <w:tcW w:w="116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190"/>
        </w:trPr>
        <w:tc>
          <w:tcPr>
            <w:tcW w:w="5540" w:type="dxa"/>
            <w:vAlign w:val="bottom"/>
            <w:gridSpan w:val="2"/>
            <w:vMerge w:val="continue"/>
          </w:tcPr>
          <w:p>
            <w:pPr>
              <w:spacing w:after="0"/>
              <w:rPr>
                <w:sz w:val="16"/>
                <w:szCs w:val="16"/>
                <w:color w:val="auto"/>
              </w:rPr>
            </w:pPr>
          </w:p>
        </w:tc>
        <w:tc>
          <w:tcPr>
            <w:tcW w:w="22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jc w:val="right"/>
              <w:ind w:right="236"/>
              <w:spacing w:after="0"/>
              <w:rPr>
                <w:sz w:val="20"/>
                <w:szCs w:val="20"/>
                <w:color w:val="auto"/>
              </w:rPr>
            </w:pPr>
            <w:r>
              <w:rPr>
                <w:rFonts w:ascii="Arial" w:cs="Arial" w:eastAsia="Arial" w:hAnsi="Arial"/>
                <w:sz w:val="14"/>
                <w:szCs w:val="14"/>
                <w:b w:val="1"/>
                <w:bCs w:val="1"/>
                <w:color w:val="auto"/>
                <w:w w:val="98"/>
              </w:rPr>
              <w:t>September 30,</w:t>
            </w:r>
          </w:p>
        </w:tc>
        <w:tc>
          <w:tcPr>
            <w:tcW w:w="116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5520" w:type="dxa"/>
            <w:vAlign w:val="bottom"/>
            <w:tcBorders>
              <w:bottom w:val="single" w:sz="8" w:color="auto"/>
            </w:tcBorders>
          </w:tcPr>
          <w:p>
            <w:pPr>
              <w:spacing w:after="0"/>
              <w:rPr>
                <w:sz w:val="3"/>
                <w:szCs w:val="3"/>
                <w:color w:val="auto"/>
              </w:rPr>
            </w:pPr>
          </w:p>
        </w:tc>
        <w:tc>
          <w:tcPr>
            <w:tcW w:w="226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552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2017</w:t>
            </w:r>
          </w:p>
        </w:tc>
        <w:tc>
          <w:tcPr>
            <w:tcW w:w="380" w:type="dxa"/>
            <w:vAlign w:val="bottom"/>
          </w:tcPr>
          <w:p>
            <w:pPr>
              <w:spacing w:after="0"/>
              <w:rPr>
                <w:sz w:val="20"/>
                <w:szCs w:val="20"/>
                <w:color w:val="auto"/>
              </w:rPr>
            </w:pPr>
          </w:p>
        </w:tc>
        <w:tc>
          <w:tcPr>
            <w:tcW w:w="1280" w:type="dxa"/>
            <w:vAlign w:val="bottom"/>
          </w:tcPr>
          <w:p>
            <w:pPr>
              <w:jc w:val="right"/>
              <w:ind w:right="236"/>
              <w:spacing w:after="0"/>
              <w:rPr>
                <w:sz w:val="20"/>
                <w:szCs w:val="20"/>
                <w:color w:val="auto"/>
              </w:rPr>
            </w:pPr>
            <w:r>
              <w:rPr>
                <w:rFonts w:ascii="Arial" w:cs="Arial" w:eastAsia="Arial" w:hAnsi="Arial"/>
                <w:sz w:val="14"/>
                <w:szCs w:val="14"/>
                <w:b w:val="1"/>
                <w:bCs w:val="1"/>
                <w:color w:val="auto"/>
              </w:rPr>
              <w:t>2016</w:t>
            </w: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
        </w:trPr>
        <w:tc>
          <w:tcPr>
            <w:tcW w:w="20" w:type="dxa"/>
            <w:vAlign w:val="bottom"/>
            <w:vMerge w:val="restart"/>
          </w:tcPr>
          <w:p>
            <w:pPr>
              <w:spacing w:after="0"/>
              <w:rPr>
                <w:sz w:val="3"/>
                <w:szCs w:val="3"/>
                <w:color w:val="auto"/>
              </w:rPr>
            </w:pPr>
          </w:p>
        </w:tc>
        <w:tc>
          <w:tcPr>
            <w:tcW w:w="5520" w:type="dxa"/>
            <w:vAlign w:val="bottom"/>
          </w:tcPr>
          <w:p>
            <w:pPr>
              <w:spacing w:after="0"/>
              <w:rPr>
                <w:sz w:val="3"/>
                <w:szCs w:val="3"/>
                <w:color w:val="auto"/>
              </w:rPr>
            </w:pPr>
          </w:p>
        </w:tc>
        <w:tc>
          <w:tcPr>
            <w:tcW w:w="2260" w:type="dxa"/>
            <w:vAlign w:val="bottom"/>
          </w:tcPr>
          <w:p>
            <w:pPr>
              <w:spacing w:after="0"/>
              <w:rPr>
                <w:sz w:val="3"/>
                <w:szCs w:val="3"/>
                <w:color w:val="auto"/>
              </w:rPr>
            </w:pPr>
          </w:p>
        </w:tc>
        <w:tc>
          <w:tcPr>
            <w:tcW w:w="80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52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Revenue</w:t>
            </w:r>
          </w:p>
        </w:tc>
        <w:tc>
          <w:tcPr>
            <w:tcW w:w="2260" w:type="dxa"/>
            <w:vAlign w:val="bottom"/>
            <w:shd w:val="clear" w:color="auto" w:fill="E5E5E5"/>
          </w:tcPr>
          <w:p>
            <w:pPr>
              <w:jc w:val="right"/>
              <w:ind w:right="170"/>
              <w:spacing w:after="0" w:line="202" w:lineRule="exact"/>
              <w:rPr>
                <w:sz w:val="20"/>
                <w:szCs w:val="20"/>
                <w:color w:val="auto"/>
              </w:rPr>
            </w:pPr>
            <w:r>
              <w:rPr>
                <w:rFonts w:ascii="Arial" w:cs="Arial" w:eastAsia="Arial" w:hAnsi="Arial"/>
                <w:sz w:val="18"/>
                <w:szCs w:val="18"/>
                <w:b w:val="1"/>
                <w:bCs w:val="1"/>
                <w:color w:val="auto"/>
              </w:rPr>
              <w:t>$</w:t>
            </w:r>
          </w:p>
        </w:tc>
        <w:tc>
          <w:tcPr>
            <w:tcW w:w="80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24,538</w:t>
            </w:r>
          </w:p>
        </w:tc>
        <w:tc>
          <w:tcPr>
            <w:tcW w:w="38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w:t>
            </w:r>
          </w:p>
        </w:tc>
        <w:tc>
          <w:tcPr>
            <w:tcW w:w="1280" w:type="dxa"/>
            <w:vAlign w:val="bottom"/>
            <w:shd w:val="clear" w:color="auto" w:fill="E5E5E5"/>
          </w:tcPr>
          <w:p>
            <w:pPr>
              <w:jc w:val="right"/>
              <w:ind w:right="216"/>
              <w:spacing w:after="0" w:line="202" w:lineRule="exact"/>
              <w:rPr>
                <w:sz w:val="20"/>
                <w:szCs w:val="20"/>
                <w:color w:val="auto"/>
              </w:rPr>
            </w:pPr>
            <w:r>
              <w:rPr>
                <w:rFonts w:ascii="Arial" w:cs="Arial" w:eastAsia="Arial" w:hAnsi="Arial"/>
                <w:sz w:val="18"/>
                <w:szCs w:val="18"/>
                <w:color w:val="auto"/>
              </w:rPr>
              <w:t>21,928</w:t>
            </w:r>
          </w:p>
        </w:tc>
        <w:tc>
          <w:tcPr>
            <w:tcW w:w="116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20" w:type="dxa"/>
            <w:vAlign w:val="bottom"/>
          </w:tcPr>
          <w:p>
            <w:pPr>
              <w:spacing w:after="0" w:line="202" w:lineRule="exact"/>
              <w:rPr>
                <w:sz w:val="20"/>
                <w:szCs w:val="20"/>
                <w:color w:val="auto"/>
              </w:rPr>
            </w:pPr>
            <w:r>
              <w:rPr>
                <w:rFonts w:ascii="Arial" w:cs="Arial" w:eastAsia="Arial" w:hAnsi="Arial"/>
                <w:sz w:val="18"/>
                <w:szCs w:val="18"/>
                <w:color w:val="auto"/>
              </w:rPr>
              <w:t>Gross margin</w:t>
            </w:r>
          </w:p>
        </w:tc>
        <w:tc>
          <w:tcPr>
            <w:tcW w:w="226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16,260</w:t>
            </w:r>
          </w:p>
        </w:tc>
        <w:tc>
          <w:tcPr>
            <w:tcW w:w="380" w:type="dxa"/>
            <w:vAlign w:val="bottom"/>
          </w:tcPr>
          <w:p>
            <w:pPr>
              <w:spacing w:after="0"/>
              <w:rPr>
                <w:sz w:val="17"/>
                <w:szCs w:val="17"/>
                <w:color w:val="auto"/>
              </w:rPr>
            </w:pPr>
          </w:p>
        </w:tc>
        <w:tc>
          <w:tcPr>
            <w:tcW w:w="1280" w:type="dxa"/>
            <w:vAlign w:val="bottom"/>
          </w:tcPr>
          <w:p>
            <w:pPr>
              <w:jc w:val="right"/>
              <w:ind w:right="216"/>
              <w:spacing w:after="0" w:line="202" w:lineRule="exact"/>
              <w:rPr>
                <w:sz w:val="20"/>
                <w:szCs w:val="20"/>
                <w:color w:val="auto"/>
              </w:rPr>
            </w:pPr>
            <w:r>
              <w:rPr>
                <w:rFonts w:ascii="Arial" w:cs="Arial" w:eastAsia="Arial" w:hAnsi="Arial"/>
                <w:sz w:val="18"/>
                <w:szCs w:val="18"/>
                <w:color w:val="auto"/>
              </w:rPr>
              <w:t>14,084</w:t>
            </w:r>
          </w:p>
        </w:tc>
        <w:tc>
          <w:tcPr>
            <w:tcW w:w="11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2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Operating income</w:t>
            </w:r>
          </w:p>
        </w:tc>
        <w:tc>
          <w:tcPr>
            <w:tcW w:w="2260" w:type="dxa"/>
            <w:vAlign w:val="bottom"/>
            <w:shd w:val="clear" w:color="auto" w:fill="E5E5E5"/>
          </w:tcPr>
          <w:p>
            <w:pPr>
              <w:spacing w:after="0"/>
              <w:rPr>
                <w:sz w:val="17"/>
                <w:szCs w:val="17"/>
                <w:color w:val="auto"/>
              </w:rPr>
            </w:pPr>
          </w:p>
        </w:tc>
        <w:tc>
          <w:tcPr>
            <w:tcW w:w="80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7,708</w:t>
            </w:r>
          </w:p>
        </w:tc>
        <w:tc>
          <w:tcPr>
            <w:tcW w:w="380" w:type="dxa"/>
            <w:vAlign w:val="bottom"/>
            <w:shd w:val="clear" w:color="auto" w:fill="E5E5E5"/>
          </w:tcPr>
          <w:p>
            <w:pPr>
              <w:spacing w:after="0"/>
              <w:rPr>
                <w:sz w:val="17"/>
                <w:szCs w:val="17"/>
                <w:color w:val="auto"/>
              </w:rPr>
            </w:pPr>
          </w:p>
        </w:tc>
        <w:tc>
          <w:tcPr>
            <w:tcW w:w="1280" w:type="dxa"/>
            <w:vAlign w:val="bottom"/>
            <w:shd w:val="clear" w:color="auto" w:fill="E5E5E5"/>
          </w:tcPr>
          <w:p>
            <w:pPr>
              <w:jc w:val="right"/>
              <w:ind w:right="216"/>
              <w:spacing w:after="0" w:line="202" w:lineRule="exact"/>
              <w:rPr>
                <w:sz w:val="20"/>
                <w:szCs w:val="20"/>
                <w:color w:val="auto"/>
              </w:rPr>
            </w:pPr>
            <w:r>
              <w:rPr>
                <w:rFonts w:ascii="Arial" w:cs="Arial" w:eastAsia="Arial" w:hAnsi="Arial"/>
                <w:sz w:val="18"/>
                <w:szCs w:val="18"/>
                <w:color w:val="auto"/>
              </w:rPr>
              <w:t>6,715</w:t>
            </w:r>
          </w:p>
        </w:tc>
        <w:tc>
          <w:tcPr>
            <w:tcW w:w="116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Net income</w:t>
            </w:r>
          </w:p>
        </w:tc>
        <w:tc>
          <w:tcPr>
            <w:tcW w:w="22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6,576</w:t>
            </w:r>
          </w:p>
        </w:tc>
        <w:tc>
          <w:tcPr>
            <w:tcW w:w="380" w:type="dxa"/>
            <w:vAlign w:val="bottom"/>
          </w:tcPr>
          <w:p>
            <w:pPr>
              <w:spacing w:after="0"/>
              <w:rPr>
                <w:sz w:val="21"/>
                <w:szCs w:val="21"/>
                <w:color w:val="auto"/>
              </w:rPr>
            </w:pPr>
          </w:p>
        </w:tc>
        <w:tc>
          <w:tcPr>
            <w:tcW w:w="1280" w:type="dxa"/>
            <w:vAlign w:val="bottom"/>
          </w:tcPr>
          <w:p>
            <w:pPr>
              <w:jc w:val="right"/>
              <w:ind w:right="216"/>
              <w:spacing w:after="0"/>
              <w:rPr>
                <w:sz w:val="20"/>
                <w:szCs w:val="20"/>
                <w:color w:val="auto"/>
              </w:rPr>
            </w:pPr>
            <w:r>
              <w:rPr>
                <w:rFonts w:ascii="Arial" w:cs="Arial" w:eastAsia="Arial" w:hAnsi="Arial"/>
                <w:sz w:val="18"/>
                <w:szCs w:val="18"/>
                <w:color w:val="auto"/>
              </w:rPr>
              <w:t>5,667</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2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Diluted earnings per share</w:t>
            </w:r>
          </w:p>
        </w:tc>
        <w:tc>
          <w:tcPr>
            <w:tcW w:w="2260" w:type="dxa"/>
            <w:vAlign w:val="bottom"/>
            <w:shd w:val="clear" w:color="auto" w:fill="E5E5E5"/>
          </w:tcPr>
          <w:p>
            <w:pPr>
              <w:spacing w:after="0"/>
              <w:rPr>
                <w:sz w:val="17"/>
                <w:szCs w:val="17"/>
                <w:color w:val="auto"/>
              </w:rPr>
            </w:pPr>
          </w:p>
        </w:tc>
        <w:tc>
          <w:tcPr>
            <w:tcW w:w="80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0.84</w:t>
            </w:r>
          </w:p>
        </w:tc>
        <w:tc>
          <w:tcPr>
            <w:tcW w:w="380" w:type="dxa"/>
            <w:vAlign w:val="bottom"/>
            <w:shd w:val="clear" w:color="auto" w:fill="E5E5E5"/>
          </w:tcPr>
          <w:p>
            <w:pPr>
              <w:spacing w:after="0"/>
              <w:rPr>
                <w:sz w:val="17"/>
                <w:szCs w:val="17"/>
                <w:color w:val="auto"/>
              </w:rPr>
            </w:pPr>
          </w:p>
        </w:tc>
        <w:tc>
          <w:tcPr>
            <w:tcW w:w="1280" w:type="dxa"/>
            <w:vAlign w:val="bottom"/>
            <w:shd w:val="clear" w:color="auto" w:fill="E5E5E5"/>
          </w:tcPr>
          <w:p>
            <w:pPr>
              <w:jc w:val="right"/>
              <w:ind w:right="216"/>
              <w:spacing w:after="0" w:line="202" w:lineRule="exact"/>
              <w:rPr>
                <w:sz w:val="20"/>
                <w:szCs w:val="20"/>
                <w:color w:val="auto"/>
              </w:rPr>
            </w:pPr>
            <w:r>
              <w:rPr>
                <w:rFonts w:ascii="Arial" w:cs="Arial" w:eastAsia="Arial" w:hAnsi="Arial"/>
                <w:sz w:val="18"/>
                <w:szCs w:val="18"/>
                <w:color w:val="auto"/>
              </w:rPr>
              <w:t>0.72</w:t>
            </w:r>
          </w:p>
        </w:tc>
        <w:tc>
          <w:tcPr>
            <w:tcW w:w="116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5520" w:type="dxa"/>
            <w:vAlign w:val="bottom"/>
            <w:tcBorders>
              <w:bottom w:val="single" w:sz="8" w:color="auto"/>
            </w:tcBorders>
          </w:tcPr>
          <w:p>
            <w:pPr>
              <w:spacing w:after="0"/>
              <w:rPr>
                <w:sz w:val="5"/>
                <w:szCs w:val="5"/>
                <w:color w:val="auto"/>
              </w:rPr>
            </w:pPr>
          </w:p>
        </w:tc>
        <w:tc>
          <w:tcPr>
            <w:tcW w:w="226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September 30, 2017 Compared with Three Months Ended September 30, 2016</w:t>
      </w:r>
    </w:p>
    <w:p>
      <w:pPr>
        <w:spacing w:after="0" w:line="158"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Revenue increased $2.6 billion or 12%, driven by growth in Productivity and Business Processes and Intelligent Cloud. Productivity and Business Processes revenue increased, driven by the acquisition of LinkedIn and higher revenue from Office. Intelligent Cloud revenue increased, primarily due to higher revenue from server products and cloud services. More Personal Computing revenue was relatively unchanged, with lower revenue from phones offset by higher revenue from Search advertising and Surface.</w:t>
      </w:r>
    </w:p>
    <w:p>
      <w:pPr>
        <w:spacing w:after="0" w:line="14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Gross margin increased $2.2 billion or 15%, due to growth across each of our segments driven by higher revenue and LinkedIn. Gross margin percentage increased due to margin percentage increase in More Personal Computing and segment sales mix, offset in part by margin percentage decline in Intelligent Cloud. Gross margin percentage included an 8-point improvement in commercial cloud gross margin primarily across Azure and Office 365.</w:t>
      </w:r>
    </w:p>
    <w:p>
      <w:pPr>
        <w:spacing w:after="0" w:line="11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Operating income increased $993 million or 15%, primarily due to higher gross margin, offset in part by an increase in sales and marketing expenses and research and development expenses. Operating income included an operating loss of $294 million related to LinkedIn, including $372 million of amortization of intangible assets. Key changes in expenses were:</w:t>
      </w:r>
    </w:p>
    <w:p>
      <w:pPr>
        <w:spacing w:after="0" w:line="15" w:lineRule="exact"/>
        <w:rPr>
          <w:sz w:val="20"/>
          <w:szCs w:val="20"/>
          <w:color w:val="auto"/>
        </w:rPr>
      </w:pPr>
    </w:p>
    <w:p>
      <w:pPr>
        <w:ind w:left="1060" w:right="20" w:hanging="390"/>
        <w:spacing w:after="0" w:line="274" w:lineRule="auto"/>
        <w:tabs>
          <w:tab w:leader="none" w:pos="10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Cost of revenue increased $434 million or 6%, mainly due to growth in our commercial cloud and LinkedIn, offset in part by a reduction in phone and Gaming cost of revenue.</w:t>
      </w:r>
    </w:p>
    <w:p>
      <w:pPr>
        <w:ind w:left="1060" w:hanging="390"/>
        <w:spacing w:after="0"/>
        <w:tabs>
          <w:tab w:leader="none" w:pos="10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Sales and marketing expenses increased $594 million or 18%, primarily due to LinkedIn expenses.</w:t>
      </w:r>
    </w:p>
    <w:p>
      <w:pPr>
        <w:spacing w:after="0" w:line="63" w:lineRule="exact"/>
        <w:rPr>
          <w:rFonts w:ascii="Arial" w:cs="Arial" w:eastAsia="Arial" w:hAnsi="Arial"/>
          <w:sz w:val="18"/>
          <w:szCs w:val="18"/>
          <w:color w:val="auto"/>
        </w:rPr>
      </w:pPr>
    </w:p>
    <w:p>
      <w:pPr>
        <w:ind w:left="1060" w:right="20" w:hanging="390"/>
        <w:spacing w:after="0" w:line="274" w:lineRule="auto"/>
        <w:tabs>
          <w:tab w:leader="none" w:pos="10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Research and development expenses increased $468 million or 15%, primarily due to LinkedIn expenses and investments in cloud engineering.</w:t>
      </w:r>
    </w:p>
    <w:p>
      <w:pPr>
        <w:ind w:left="1060" w:hanging="390"/>
        <w:spacing w:after="0"/>
        <w:tabs>
          <w:tab w:leader="none" w:pos="10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General and administrative expenses increased $121 million or 12%, primarily due to LinkedIn expenses.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289165"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39" w:name="page40"/>
    <w:bookmarkEnd w:id="39"/>
    <w:p>
      <w:pPr>
        <w:ind w:left="5500"/>
        <w:spacing w:after="0"/>
        <w:rPr>
          <w:sz w:val="20"/>
          <w:szCs w:val="20"/>
          <w:color w:val="auto"/>
        </w:rPr>
      </w:pPr>
      <w:r>
        <w:rPr>
          <w:rFonts w:ascii="Arial" w:cs="Arial" w:eastAsia="Arial" w:hAnsi="Arial"/>
          <w:sz w:val="14"/>
          <w:szCs w:val="14"/>
          <w:u w:val="single" w:color="auto"/>
          <w:color w:val="auto"/>
        </w:rPr>
        <w:t>PART I</w:t>
      </w:r>
    </w:p>
    <w:p>
      <w:pPr>
        <w:spacing w:after="0" w:line="5" w:lineRule="exact"/>
        <w:rPr>
          <w:sz w:val="20"/>
          <w:szCs w:val="20"/>
          <w:color w:val="auto"/>
        </w:rPr>
      </w:pPr>
    </w:p>
    <w:p>
      <w:pPr>
        <w:ind w:left="5520"/>
        <w:spacing w:after="0"/>
        <w:rPr>
          <w:sz w:val="20"/>
          <w:szCs w:val="20"/>
          <w:color w:val="auto"/>
        </w:rPr>
      </w:pPr>
      <w:r>
        <w:rPr>
          <w:rFonts w:ascii="Arial" w:cs="Arial" w:eastAsia="Arial" w:hAnsi="Arial"/>
          <w:sz w:val="14"/>
          <w:szCs w:val="14"/>
          <w:color w:val="auto"/>
        </w:rPr>
        <w:t>Item 2</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SEGMENT RESULTS OF OPERATIONS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 except percentages)</w:t>
            </w:r>
          </w:p>
        </w:tc>
        <w:tc>
          <w:tcPr>
            <w:tcW w:w="3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580" w:type="dxa"/>
            <w:vAlign w:val="bottom"/>
            <w:gridSpan w:val="4"/>
          </w:tcPr>
          <w:p>
            <w:pPr>
              <w:jc w:val="right"/>
              <w:ind w:right="240"/>
              <w:spacing w:after="0"/>
              <w:rPr>
                <w:sz w:val="20"/>
                <w:szCs w:val="20"/>
                <w:color w:val="auto"/>
              </w:rPr>
            </w:pPr>
            <w:r>
              <w:rPr>
                <w:rFonts w:ascii="Arial" w:cs="Arial" w:eastAsia="Arial" w:hAnsi="Arial"/>
                <w:sz w:val="14"/>
                <w:szCs w:val="14"/>
                <w:b w:val="1"/>
                <w:bCs w:val="1"/>
                <w:color w:val="auto"/>
                <w:w w:val="95"/>
              </w:rPr>
              <w:t>Three Months Ended</w:t>
            </w:r>
          </w:p>
        </w:tc>
        <w:tc>
          <w:tcPr>
            <w:tcW w:w="124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190"/>
        </w:trPr>
        <w:tc>
          <w:tcPr>
            <w:tcW w:w="7440" w:type="dxa"/>
            <w:vAlign w:val="bottom"/>
            <w:gridSpan w:val="2"/>
            <w:vMerge w:val="continue"/>
          </w:tcPr>
          <w:p>
            <w:pPr>
              <w:spacing w:after="0"/>
              <w:rPr>
                <w:sz w:val="16"/>
                <w:szCs w:val="16"/>
                <w:color w:val="auto"/>
              </w:rPr>
            </w:pPr>
          </w:p>
        </w:tc>
        <w:tc>
          <w:tcPr>
            <w:tcW w:w="3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8"/>
              </w:rPr>
              <w:t>September 30,</w:t>
            </w:r>
          </w:p>
        </w:tc>
        <w:tc>
          <w:tcPr>
            <w:tcW w:w="124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742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2017</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2016</w:t>
            </w: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440" w:type="dxa"/>
            <w:vAlign w:val="bottom"/>
            <w:gridSpan w:val="2"/>
          </w:tcPr>
          <w:p>
            <w:pPr>
              <w:spacing w:after="0"/>
              <w:rPr>
                <w:sz w:val="20"/>
                <w:szCs w:val="20"/>
                <w:color w:val="auto"/>
              </w:rPr>
            </w:pPr>
            <w:r>
              <w:rPr>
                <w:rFonts w:ascii="Arial" w:cs="Arial" w:eastAsia="Arial" w:hAnsi="Arial"/>
                <w:sz w:val="14"/>
                <w:szCs w:val="14"/>
                <w:b w:val="1"/>
                <w:bCs w:val="1"/>
                <w:color w:val="auto"/>
              </w:rPr>
              <w:t>Revenue</w:t>
            </w: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
        </w:trPr>
        <w:tc>
          <w:tcPr>
            <w:tcW w:w="20" w:type="dxa"/>
            <w:vAlign w:val="bottom"/>
            <w:vMerge w:val="restart"/>
          </w:tcPr>
          <w:p>
            <w:pPr>
              <w:spacing w:after="0"/>
              <w:rPr>
                <w:sz w:val="3"/>
                <w:szCs w:val="3"/>
                <w:color w:val="auto"/>
              </w:rPr>
            </w:pPr>
          </w:p>
        </w:tc>
        <w:tc>
          <w:tcPr>
            <w:tcW w:w="7420" w:type="dxa"/>
            <w:vAlign w:val="bottom"/>
          </w:tcPr>
          <w:p>
            <w:pPr>
              <w:spacing w:after="0"/>
              <w:rPr>
                <w:sz w:val="3"/>
                <w:szCs w:val="3"/>
                <w:color w:val="auto"/>
              </w:rPr>
            </w:pPr>
          </w:p>
        </w:tc>
        <w:tc>
          <w:tcPr>
            <w:tcW w:w="360" w:type="dxa"/>
            <w:vAlign w:val="bottom"/>
          </w:tcPr>
          <w:p>
            <w:pPr>
              <w:spacing w:after="0"/>
              <w:rPr>
                <w:sz w:val="3"/>
                <w:szCs w:val="3"/>
                <w:color w:val="auto"/>
              </w:rPr>
            </w:pPr>
          </w:p>
        </w:tc>
        <w:tc>
          <w:tcPr>
            <w:tcW w:w="8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60" w:type="dxa"/>
            <w:vAlign w:val="bottom"/>
          </w:tcPr>
          <w:p>
            <w:pPr>
              <w:spacing w:after="0"/>
              <w:rPr>
                <w:sz w:val="3"/>
                <w:szCs w:val="3"/>
                <w:color w:val="auto"/>
              </w:rPr>
            </w:pPr>
          </w:p>
        </w:tc>
        <w:tc>
          <w:tcPr>
            <w:tcW w:w="9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42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Productivity and Business Processes</w:t>
            </w:r>
          </w:p>
        </w:tc>
        <w:tc>
          <w:tcPr>
            <w:tcW w:w="360" w:type="dxa"/>
            <w:vAlign w:val="bottom"/>
            <w:shd w:val="clear" w:color="auto" w:fill="E5E5E5"/>
          </w:tcPr>
          <w:p>
            <w:pPr>
              <w:jc w:val="right"/>
              <w:ind w:right="170"/>
              <w:spacing w:after="0" w:line="202" w:lineRule="exact"/>
              <w:rPr>
                <w:sz w:val="20"/>
                <w:szCs w:val="20"/>
                <w:color w:val="auto"/>
              </w:rPr>
            </w:pPr>
            <w:r>
              <w:rPr>
                <w:rFonts w:ascii="Arial" w:cs="Arial" w:eastAsia="Arial" w:hAnsi="Arial"/>
                <w:sz w:val="18"/>
                <w:szCs w:val="18"/>
                <w:b w:val="1"/>
                <w:bCs w:val="1"/>
                <w:color w:val="auto"/>
                <w:w w:val="79"/>
              </w:rPr>
              <w:t>$</w:t>
            </w:r>
          </w:p>
        </w:tc>
        <w:tc>
          <w:tcPr>
            <w:tcW w:w="80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8,238</w:t>
            </w:r>
          </w:p>
        </w:tc>
        <w:tc>
          <w:tcPr>
            <w:tcW w:w="380" w:type="dxa"/>
            <w:vAlign w:val="bottom"/>
            <w:gridSpan w:val="2"/>
            <w:shd w:val="clear" w:color="auto" w:fill="E5E5E5"/>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1200" w:type="dxa"/>
            <w:vAlign w:val="bottom"/>
            <w:gridSpan w:val="2"/>
            <w:shd w:val="clear" w:color="auto" w:fill="E5E5E5"/>
          </w:tcPr>
          <w:p>
            <w:pPr>
              <w:jc w:val="right"/>
              <w:ind w:right="220"/>
              <w:spacing w:after="0" w:line="202" w:lineRule="exact"/>
              <w:rPr>
                <w:sz w:val="20"/>
                <w:szCs w:val="20"/>
                <w:color w:val="auto"/>
              </w:rPr>
            </w:pPr>
            <w:r>
              <w:rPr>
                <w:rFonts w:ascii="Arial" w:cs="Arial" w:eastAsia="Arial" w:hAnsi="Arial"/>
                <w:sz w:val="18"/>
                <w:szCs w:val="18"/>
                <w:color w:val="auto"/>
              </w:rPr>
              <w:t>6,436</w:t>
            </w:r>
          </w:p>
        </w:tc>
        <w:tc>
          <w:tcPr>
            <w:tcW w:w="124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20" w:type="dxa"/>
            <w:vAlign w:val="bottom"/>
          </w:tcPr>
          <w:p>
            <w:pPr>
              <w:spacing w:after="0" w:line="202" w:lineRule="exact"/>
              <w:rPr>
                <w:sz w:val="20"/>
                <w:szCs w:val="20"/>
                <w:color w:val="auto"/>
              </w:rPr>
            </w:pPr>
            <w:r>
              <w:rPr>
                <w:rFonts w:ascii="Arial" w:cs="Arial" w:eastAsia="Arial" w:hAnsi="Arial"/>
                <w:sz w:val="18"/>
                <w:szCs w:val="18"/>
                <w:color w:val="auto"/>
              </w:rPr>
              <w:t>Intelligent Cloud</w:t>
            </w:r>
          </w:p>
        </w:tc>
        <w:tc>
          <w:tcPr>
            <w:tcW w:w="36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6,922</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6,097</w:t>
            </w:r>
          </w:p>
        </w:tc>
        <w:tc>
          <w:tcPr>
            <w:tcW w:w="12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2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More Personal Computing</w:t>
            </w:r>
          </w:p>
        </w:tc>
        <w:tc>
          <w:tcPr>
            <w:tcW w:w="360" w:type="dxa"/>
            <w:vAlign w:val="bottom"/>
            <w:shd w:val="clear" w:color="auto" w:fill="E5E5E5"/>
          </w:tcPr>
          <w:p>
            <w:pPr>
              <w:spacing w:after="0"/>
              <w:rPr>
                <w:sz w:val="17"/>
                <w:szCs w:val="17"/>
                <w:color w:val="auto"/>
              </w:rPr>
            </w:pPr>
          </w:p>
        </w:tc>
        <w:tc>
          <w:tcPr>
            <w:tcW w:w="80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9,378</w:t>
            </w:r>
          </w:p>
        </w:tc>
        <w:tc>
          <w:tcPr>
            <w:tcW w:w="22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1200" w:type="dxa"/>
            <w:vAlign w:val="bottom"/>
            <w:gridSpan w:val="2"/>
            <w:shd w:val="clear" w:color="auto" w:fill="E5E5E5"/>
          </w:tcPr>
          <w:p>
            <w:pPr>
              <w:jc w:val="right"/>
              <w:ind w:right="220"/>
              <w:spacing w:after="0" w:line="202" w:lineRule="exact"/>
              <w:rPr>
                <w:sz w:val="20"/>
                <w:szCs w:val="20"/>
                <w:color w:val="auto"/>
              </w:rPr>
            </w:pPr>
            <w:r>
              <w:rPr>
                <w:rFonts w:ascii="Arial" w:cs="Arial" w:eastAsia="Arial" w:hAnsi="Arial"/>
                <w:sz w:val="18"/>
                <w:szCs w:val="18"/>
                <w:color w:val="auto"/>
              </w:rPr>
              <w:t>9,395</w:t>
            </w:r>
          </w:p>
        </w:tc>
        <w:tc>
          <w:tcPr>
            <w:tcW w:w="124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2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420" w:type="dxa"/>
            <w:vAlign w:val="bottom"/>
          </w:tcPr>
          <w:p>
            <w:pPr>
              <w:spacing w:after="0"/>
              <w:rPr>
                <w:sz w:val="5"/>
                <w:szCs w:val="5"/>
                <w:color w:val="auto"/>
              </w:rPr>
            </w:pPr>
          </w:p>
        </w:tc>
        <w:tc>
          <w:tcPr>
            <w:tcW w:w="360" w:type="dxa"/>
            <w:vAlign w:val="bottom"/>
          </w:tcPr>
          <w:p>
            <w:pPr>
              <w:spacing w:after="0"/>
              <w:rPr>
                <w:sz w:val="5"/>
                <w:szCs w:val="5"/>
                <w:color w:val="auto"/>
              </w:rPr>
            </w:pPr>
          </w:p>
        </w:tc>
        <w:tc>
          <w:tcPr>
            <w:tcW w:w="8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9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20" w:type="dxa"/>
            <w:vAlign w:val="bottom"/>
            <w:shd w:val="clear" w:color="auto" w:fill="E5E5E5"/>
          </w:tcPr>
          <w:p>
            <w:pPr>
              <w:ind w:left="200"/>
              <w:spacing w:after="0" w:line="202" w:lineRule="exact"/>
              <w:rPr>
                <w:sz w:val="20"/>
                <w:szCs w:val="20"/>
                <w:color w:val="auto"/>
              </w:rPr>
            </w:pPr>
            <w:r>
              <w:rPr>
                <w:rFonts w:ascii="Arial" w:cs="Arial" w:eastAsia="Arial" w:hAnsi="Arial"/>
                <w:sz w:val="18"/>
                <w:szCs w:val="18"/>
                <w:color w:val="auto"/>
              </w:rPr>
              <w:t>Total</w:t>
            </w:r>
          </w:p>
        </w:tc>
        <w:tc>
          <w:tcPr>
            <w:tcW w:w="360" w:type="dxa"/>
            <w:vAlign w:val="bottom"/>
            <w:shd w:val="clear" w:color="auto" w:fill="E5E5E5"/>
          </w:tcPr>
          <w:p>
            <w:pPr>
              <w:jc w:val="right"/>
              <w:ind w:right="170"/>
              <w:spacing w:after="0" w:line="202" w:lineRule="exact"/>
              <w:rPr>
                <w:sz w:val="20"/>
                <w:szCs w:val="20"/>
                <w:color w:val="auto"/>
              </w:rPr>
            </w:pPr>
            <w:r>
              <w:rPr>
                <w:rFonts w:ascii="Arial" w:cs="Arial" w:eastAsia="Arial" w:hAnsi="Arial"/>
                <w:sz w:val="18"/>
                <w:szCs w:val="18"/>
                <w:b w:val="1"/>
                <w:bCs w:val="1"/>
                <w:color w:val="auto"/>
                <w:w w:val="79"/>
              </w:rPr>
              <w:t>$</w:t>
            </w:r>
          </w:p>
        </w:tc>
        <w:tc>
          <w:tcPr>
            <w:tcW w:w="80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24,538</w:t>
            </w:r>
          </w:p>
        </w:tc>
        <w:tc>
          <w:tcPr>
            <w:tcW w:w="380" w:type="dxa"/>
            <w:vAlign w:val="bottom"/>
            <w:gridSpan w:val="2"/>
            <w:shd w:val="clear" w:color="auto" w:fill="E5E5E5"/>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1200" w:type="dxa"/>
            <w:vAlign w:val="bottom"/>
            <w:gridSpan w:val="2"/>
            <w:shd w:val="clear" w:color="auto" w:fill="E5E5E5"/>
          </w:tcPr>
          <w:p>
            <w:pPr>
              <w:jc w:val="right"/>
              <w:ind w:right="220"/>
              <w:spacing w:after="0" w:line="202" w:lineRule="exact"/>
              <w:rPr>
                <w:sz w:val="20"/>
                <w:szCs w:val="20"/>
                <w:color w:val="auto"/>
              </w:rPr>
            </w:pPr>
            <w:r>
              <w:rPr>
                <w:rFonts w:ascii="Arial" w:cs="Arial" w:eastAsia="Arial" w:hAnsi="Arial"/>
                <w:sz w:val="18"/>
                <w:szCs w:val="18"/>
                <w:color w:val="auto"/>
              </w:rPr>
              <w:t>21,928</w:t>
            </w:r>
          </w:p>
        </w:tc>
        <w:tc>
          <w:tcPr>
            <w:tcW w:w="124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75"/>
        </w:trPr>
        <w:tc>
          <w:tcPr>
            <w:tcW w:w="74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Operating Income</w:t>
            </w:r>
          </w:p>
        </w:tc>
        <w:tc>
          <w:tcPr>
            <w:tcW w:w="36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9"/>
        </w:trPr>
        <w:tc>
          <w:tcPr>
            <w:tcW w:w="7440" w:type="dxa"/>
            <w:vAlign w:val="bottom"/>
            <w:gridSpan w:val="2"/>
            <w:vMerge w:val="continue"/>
          </w:tcPr>
          <w:p>
            <w:pPr>
              <w:spacing w:after="0"/>
              <w:rPr>
                <w:sz w:val="20"/>
                <w:szCs w:val="20"/>
                <w:color w:val="auto"/>
              </w:rPr>
            </w:pPr>
          </w:p>
        </w:tc>
        <w:tc>
          <w:tcPr>
            <w:tcW w:w="3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
        </w:trPr>
        <w:tc>
          <w:tcPr>
            <w:tcW w:w="20" w:type="dxa"/>
            <w:vAlign w:val="bottom"/>
            <w:vMerge w:val="restart"/>
          </w:tcPr>
          <w:p>
            <w:pPr>
              <w:spacing w:after="0"/>
              <w:rPr>
                <w:sz w:val="3"/>
                <w:szCs w:val="3"/>
                <w:color w:val="auto"/>
              </w:rPr>
            </w:pPr>
          </w:p>
        </w:tc>
        <w:tc>
          <w:tcPr>
            <w:tcW w:w="7420" w:type="dxa"/>
            <w:vAlign w:val="bottom"/>
          </w:tcPr>
          <w:p>
            <w:pPr>
              <w:spacing w:after="0"/>
              <w:rPr>
                <w:sz w:val="3"/>
                <w:szCs w:val="3"/>
                <w:color w:val="auto"/>
              </w:rPr>
            </w:pPr>
          </w:p>
        </w:tc>
        <w:tc>
          <w:tcPr>
            <w:tcW w:w="360" w:type="dxa"/>
            <w:vAlign w:val="bottom"/>
          </w:tcPr>
          <w:p>
            <w:pPr>
              <w:spacing w:after="0"/>
              <w:rPr>
                <w:sz w:val="3"/>
                <w:szCs w:val="3"/>
                <w:color w:val="auto"/>
              </w:rPr>
            </w:pPr>
          </w:p>
        </w:tc>
        <w:tc>
          <w:tcPr>
            <w:tcW w:w="8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60" w:type="dxa"/>
            <w:vAlign w:val="bottom"/>
          </w:tcPr>
          <w:p>
            <w:pPr>
              <w:spacing w:after="0"/>
              <w:rPr>
                <w:sz w:val="3"/>
                <w:szCs w:val="3"/>
                <w:color w:val="auto"/>
              </w:rPr>
            </w:pPr>
          </w:p>
        </w:tc>
        <w:tc>
          <w:tcPr>
            <w:tcW w:w="9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42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Productivity and Business Processes</w:t>
            </w:r>
          </w:p>
        </w:tc>
        <w:tc>
          <w:tcPr>
            <w:tcW w:w="360" w:type="dxa"/>
            <w:vAlign w:val="bottom"/>
            <w:shd w:val="clear" w:color="auto" w:fill="E5E5E5"/>
          </w:tcPr>
          <w:p>
            <w:pPr>
              <w:jc w:val="right"/>
              <w:ind w:right="170"/>
              <w:spacing w:after="0" w:line="202" w:lineRule="exact"/>
              <w:rPr>
                <w:sz w:val="20"/>
                <w:szCs w:val="20"/>
                <w:color w:val="auto"/>
              </w:rPr>
            </w:pPr>
            <w:r>
              <w:rPr>
                <w:rFonts w:ascii="Arial" w:cs="Arial" w:eastAsia="Arial" w:hAnsi="Arial"/>
                <w:sz w:val="18"/>
                <w:szCs w:val="18"/>
                <w:b w:val="1"/>
                <w:bCs w:val="1"/>
                <w:color w:val="auto"/>
                <w:w w:val="79"/>
              </w:rPr>
              <w:t>$</w:t>
            </w:r>
          </w:p>
        </w:tc>
        <w:tc>
          <w:tcPr>
            <w:tcW w:w="80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3,006</w:t>
            </w:r>
          </w:p>
        </w:tc>
        <w:tc>
          <w:tcPr>
            <w:tcW w:w="380" w:type="dxa"/>
            <w:vAlign w:val="bottom"/>
            <w:gridSpan w:val="2"/>
            <w:shd w:val="clear" w:color="auto" w:fill="E5E5E5"/>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1200" w:type="dxa"/>
            <w:vAlign w:val="bottom"/>
            <w:gridSpan w:val="2"/>
            <w:shd w:val="clear" w:color="auto" w:fill="E5E5E5"/>
          </w:tcPr>
          <w:p>
            <w:pPr>
              <w:jc w:val="right"/>
              <w:ind w:right="220"/>
              <w:spacing w:after="0" w:line="202" w:lineRule="exact"/>
              <w:rPr>
                <w:sz w:val="20"/>
                <w:szCs w:val="20"/>
                <w:color w:val="auto"/>
              </w:rPr>
            </w:pPr>
            <w:r>
              <w:rPr>
                <w:rFonts w:ascii="Arial" w:cs="Arial" w:eastAsia="Arial" w:hAnsi="Arial"/>
                <w:sz w:val="18"/>
                <w:szCs w:val="18"/>
                <w:color w:val="auto"/>
              </w:rPr>
              <w:t>2,905</w:t>
            </w:r>
          </w:p>
        </w:tc>
        <w:tc>
          <w:tcPr>
            <w:tcW w:w="124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20" w:type="dxa"/>
            <w:vAlign w:val="bottom"/>
          </w:tcPr>
          <w:p>
            <w:pPr>
              <w:spacing w:after="0" w:line="202" w:lineRule="exact"/>
              <w:rPr>
                <w:sz w:val="20"/>
                <w:szCs w:val="20"/>
                <w:color w:val="auto"/>
              </w:rPr>
            </w:pPr>
            <w:r>
              <w:rPr>
                <w:rFonts w:ascii="Arial" w:cs="Arial" w:eastAsia="Arial" w:hAnsi="Arial"/>
                <w:sz w:val="18"/>
                <w:szCs w:val="18"/>
                <w:color w:val="auto"/>
              </w:rPr>
              <w:t>Intelligent Cloud</w:t>
            </w:r>
          </w:p>
        </w:tc>
        <w:tc>
          <w:tcPr>
            <w:tcW w:w="36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2,137</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1,777</w:t>
            </w:r>
          </w:p>
        </w:tc>
        <w:tc>
          <w:tcPr>
            <w:tcW w:w="12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2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More Personal Computing</w:t>
            </w:r>
          </w:p>
        </w:tc>
        <w:tc>
          <w:tcPr>
            <w:tcW w:w="360" w:type="dxa"/>
            <w:vAlign w:val="bottom"/>
            <w:shd w:val="clear" w:color="auto" w:fill="E5E5E5"/>
          </w:tcPr>
          <w:p>
            <w:pPr>
              <w:spacing w:after="0"/>
              <w:rPr>
                <w:sz w:val="17"/>
                <w:szCs w:val="17"/>
                <w:color w:val="auto"/>
              </w:rPr>
            </w:pPr>
          </w:p>
        </w:tc>
        <w:tc>
          <w:tcPr>
            <w:tcW w:w="80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2,565</w:t>
            </w:r>
          </w:p>
        </w:tc>
        <w:tc>
          <w:tcPr>
            <w:tcW w:w="22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1200" w:type="dxa"/>
            <w:vAlign w:val="bottom"/>
            <w:gridSpan w:val="2"/>
            <w:shd w:val="clear" w:color="auto" w:fill="E5E5E5"/>
          </w:tcPr>
          <w:p>
            <w:pPr>
              <w:jc w:val="right"/>
              <w:ind w:right="220"/>
              <w:spacing w:after="0" w:line="202" w:lineRule="exact"/>
              <w:rPr>
                <w:sz w:val="20"/>
                <w:szCs w:val="20"/>
                <w:color w:val="auto"/>
              </w:rPr>
            </w:pPr>
            <w:r>
              <w:rPr>
                <w:rFonts w:ascii="Arial" w:cs="Arial" w:eastAsia="Arial" w:hAnsi="Arial"/>
                <w:sz w:val="18"/>
                <w:szCs w:val="18"/>
                <w:color w:val="auto"/>
              </w:rPr>
              <w:t>2,033</w:t>
            </w:r>
          </w:p>
        </w:tc>
        <w:tc>
          <w:tcPr>
            <w:tcW w:w="124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2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420" w:type="dxa"/>
            <w:vAlign w:val="bottom"/>
          </w:tcPr>
          <w:p>
            <w:pPr>
              <w:spacing w:after="0"/>
              <w:rPr>
                <w:sz w:val="5"/>
                <w:szCs w:val="5"/>
                <w:color w:val="auto"/>
              </w:rPr>
            </w:pPr>
          </w:p>
        </w:tc>
        <w:tc>
          <w:tcPr>
            <w:tcW w:w="360" w:type="dxa"/>
            <w:vAlign w:val="bottom"/>
          </w:tcPr>
          <w:p>
            <w:pPr>
              <w:spacing w:after="0"/>
              <w:rPr>
                <w:sz w:val="5"/>
                <w:szCs w:val="5"/>
                <w:color w:val="auto"/>
              </w:rPr>
            </w:pPr>
          </w:p>
        </w:tc>
        <w:tc>
          <w:tcPr>
            <w:tcW w:w="8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9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20" w:type="dxa"/>
            <w:vAlign w:val="bottom"/>
            <w:shd w:val="clear" w:color="auto" w:fill="E5E5E5"/>
          </w:tcPr>
          <w:p>
            <w:pPr>
              <w:ind w:left="200"/>
              <w:spacing w:after="0" w:line="202" w:lineRule="exact"/>
              <w:rPr>
                <w:sz w:val="20"/>
                <w:szCs w:val="20"/>
                <w:color w:val="auto"/>
              </w:rPr>
            </w:pPr>
            <w:r>
              <w:rPr>
                <w:rFonts w:ascii="Arial" w:cs="Arial" w:eastAsia="Arial" w:hAnsi="Arial"/>
                <w:sz w:val="18"/>
                <w:szCs w:val="18"/>
                <w:color w:val="auto"/>
              </w:rPr>
              <w:t>Total</w:t>
            </w:r>
          </w:p>
        </w:tc>
        <w:tc>
          <w:tcPr>
            <w:tcW w:w="360" w:type="dxa"/>
            <w:vAlign w:val="bottom"/>
            <w:shd w:val="clear" w:color="auto" w:fill="E5E5E5"/>
          </w:tcPr>
          <w:p>
            <w:pPr>
              <w:jc w:val="right"/>
              <w:ind w:right="170"/>
              <w:spacing w:after="0" w:line="202" w:lineRule="exact"/>
              <w:rPr>
                <w:sz w:val="20"/>
                <w:szCs w:val="20"/>
                <w:color w:val="auto"/>
              </w:rPr>
            </w:pPr>
            <w:r>
              <w:rPr>
                <w:rFonts w:ascii="Arial" w:cs="Arial" w:eastAsia="Arial" w:hAnsi="Arial"/>
                <w:sz w:val="18"/>
                <w:szCs w:val="18"/>
                <w:b w:val="1"/>
                <w:bCs w:val="1"/>
                <w:color w:val="auto"/>
                <w:w w:val="79"/>
              </w:rPr>
              <w:t>$</w:t>
            </w:r>
          </w:p>
        </w:tc>
        <w:tc>
          <w:tcPr>
            <w:tcW w:w="80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7,708</w:t>
            </w:r>
          </w:p>
        </w:tc>
        <w:tc>
          <w:tcPr>
            <w:tcW w:w="380" w:type="dxa"/>
            <w:vAlign w:val="bottom"/>
            <w:gridSpan w:val="2"/>
            <w:shd w:val="clear" w:color="auto" w:fill="E5E5E5"/>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1200" w:type="dxa"/>
            <w:vAlign w:val="bottom"/>
            <w:gridSpan w:val="2"/>
            <w:shd w:val="clear" w:color="auto" w:fill="E5E5E5"/>
          </w:tcPr>
          <w:p>
            <w:pPr>
              <w:jc w:val="right"/>
              <w:ind w:right="220"/>
              <w:spacing w:after="0" w:line="202" w:lineRule="exact"/>
              <w:rPr>
                <w:sz w:val="20"/>
                <w:szCs w:val="20"/>
                <w:color w:val="auto"/>
              </w:rPr>
            </w:pPr>
            <w:r>
              <w:rPr>
                <w:rFonts w:ascii="Arial" w:cs="Arial" w:eastAsia="Arial" w:hAnsi="Arial"/>
                <w:sz w:val="18"/>
                <w:szCs w:val="18"/>
                <w:color w:val="auto"/>
              </w:rPr>
              <w:t>6,715</w:t>
            </w:r>
          </w:p>
        </w:tc>
        <w:tc>
          <w:tcPr>
            <w:tcW w:w="124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7420" w:type="dxa"/>
            <w:vAlign w:val="bottom"/>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980" w:type="dxa"/>
            <w:vAlign w:val="bottom"/>
            <w:tcBorders>
              <w:bottom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Reportable Segments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September 30, 2017 Compared with Three Months Ended September 30, 2016</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Productivity and Business Processes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Revenue increased $1.8 billion or 28%, driven by LinkedIn and higher revenue from Office.</w:t>
      </w:r>
    </w:p>
    <w:p>
      <w:pPr>
        <w:spacing w:after="0" w:line="63" w:lineRule="exact"/>
        <w:rPr>
          <w:sz w:val="20"/>
          <w:szCs w:val="20"/>
          <w:color w:val="auto"/>
        </w:rPr>
      </w:pPr>
    </w:p>
    <w:p>
      <w:pPr>
        <w:ind w:left="1060" w:hanging="390"/>
        <w:spacing w:after="0"/>
        <w:tabs>
          <w:tab w:leader="none" w:pos="10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LinkedIn contributed revenue of $1.1 billion, primarily comprised of revenue from Talent Solutions.</w:t>
      </w:r>
    </w:p>
    <w:p>
      <w:pPr>
        <w:spacing w:after="0" w:line="63" w:lineRule="exact"/>
        <w:rPr>
          <w:rFonts w:ascii="Arial" w:cs="Arial" w:eastAsia="Arial" w:hAnsi="Arial"/>
          <w:sz w:val="18"/>
          <w:szCs w:val="18"/>
          <w:color w:val="auto"/>
        </w:rPr>
      </w:pPr>
    </w:p>
    <w:p>
      <w:pPr>
        <w:jc w:val="both"/>
        <w:ind w:left="1060" w:hanging="390"/>
        <w:spacing w:after="0" w:line="255" w:lineRule="auto"/>
        <w:tabs>
          <w:tab w:leader="none" w:pos="10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Office Commercial revenue increased $516 million or 10%, driven by higher revenue from Office 365 commercial, mainly due to growth in subscribers, offset in part by lower revenue from products licensed on-premises, reflecting a continued shift to Office 365 commercial.</w:t>
      </w:r>
    </w:p>
    <w:p>
      <w:pPr>
        <w:spacing w:after="0" w:line="15" w:lineRule="exact"/>
        <w:rPr>
          <w:rFonts w:ascii="Arial" w:cs="Arial" w:eastAsia="Arial" w:hAnsi="Arial"/>
          <w:sz w:val="18"/>
          <w:szCs w:val="18"/>
          <w:color w:val="auto"/>
        </w:rPr>
      </w:pPr>
    </w:p>
    <w:p>
      <w:pPr>
        <w:ind w:left="1060" w:hanging="390"/>
        <w:spacing w:after="0" w:line="274" w:lineRule="auto"/>
        <w:tabs>
          <w:tab w:leader="none" w:pos="10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Office Consumer revenue increased $96 million or 12%, driven by higher revenue from Office 365 consumer, mainly due to growth in subscribers.</w:t>
      </w:r>
    </w:p>
    <w:p>
      <w:pPr>
        <w:ind w:left="1060" w:hanging="390"/>
        <w:spacing w:after="0"/>
        <w:tabs>
          <w:tab w:leader="none" w:pos="10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Dynamics revenue increased 13%, primarily due to higher revenue from Dynamics 365.</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Operating income increased $101 million or 3%, primarily due to higher gross margin, offset in part by higher operating expenses.</w:t>
      </w:r>
    </w:p>
    <w:p>
      <w:pPr>
        <w:spacing w:after="0" w:line="63" w:lineRule="exact"/>
        <w:rPr>
          <w:sz w:val="20"/>
          <w:szCs w:val="20"/>
          <w:color w:val="auto"/>
        </w:rPr>
      </w:pPr>
    </w:p>
    <w:p>
      <w:pPr>
        <w:jc w:val="both"/>
        <w:ind w:left="1060" w:hanging="390"/>
        <w:spacing w:after="0" w:line="248" w:lineRule="auto"/>
        <w:tabs>
          <w:tab w:leader="none" w:pos="10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Gross margin increased $1.2 billion or 25%, primarily due to LinkedIn and growth in Office. Gross margin percentage decreased due to an increased mix of cloud offerings and LinkedIn, offset in part by gross margin percentage improvements in Office 365 commercial. Cost of revenue included $411 million related to LinkedIn, including $218 million of amortization of acquired intangible assets.</w:t>
      </w:r>
    </w:p>
    <w:p>
      <w:pPr>
        <w:spacing w:after="0" w:line="22" w:lineRule="exact"/>
        <w:rPr>
          <w:rFonts w:ascii="Arial" w:cs="Arial" w:eastAsia="Arial" w:hAnsi="Arial"/>
          <w:sz w:val="18"/>
          <w:szCs w:val="18"/>
          <w:color w:val="auto"/>
        </w:rPr>
      </w:pPr>
    </w:p>
    <w:p>
      <w:pPr>
        <w:ind w:left="1060" w:hanging="390"/>
        <w:spacing w:after="0" w:line="276" w:lineRule="auto"/>
        <w:tabs>
          <w:tab w:leader="none" w:pos="10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Operating expenses increased $1.1 billion or 54%, driven by LinkedIn expenses of $1.0 billion, including $154 million of amortization of acquired intangible assets.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Intelligent Cloud</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Revenue increased $825 million or 14%, primarily due to higher revenue from server products and cloud services.</w:t>
      </w:r>
    </w:p>
    <w:p>
      <w:pPr>
        <w:spacing w:after="0" w:line="63" w:lineRule="exact"/>
        <w:rPr>
          <w:sz w:val="20"/>
          <w:szCs w:val="20"/>
          <w:color w:val="auto"/>
        </w:rPr>
      </w:pPr>
    </w:p>
    <w:p>
      <w:pPr>
        <w:ind w:left="1060" w:hanging="390"/>
        <w:spacing w:after="0" w:line="274" w:lineRule="auto"/>
        <w:tabs>
          <w:tab w:leader="none" w:pos="10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Server products and cloud services revenue increased $807 million or 17%, driven by Azure revenue growth of 90% and server products licensed on-premises revenue growth of 2%.</w:t>
      </w:r>
    </w:p>
    <w:p>
      <w:pPr>
        <w:ind w:left="1060" w:right="20" w:hanging="390"/>
        <w:spacing w:after="0" w:line="276" w:lineRule="auto"/>
        <w:tabs>
          <w:tab w:leader="none" w:pos="10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Enterprise Services revenue increased 1%, driven by higher revenue from Premier Support Services, offset in part by a decline in revenue from custom support agreements.</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color w:val="auto"/>
        </w:rPr>
        <w:t>Operating income increased $360 million or 20%, primarily due to higher gross margin, offset in part by higher operating expenses.</w:t>
      </w:r>
    </w:p>
    <w:p>
      <w:pPr>
        <w:spacing w:after="0" w:line="63" w:lineRule="exact"/>
        <w:rPr>
          <w:sz w:val="20"/>
          <w:szCs w:val="20"/>
          <w:color w:val="auto"/>
        </w:rPr>
      </w:pPr>
    </w:p>
    <w:p>
      <w:pPr>
        <w:ind w:left="1060" w:right="20" w:hanging="390"/>
        <w:spacing w:after="0" w:line="276" w:lineRule="auto"/>
        <w:tabs>
          <w:tab w:leader="none" w:pos="10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Gross margin increased $434 million or 10%, driven by growth in server products and cloud services revenue and cloud services scale and efficiencies. Gross margin percentage decreased due to an</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289165"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40" w:name="page41"/>
    <w:bookmarkEnd w:id="40"/>
    <w:p>
      <w:pPr>
        <w:ind w:left="5500"/>
        <w:spacing w:after="0"/>
        <w:rPr>
          <w:sz w:val="20"/>
          <w:szCs w:val="20"/>
          <w:color w:val="auto"/>
        </w:rPr>
      </w:pPr>
      <w:r>
        <w:rPr>
          <w:rFonts w:ascii="Arial" w:cs="Arial" w:eastAsia="Arial" w:hAnsi="Arial"/>
          <w:sz w:val="14"/>
          <w:szCs w:val="14"/>
          <w:u w:val="single" w:color="auto"/>
          <w:color w:val="auto"/>
        </w:rPr>
        <w:t>PART I</w:t>
      </w:r>
    </w:p>
    <w:p>
      <w:pPr>
        <w:spacing w:after="0" w:line="5" w:lineRule="exact"/>
        <w:rPr>
          <w:sz w:val="20"/>
          <w:szCs w:val="20"/>
          <w:color w:val="auto"/>
        </w:rPr>
      </w:pPr>
    </w:p>
    <w:p>
      <w:pPr>
        <w:ind w:left="5520"/>
        <w:spacing w:after="0"/>
        <w:rPr>
          <w:sz w:val="20"/>
          <w:szCs w:val="20"/>
          <w:color w:val="auto"/>
        </w:rPr>
      </w:pPr>
      <w:r>
        <w:rPr>
          <w:rFonts w:ascii="Arial" w:cs="Arial" w:eastAsia="Arial" w:hAnsi="Arial"/>
          <w:sz w:val="14"/>
          <w:szCs w:val="14"/>
          <w:color w:val="auto"/>
        </w:rPr>
        <w:t>Item 2</w:t>
      </w:r>
    </w:p>
    <w:p>
      <w:pPr>
        <w:spacing w:after="0" w:line="195" w:lineRule="exact"/>
        <w:rPr>
          <w:sz w:val="20"/>
          <w:szCs w:val="20"/>
          <w:color w:val="auto"/>
        </w:rPr>
      </w:pPr>
    </w:p>
    <w:p>
      <w:pPr>
        <w:ind w:left="1060"/>
        <w:spacing w:after="0" w:line="274" w:lineRule="auto"/>
        <w:rPr>
          <w:sz w:val="20"/>
          <w:szCs w:val="20"/>
          <w:color w:val="auto"/>
        </w:rPr>
      </w:pPr>
      <w:r>
        <w:rPr>
          <w:rFonts w:ascii="Arial" w:cs="Arial" w:eastAsia="Arial" w:hAnsi="Arial"/>
          <w:sz w:val="18"/>
          <w:szCs w:val="18"/>
          <w:color w:val="auto"/>
        </w:rPr>
        <w:t>increased mix of cloud offerings and lower Enterprise Services gross margin percentage, offset in part by improvement in Azure gross margin percentage.</w:t>
      </w:r>
    </w:p>
    <w:p>
      <w:pPr>
        <w:ind w:left="1060" w:hanging="390"/>
        <w:spacing w:after="0"/>
        <w:tabs>
          <w:tab w:leader="none" w:pos="10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Operating expenses increased $74 million or 3%, driven by investments in commercial sales capacity and cloud engineering.</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More Personal Computing</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Revenue was relatively unchanged, with lower revenue from phones offset by higher revenue from Search advertising and Surface.</w:t>
      </w:r>
    </w:p>
    <w:p>
      <w:pPr>
        <w:spacing w:after="0" w:line="77" w:lineRule="exact"/>
        <w:rPr>
          <w:sz w:val="20"/>
          <w:szCs w:val="20"/>
          <w:color w:val="auto"/>
        </w:rPr>
      </w:pPr>
    </w:p>
    <w:p>
      <w:pPr>
        <w:jc w:val="both"/>
        <w:ind w:left="1060" w:hanging="390"/>
        <w:spacing w:after="0" w:line="248" w:lineRule="auto"/>
        <w:tabs>
          <w:tab w:leader="none" w:pos="10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Windows revenue was relatively unchanged, with growth in Windows OEM and Windows Commercial revenue offset by a decline in patent licensing revenue. Windows OEM revenue increased 4%. Windows OEM Pro revenue grew 7%, outperforming the commercial PC market, primarily due to a higher mix of premium licenses sold. Windows OEM non-Pro revenue declined 1%, in line with the consumer PC market. Windows Commercial revenue increased 7%, driven by multi-year agreement revenue growth.</w:t>
      </w:r>
    </w:p>
    <w:p>
      <w:pPr>
        <w:spacing w:after="0" w:line="22" w:lineRule="exact"/>
        <w:rPr>
          <w:rFonts w:ascii="Arial" w:cs="Arial" w:eastAsia="Arial" w:hAnsi="Arial"/>
          <w:sz w:val="18"/>
          <w:szCs w:val="18"/>
          <w:color w:val="auto"/>
        </w:rPr>
      </w:pPr>
    </w:p>
    <w:p>
      <w:pPr>
        <w:ind w:left="1060" w:right="20" w:hanging="390"/>
        <w:spacing w:after="0" w:line="274" w:lineRule="auto"/>
        <w:tabs>
          <w:tab w:leader="none" w:pos="10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Search advertising revenue increased $210 million or 15%. Search advertising revenue, excluding traffic acquisition costs, increased 15%, primarily driven by growth in Bing, due to higher revenue per search and search volume.</w:t>
      </w:r>
    </w:p>
    <w:p>
      <w:pPr>
        <w:ind w:left="1060" w:hanging="390"/>
        <w:spacing w:after="0"/>
        <w:tabs>
          <w:tab w:leader="none" w:pos="10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Surface revenue increased $113 million or 12%, driven by sales of the new Surface Laptop.</w:t>
      </w:r>
    </w:p>
    <w:p>
      <w:pPr>
        <w:spacing w:after="0" w:line="63" w:lineRule="exact"/>
        <w:rPr>
          <w:rFonts w:ascii="Arial" w:cs="Arial" w:eastAsia="Arial" w:hAnsi="Arial"/>
          <w:sz w:val="18"/>
          <w:szCs w:val="18"/>
          <w:color w:val="auto"/>
        </w:rPr>
      </w:pPr>
    </w:p>
    <w:p>
      <w:pPr>
        <w:jc w:val="both"/>
        <w:ind w:left="1060" w:hanging="390"/>
        <w:spacing w:after="0" w:line="248" w:lineRule="auto"/>
        <w:tabs>
          <w:tab w:leader="none" w:pos="10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Gaming revenue increased 1%, primarily due to higher revenue from Xbox software and services, offset in part by lower Xbox hardware revenue. Xbox software and services revenue increased 21%, driven by a higher volume of Xbox Live transactions, offset in part by a decline in revenue per transaction. Xbox hardware revenue decreased 48%, mainly due to a decline in volume of consoles sold and lower prices of consoles sold.</w:t>
      </w:r>
    </w:p>
    <w:p>
      <w:pPr>
        <w:spacing w:after="0" w:line="22" w:lineRule="exact"/>
        <w:rPr>
          <w:rFonts w:ascii="Arial" w:cs="Arial" w:eastAsia="Arial" w:hAnsi="Arial"/>
          <w:sz w:val="18"/>
          <w:szCs w:val="18"/>
          <w:color w:val="auto"/>
        </w:rPr>
      </w:pPr>
    </w:p>
    <w:p>
      <w:pPr>
        <w:ind w:left="1060" w:hanging="390"/>
        <w:spacing w:after="0"/>
        <w:tabs>
          <w:tab w:leader="none" w:pos="10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Phone revenue decreased $315 million.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Operating income increased $532 million or 26%, primarily due to higher gross margin.</w:t>
      </w:r>
    </w:p>
    <w:p>
      <w:pPr>
        <w:spacing w:after="0" w:line="77" w:lineRule="exact"/>
        <w:rPr>
          <w:sz w:val="20"/>
          <w:szCs w:val="20"/>
          <w:color w:val="auto"/>
        </w:rPr>
      </w:pPr>
    </w:p>
    <w:p>
      <w:pPr>
        <w:jc w:val="both"/>
        <w:ind w:left="1080" w:hanging="397"/>
        <w:spacing w:after="0" w:line="255" w:lineRule="auto"/>
        <w:tabs>
          <w:tab w:leader="none" w:pos="1080" w:val="left"/>
        </w:tabs>
        <w:numPr>
          <w:ilvl w:val="1"/>
          <w:numId w:val="30"/>
        </w:numPr>
        <w:rPr>
          <w:rFonts w:ascii="Arial" w:cs="Arial" w:eastAsia="Arial" w:hAnsi="Arial"/>
          <w:sz w:val="18"/>
          <w:szCs w:val="18"/>
          <w:color w:val="auto"/>
        </w:rPr>
      </w:pPr>
      <w:r>
        <w:rPr>
          <w:rFonts w:ascii="Arial" w:cs="Arial" w:eastAsia="Arial" w:hAnsi="Arial"/>
          <w:sz w:val="18"/>
          <w:szCs w:val="18"/>
          <w:color w:val="auto"/>
        </w:rPr>
        <w:t>Gross margin increased $494 million or 10%, driven by growth in Gaming, Search advertising, Surface, and Windows. Gross margin percentage increased due to gross margin percentage improvements across Gaming, Surface, Windows, and Search advertising and favorable sales mix.</w:t>
      </w:r>
    </w:p>
    <w:p>
      <w:pPr>
        <w:spacing w:after="0" w:line="15" w:lineRule="exact"/>
        <w:rPr>
          <w:rFonts w:ascii="Arial" w:cs="Arial" w:eastAsia="Arial" w:hAnsi="Arial"/>
          <w:sz w:val="18"/>
          <w:szCs w:val="18"/>
          <w:color w:val="auto"/>
        </w:rPr>
      </w:pPr>
    </w:p>
    <w:p>
      <w:pPr>
        <w:ind w:left="1060" w:right="20" w:hanging="390"/>
        <w:spacing w:after="0" w:line="276" w:lineRule="auto"/>
        <w:tabs>
          <w:tab w:leader="none" w:pos="10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Operating expenses decreased slightly, driven by Windows and Gaming marketing expenses in the prior year and a reduction in phone expenses.</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OPERATING EXPENSES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 except percentages)</w:t>
            </w:r>
          </w:p>
        </w:tc>
        <w:tc>
          <w:tcPr>
            <w:tcW w:w="30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60" w:type="dxa"/>
            <w:vAlign w:val="bottom"/>
            <w:gridSpan w:val="2"/>
          </w:tcPr>
          <w:p>
            <w:pPr>
              <w:jc w:val="right"/>
              <w:ind w:right="241"/>
              <w:spacing w:after="0"/>
              <w:rPr>
                <w:sz w:val="20"/>
                <w:szCs w:val="20"/>
                <w:color w:val="auto"/>
              </w:rPr>
            </w:pPr>
            <w:r>
              <w:rPr>
                <w:rFonts w:ascii="Arial" w:cs="Arial" w:eastAsia="Arial" w:hAnsi="Arial"/>
                <w:sz w:val="14"/>
                <w:szCs w:val="14"/>
                <w:b w:val="1"/>
                <w:bCs w:val="1"/>
                <w:color w:val="auto"/>
                <w:w w:val="95"/>
              </w:rPr>
              <w:t>Three Months Ended</w:t>
            </w:r>
          </w:p>
        </w:tc>
        <w:tc>
          <w:tcPr>
            <w:tcW w:w="116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190"/>
        </w:trPr>
        <w:tc>
          <w:tcPr>
            <w:tcW w:w="4820" w:type="dxa"/>
            <w:vAlign w:val="bottom"/>
            <w:gridSpan w:val="2"/>
            <w:vMerge w:val="continue"/>
          </w:tcPr>
          <w:p>
            <w:pPr>
              <w:spacing w:after="0"/>
              <w:rPr>
                <w:sz w:val="16"/>
                <w:szCs w:val="16"/>
                <w:color w:val="auto"/>
              </w:rPr>
            </w:pPr>
          </w:p>
        </w:tc>
        <w:tc>
          <w:tcPr>
            <w:tcW w:w="30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jc w:val="right"/>
              <w:ind w:right="241"/>
              <w:spacing w:after="0"/>
              <w:rPr>
                <w:sz w:val="20"/>
                <w:szCs w:val="20"/>
                <w:color w:val="auto"/>
              </w:rPr>
            </w:pPr>
            <w:r>
              <w:rPr>
                <w:rFonts w:ascii="Arial" w:cs="Arial" w:eastAsia="Arial" w:hAnsi="Arial"/>
                <w:sz w:val="14"/>
                <w:szCs w:val="14"/>
                <w:b w:val="1"/>
                <w:bCs w:val="1"/>
                <w:color w:val="auto"/>
                <w:w w:val="98"/>
              </w:rPr>
              <w:t>September 30,</w:t>
            </w:r>
          </w:p>
        </w:tc>
        <w:tc>
          <w:tcPr>
            <w:tcW w:w="116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4800" w:type="dxa"/>
            <w:vAlign w:val="bottom"/>
            <w:tcBorders>
              <w:bottom w:val="single" w:sz="8" w:color="auto"/>
            </w:tcBorders>
          </w:tcPr>
          <w:p>
            <w:pPr>
              <w:spacing w:after="0"/>
              <w:rPr>
                <w:sz w:val="3"/>
                <w:szCs w:val="3"/>
                <w:color w:val="auto"/>
              </w:rPr>
            </w:pPr>
          </w:p>
        </w:tc>
        <w:tc>
          <w:tcPr>
            <w:tcW w:w="302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2017</w:t>
            </w:r>
          </w:p>
        </w:tc>
        <w:tc>
          <w:tcPr>
            <w:tcW w:w="380" w:type="dxa"/>
            <w:vAlign w:val="bottom"/>
          </w:tcPr>
          <w:p>
            <w:pPr>
              <w:spacing w:after="0"/>
              <w:rPr>
                <w:sz w:val="20"/>
                <w:szCs w:val="20"/>
                <w:color w:val="auto"/>
              </w:rPr>
            </w:pPr>
          </w:p>
        </w:tc>
        <w:tc>
          <w:tcPr>
            <w:tcW w:w="1280" w:type="dxa"/>
            <w:vAlign w:val="bottom"/>
          </w:tcPr>
          <w:p>
            <w:pPr>
              <w:jc w:val="right"/>
              <w:ind w:right="241"/>
              <w:spacing w:after="0"/>
              <w:rPr>
                <w:sz w:val="20"/>
                <w:szCs w:val="20"/>
                <w:color w:val="auto"/>
              </w:rPr>
            </w:pPr>
            <w:r>
              <w:rPr>
                <w:rFonts w:ascii="Arial" w:cs="Arial" w:eastAsia="Arial" w:hAnsi="Arial"/>
                <w:sz w:val="14"/>
                <w:szCs w:val="14"/>
                <w:b w:val="1"/>
                <w:bCs w:val="1"/>
                <w:color w:val="auto"/>
              </w:rPr>
              <w:t>2016</w:t>
            </w: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
        </w:trPr>
        <w:tc>
          <w:tcPr>
            <w:tcW w:w="20" w:type="dxa"/>
            <w:vAlign w:val="bottom"/>
            <w:vMerge w:val="restart"/>
          </w:tcPr>
          <w:p>
            <w:pPr>
              <w:spacing w:after="0"/>
              <w:rPr>
                <w:sz w:val="3"/>
                <w:szCs w:val="3"/>
                <w:color w:val="auto"/>
              </w:rPr>
            </w:pPr>
          </w:p>
        </w:tc>
        <w:tc>
          <w:tcPr>
            <w:tcW w:w="4800" w:type="dxa"/>
            <w:vAlign w:val="bottom"/>
          </w:tcPr>
          <w:p>
            <w:pPr>
              <w:spacing w:after="0"/>
              <w:rPr>
                <w:sz w:val="3"/>
                <w:szCs w:val="3"/>
                <w:color w:val="auto"/>
              </w:rPr>
            </w:pPr>
          </w:p>
        </w:tc>
        <w:tc>
          <w:tcPr>
            <w:tcW w:w="3020" w:type="dxa"/>
            <w:vAlign w:val="bottom"/>
          </w:tcPr>
          <w:p>
            <w:pPr>
              <w:spacing w:after="0"/>
              <w:rPr>
                <w:sz w:val="3"/>
                <w:szCs w:val="3"/>
                <w:color w:val="auto"/>
              </w:rPr>
            </w:pPr>
          </w:p>
        </w:tc>
        <w:tc>
          <w:tcPr>
            <w:tcW w:w="76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80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Research and development</w:t>
            </w:r>
          </w:p>
        </w:tc>
        <w:tc>
          <w:tcPr>
            <w:tcW w:w="3020" w:type="dxa"/>
            <w:vAlign w:val="bottom"/>
            <w:shd w:val="clear" w:color="auto" w:fill="E5E5E5"/>
          </w:tcPr>
          <w:p>
            <w:pPr>
              <w:jc w:val="right"/>
              <w:ind w:right="210"/>
              <w:spacing w:after="0" w:line="202" w:lineRule="exact"/>
              <w:rPr>
                <w:sz w:val="20"/>
                <w:szCs w:val="20"/>
                <w:color w:val="auto"/>
              </w:rPr>
            </w:pPr>
            <w:r>
              <w:rPr>
                <w:rFonts w:ascii="Arial" w:cs="Arial" w:eastAsia="Arial" w:hAnsi="Arial"/>
                <w:sz w:val="18"/>
                <w:szCs w:val="18"/>
                <w:b w:val="1"/>
                <w:bCs w:val="1"/>
                <w:color w:val="auto"/>
              </w:rPr>
              <w:t>$</w:t>
            </w:r>
          </w:p>
        </w:tc>
        <w:tc>
          <w:tcPr>
            <w:tcW w:w="76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3,574</w:t>
            </w:r>
          </w:p>
        </w:tc>
        <w:tc>
          <w:tcPr>
            <w:tcW w:w="38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w:t>
            </w:r>
          </w:p>
        </w:tc>
        <w:tc>
          <w:tcPr>
            <w:tcW w:w="1280" w:type="dxa"/>
            <w:vAlign w:val="bottom"/>
            <w:shd w:val="clear" w:color="auto" w:fill="E5E5E5"/>
          </w:tcPr>
          <w:p>
            <w:pPr>
              <w:jc w:val="right"/>
              <w:ind w:right="221"/>
              <w:spacing w:after="0" w:line="202" w:lineRule="exact"/>
              <w:rPr>
                <w:sz w:val="20"/>
                <w:szCs w:val="20"/>
                <w:color w:val="auto"/>
              </w:rPr>
            </w:pPr>
            <w:r>
              <w:rPr>
                <w:rFonts w:ascii="Arial" w:cs="Arial" w:eastAsia="Arial" w:hAnsi="Arial"/>
                <w:sz w:val="18"/>
                <w:szCs w:val="18"/>
                <w:color w:val="auto"/>
              </w:rPr>
              <w:t>3,106</w:t>
            </w:r>
          </w:p>
        </w:tc>
        <w:tc>
          <w:tcPr>
            <w:tcW w:w="106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15%</w:t>
            </w:r>
          </w:p>
        </w:tc>
        <w:tc>
          <w:tcPr>
            <w:tcW w:w="10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20" w:type="dxa"/>
            <w:vAlign w:val="bottom"/>
            <w:tcBorders>
              <w:bottom w:val="single" w:sz="8" w:color="auto"/>
            </w:tcBorders>
          </w:tcPr>
          <w:p>
            <w:pPr>
              <w:spacing w:after="0"/>
              <w:rPr>
                <w:sz w:val="22"/>
                <w:szCs w:val="22"/>
                <w:color w:val="auto"/>
              </w:rPr>
            </w:pPr>
          </w:p>
        </w:tc>
        <w:tc>
          <w:tcPr>
            <w:tcW w:w="4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As a percent of revenue</w:t>
            </w:r>
          </w:p>
        </w:tc>
        <w:tc>
          <w:tcPr>
            <w:tcW w:w="30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w:t>
            </w:r>
          </w:p>
        </w:tc>
        <w:tc>
          <w:tcPr>
            <w:tcW w:w="3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221"/>
              <w:spacing w:after="0"/>
              <w:rPr>
                <w:sz w:val="20"/>
                <w:szCs w:val="20"/>
                <w:color w:val="auto"/>
              </w:rPr>
            </w:pPr>
            <w:r>
              <w:rPr>
                <w:rFonts w:ascii="Arial" w:cs="Arial" w:eastAsia="Arial" w:hAnsi="Arial"/>
                <w:sz w:val="18"/>
                <w:szCs w:val="18"/>
                <w:color w:val="auto"/>
              </w:rPr>
              <w:t>14%</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1ppt</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139"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Research and development expenses include payroll, employee benefits, stock-based compensation expense, and other headcount-related expenses associated with product development. Research and development expenses also include third-party development and programming costs, localization costs incurred to translate software for international markets, and the amortization of purchased software code and services content.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September 30, 2017 Compared with Three Months Ended September 30, 2016</w:t>
      </w:r>
    </w:p>
    <w:p>
      <w:pPr>
        <w:spacing w:after="0" w:line="158"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Research and development expenses increased $468 million or 15%, primarily due to LinkedIn expenses and investments in cloud engineering. Expenses included $345 million related to LinkedIn.</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289165"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41" w:name="page42"/>
    <w:bookmarkEnd w:id="41"/>
    <w:p>
      <w:pPr>
        <w:ind w:left="5500"/>
        <w:spacing w:after="0"/>
        <w:rPr>
          <w:sz w:val="20"/>
          <w:szCs w:val="20"/>
          <w:color w:val="auto"/>
        </w:rPr>
      </w:pPr>
      <w:r>
        <w:rPr>
          <w:rFonts w:ascii="Arial" w:cs="Arial" w:eastAsia="Arial" w:hAnsi="Arial"/>
          <w:sz w:val="14"/>
          <w:szCs w:val="14"/>
          <w:u w:val="single" w:color="auto"/>
          <w:color w:val="auto"/>
        </w:rPr>
        <w:t>PART I</w:t>
      </w:r>
    </w:p>
    <w:p>
      <w:pPr>
        <w:spacing w:after="0" w:line="5" w:lineRule="exact"/>
        <w:rPr>
          <w:sz w:val="20"/>
          <w:szCs w:val="20"/>
          <w:color w:val="auto"/>
        </w:rPr>
      </w:pPr>
    </w:p>
    <w:p>
      <w:pPr>
        <w:ind w:left="5520"/>
        <w:spacing w:after="0"/>
        <w:rPr>
          <w:sz w:val="20"/>
          <w:szCs w:val="20"/>
          <w:color w:val="auto"/>
        </w:rPr>
      </w:pPr>
      <w:r>
        <w:rPr>
          <w:rFonts w:ascii="Arial" w:cs="Arial" w:eastAsia="Arial" w:hAnsi="Arial"/>
          <w:sz w:val="14"/>
          <w:szCs w:val="14"/>
          <w:color w:val="auto"/>
        </w:rPr>
        <w:t>Item 2</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 except percentages)</w:t>
            </w:r>
          </w:p>
        </w:tc>
        <w:tc>
          <w:tcPr>
            <w:tcW w:w="30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60" w:type="dxa"/>
            <w:vAlign w:val="bottom"/>
            <w:gridSpan w:val="2"/>
          </w:tcPr>
          <w:p>
            <w:pPr>
              <w:jc w:val="right"/>
              <w:ind w:right="241"/>
              <w:spacing w:after="0"/>
              <w:rPr>
                <w:sz w:val="20"/>
                <w:szCs w:val="20"/>
                <w:color w:val="auto"/>
              </w:rPr>
            </w:pPr>
            <w:r>
              <w:rPr>
                <w:rFonts w:ascii="Arial" w:cs="Arial" w:eastAsia="Arial" w:hAnsi="Arial"/>
                <w:sz w:val="14"/>
                <w:szCs w:val="14"/>
                <w:b w:val="1"/>
                <w:bCs w:val="1"/>
                <w:color w:val="auto"/>
                <w:w w:val="95"/>
              </w:rPr>
              <w:t>Three Months Ended</w:t>
            </w:r>
          </w:p>
        </w:tc>
        <w:tc>
          <w:tcPr>
            <w:tcW w:w="116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190"/>
        </w:trPr>
        <w:tc>
          <w:tcPr>
            <w:tcW w:w="4760" w:type="dxa"/>
            <w:vAlign w:val="bottom"/>
            <w:gridSpan w:val="2"/>
            <w:vMerge w:val="continue"/>
          </w:tcPr>
          <w:p>
            <w:pPr>
              <w:spacing w:after="0"/>
              <w:rPr>
                <w:sz w:val="16"/>
                <w:szCs w:val="16"/>
                <w:color w:val="auto"/>
              </w:rPr>
            </w:pPr>
          </w:p>
        </w:tc>
        <w:tc>
          <w:tcPr>
            <w:tcW w:w="30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jc w:val="right"/>
              <w:ind w:right="241"/>
              <w:spacing w:after="0"/>
              <w:rPr>
                <w:sz w:val="20"/>
                <w:szCs w:val="20"/>
                <w:color w:val="auto"/>
              </w:rPr>
            </w:pPr>
            <w:r>
              <w:rPr>
                <w:rFonts w:ascii="Arial" w:cs="Arial" w:eastAsia="Arial" w:hAnsi="Arial"/>
                <w:sz w:val="14"/>
                <w:szCs w:val="14"/>
                <w:b w:val="1"/>
                <w:bCs w:val="1"/>
                <w:color w:val="auto"/>
                <w:w w:val="98"/>
              </w:rPr>
              <w:t>September 30,</w:t>
            </w:r>
          </w:p>
        </w:tc>
        <w:tc>
          <w:tcPr>
            <w:tcW w:w="116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4740" w:type="dxa"/>
            <w:vAlign w:val="bottom"/>
            <w:tcBorders>
              <w:bottom w:val="single" w:sz="8" w:color="auto"/>
            </w:tcBorders>
          </w:tcPr>
          <w:p>
            <w:pPr>
              <w:spacing w:after="0"/>
              <w:rPr>
                <w:sz w:val="3"/>
                <w:szCs w:val="3"/>
                <w:color w:val="auto"/>
              </w:rPr>
            </w:pPr>
          </w:p>
        </w:tc>
        <w:tc>
          <w:tcPr>
            <w:tcW w:w="308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7"/>
        </w:trPr>
        <w:tc>
          <w:tcPr>
            <w:tcW w:w="2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2017</w:t>
            </w:r>
          </w:p>
        </w:tc>
        <w:tc>
          <w:tcPr>
            <w:tcW w:w="380" w:type="dxa"/>
            <w:vAlign w:val="bottom"/>
          </w:tcPr>
          <w:p>
            <w:pPr>
              <w:spacing w:after="0"/>
              <w:rPr>
                <w:sz w:val="24"/>
                <w:szCs w:val="24"/>
                <w:color w:val="auto"/>
              </w:rPr>
            </w:pPr>
          </w:p>
        </w:tc>
        <w:tc>
          <w:tcPr>
            <w:tcW w:w="1280" w:type="dxa"/>
            <w:vAlign w:val="bottom"/>
          </w:tcPr>
          <w:p>
            <w:pPr>
              <w:jc w:val="right"/>
              <w:ind w:right="241"/>
              <w:spacing w:after="0"/>
              <w:rPr>
                <w:sz w:val="20"/>
                <w:szCs w:val="20"/>
                <w:color w:val="auto"/>
              </w:rPr>
            </w:pPr>
            <w:r>
              <w:rPr>
                <w:rFonts w:ascii="Arial" w:cs="Arial" w:eastAsia="Arial" w:hAnsi="Arial"/>
                <w:sz w:val="14"/>
                <w:szCs w:val="14"/>
                <w:b w:val="1"/>
                <w:bCs w:val="1"/>
                <w:color w:val="auto"/>
              </w:rPr>
              <w:t>2016</w:t>
            </w: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
        </w:trPr>
        <w:tc>
          <w:tcPr>
            <w:tcW w:w="20" w:type="dxa"/>
            <w:vAlign w:val="bottom"/>
            <w:vMerge w:val="restart"/>
          </w:tcPr>
          <w:p>
            <w:pPr>
              <w:spacing w:after="0"/>
              <w:rPr>
                <w:sz w:val="3"/>
                <w:szCs w:val="3"/>
                <w:color w:val="auto"/>
              </w:rPr>
            </w:pPr>
          </w:p>
        </w:tc>
        <w:tc>
          <w:tcPr>
            <w:tcW w:w="4740" w:type="dxa"/>
            <w:vAlign w:val="bottom"/>
          </w:tcPr>
          <w:p>
            <w:pPr>
              <w:spacing w:after="0"/>
              <w:rPr>
                <w:sz w:val="3"/>
                <w:szCs w:val="3"/>
                <w:color w:val="auto"/>
              </w:rPr>
            </w:pPr>
          </w:p>
        </w:tc>
        <w:tc>
          <w:tcPr>
            <w:tcW w:w="3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74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Sales and marketing</w:t>
            </w:r>
          </w:p>
        </w:tc>
        <w:tc>
          <w:tcPr>
            <w:tcW w:w="3080" w:type="dxa"/>
            <w:vAlign w:val="bottom"/>
            <w:shd w:val="clear" w:color="auto" w:fill="E5E5E5"/>
          </w:tcPr>
          <w:p>
            <w:pPr>
              <w:jc w:val="right"/>
              <w:ind w:right="210"/>
              <w:spacing w:after="0" w:line="202" w:lineRule="exact"/>
              <w:rPr>
                <w:sz w:val="20"/>
                <w:szCs w:val="20"/>
                <w:color w:val="auto"/>
              </w:rPr>
            </w:pPr>
            <w:r>
              <w:rPr>
                <w:rFonts w:ascii="Arial" w:cs="Arial" w:eastAsia="Arial" w:hAnsi="Arial"/>
                <w:sz w:val="18"/>
                <w:szCs w:val="18"/>
                <w:b w:val="1"/>
                <w:bCs w:val="1"/>
                <w:color w:val="auto"/>
              </w:rPr>
              <w:t>$</w:t>
            </w:r>
          </w:p>
        </w:tc>
        <w:tc>
          <w:tcPr>
            <w:tcW w:w="76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3,812</w:t>
            </w:r>
          </w:p>
        </w:tc>
        <w:tc>
          <w:tcPr>
            <w:tcW w:w="38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w:t>
            </w:r>
          </w:p>
        </w:tc>
        <w:tc>
          <w:tcPr>
            <w:tcW w:w="1280" w:type="dxa"/>
            <w:vAlign w:val="bottom"/>
            <w:shd w:val="clear" w:color="auto" w:fill="E5E5E5"/>
          </w:tcPr>
          <w:p>
            <w:pPr>
              <w:jc w:val="right"/>
              <w:ind w:right="221"/>
              <w:spacing w:after="0" w:line="202" w:lineRule="exact"/>
              <w:rPr>
                <w:sz w:val="20"/>
                <w:szCs w:val="20"/>
                <w:color w:val="auto"/>
              </w:rPr>
            </w:pPr>
            <w:r>
              <w:rPr>
                <w:rFonts w:ascii="Arial" w:cs="Arial" w:eastAsia="Arial" w:hAnsi="Arial"/>
                <w:sz w:val="18"/>
                <w:szCs w:val="18"/>
                <w:color w:val="auto"/>
              </w:rPr>
              <w:t>3,218</w:t>
            </w:r>
          </w:p>
        </w:tc>
        <w:tc>
          <w:tcPr>
            <w:tcW w:w="106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18%</w:t>
            </w:r>
          </w:p>
        </w:tc>
        <w:tc>
          <w:tcPr>
            <w:tcW w:w="10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20" w:type="dxa"/>
            <w:vAlign w:val="bottom"/>
            <w:tcBorders>
              <w:bottom w:val="single" w:sz="8" w:color="auto"/>
            </w:tcBorders>
          </w:tcPr>
          <w:p>
            <w:pPr>
              <w:spacing w:after="0"/>
              <w:rPr>
                <w:sz w:val="22"/>
                <w:szCs w:val="22"/>
                <w:color w:val="auto"/>
              </w:rPr>
            </w:pPr>
          </w:p>
        </w:tc>
        <w:tc>
          <w:tcPr>
            <w:tcW w:w="4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As a percent of revenue</w:t>
            </w:r>
          </w:p>
        </w:tc>
        <w:tc>
          <w:tcPr>
            <w:tcW w:w="308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w:t>
            </w:r>
          </w:p>
        </w:tc>
        <w:tc>
          <w:tcPr>
            <w:tcW w:w="3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221"/>
              <w:spacing w:after="0"/>
              <w:rPr>
                <w:sz w:val="20"/>
                <w:szCs w:val="20"/>
                <w:color w:val="auto"/>
              </w:rPr>
            </w:pPr>
            <w:r>
              <w:rPr>
                <w:rFonts w:ascii="Arial" w:cs="Arial" w:eastAsia="Arial" w:hAnsi="Arial"/>
                <w:sz w:val="18"/>
                <w:szCs w:val="18"/>
                <w:color w:val="auto"/>
              </w:rPr>
              <w:t>15%</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1ppt</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139"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Sales and marketing expenses include payroll, employee benefits, stock-based compensation expense, and other headcount-related expenses associated with sales and marketing personnel, and the costs of advertising, promotions, trade shows, seminars, and other programs.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September 30, 2017 Compared with Three Months Ended September 30, 2016</w:t>
      </w:r>
    </w:p>
    <w:p>
      <w:pPr>
        <w:spacing w:after="0" w:line="158" w:lineRule="exact"/>
        <w:rPr>
          <w:sz w:val="20"/>
          <w:szCs w:val="20"/>
          <w:color w:val="auto"/>
        </w:rPr>
      </w:pPr>
    </w:p>
    <w:p>
      <w:pPr>
        <w:jc w:val="both"/>
        <w:ind w:right="20"/>
        <w:spacing w:after="0" w:line="276" w:lineRule="auto"/>
        <w:rPr>
          <w:sz w:val="20"/>
          <w:szCs w:val="20"/>
          <w:color w:val="auto"/>
        </w:rPr>
      </w:pPr>
      <w:r>
        <w:rPr>
          <w:rFonts w:ascii="Arial" w:cs="Arial" w:eastAsia="Arial" w:hAnsi="Arial"/>
          <w:sz w:val="18"/>
          <w:szCs w:val="18"/>
          <w:color w:val="auto"/>
        </w:rPr>
        <w:t>Sales and marketing expenses increased $594 million or 18%, primarily due to LinkedIn expenses of $554 million, including $154 million of amortization of acquired intangible assets.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and Administrative</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 except percentages)</w:t>
            </w:r>
          </w:p>
        </w:tc>
        <w:tc>
          <w:tcPr>
            <w:tcW w:w="30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60" w:type="dxa"/>
            <w:vAlign w:val="bottom"/>
            <w:gridSpan w:val="2"/>
          </w:tcPr>
          <w:p>
            <w:pPr>
              <w:jc w:val="right"/>
              <w:ind w:right="241"/>
              <w:spacing w:after="0"/>
              <w:rPr>
                <w:sz w:val="20"/>
                <w:szCs w:val="20"/>
                <w:color w:val="auto"/>
              </w:rPr>
            </w:pPr>
            <w:r>
              <w:rPr>
                <w:rFonts w:ascii="Arial" w:cs="Arial" w:eastAsia="Arial" w:hAnsi="Arial"/>
                <w:sz w:val="14"/>
                <w:szCs w:val="14"/>
                <w:b w:val="1"/>
                <w:bCs w:val="1"/>
                <w:color w:val="auto"/>
                <w:w w:val="95"/>
              </w:rPr>
              <w:t>Three Months Ended</w:t>
            </w:r>
          </w:p>
        </w:tc>
        <w:tc>
          <w:tcPr>
            <w:tcW w:w="116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190"/>
        </w:trPr>
        <w:tc>
          <w:tcPr>
            <w:tcW w:w="4800" w:type="dxa"/>
            <w:vAlign w:val="bottom"/>
            <w:gridSpan w:val="2"/>
            <w:vMerge w:val="continue"/>
          </w:tcPr>
          <w:p>
            <w:pPr>
              <w:spacing w:after="0"/>
              <w:rPr>
                <w:sz w:val="16"/>
                <w:szCs w:val="16"/>
                <w:color w:val="auto"/>
              </w:rPr>
            </w:pPr>
          </w:p>
        </w:tc>
        <w:tc>
          <w:tcPr>
            <w:tcW w:w="30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jc w:val="right"/>
              <w:ind w:right="241"/>
              <w:spacing w:after="0"/>
              <w:rPr>
                <w:sz w:val="20"/>
                <w:szCs w:val="20"/>
                <w:color w:val="auto"/>
              </w:rPr>
            </w:pPr>
            <w:r>
              <w:rPr>
                <w:rFonts w:ascii="Arial" w:cs="Arial" w:eastAsia="Arial" w:hAnsi="Arial"/>
                <w:sz w:val="14"/>
                <w:szCs w:val="14"/>
                <w:b w:val="1"/>
                <w:bCs w:val="1"/>
                <w:color w:val="auto"/>
                <w:w w:val="98"/>
              </w:rPr>
              <w:t>September 30,</w:t>
            </w:r>
          </w:p>
        </w:tc>
        <w:tc>
          <w:tcPr>
            <w:tcW w:w="116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4780" w:type="dxa"/>
            <w:vAlign w:val="bottom"/>
            <w:tcBorders>
              <w:bottom w:val="single" w:sz="8" w:color="auto"/>
            </w:tcBorders>
          </w:tcPr>
          <w:p>
            <w:pPr>
              <w:spacing w:after="0"/>
              <w:rPr>
                <w:sz w:val="3"/>
                <w:szCs w:val="3"/>
                <w:color w:val="auto"/>
              </w:rPr>
            </w:pPr>
          </w:p>
        </w:tc>
        <w:tc>
          <w:tcPr>
            <w:tcW w:w="304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478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2017</w:t>
            </w:r>
          </w:p>
        </w:tc>
        <w:tc>
          <w:tcPr>
            <w:tcW w:w="380" w:type="dxa"/>
            <w:vAlign w:val="bottom"/>
          </w:tcPr>
          <w:p>
            <w:pPr>
              <w:spacing w:after="0"/>
              <w:rPr>
                <w:sz w:val="20"/>
                <w:szCs w:val="20"/>
                <w:color w:val="auto"/>
              </w:rPr>
            </w:pPr>
          </w:p>
        </w:tc>
        <w:tc>
          <w:tcPr>
            <w:tcW w:w="1280" w:type="dxa"/>
            <w:vAlign w:val="bottom"/>
          </w:tcPr>
          <w:p>
            <w:pPr>
              <w:jc w:val="right"/>
              <w:ind w:right="241"/>
              <w:spacing w:after="0"/>
              <w:rPr>
                <w:sz w:val="20"/>
                <w:szCs w:val="20"/>
                <w:color w:val="auto"/>
              </w:rPr>
            </w:pPr>
            <w:r>
              <w:rPr>
                <w:rFonts w:ascii="Arial" w:cs="Arial" w:eastAsia="Arial" w:hAnsi="Arial"/>
                <w:sz w:val="14"/>
                <w:szCs w:val="14"/>
                <w:b w:val="1"/>
                <w:bCs w:val="1"/>
                <w:color w:val="auto"/>
              </w:rPr>
              <w:t>2016</w:t>
            </w: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
        </w:trPr>
        <w:tc>
          <w:tcPr>
            <w:tcW w:w="20" w:type="dxa"/>
            <w:vAlign w:val="bottom"/>
            <w:vMerge w:val="restart"/>
          </w:tcPr>
          <w:p>
            <w:pPr>
              <w:spacing w:after="0"/>
              <w:rPr>
                <w:sz w:val="3"/>
                <w:szCs w:val="3"/>
                <w:color w:val="auto"/>
              </w:rPr>
            </w:pPr>
          </w:p>
        </w:tc>
        <w:tc>
          <w:tcPr>
            <w:tcW w:w="4780" w:type="dxa"/>
            <w:vAlign w:val="bottom"/>
          </w:tcPr>
          <w:p>
            <w:pPr>
              <w:spacing w:after="0"/>
              <w:rPr>
                <w:sz w:val="3"/>
                <w:szCs w:val="3"/>
                <w:color w:val="auto"/>
              </w:rPr>
            </w:pPr>
          </w:p>
        </w:tc>
        <w:tc>
          <w:tcPr>
            <w:tcW w:w="3040" w:type="dxa"/>
            <w:vAlign w:val="bottom"/>
          </w:tcPr>
          <w:p>
            <w:pPr>
              <w:spacing w:after="0"/>
              <w:rPr>
                <w:sz w:val="3"/>
                <w:szCs w:val="3"/>
                <w:color w:val="auto"/>
              </w:rPr>
            </w:pPr>
          </w:p>
        </w:tc>
        <w:tc>
          <w:tcPr>
            <w:tcW w:w="76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78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General and administrative</w:t>
            </w:r>
          </w:p>
        </w:tc>
        <w:tc>
          <w:tcPr>
            <w:tcW w:w="3040" w:type="dxa"/>
            <w:vAlign w:val="bottom"/>
            <w:shd w:val="clear" w:color="auto" w:fill="E5E5E5"/>
          </w:tcPr>
          <w:p>
            <w:pPr>
              <w:jc w:val="right"/>
              <w:ind w:right="210"/>
              <w:spacing w:after="0" w:line="202" w:lineRule="exact"/>
              <w:rPr>
                <w:sz w:val="20"/>
                <w:szCs w:val="20"/>
                <w:color w:val="auto"/>
              </w:rPr>
            </w:pPr>
            <w:r>
              <w:rPr>
                <w:rFonts w:ascii="Arial" w:cs="Arial" w:eastAsia="Arial" w:hAnsi="Arial"/>
                <w:sz w:val="18"/>
                <w:szCs w:val="18"/>
                <w:b w:val="1"/>
                <w:bCs w:val="1"/>
                <w:color w:val="auto"/>
              </w:rPr>
              <w:t>$</w:t>
            </w:r>
          </w:p>
        </w:tc>
        <w:tc>
          <w:tcPr>
            <w:tcW w:w="76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1,166</w:t>
            </w:r>
          </w:p>
        </w:tc>
        <w:tc>
          <w:tcPr>
            <w:tcW w:w="38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w:t>
            </w:r>
          </w:p>
        </w:tc>
        <w:tc>
          <w:tcPr>
            <w:tcW w:w="1280" w:type="dxa"/>
            <w:vAlign w:val="bottom"/>
            <w:shd w:val="clear" w:color="auto" w:fill="E5E5E5"/>
          </w:tcPr>
          <w:p>
            <w:pPr>
              <w:jc w:val="right"/>
              <w:ind w:right="221"/>
              <w:spacing w:after="0" w:line="202" w:lineRule="exact"/>
              <w:rPr>
                <w:sz w:val="20"/>
                <w:szCs w:val="20"/>
                <w:color w:val="auto"/>
              </w:rPr>
            </w:pPr>
            <w:r>
              <w:rPr>
                <w:rFonts w:ascii="Arial" w:cs="Arial" w:eastAsia="Arial" w:hAnsi="Arial"/>
                <w:sz w:val="18"/>
                <w:szCs w:val="18"/>
                <w:color w:val="auto"/>
              </w:rPr>
              <w:t>1,045</w:t>
            </w:r>
          </w:p>
        </w:tc>
        <w:tc>
          <w:tcPr>
            <w:tcW w:w="106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12%</w:t>
            </w:r>
          </w:p>
        </w:tc>
        <w:tc>
          <w:tcPr>
            <w:tcW w:w="10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20" w:type="dxa"/>
            <w:vAlign w:val="bottom"/>
            <w:tcBorders>
              <w:bottom w:val="single" w:sz="8" w:color="auto"/>
            </w:tcBorders>
          </w:tcPr>
          <w:p>
            <w:pPr>
              <w:spacing w:after="0"/>
              <w:rPr>
                <w:sz w:val="22"/>
                <w:szCs w:val="22"/>
                <w:color w:val="auto"/>
              </w:rPr>
            </w:pP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As a percent of revenue</w:t>
            </w:r>
          </w:p>
        </w:tc>
        <w:tc>
          <w:tcPr>
            <w:tcW w:w="30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w:t>
            </w:r>
          </w:p>
        </w:tc>
        <w:tc>
          <w:tcPr>
            <w:tcW w:w="3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221"/>
              <w:spacing w:after="0"/>
              <w:rPr>
                <w:sz w:val="20"/>
                <w:szCs w:val="20"/>
                <w:color w:val="auto"/>
              </w:rPr>
            </w:pPr>
            <w:r>
              <w:rPr>
                <w:rFonts w:ascii="Arial" w:cs="Arial" w:eastAsia="Arial" w:hAnsi="Arial"/>
                <w:sz w:val="18"/>
                <w:szCs w:val="18"/>
                <w:color w:val="auto"/>
              </w:rPr>
              <w:t>5%</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0ppt</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13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General and administrative expenses include payroll, employee benefits, stock-based compensation expense, severance expense, and other headcount-related expenses associated with finance, legal, facilities, certain human resources and other administrative personnel, certain taxes, and legal and other administrative fees.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September 30, 2017 Compared with Three Months Ended September 30, 2016</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General and administrative expenses increased $121 million or 12%, primarily due to LinkedIn expenses of $132 million.</w:t>
      </w:r>
    </w:p>
    <w:p>
      <w:pPr>
        <w:spacing w:after="0" w:line="239" w:lineRule="exact"/>
        <w:rPr>
          <w:sz w:val="20"/>
          <w:szCs w:val="20"/>
          <w:color w:val="auto"/>
        </w:rPr>
      </w:pPr>
    </w:p>
    <w:p>
      <w:pPr>
        <w:ind w:left="4280"/>
        <w:spacing w:after="0"/>
        <w:rPr>
          <w:sz w:val="20"/>
          <w:szCs w:val="20"/>
          <w:color w:val="auto"/>
        </w:rPr>
      </w:pPr>
      <w:r>
        <w:rPr>
          <w:rFonts w:ascii="Arial" w:cs="Arial" w:eastAsia="Arial" w:hAnsi="Arial"/>
          <w:sz w:val="18"/>
          <w:szCs w:val="18"/>
          <w:u w:val="single" w:color="auto"/>
          <w:color w:val="auto"/>
        </w:rPr>
        <w:t>OTHER INCOME (EXPENSE), NET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other income (expense), net were as follows:</w:t>
      </w:r>
    </w:p>
    <w:p>
      <w:pPr>
        <w:spacing w:after="0" w:line="27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46990</wp:posOffset>
            </wp:positionV>
            <wp:extent cx="717804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78040" cy="8890"/>
                    </a:xfrm>
                    <a:prstGeom prst="rect">
                      <a:avLst/>
                    </a:prstGeom>
                    <a:noFill/>
                  </pic:spPr>
                </pic:pic>
              </a:graphicData>
            </a:graphic>
          </wp:anchor>
        </w:drawing>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320" w:type="dxa"/>
            <w:vAlign w:val="bottom"/>
            <w:gridSpan w:val="2"/>
          </w:tcPr>
          <w:p>
            <w:pPr>
              <w:spacing w:after="0"/>
              <w:rPr>
                <w:sz w:val="20"/>
                <w:szCs w:val="20"/>
                <w:color w:val="auto"/>
              </w:rPr>
            </w:pPr>
            <w:r>
              <w:rPr>
                <w:rFonts w:ascii="Arial" w:cs="Arial" w:eastAsia="Arial" w:hAnsi="Arial"/>
                <w:sz w:val="14"/>
                <w:szCs w:val="14"/>
                <w:b w:val="1"/>
                <w:bCs w:val="1"/>
                <w:color w:val="auto"/>
              </w:rPr>
              <w:t>Three Months Ended September 30,</w:t>
            </w:r>
          </w:p>
        </w:tc>
        <w:tc>
          <w:tcPr>
            <w:tcW w:w="25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2017</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 w:type="dxa"/>
            <w:vAlign w:val="bottom"/>
            <w:vMerge w:val="restart"/>
          </w:tcPr>
          <w:p>
            <w:pPr>
              <w:spacing w:after="0"/>
              <w:rPr>
                <w:sz w:val="3"/>
                <w:szCs w:val="3"/>
                <w:color w:val="auto"/>
              </w:rPr>
            </w:pPr>
          </w:p>
        </w:tc>
        <w:tc>
          <w:tcPr>
            <w:tcW w:w="6300" w:type="dxa"/>
            <w:vAlign w:val="bottom"/>
          </w:tcPr>
          <w:p>
            <w:pPr>
              <w:spacing w:after="0"/>
              <w:rPr>
                <w:sz w:val="3"/>
                <w:szCs w:val="3"/>
                <w:color w:val="auto"/>
              </w:rPr>
            </w:pPr>
          </w:p>
        </w:tc>
        <w:tc>
          <w:tcPr>
            <w:tcW w:w="25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30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Dividends and interest income</w:t>
            </w:r>
          </w:p>
        </w:tc>
        <w:tc>
          <w:tcPr>
            <w:tcW w:w="2940" w:type="dxa"/>
            <w:vAlign w:val="bottom"/>
            <w:gridSpan w:val="2"/>
            <w:shd w:val="clear" w:color="auto" w:fill="E5E5E5"/>
          </w:tcPr>
          <w:p>
            <w:pPr>
              <w:jc w:val="right"/>
              <w:ind w:right="340"/>
              <w:spacing w:after="0" w:line="202" w:lineRule="exact"/>
              <w:rPr>
                <w:sz w:val="20"/>
                <w:szCs w:val="20"/>
                <w:color w:val="auto"/>
              </w:rPr>
            </w:pPr>
            <w:r>
              <w:rPr>
                <w:rFonts w:ascii="Arial" w:cs="Arial" w:eastAsia="Arial" w:hAnsi="Arial"/>
                <w:sz w:val="18"/>
                <w:szCs w:val="18"/>
                <w:b w:val="1"/>
                <w:bCs w:val="1"/>
                <w:color w:val="auto"/>
              </w:rPr>
              <w:t>$</w:t>
            </w:r>
          </w:p>
        </w:tc>
        <w:tc>
          <w:tcPr>
            <w:tcW w:w="840" w:type="dxa"/>
            <w:vAlign w:val="bottom"/>
            <w:gridSpan w:val="2"/>
            <w:shd w:val="clear" w:color="auto" w:fill="E5E5E5"/>
          </w:tcPr>
          <w:p>
            <w:pPr>
              <w:jc w:val="right"/>
              <w:ind w:right="140"/>
              <w:spacing w:after="0" w:line="202" w:lineRule="exact"/>
              <w:rPr>
                <w:sz w:val="20"/>
                <w:szCs w:val="20"/>
                <w:color w:val="auto"/>
              </w:rPr>
            </w:pPr>
            <w:r>
              <w:rPr>
                <w:rFonts w:ascii="Arial" w:cs="Arial" w:eastAsia="Arial" w:hAnsi="Arial"/>
                <w:sz w:val="18"/>
                <w:szCs w:val="18"/>
                <w:b w:val="1"/>
                <w:bCs w:val="1"/>
                <w:color w:val="auto"/>
              </w:rPr>
              <w:t>473</w:t>
            </w:r>
          </w:p>
        </w:tc>
        <w:tc>
          <w:tcPr>
            <w:tcW w:w="520" w:type="dxa"/>
            <w:vAlign w:val="bottom"/>
            <w:gridSpan w:val="2"/>
            <w:shd w:val="clear" w:color="auto" w:fill="E5E5E5"/>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80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293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00" w:type="dxa"/>
            <w:vAlign w:val="bottom"/>
          </w:tcPr>
          <w:p>
            <w:pPr>
              <w:spacing w:after="0" w:line="202" w:lineRule="exact"/>
              <w:rPr>
                <w:sz w:val="20"/>
                <w:szCs w:val="20"/>
                <w:color w:val="auto"/>
              </w:rPr>
            </w:pPr>
            <w:r>
              <w:rPr>
                <w:rFonts w:ascii="Arial" w:cs="Arial" w:eastAsia="Arial" w:hAnsi="Arial"/>
                <w:sz w:val="18"/>
                <w:szCs w:val="18"/>
                <w:color w:val="auto"/>
              </w:rPr>
              <w:t>Interest expense</w:t>
            </w:r>
          </w:p>
        </w:tc>
        <w:tc>
          <w:tcPr>
            <w:tcW w:w="25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40" w:type="dxa"/>
            <w:vAlign w:val="bottom"/>
            <w:gridSpan w:val="2"/>
          </w:tcPr>
          <w:p>
            <w:pPr>
              <w:jc w:val="right"/>
              <w:ind w:right="80"/>
              <w:spacing w:after="0" w:line="202" w:lineRule="exact"/>
              <w:rPr>
                <w:sz w:val="20"/>
                <w:szCs w:val="20"/>
                <w:color w:val="auto"/>
              </w:rPr>
            </w:pPr>
            <w:r>
              <w:rPr>
                <w:rFonts w:ascii="Arial" w:cs="Arial" w:eastAsia="Arial" w:hAnsi="Arial"/>
                <w:sz w:val="18"/>
                <w:szCs w:val="18"/>
                <w:b w:val="1"/>
                <w:bCs w:val="1"/>
                <w:color w:val="auto"/>
              </w:rPr>
              <w:t>(672)</w:t>
            </w: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(437)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0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Net recognized gains on investments</w:t>
            </w:r>
          </w:p>
        </w:tc>
        <w:tc>
          <w:tcPr>
            <w:tcW w:w="2500" w:type="dxa"/>
            <w:vAlign w:val="bottom"/>
            <w:shd w:val="clear" w:color="auto" w:fill="E5E5E5"/>
          </w:tcPr>
          <w:p>
            <w:pPr>
              <w:spacing w:after="0"/>
              <w:rPr>
                <w:sz w:val="17"/>
                <w:szCs w:val="17"/>
                <w:color w:val="auto"/>
              </w:rPr>
            </w:pPr>
          </w:p>
        </w:tc>
        <w:tc>
          <w:tcPr>
            <w:tcW w:w="440" w:type="dxa"/>
            <w:vAlign w:val="bottom"/>
            <w:shd w:val="clear" w:color="auto" w:fill="E5E5E5"/>
          </w:tcPr>
          <w:p>
            <w:pPr>
              <w:spacing w:after="0"/>
              <w:rPr>
                <w:sz w:val="17"/>
                <w:szCs w:val="17"/>
                <w:color w:val="auto"/>
              </w:rPr>
            </w:pPr>
          </w:p>
        </w:tc>
        <w:tc>
          <w:tcPr>
            <w:tcW w:w="840" w:type="dxa"/>
            <w:vAlign w:val="bottom"/>
            <w:gridSpan w:val="2"/>
            <w:shd w:val="clear" w:color="auto" w:fill="E5E5E5"/>
          </w:tcPr>
          <w:p>
            <w:pPr>
              <w:jc w:val="right"/>
              <w:ind w:right="140"/>
              <w:spacing w:after="0" w:line="202" w:lineRule="exact"/>
              <w:rPr>
                <w:sz w:val="20"/>
                <w:szCs w:val="20"/>
                <w:color w:val="auto"/>
              </w:rPr>
            </w:pPr>
            <w:r>
              <w:rPr>
                <w:rFonts w:ascii="Arial" w:cs="Arial" w:eastAsia="Arial" w:hAnsi="Arial"/>
                <w:sz w:val="18"/>
                <w:szCs w:val="18"/>
                <w:b w:val="1"/>
                <w:bCs w:val="1"/>
                <w:color w:val="auto"/>
              </w:rPr>
              <w:t>573</w:t>
            </w:r>
          </w:p>
        </w:tc>
        <w:tc>
          <w:tcPr>
            <w:tcW w:w="80" w:type="dxa"/>
            <w:vAlign w:val="bottom"/>
            <w:shd w:val="clear" w:color="auto" w:fill="E5E5E5"/>
          </w:tcPr>
          <w:p>
            <w:pPr>
              <w:spacing w:after="0"/>
              <w:rPr>
                <w:sz w:val="17"/>
                <w:szCs w:val="17"/>
                <w:color w:val="auto"/>
              </w:rPr>
            </w:pPr>
          </w:p>
        </w:tc>
        <w:tc>
          <w:tcPr>
            <w:tcW w:w="440" w:type="dxa"/>
            <w:vAlign w:val="bottom"/>
            <w:shd w:val="clear" w:color="auto" w:fill="E5E5E5"/>
          </w:tcPr>
          <w:p>
            <w:pPr>
              <w:spacing w:after="0"/>
              <w:rPr>
                <w:sz w:val="17"/>
                <w:szCs w:val="17"/>
                <w:color w:val="auto"/>
              </w:rPr>
            </w:pPr>
          </w:p>
        </w:tc>
        <w:tc>
          <w:tcPr>
            <w:tcW w:w="80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405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00" w:type="dxa"/>
            <w:vAlign w:val="bottom"/>
          </w:tcPr>
          <w:p>
            <w:pPr>
              <w:spacing w:after="0" w:line="202" w:lineRule="exact"/>
              <w:rPr>
                <w:sz w:val="20"/>
                <w:szCs w:val="20"/>
                <w:color w:val="auto"/>
              </w:rPr>
            </w:pPr>
            <w:r>
              <w:rPr>
                <w:rFonts w:ascii="Arial" w:cs="Arial" w:eastAsia="Arial" w:hAnsi="Arial"/>
                <w:sz w:val="18"/>
                <w:szCs w:val="18"/>
                <w:color w:val="auto"/>
              </w:rPr>
              <w:t>Net losses on derivatives</w:t>
            </w:r>
          </w:p>
        </w:tc>
        <w:tc>
          <w:tcPr>
            <w:tcW w:w="25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40" w:type="dxa"/>
            <w:vAlign w:val="bottom"/>
            <w:gridSpan w:val="2"/>
          </w:tcPr>
          <w:p>
            <w:pPr>
              <w:jc w:val="right"/>
              <w:ind w:right="80"/>
              <w:spacing w:after="0" w:line="202" w:lineRule="exact"/>
              <w:rPr>
                <w:sz w:val="20"/>
                <w:szCs w:val="20"/>
                <w:color w:val="auto"/>
              </w:rPr>
            </w:pPr>
            <w:r>
              <w:rPr>
                <w:rFonts w:ascii="Arial" w:cs="Arial" w:eastAsia="Arial" w:hAnsi="Arial"/>
                <w:sz w:val="18"/>
                <w:szCs w:val="18"/>
                <w:b w:val="1"/>
                <w:bCs w:val="1"/>
                <w:color w:val="auto"/>
              </w:rPr>
              <w:t>(50)</w:t>
            </w: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0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Net losses on foreign currency remeasurements</w:t>
            </w:r>
          </w:p>
        </w:tc>
        <w:tc>
          <w:tcPr>
            <w:tcW w:w="2500" w:type="dxa"/>
            <w:vAlign w:val="bottom"/>
            <w:shd w:val="clear" w:color="auto" w:fill="E5E5E5"/>
          </w:tcPr>
          <w:p>
            <w:pPr>
              <w:spacing w:after="0"/>
              <w:rPr>
                <w:sz w:val="17"/>
                <w:szCs w:val="17"/>
                <w:color w:val="auto"/>
              </w:rPr>
            </w:pPr>
          </w:p>
        </w:tc>
        <w:tc>
          <w:tcPr>
            <w:tcW w:w="440" w:type="dxa"/>
            <w:vAlign w:val="bottom"/>
            <w:shd w:val="clear" w:color="auto" w:fill="E5E5E5"/>
          </w:tcPr>
          <w:p>
            <w:pPr>
              <w:spacing w:after="0"/>
              <w:rPr>
                <w:sz w:val="17"/>
                <w:szCs w:val="17"/>
                <w:color w:val="auto"/>
              </w:rPr>
            </w:pPr>
          </w:p>
        </w:tc>
        <w:tc>
          <w:tcPr>
            <w:tcW w:w="840" w:type="dxa"/>
            <w:vAlign w:val="bottom"/>
            <w:gridSpan w:val="2"/>
            <w:shd w:val="clear" w:color="auto" w:fill="E5E5E5"/>
          </w:tcPr>
          <w:p>
            <w:pPr>
              <w:jc w:val="right"/>
              <w:ind w:right="80"/>
              <w:spacing w:after="0" w:line="202" w:lineRule="exact"/>
              <w:rPr>
                <w:sz w:val="20"/>
                <w:szCs w:val="20"/>
                <w:color w:val="auto"/>
              </w:rPr>
            </w:pPr>
            <w:r>
              <w:rPr>
                <w:rFonts w:ascii="Arial" w:cs="Arial" w:eastAsia="Arial" w:hAnsi="Arial"/>
                <w:sz w:val="18"/>
                <w:szCs w:val="18"/>
                <w:b w:val="1"/>
                <w:bCs w:val="1"/>
                <w:color w:val="auto"/>
              </w:rPr>
              <w:t>(9)</w:t>
            </w:r>
          </w:p>
        </w:tc>
        <w:tc>
          <w:tcPr>
            <w:tcW w:w="80" w:type="dxa"/>
            <w:vAlign w:val="bottom"/>
            <w:shd w:val="clear" w:color="auto" w:fill="E5E5E5"/>
          </w:tcPr>
          <w:p>
            <w:pPr>
              <w:spacing w:after="0"/>
              <w:rPr>
                <w:sz w:val="17"/>
                <w:szCs w:val="17"/>
                <w:color w:val="auto"/>
              </w:rPr>
            </w:pPr>
          </w:p>
        </w:tc>
        <w:tc>
          <w:tcPr>
            <w:tcW w:w="440" w:type="dxa"/>
            <w:vAlign w:val="bottom"/>
            <w:shd w:val="clear" w:color="auto" w:fill="E5E5E5"/>
          </w:tcPr>
          <w:p>
            <w:pPr>
              <w:spacing w:after="0"/>
              <w:rPr>
                <w:sz w:val="17"/>
                <w:szCs w:val="17"/>
                <w:color w:val="auto"/>
              </w:rPr>
            </w:pPr>
          </w:p>
        </w:tc>
        <w:tc>
          <w:tcPr>
            <w:tcW w:w="800" w:type="dxa"/>
            <w:vAlign w:val="bottom"/>
            <w:gridSpan w:val="2"/>
            <w:shd w:val="clear" w:color="auto" w:fill="E5E5E5"/>
          </w:tcPr>
          <w:p>
            <w:pPr>
              <w:jc w:val="right"/>
              <w:ind w:right="40"/>
              <w:spacing w:after="0" w:line="202" w:lineRule="exact"/>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Other, net</w:t>
            </w:r>
          </w:p>
        </w:tc>
        <w:tc>
          <w:tcPr>
            <w:tcW w:w="25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(39)</w:t>
            </w:r>
          </w:p>
        </w:tc>
        <w:tc>
          <w:tcPr>
            <w:tcW w:w="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6300" w:type="dxa"/>
            <w:vAlign w:val="bottom"/>
            <w:tcBorders>
              <w:top w:val="single" w:sz="8" w:color="auto"/>
            </w:tcBorders>
          </w:tcPr>
          <w:p>
            <w:pPr>
              <w:spacing w:after="0"/>
              <w:rPr>
                <w:sz w:val="5"/>
                <w:szCs w:val="5"/>
                <w:color w:val="auto"/>
              </w:rPr>
            </w:pPr>
          </w:p>
        </w:tc>
        <w:tc>
          <w:tcPr>
            <w:tcW w:w="2500" w:type="dxa"/>
            <w:vAlign w:val="bottom"/>
            <w:tcBorders>
              <w:top w:val="single" w:sz="8" w:color="auto"/>
            </w:tcBorders>
          </w:tcPr>
          <w:p>
            <w:pPr>
              <w:spacing w:after="0"/>
              <w:rPr>
                <w:sz w:val="5"/>
                <w:szCs w:val="5"/>
                <w:color w:val="auto"/>
              </w:rPr>
            </w:pPr>
          </w:p>
        </w:tc>
        <w:tc>
          <w:tcPr>
            <w:tcW w:w="440" w:type="dxa"/>
            <w:vAlign w:val="bottom"/>
            <w:tcBorders>
              <w:top w:val="single" w:sz="8" w:color="auto"/>
            </w:tcBorders>
          </w:tcPr>
          <w:p>
            <w:pPr>
              <w:spacing w:after="0"/>
              <w:rPr>
                <w:sz w:val="5"/>
                <w:szCs w:val="5"/>
                <w:color w:val="auto"/>
              </w:rPr>
            </w:pPr>
          </w:p>
        </w:tc>
        <w:tc>
          <w:tcPr>
            <w:tcW w:w="700" w:type="dxa"/>
            <w:vAlign w:val="bottom"/>
            <w:tcBorders>
              <w:top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Borders>
              <w:top w:val="single" w:sz="8" w:color="auto"/>
            </w:tcBorders>
          </w:tcPr>
          <w:p>
            <w:pPr>
              <w:spacing w:after="0"/>
              <w:rPr>
                <w:sz w:val="5"/>
                <w:szCs w:val="5"/>
                <w:color w:val="auto"/>
              </w:rPr>
            </w:pPr>
          </w:p>
        </w:tc>
        <w:tc>
          <w:tcPr>
            <w:tcW w:w="70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00" w:type="dxa"/>
            <w:vAlign w:val="bottom"/>
            <w:shd w:val="clear" w:color="auto" w:fill="E5E5E5"/>
          </w:tcPr>
          <w:p>
            <w:pPr>
              <w:ind w:left="200"/>
              <w:spacing w:after="0" w:line="202" w:lineRule="exact"/>
              <w:rPr>
                <w:sz w:val="20"/>
                <w:szCs w:val="20"/>
                <w:color w:val="auto"/>
              </w:rPr>
            </w:pPr>
            <w:r>
              <w:rPr>
                <w:rFonts w:ascii="Arial" w:cs="Arial" w:eastAsia="Arial" w:hAnsi="Arial"/>
                <w:sz w:val="18"/>
                <w:szCs w:val="18"/>
                <w:color w:val="auto"/>
              </w:rPr>
              <w:t>Total</w:t>
            </w:r>
          </w:p>
        </w:tc>
        <w:tc>
          <w:tcPr>
            <w:tcW w:w="2940" w:type="dxa"/>
            <w:vAlign w:val="bottom"/>
            <w:gridSpan w:val="2"/>
            <w:shd w:val="clear" w:color="auto" w:fill="E5E5E5"/>
          </w:tcPr>
          <w:p>
            <w:pPr>
              <w:jc w:val="right"/>
              <w:ind w:right="340"/>
              <w:spacing w:after="0" w:line="202" w:lineRule="exact"/>
              <w:rPr>
                <w:sz w:val="20"/>
                <w:szCs w:val="20"/>
                <w:color w:val="auto"/>
              </w:rPr>
            </w:pPr>
            <w:r>
              <w:rPr>
                <w:rFonts w:ascii="Arial" w:cs="Arial" w:eastAsia="Arial" w:hAnsi="Arial"/>
                <w:sz w:val="18"/>
                <w:szCs w:val="18"/>
                <w:b w:val="1"/>
                <w:bCs w:val="1"/>
                <w:color w:val="auto"/>
              </w:rPr>
              <w:t>$</w:t>
            </w:r>
          </w:p>
        </w:tc>
        <w:tc>
          <w:tcPr>
            <w:tcW w:w="840" w:type="dxa"/>
            <w:vAlign w:val="bottom"/>
            <w:gridSpan w:val="2"/>
            <w:shd w:val="clear" w:color="auto" w:fill="E5E5E5"/>
          </w:tcPr>
          <w:p>
            <w:pPr>
              <w:jc w:val="right"/>
              <w:ind w:right="140"/>
              <w:spacing w:after="0" w:line="202" w:lineRule="exact"/>
              <w:rPr>
                <w:sz w:val="20"/>
                <w:szCs w:val="20"/>
                <w:color w:val="auto"/>
              </w:rPr>
            </w:pPr>
            <w:r>
              <w:rPr>
                <w:rFonts w:ascii="Arial" w:cs="Arial" w:eastAsia="Arial" w:hAnsi="Arial"/>
                <w:sz w:val="18"/>
                <w:szCs w:val="18"/>
                <w:b w:val="1"/>
                <w:bCs w:val="1"/>
                <w:color w:val="auto"/>
              </w:rPr>
              <w:t>276</w:t>
            </w:r>
          </w:p>
        </w:tc>
        <w:tc>
          <w:tcPr>
            <w:tcW w:w="520" w:type="dxa"/>
            <w:vAlign w:val="bottom"/>
            <w:gridSpan w:val="2"/>
            <w:shd w:val="clear" w:color="auto" w:fill="E5E5E5"/>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80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300" w:type="dxa"/>
            <w:vAlign w:val="bottom"/>
          </w:tcPr>
          <w:p>
            <w:pPr>
              <w:spacing w:after="0"/>
              <w:rPr>
                <w:sz w:val="6"/>
                <w:szCs w:val="6"/>
                <w:color w:val="auto"/>
              </w:rPr>
            </w:pPr>
          </w:p>
        </w:tc>
        <w:tc>
          <w:tcPr>
            <w:tcW w:w="2500" w:type="dxa"/>
            <w:vAlign w:val="bottom"/>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139"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We use derivative instruments to: manage risks related to foreign currencies, equity prices, interest rates, and credit; enhance investment returns; and facilitate portfolio diversification. Gains and losses from changes in fair values of derivatives that are not designated as hedges are primarily recognized in other income (expense), net. Other than those derivatives entered into for investment purposes, the gains (losses) are generally economically offset by unrealized (losses) gains in the underlying available-for-sale securities and (losses) gains on certain balance sheet amounts from foreign exchange rate changes.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289165"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42" w:name="page43"/>
    <w:bookmarkEnd w:id="42"/>
    <w:p>
      <w:pPr>
        <w:ind w:left="5500"/>
        <w:spacing w:after="0"/>
        <w:rPr>
          <w:sz w:val="20"/>
          <w:szCs w:val="20"/>
          <w:color w:val="auto"/>
        </w:rPr>
      </w:pPr>
      <w:r>
        <w:rPr>
          <w:rFonts w:ascii="Arial" w:cs="Arial" w:eastAsia="Arial" w:hAnsi="Arial"/>
          <w:sz w:val="14"/>
          <w:szCs w:val="14"/>
          <w:u w:val="single" w:color="auto"/>
          <w:color w:val="auto"/>
        </w:rPr>
        <w:t>PART I</w:t>
      </w:r>
    </w:p>
    <w:p>
      <w:pPr>
        <w:spacing w:after="0" w:line="5" w:lineRule="exact"/>
        <w:rPr>
          <w:sz w:val="20"/>
          <w:szCs w:val="20"/>
          <w:color w:val="auto"/>
        </w:rPr>
      </w:pPr>
    </w:p>
    <w:p>
      <w:pPr>
        <w:ind w:left="5520"/>
        <w:spacing w:after="0"/>
        <w:rPr>
          <w:sz w:val="20"/>
          <w:szCs w:val="20"/>
          <w:color w:val="auto"/>
        </w:rPr>
      </w:pPr>
      <w:r>
        <w:rPr>
          <w:rFonts w:ascii="Arial" w:cs="Arial" w:eastAsia="Arial" w:hAnsi="Arial"/>
          <w:sz w:val="14"/>
          <w:szCs w:val="14"/>
          <w:color w:val="auto"/>
        </w:rPr>
        <w:t>Item 2</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September 30, 2017 Compared with Three Months Ended September 30, 2016</w:t>
      </w:r>
    </w:p>
    <w:p>
      <w:pPr>
        <w:spacing w:after="0" w:line="158"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Dividends and interest income increased primarily due to higher portfolio balances and yields on fixed-income securities. Interest expense increased primarily due to higher outstanding long-term debt. Net recognized gains on investments increased primarily due to higher gains on sales of equity securities. Net losses on derivatives decreased due to gains on equity derivatives in the current period as compared to losses in</w:t>
      </w:r>
    </w:p>
    <w:p>
      <w:pPr>
        <w:spacing w:after="0" w:line="1" w:lineRule="exact"/>
        <w:rPr>
          <w:sz w:val="20"/>
          <w:szCs w:val="20"/>
          <w:color w:val="auto"/>
        </w:rPr>
      </w:pPr>
    </w:p>
    <w:p>
      <w:pPr>
        <w:jc w:val="both"/>
        <w:spacing w:after="0" w:line="308" w:lineRule="auto"/>
        <w:rPr>
          <w:sz w:val="20"/>
          <w:szCs w:val="20"/>
          <w:color w:val="auto"/>
        </w:rPr>
      </w:pPr>
      <w:r>
        <w:rPr>
          <w:rFonts w:ascii="Arial" w:cs="Arial" w:eastAsia="Arial" w:hAnsi="Arial"/>
          <w:sz w:val="18"/>
          <w:szCs w:val="18"/>
          <w:color w:val="auto"/>
        </w:rPr>
        <w:t>the prior period and lower losses on commodity derivatives, offset in part by higher losses on foreign currency derivatives. Other, net reflects recognized losses from divestitures and certain joint ventures.</w:t>
      </w:r>
    </w:p>
    <w:p>
      <w:pPr>
        <w:spacing w:after="0" w:line="158" w:lineRule="exact"/>
        <w:rPr>
          <w:sz w:val="20"/>
          <w:szCs w:val="20"/>
          <w:color w:val="auto"/>
        </w:rPr>
      </w:pPr>
    </w:p>
    <w:p>
      <w:pPr>
        <w:ind w:left="5040"/>
        <w:spacing w:after="0"/>
        <w:rPr>
          <w:sz w:val="20"/>
          <w:szCs w:val="20"/>
          <w:color w:val="auto"/>
        </w:rPr>
      </w:pPr>
      <w:r>
        <w:rPr>
          <w:rFonts w:ascii="Arial" w:cs="Arial" w:eastAsia="Arial" w:hAnsi="Arial"/>
          <w:sz w:val="18"/>
          <w:szCs w:val="18"/>
          <w:u w:val="single" w:color="auto"/>
          <w:color w:val="auto"/>
        </w:rPr>
        <w:t>INCOME TAXES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September 30, 2017 Compared with Three Months Ended September 30, 2016</w:t>
      </w:r>
    </w:p>
    <w:p>
      <w:pPr>
        <w:spacing w:after="0" w:line="15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effective tax rate for the three months ended September 30, 2017 and 2016 was 18% and 17%, respectively. Our effective tax rate was lower than the U.S. federal statutory rate primarily due to earnings taxed at lower rates in foreign jurisdictions resulting from producing and distributing our products and services through our foreign regional operations centers in Ireland, Singapore, and Puerto Rico.</w:t>
      </w:r>
    </w:p>
    <w:p>
      <w:pPr>
        <w:spacing w:after="0" w:line="110"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The increase in our effective tax rate compared to the prior year was primarily due to changes in the mix of our income before income taxes between the U.S. and foreign countries.</w:t>
      </w:r>
    </w:p>
    <w:p>
      <w:pPr>
        <w:spacing w:after="0" w:line="91"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Tax contingencies and other income tax liabilities were $13.9 billion and $ 13.5 billion as of September 30, 2017 and June 30, 2017, respectively, and are included in other long-term liabilities. This increase relates primarily to current period intercompany transfer pricing.</w:t>
      </w:r>
    </w:p>
    <w:p>
      <w:pPr>
        <w:spacing w:after="0" w:line="91" w:lineRule="exact"/>
        <w:rPr>
          <w:sz w:val="20"/>
          <w:szCs w:val="20"/>
          <w:color w:val="auto"/>
        </w:rPr>
      </w:pPr>
    </w:p>
    <w:p>
      <w:pPr>
        <w:jc w:val="both"/>
        <w:spacing w:after="0"/>
        <w:rPr>
          <w:sz w:val="20"/>
          <w:szCs w:val="20"/>
          <w:color w:val="auto"/>
        </w:rPr>
      </w:pPr>
      <w:r>
        <w:rPr>
          <w:rFonts w:ascii="Arial" w:cs="Arial" w:eastAsia="Arial" w:hAnsi="Arial"/>
          <w:sz w:val="18"/>
          <w:szCs w:val="18"/>
          <w:color w:val="auto"/>
        </w:rPr>
        <w:t>While we settled a portion of the Internal Revenue Service (“IRS”) audit for tax years 2004 to 2006 during the third quarter of fiscal year 2011, and settled a portion of the IRS audit for tax years 2007 to 2009 during the first quarter of fiscal year 2016, we remain under audit for those years. We also continue to be subject to examination by the IRS for tax years 2010 to 2016. In February 2012, the IRS withdrew its 2011 Revenue Agents Report for tax years 2004 to 2006 and reopened the audit phase of the examination. As of September 30, 2017, the primary unresolved issue relates to transfer pricing, which could have a significant impact on our consolidated financial statements if not resolved favorably. We believe our allowances for income tax contingencies are adequate. We have not received a proposed assessment for the unresolved issues and do not expect a final resolution of these issues in the next 12 months. Based on the information currently available, we do not anticipate a significant increase or decrease to our tax contingencies for these issues within the next 12 months.</w:t>
      </w:r>
    </w:p>
    <w:p>
      <w:pPr>
        <w:spacing w:after="0" w:line="1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subject to income tax in many jurisdictions outside the U.S. Our operations in certain jurisdictions remain subject to examination for tax years 1996 to 2017, some of which are currently under audit by local tax authorities. The resolutions of these audits are not expected to be material to our consolidated financial statements.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FINANCIAL CONDITION</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Cash Equivalents, and Investments</w:t>
      </w:r>
    </w:p>
    <w:p>
      <w:pPr>
        <w:spacing w:after="0" w:line="160" w:lineRule="exact"/>
        <w:rPr>
          <w:sz w:val="20"/>
          <w:szCs w:val="20"/>
          <w:color w:val="auto"/>
        </w:rPr>
      </w:pPr>
    </w:p>
    <w:p>
      <w:pPr>
        <w:jc w:val="both"/>
        <w:spacing w:after="0"/>
        <w:rPr>
          <w:sz w:val="20"/>
          <w:szCs w:val="20"/>
          <w:color w:val="auto"/>
        </w:rPr>
      </w:pPr>
      <w:r>
        <w:rPr>
          <w:rFonts w:ascii="Arial" w:cs="Arial" w:eastAsia="Arial" w:hAnsi="Arial"/>
          <w:sz w:val="18"/>
          <w:szCs w:val="18"/>
          <w:color w:val="auto"/>
        </w:rPr>
        <w:t>Cash, cash equivalents, and short-term investments totaled $138.5 billion and $133.0 billion as of September 30, 2017 and June 30, 2017, respectively. Equity and other investments were $5.3 billion and $6.0 billion as of September 30, 2017 and June 30, 2017, respectively. Our short-term investments are primarily intended to facilitate liquidity and for capital preservation. They consist predominantly of highly liquid investment-grade fixed-income securities, diversified among industries and individual issuers. The investments are predominantly U.S. dollar-denominated securities, but also include foreign currency-denominated securities to diversify risk. Our fixed-income investments are exposed to interest rate risk and credit risk. The credit risk and average maturity of our fixed-income portfolio are managed to achieve economic returns that correlate to certain fixed-income indices. The settlement risk related to these investments is insignificant given that the short-term investments held are primarily highly liquid investment-grade fixed-income securities.</w:t>
      </w:r>
    </w:p>
    <w:p>
      <w:pPr>
        <w:spacing w:after="0" w:line="127"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Of the cash, cash equivalents, and short-term investments as of September 30, 2017, $132.1 billion was held by our foreign subsidiaries and would be subject to material repatriation tax effects. The amount of cash, cash equivalents, and short-term investments held by foreign subsidiaries subject to other restrictions on the free flow of funds (primarily currency and other local regulatory) was $2.4 billion. As of September 30, 2017, approximately 88% of the cash equivalents and short-term investments held by our foreign subsidiaries were invested in U.S. government and agency securities, approximately 3% were invested in U.S. mortgage- and asset-backed securities, and</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289165"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43" w:name="page44"/>
    <w:bookmarkEnd w:id="43"/>
    <w:p>
      <w:pPr>
        <w:ind w:left="5500"/>
        <w:spacing w:after="0"/>
        <w:rPr>
          <w:sz w:val="20"/>
          <w:szCs w:val="20"/>
          <w:color w:val="auto"/>
        </w:rPr>
      </w:pPr>
      <w:r>
        <w:rPr>
          <w:rFonts w:ascii="Arial" w:cs="Arial" w:eastAsia="Arial" w:hAnsi="Arial"/>
          <w:sz w:val="14"/>
          <w:szCs w:val="14"/>
          <w:u w:val="single" w:color="auto"/>
          <w:color w:val="auto"/>
        </w:rPr>
        <w:t>PART I</w:t>
      </w:r>
    </w:p>
    <w:p>
      <w:pPr>
        <w:spacing w:after="0" w:line="5" w:lineRule="exact"/>
        <w:rPr>
          <w:sz w:val="20"/>
          <w:szCs w:val="20"/>
          <w:color w:val="auto"/>
        </w:rPr>
      </w:pPr>
    </w:p>
    <w:p>
      <w:pPr>
        <w:ind w:left="5520"/>
        <w:spacing w:after="0"/>
        <w:rPr>
          <w:sz w:val="20"/>
          <w:szCs w:val="20"/>
          <w:color w:val="auto"/>
        </w:rPr>
      </w:pPr>
      <w:r>
        <w:rPr>
          <w:rFonts w:ascii="Arial" w:cs="Arial" w:eastAsia="Arial" w:hAnsi="Arial"/>
          <w:sz w:val="14"/>
          <w:szCs w:val="14"/>
          <w:color w:val="auto"/>
        </w:rPr>
        <w:t>Item 2</w:t>
      </w:r>
    </w:p>
    <w:p>
      <w:pPr>
        <w:spacing w:after="0" w:line="127" w:lineRule="exact"/>
        <w:rPr>
          <w:sz w:val="20"/>
          <w:szCs w:val="20"/>
          <w:color w:val="auto"/>
        </w:rPr>
      </w:pPr>
    </w:p>
    <w:p>
      <w:pPr>
        <w:jc w:val="both"/>
        <w:ind w:right="20"/>
        <w:spacing w:after="0" w:line="276" w:lineRule="auto"/>
        <w:rPr>
          <w:sz w:val="20"/>
          <w:szCs w:val="20"/>
          <w:color w:val="auto"/>
        </w:rPr>
      </w:pPr>
      <w:r>
        <w:rPr>
          <w:rFonts w:ascii="Arial" w:cs="Arial" w:eastAsia="Arial" w:hAnsi="Arial"/>
          <w:sz w:val="18"/>
          <w:szCs w:val="18"/>
          <w:color w:val="auto"/>
        </w:rPr>
        <w:t>approximately 2% were invested in corporate notes and bonds of U.S. companies, all of which are denominated in U.S. dollars. The remaining cash equivalents and short-term investments held by our foreign subsidiaries were primarily invested in foreign securities.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Securities Lending</w:t>
      </w:r>
    </w:p>
    <w:p>
      <w:pPr>
        <w:spacing w:after="0" w:line="158"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We lend certain fixed-income and equity securities to increase investment returns. The loaned securities continue to be carried as investments on our consolidated balance sheets. Cash and/or security interests are received as collateral for the loaned securities with the amount determined based upon the underlying security lent and the creditworthiness of the borrower. Cash collateral received is recorded as an asset with a corresponding liability. Our securities lending payable balance was $ 203 million as of September 30, 2017. Our average and maximum securities lending payable balances for the three months ended September 30, 2017 were $4.8 billion and $5.6 billion, respectively. Intra-year variances in the amount of securities loaned are mainly due to fluctuations in the demand for the securities.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w:t>
      </w:r>
    </w:p>
    <w:p>
      <w:pPr>
        <w:spacing w:after="0" w:line="158" w:lineRule="exact"/>
        <w:rPr>
          <w:sz w:val="20"/>
          <w:szCs w:val="20"/>
          <w:color w:val="auto"/>
        </w:rPr>
      </w:pPr>
    </w:p>
    <w:p>
      <w:pPr>
        <w:jc w:val="both"/>
        <w:spacing w:after="0"/>
        <w:rPr>
          <w:sz w:val="20"/>
          <w:szCs w:val="20"/>
          <w:color w:val="auto"/>
        </w:rPr>
      </w:pPr>
      <w:r>
        <w:rPr>
          <w:rFonts w:ascii="Arial" w:cs="Arial" w:eastAsia="Arial" w:hAnsi="Arial"/>
          <w:sz w:val="18"/>
          <w:szCs w:val="18"/>
          <w:color w:val="auto"/>
        </w:rPr>
        <w:t>In general, and where applicable, we use quoted prices in active markets for identical assets or liabilities to determine the fair value of our financial instruments. This pricing methodology applies to our Level 1 investments, such as U.S. government securities, domestic and international equities, and exchange-traded mutual funds. If quoted prices in active markets for identical assets or liabilities are not available to determine fair value, then we use quoted prices for similar assets and liabilities or inputs other than the quoted prices that are observable either directly or indirectly. This pricing methodology applies to our Level 2 investments such as foreign government bonds, corporate notes and bonds, mortgage- and asset-backed securities, U.S. government and agency securities, certificates of deposit, and common and preferred stock. Level 3 investments are valued using internally developed models with unobservable inputs. Assets and liabilities measured at fair value on a recurring basis using unobservable inputs are an immaterial portion of our portfolio.</w:t>
      </w:r>
    </w:p>
    <w:p>
      <w:pPr>
        <w:spacing w:after="0" w:line="127" w:lineRule="exact"/>
        <w:rPr>
          <w:sz w:val="20"/>
          <w:szCs w:val="20"/>
          <w:color w:val="auto"/>
        </w:rPr>
      </w:pPr>
    </w:p>
    <w:p>
      <w:pPr>
        <w:jc w:val="both"/>
        <w:spacing w:after="0"/>
        <w:rPr>
          <w:sz w:val="20"/>
          <w:szCs w:val="20"/>
          <w:color w:val="auto"/>
        </w:rPr>
      </w:pPr>
      <w:r>
        <w:rPr>
          <w:rFonts w:ascii="Arial" w:cs="Arial" w:eastAsia="Arial" w:hAnsi="Arial"/>
          <w:sz w:val="18"/>
          <w:szCs w:val="18"/>
          <w:color w:val="auto"/>
        </w:rPr>
        <w:t>A majority of our investments are priced by pricing vendors and are generally Level 1 or Level 2 investments as these vendors either provide a quoted market price in an active market or use observable inputs for their pricing without applying significant adjustments. Broker pricing is used mainly when a quoted price is not available, the investment is not priced by our pricing vendors, or when a broker price is more reflective of fair values in the market in which the investment trades. Our broker-priced investments are generally classified as Level 2 investments because the broker prices these investments based on similar assets without applying significant adjustments. In addition, all our broker-priced investments have a sufficient level of trading volume to demonstrate that the fair values used are appropriate for these investments. Our fair value processes include controls that are designed to ensure appropriate fair values are recorded. These controls include model validation, review of key model inputs, analysis of period-over-period fluctuations, and independent recalculation of prices where appropriate.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September 30, 2017 Compared with Three Months Ended September 30, 2016</w:t>
      </w:r>
    </w:p>
    <w:p>
      <w:pPr>
        <w:spacing w:after="0" w:line="158"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Cash from operations increased $891 million to $ 12.4 billion for the three months ended September 30, 2017, mainly due to an increase in cash received from customers, offset in part by an increase in cash paid to employees, higher cash paid for interest on debt, and a reduction in unsettled cash equivalent investments in government securities. Cash used in financing was $6.3 billion for the three months ended September 30, 2017, compared to cash from financing of $14.3 billion for the three months ended September 30, 2016. The change was mainly due to a $22.3 billion decrease in proceeds from issuances of debt, net of repayments, and a $1.8 billion decrease in cash used for common stock repurchases, offset in part by a $203 million increase in dividends paid. Cash used in investing decreased $11.6 billion to $6.9 billion, mainly due to an $11.5 billion decrease in cash used for net investment purchases, sales, and maturities.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w:t>
      </w:r>
    </w:p>
    <w:p>
      <w:pPr>
        <w:spacing w:after="0" w:line="160"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We issued debt to take advantage of favorable pricing and liquidity in the debt markets, reflecting our credit rating and the low interest rate environment. The proceeds of these issuances were or will be used for general corporate purposes, which may include, among other things, funding for working capital, capital expenditures, repurchases of capital stock, acquisitions, and repayment of existing debt. Refer to Note 11 – Debt of the Notes to Financial Statements (Part I, Item 1 of this Form 10-Q) for further discussion.</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289165"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44" w:name="page45"/>
    <w:bookmarkEnd w:id="44"/>
    <w:p>
      <w:pPr>
        <w:ind w:left="5500"/>
        <w:spacing w:after="0"/>
        <w:rPr>
          <w:sz w:val="20"/>
          <w:szCs w:val="20"/>
          <w:color w:val="auto"/>
        </w:rPr>
      </w:pPr>
      <w:r>
        <w:rPr>
          <w:rFonts w:ascii="Arial" w:cs="Arial" w:eastAsia="Arial" w:hAnsi="Arial"/>
          <w:sz w:val="14"/>
          <w:szCs w:val="14"/>
          <w:u w:val="single" w:color="auto"/>
          <w:color w:val="auto"/>
        </w:rPr>
        <w:t>PART I</w:t>
      </w:r>
    </w:p>
    <w:p>
      <w:pPr>
        <w:spacing w:after="0" w:line="5" w:lineRule="exact"/>
        <w:rPr>
          <w:sz w:val="20"/>
          <w:szCs w:val="20"/>
          <w:color w:val="auto"/>
        </w:rPr>
      </w:pPr>
    </w:p>
    <w:p>
      <w:pPr>
        <w:ind w:left="5520"/>
        <w:spacing w:after="0"/>
        <w:rPr>
          <w:sz w:val="20"/>
          <w:szCs w:val="20"/>
          <w:color w:val="auto"/>
        </w:rPr>
      </w:pPr>
      <w:r>
        <w:rPr>
          <w:rFonts w:ascii="Arial" w:cs="Arial" w:eastAsia="Arial" w:hAnsi="Arial"/>
          <w:sz w:val="14"/>
          <w:szCs w:val="14"/>
          <w:color w:val="auto"/>
        </w:rPr>
        <w:t>Item 2</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Unearned Revenue</w:t>
      </w:r>
    </w:p>
    <w:p>
      <w:pPr>
        <w:spacing w:after="0" w:line="160"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Unearned revenue is comprised mainly of unearned revenue related to volume licensing programs and includes Software Assurance (“SA”) and cloud services. Unearned revenue is generally billed upfront at the beginning of each annual coverage period for multi-year agreements and recognized ratably over the coverage period. Unearned revenue also includes payments for other offerings for which we have been paid in advance and earn the revenue when we transfer control of the product or service. Refer to Note 1 – Accounting Policies of the Notes to Financial Statements (Part I, Item 1 of this Form 10-Q) for further discussion.</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outlines the expected future recognition of unearned revenue as of September 30, 2017:</w:t>
      </w:r>
    </w:p>
    <w:p>
      <w:pPr>
        <w:spacing w:after="0" w:line="20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46990</wp:posOffset>
            </wp:positionV>
            <wp:extent cx="717804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78040" cy="8890"/>
                    </a:xfrm>
                    <a:prstGeom prst="rect">
                      <a:avLst/>
                    </a:prstGeom>
                    <a:noFill/>
                  </pic:spPr>
                </pic:pic>
              </a:graphicData>
            </a:graphic>
          </wp:anchor>
        </w:drawing>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900" w:type="dxa"/>
            <w:vAlign w:val="bottom"/>
            <w:gridSpan w:val="2"/>
          </w:tcPr>
          <w:p>
            <w:pPr>
              <w:spacing w:after="0"/>
              <w:rPr>
                <w:sz w:val="20"/>
                <w:szCs w:val="20"/>
                <w:color w:val="auto"/>
              </w:rPr>
            </w:pPr>
            <w:r>
              <w:rPr>
                <w:rFonts w:ascii="Arial" w:cs="Arial" w:eastAsia="Arial" w:hAnsi="Arial"/>
                <w:sz w:val="14"/>
                <w:szCs w:val="14"/>
                <w:b w:val="1"/>
                <w:bCs w:val="1"/>
                <w:color w:val="auto"/>
              </w:rPr>
              <w:t>Three Months Ending,</w:t>
            </w:r>
          </w:p>
        </w:tc>
        <w:tc>
          <w:tcPr>
            <w:tcW w:w="4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 w:type="dxa"/>
            <w:vAlign w:val="bottom"/>
            <w:vMerge w:val="restart"/>
          </w:tcPr>
          <w:p>
            <w:pPr>
              <w:spacing w:after="0"/>
              <w:rPr>
                <w:sz w:val="3"/>
                <w:szCs w:val="3"/>
                <w:color w:val="auto"/>
              </w:rPr>
            </w:pPr>
          </w:p>
        </w:tc>
        <w:tc>
          <w:tcPr>
            <w:tcW w:w="5880" w:type="dxa"/>
            <w:vAlign w:val="bottom"/>
          </w:tcPr>
          <w:p>
            <w:pPr>
              <w:spacing w:after="0"/>
              <w:rPr>
                <w:sz w:val="3"/>
                <w:szCs w:val="3"/>
                <w:color w:val="auto"/>
              </w:rPr>
            </w:pPr>
          </w:p>
        </w:tc>
        <w:tc>
          <w:tcPr>
            <w:tcW w:w="428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88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December 31, 2017</w:t>
            </w:r>
          </w:p>
        </w:tc>
        <w:tc>
          <w:tcPr>
            <w:tcW w:w="4620" w:type="dxa"/>
            <w:vAlign w:val="bottom"/>
            <w:gridSpan w:val="2"/>
            <w:shd w:val="clear" w:color="auto" w:fill="E5E5E5"/>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90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10,330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80" w:type="dxa"/>
            <w:vAlign w:val="bottom"/>
          </w:tcPr>
          <w:p>
            <w:pPr>
              <w:spacing w:after="0" w:line="202" w:lineRule="exact"/>
              <w:rPr>
                <w:sz w:val="20"/>
                <w:szCs w:val="20"/>
                <w:color w:val="auto"/>
              </w:rPr>
            </w:pPr>
            <w:r>
              <w:rPr>
                <w:rFonts w:ascii="Arial" w:cs="Arial" w:eastAsia="Arial" w:hAnsi="Arial"/>
                <w:sz w:val="18"/>
                <w:szCs w:val="18"/>
                <w:color w:val="auto"/>
              </w:rPr>
              <w:t>March 31, 2018</w:t>
            </w:r>
          </w:p>
        </w:tc>
        <w:tc>
          <w:tcPr>
            <w:tcW w:w="4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7,007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8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June 30, 2018</w:t>
            </w:r>
          </w:p>
        </w:tc>
        <w:tc>
          <w:tcPr>
            <w:tcW w:w="4280" w:type="dxa"/>
            <w:vAlign w:val="bottom"/>
            <w:shd w:val="clear" w:color="auto" w:fill="E5E5E5"/>
          </w:tcPr>
          <w:p>
            <w:pPr>
              <w:spacing w:after="0"/>
              <w:rPr>
                <w:sz w:val="17"/>
                <w:szCs w:val="17"/>
                <w:color w:val="auto"/>
              </w:rPr>
            </w:pPr>
          </w:p>
        </w:tc>
        <w:tc>
          <w:tcPr>
            <w:tcW w:w="340" w:type="dxa"/>
            <w:vAlign w:val="bottom"/>
            <w:shd w:val="clear" w:color="auto" w:fill="E5E5E5"/>
          </w:tcPr>
          <w:p>
            <w:pPr>
              <w:spacing w:after="0"/>
              <w:rPr>
                <w:sz w:val="17"/>
                <w:szCs w:val="17"/>
                <w:color w:val="auto"/>
              </w:rPr>
            </w:pPr>
          </w:p>
        </w:tc>
        <w:tc>
          <w:tcPr>
            <w:tcW w:w="90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4,310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80" w:type="dxa"/>
            <w:vAlign w:val="bottom"/>
          </w:tcPr>
          <w:p>
            <w:pPr>
              <w:spacing w:after="0" w:line="202" w:lineRule="exact"/>
              <w:rPr>
                <w:sz w:val="20"/>
                <w:szCs w:val="20"/>
                <w:color w:val="auto"/>
              </w:rPr>
            </w:pPr>
            <w:r>
              <w:rPr>
                <w:rFonts w:ascii="Arial" w:cs="Arial" w:eastAsia="Arial" w:hAnsi="Arial"/>
                <w:sz w:val="18"/>
                <w:szCs w:val="18"/>
                <w:color w:val="auto"/>
              </w:rPr>
              <w:t>September 30, 2018</w:t>
            </w:r>
          </w:p>
        </w:tc>
        <w:tc>
          <w:tcPr>
            <w:tcW w:w="4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1,131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8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Thereafter</w:t>
            </w:r>
          </w:p>
        </w:tc>
        <w:tc>
          <w:tcPr>
            <w:tcW w:w="4280" w:type="dxa"/>
            <w:vAlign w:val="bottom"/>
            <w:shd w:val="clear" w:color="auto" w:fill="E5E5E5"/>
          </w:tcPr>
          <w:p>
            <w:pPr>
              <w:spacing w:after="0"/>
              <w:rPr>
                <w:sz w:val="17"/>
                <w:szCs w:val="17"/>
                <w:color w:val="auto"/>
              </w:rPr>
            </w:pPr>
          </w:p>
        </w:tc>
        <w:tc>
          <w:tcPr>
            <w:tcW w:w="340" w:type="dxa"/>
            <w:vAlign w:val="bottom"/>
            <w:shd w:val="clear" w:color="auto" w:fill="E5E5E5"/>
          </w:tcPr>
          <w:p>
            <w:pPr>
              <w:spacing w:after="0"/>
              <w:rPr>
                <w:sz w:val="17"/>
                <w:szCs w:val="17"/>
                <w:color w:val="auto"/>
              </w:rPr>
            </w:pPr>
          </w:p>
        </w:tc>
        <w:tc>
          <w:tcPr>
            <w:tcW w:w="90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2,126</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5880" w:type="dxa"/>
            <w:vAlign w:val="bottom"/>
            <w:tcBorders>
              <w:bottom w:val="single" w:sz="8" w:color="auto"/>
            </w:tcBorders>
          </w:tcPr>
          <w:p>
            <w:pPr>
              <w:spacing w:after="0"/>
              <w:rPr>
                <w:sz w:val="5"/>
                <w:szCs w:val="5"/>
                <w:color w:val="auto"/>
              </w:rPr>
            </w:pPr>
          </w:p>
        </w:tc>
        <w:tc>
          <w:tcPr>
            <w:tcW w:w="428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880" w:type="dxa"/>
            <w:vAlign w:val="bottom"/>
          </w:tcPr>
          <w:p>
            <w:pPr>
              <w:spacing w:after="0"/>
              <w:rPr>
                <w:sz w:val="5"/>
                <w:szCs w:val="5"/>
                <w:color w:val="auto"/>
              </w:rPr>
            </w:pPr>
          </w:p>
        </w:tc>
        <w:tc>
          <w:tcPr>
            <w:tcW w:w="428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80" w:type="dxa"/>
            <w:vAlign w:val="bottom"/>
            <w:shd w:val="clear" w:color="auto" w:fill="E5E5E5"/>
          </w:tcPr>
          <w:p>
            <w:pPr>
              <w:ind w:left="200"/>
              <w:spacing w:after="0" w:line="202" w:lineRule="exact"/>
              <w:rPr>
                <w:sz w:val="20"/>
                <w:szCs w:val="20"/>
                <w:color w:val="auto"/>
              </w:rPr>
            </w:pPr>
            <w:r>
              <w:rPr>
                <w:rFonts w:ascii="Arial" w:cs="Arial" w:eastAsia="Arial" w:hAnsi="Arial"/>
                <w:sz w:val="18"/>
                <w:szCs w:val="18"/>
                <w:color w:val="auto"/>
              </w:rPr>
              <w:t>Total</w:t>
            </w:r>
          </w:p>
        </w:tc>
        <w:tc>
          <w:tcPr>
            <w:tcW w:w="4620" w:type="dxa"/>
            <w:vAlign w:val="bottom"/>
            <w:gridSpan w:val="2"/>
            <w:shd w:val="clear" w:color="auto" w:fill="E5E5E5"/>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90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24,904</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5880" w:type="dxa"/>
            <w:vAlign w:val="bottom"/>
          </w:tcPr>
          <w:p>
            <w:pPr>
              <w:spacing w:after="0"/>
              <w:rPr>
                <w:sz w:val="6"/>
                <w:szCs w:val="6"/>
                <w:color w:val="auto"/>
              </w:rPr>
            </w:pPr>
          </w:p>
        </w:tc>
        <w:tc>
          <w:tcPr>
            <w:tcW w:w="4280" w:type="dxa"/>
            <w:vAlign w:val="bottom"/>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13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If our customers choose to license cloud-based versions of our products and services rather than licensing transaction-based products and services, the associated revenue will shift from being recognized at the time of the transaction to being recognized over the subscription period or upon consumption, as applicable.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Repurchases</w:t>
      </w:r>
    </w:p>
    <w:p>
      <w:pPr>
        <w:spacing w:after="0" w:line="16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For the three months ended September 30, 2017 and 2016, we repurchased 22 million shares and 63 million shares of our common stock for $1.6 billion and $3.6 billion, respectively, through our share repurchase programs. All repurchases were made using cash resources. Refer to Note 17 – Stockholders’ Equity of the Notes to Financial Statements (Part I, Item 1 of this Form 10-Q) for further discussion.</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auto"/>
        </w:rPr>
        <w:t>Refer to Note 17 – Stockholders’ Equity of the Notes to Financial Statements (Part I, Item 1 of this Form 10-Q) for further discussion.</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60"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We provide indemnifications of varying scope and size to certain customers against claims of intellectual property infringement made by third parties arising from the use of our products and certain other matters. Additionally, we have agreed to cover damages resulting from breaches of certain security and privacy commitments in our cloud business. In evaluating estimated losses on these indemnifications, we consider factors such as the degree of probability of an unfavorable outcome and our ability to make a reasonable estimate of the amount of loss. These obligations did not have a material impact on our consolidated financial statements during the periods presented.</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Planned Uses of Capital</w:t>
      </w:r>
    </w:p>
    <w:p>
      <w:pPr>
        <w:spacing w:after="0" w:line="160"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We will continue to invest in sales, marketing, product support infrastructure, and existing and advanced areas of technology, as well as continue making acquisitions that align with our business strategy. Additions to property and equipment will continue, including new facilities, datacenters, and computer systems for research and development, sales and marketing, support, and administrative staff. We expect capital expenditures to increase in coming years to support growth in our cloud offerings. We have operating and finance leases for datacenters, corporate offices, research and development facilities, retail stores, and certain equipment. We have not engaged in any related party transactions or arrangements with unconsolidated entities or other persons that are reasonably likely to materially affect liquidity or the availability of capital resources.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289165"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5" w:name="page46"/>
    <w:bookmarkEnd w:id="45"/>
    <w:p>
      <w:pPr>
        <w:ind w:left="5500"/>
        <w:spacing w:after="0"/>
        <w:rPr>
          <w:sz w:val="20"/>
          <w:szCs w:val="20"/>
          <w:color w:val="auto"/>
        </w:rPr>
      </w:pPr>
      <w:r>
        <w:rPr>
          <w:rFonts w:ascii="Arial" w:cs="Arial" w:eastAsia="Arial" w:hAnsi="Arial"/>
          <w:sz w:val="14"/>
          <w:szCs w:val="14"/>
          <w:u w:val="single" w:color="auto"/>
          <w:color w:val="auto"/>
        </w:rPr>
        <w:t>PART I</w:t>
      </w:r>
    </w:p>
    <w:p>
      <w:pPr>
        <w:spacing w:after="0" w:line="5" w:lineRule="exact"/>
        <w:rPr>
          <w:sz w:val="20"/>
          <w:szCs w:val="20"/>
          <w:color w:val="auto"/>
        </w:rPr>
      </w:pPr>
    </w:p>
    <w:p>
      <w:pPr>
        <w:ind w:left="5520"/>
        <w:spacing w:after="0"/>
        <w:rPr>
          <w:sz w:val="20"/>
          <w:szCs w:val="20"/>
          <w:color w:val="auto"/>
        </w:rPr>
      </w:pPr>
      <w:r>
        <w:rPr>
          <w:rFonts w:ascii="Arial" w:cs="Arial" w:eastAsia="Arial" w:hAnsi="Arial"/>
          <w:sz w:val="14"/>
          <w:szCs w:val="14"/>
          <w:color w:val="auto"/>
        </w:rPr>
        <w:t>Item 2</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w:t>
      </w:r>
    </w:p>
    <w:p>
      <w:pPr>
        <w:spacing w:after="0" w:line="160"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earn a significant amount of our operating income outside the U.S., which is deemed to be permanently reinvested in foreign jurisdictions. As a result, as discussed above under Cash, Cash Equivalents, and Investments, the majority of our cash, cash equivalents, and short-term investments are held by foreign subsidiaries. We currently do not intend nor foresee a need to repatriate these funds. We expect existing domestic cash, cash equivalents, short-term investments, cash flows from operations, and access to capital markets to continue to be sufficient to fund our domestic operating activities and cash commitments for investing and financing activities, such as regular quarterly dividends, debt maturities, and material capital expenditures, for at least the next 12 months and thereafter for the foreseeable future. In addition, we expect existing foreign cash, cash equivalents, short-term investments, and cash flows from operations to continue to be sufficient to fund our foreign operating activities and cash commitments for investing activities, such as material capital expenditures, for at least the next 12 months and thereafter for the foreseeable future.</w:t>
      </w:r>
    </w:p>
    <w:p>
      <w:pPr>
        <w:spacing w:after="0" w:line="122"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Should we require more capital in the U.S. than is generated by our operations domestically, for example to fund significant discretionary activities, such as business acquisitions and share repurchases, we could elect to repatriate future earnings from foreign jurisdictions or raise capital in the U.S. through debt or equity issuances. These alternatives could result in higher effective tax rates, increased interest expense, or dilution of our earnings. We have borrowed funds domestically and continue to believe we have the ability to do so at reasonable interest rates.</w:t>
      </w:r>
    </w:p>
    <w:p>
      <w:pPr>
        <w:spacing w:after="0" w:line="198" w:lineRule="exact"/>
        <w:rPr>
          <w:sz w:val="20"/>
          <w:szCs w:val="20"/>
          <w:color w:val="auto"/>
        </w:rPr>
      </w:pPr>
    </w:p>
    <w:p>
      <w:pPr>
        <w:ind w:left="4220"/>
        <w:spacing w:after="0"/>
        <w:rPr>
          <w:sz w:val="20"/>
          <w:szCs w:val="20"/>
          <w:color w:val="auto"/>
        </w:rPr>
      </w:pPr>
      <w:r>
        <w:rPr>
          <w:rFonts w:ascii="Arial" w:cs="Arial" w:eastAsia="Arial" w:hAnsi="Arial"/>
          <w:sz w:val="18"/>
          <w:szCs w:val="18"/>
          <w:u w:val="single" w:color="auto"/>
          <w:color w:val="auto"/>
        </w:rPr>
        <w:t>RECENT ACCOUNTING GUIDANCE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Refer to Note 1 – Accounting Policies of the Notes to Financial Statements (Part I, Item 1 of this Form 10-Q) for further discussion.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APPLICATION OF CRITICAL ACCOUNTING POLICIES</w:t>
      </w:r>
    </w:p>
    <w:p>
      <w:pPr>
        <w:spacing w:after="0" w:line="158"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Our consolidated financial statements and accompanying notes are prepared in accordance with U.S. GAAP. Preparing consolidated financial statements requires management to make estimates and assumptions that affect the reported amounts of assets, liabilities, revenue, and expenses. These estimates and assumptions are affected by management’s application of accounting policies. Critical accounting policies for us include revenue recognition, impairment of investment securities, goodwill, research and development costs, contingencies, income taxes, and inventories.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60"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Our contracts with customers often include promises to transfer multiple products and services to a customer. Determining whether products and services are considered distinct performance obligations that should be accounted for separately versus together may require significant judgment. Judgment is required to determine the level of integration and interdependency between individual components of cloud services. This determination influences whether the software license is considered distinct and accounted for separately, or not distinct and accounted for together with the cloud service and recognized over time.</w:t>
      </w:r>
    </w:p>
    <w:p>
      <w:pPr>
        <w:spacing w:after="0" w:line="118"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Judgment is required to determine the stand-alone selling price (“SSP") for each distinct performance obligation. We use a single amount to estimate SSP for items that are not sold separately, including on-premises licenses sold with SA, or software updates provided at no additional charge. We use a range of amounts to estimate SSP when we sell each of the products and services separately and need to determine whether there is a discount that needs to be allocated based on the relative SSP of the various products and services.</w:t>
      </w:r>
    </w:p>
    <w:p>
      <w:pPr>
        <w:spacing w:after="0" w:line="117"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In instances where SSP is not directly observable, such as when we do not sell the product or service separately, we determine the SSP using information that may include market conditions and other observable inputs. We typically have more than one SSP for individual products and services due to the stratification of those products and services by customers and circumstances. In these instances, we may use information such as the size of the customer and geographic region in determining the SSP.</w:t>
      </w:r>
    </w:p>
    <w:p>
      <w:pPr>
        <w:spacing w:after="0" w:line="157"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Due to the various benefits from and the nature of our SA program, judgment is required to assess the pattern of delivery, including the exercise pattern of certain benefits across our portfolio of customers.</w:t>
      </w:r>
    </w:p>
    <w:p>
      <w:pPr>
        <w:spacing w:after="0" w:line="91" w:lineRule="exact"/>
        <w:rPr>
          <w:sz w:val="20"/>
          <w:szCs w:val="20"/>
          <w:color w:val="auto"/>
        </w:rPr>
      </w:pPr>
    </w:p>
    <w:p>
      <w:pPr>
        <w:jc w:val="both"/>
        <w:ind w:right="20"/>
        <w:spacing w:after="0" w:line="276" w:lineRule="auto"/>
        <w:rPr>
          <w:sz w:val="20"/>
          <w:szCs w:val="20"/>
          <w:color w:val="auto"/>
        </w:rPr>
      </w:pPr>
      <w:r>
        <w:rPr>
          <w:rFonts w:ascii="Arial" w:cs="Arial" w:eastAsia="Arial" w:hAnsi="Arial"/>
          <w:sz w:val="18"/>
          <w:szCs w:val="18"/>
          <w:color w:val="auto"/>
        </w:rPr>
        <w:t>Our products are generally sold with a right of return and we may provide other credits or incentives, which are accounted for as variable consideration when estimating the amount of revenue to recognize.</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289165"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46" w:name="page47"/>
    <w:bookmarkEnd w:id="46"/>
    <w:p>
      <w:pPr>
        <w:ind w:left="5500"/>
        <w:spacing w:after="0"/>
        <w:rPr>
          <w:sz w:val="20"/>
          <w:szCs w:val="20"/>
          <w:color w:val="auto"/>
        </w:rPr>
      </w:pPr>
      <w:r>
        <w:rPr>
          <w:rFonts w:ascii="Arial" w:cs="Arial" w:eastAsia="Arial" w:hAnsi="Arial"/>
          <w:sz w:val="14"/>
          <w:szCs w:val="14"/>
          <w:u w:val="single" w:color="auto"/>
          <w:color w:val="auto"/>
        </w:rPr>
        <w:t>PART I</w:t>
      </w:r>
    </w:p>
    <w:p>
      <w:pPr>
        <w:spacing w:after="0" w:line="5" w:lineRule="exact"/>
        <w:rPr>
          <w:sz w:val="20"/>
          <w:szCs w:val="20"/>
          <w:color w:val="auto"/>
        </w:rPr>
      </w:pPr>
    </w:p>
    <w:p>
      <w:pPr>
        <w:ind w:left="5520"/>
        <w:spacing w:after="0"/>
        <w:rPr>
          <w:sz w:val="20"/>
          <w:szCs w:val="20"/>
          <w:color w:val="auto"/>
        </w:rPr>
      </w:pPr>
      <w:r>
        <w:rPr>
          <w:rFonts w:ascii="Arial" w:cs="Arial" w:eastAsia="Arial" w:hAnsi="Arial"/>
          <w:sz w:val="14"/>
          <w:szCs w:val="14"/>
          <w:color w:val="auto"/>
        </w:rPr>
        <w:t>Item 2</w:t>
      </w:r>
    </w:p>
    <w:p>
      <w:pPr>
        <w:spacing w:after="0" w:line="127"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The new standard related to revenue recognition had a material impact on our consolidated financial statements. Refer to Note 1 – Accounting Policies in the Notes to Financial Statements (Part I, Item 1 of this Form 10-Q) for further discussion.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of Investment Securities</w:t>
      </w:r>
    </w:p>
    <w:p>
      <w:pPr>
        <w:spacing w:after="0" w:line="160"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We review investments quarterly for indicators of other-than-temporary impairment. This determination requires significant judgment. In making this judgment, we employ a systematic methodology quarterly that considers available quantitative and qualitative evidence in evaluating potential impairment of our investments. If the cost of an investment exceeds its fair value, we evaluate, among other factors, general market conditions, credit quality of debt instrument issuers, the duration and extent to which the fair value is less than cost, and for equity securities, our intent and ability to hold, or plans to sell, the investment. For fixed -income securities, we also evaluate whether we have plans to sell the security or it is more likely than not that we will be required to sell the security before recovery. We also consider specific adverse conditions related to the financial health of and business outlook for the investee, including industry and sector performance, changes in technology, and operational and financing cash flow factors. Once a decline in fair value is determined to be other-than-temporary, an impairment charge is recorded to other income (expense), net and a new cost basis in the investment is established. If market, industry, and/or investee conditions deteriorate, we may incur future impairments.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160"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We allocate goodwill to reporting units based on the reporting unit expected to benefit from the business combination. We evaluate our reporting units on an annual basis and, if necessary, reassign goodwill using a relative fair value allocation approach. Goodwill is tested for impairment at the reporting unit level (operating segment or one level below an operating segment) on an annual basis (May 1 for us) and between annual tests if an event occurs or circumstances change that would more likely than not reduce the fair value of a reporting unit below its carrying value. These events or circumstances could include a significant change in the business climate, legal factors, operating performance indicators, competition, or sale or disposition of a significant portion of a reporting unit.</w:t>
      </w:r>
    </w:p>
    <w:p>
      <w:pPr>
        <w:spacing w:after="0" w:line="120"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Application of the goodwill impairment test requires judgment, including the identification of reporting units, assignment of assets and liabilities to reporting units, assignment of goodwill to reporting units, and determination of the fair value of each reporting unit. The fair value of each reporting unit is estimated primarily through the use of a discounted cash flow methodology. This analysis requires significant judgments, including estimation of future cash flows, which is dependent on internal forecasts, estimation of the long-term rate of growth for our business, estimation of the useful life over which cash flows will occur, and determination of our weighted average cost of capital.</w:t>
      </w:r>
    </w:p>
    <w:p>
      <w:pPr>
        <w:spacing w:after="0" w:line="11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estimates used to calculate the fair value of a reporting unit change from year to year based on operating results, market conditions, and other factors. Changes in these estimates and assumptions could materially affect the determination of fair value and goodwill impairment for each reporting unit.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Costs</w:t>
      </w:r>
    </w:p>
    <w:p>
      <w:pPr>
        <w:spacing w:after="0" w:line="160"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Costs incurred internally in researching and developing a computer software product are charged to expense until technological feasibility has been established for the product. Once technological feasibility is established, all software costs are capitalized until the product is available for general release to customers. Judgment is required in determining when technological feasibility of a product is established. We have determined that technological feasibility for our software products is reached after all high-risk development issues have been resolved through coding and testing. Generally, this occurs shortly before the products are released to production. The amortization of these costs is included in cost of revenue over the estimated life of the products.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and Other Contingencies</w:t>
      </w:r>
    </w:p>
    <w:p>
      <w:pPr>
        <w:spacing w:after="0" w:line="160"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The outcomes of legal proceedings and claims brought against us are subject to significant uncertainty. An estimated loss from a loss contingency such as a legal proceeding or claim is accrued by a charge to income if it is probable that an asset has been impaired or a liability has been incurred and the amount of the loss can be reasonably estimated. In determining whether a loss should be accrued we evaluate, among other factors, the degree of probability of an unfavorable outcome and the ability to make a reasonable estimate of the amount of loss. Changes in these factors could materially impact our consolidated financial statements.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289165"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47" w:name="page48"/>
    <w:bookmarkEnd w:id="47"/>
    <w:p>
      <w:pPr>
        <w:ind w:left="5500"/>
        <w:spacing w:after="0"/>
        <w:rPr>
          <w:sz w:val="20"/>
          <w:szCs w:val="20"/>
          <w:color w:val="auto"/>
        </w:rPr>
      </w:pPr>
      <w:r>
        <w:rPr>
          <w:rFonts w:ascii="Arial" w:cs="Arial" w:eastAsia="Arial" w:hAnsi="Arial"/>
          <w:sz w:val="14"/>
          <w:szCs w:val="14"/>
          <w:u w:val="single" w:color="auto"/>
          <w:color w:val="auto"/>
        </w:rPr>
        <w:t>PART I</w:t>
      </w:r>
    </w:p>
    <w:p>
      <w:pPr>
        <w:spacing w:after="0" w:line="5" w:lineRule="exact"/>
        <w:rPr>
          <w:sz w:val="20"/>
          <w:szCs w:val="20"/>
          <w:color w:val="auto"/>
        </w:rPr>
      </w:pPr>
    </w:p>
    <w:p>
      <w:pPr>
        <w:ind w:left="5520"/>
        <w:spacing w:after="0"/>
        <w:rPr>
          <w:sz w:val="20"/>
          <w:szCs w:val="20"/>
          <w:color w:val="auto"/>
        </w:rPr>
      </w:pPr>
      <w:r>
        <w:rPr>
          <w:rFonts w:ascii="Arial" w:cs="Arial" w:eastAsia="Arial" w:hAnsi="Arial"/>
          <w:sz w:val="14"/>
          <w:szCs w:val="14"/>
          <w:color w:val="auto"/>
        </w:rPr>
        <w:t>Item 2</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60"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objectives of accounting for income taxes are to recognize the amount of taxes payable or refundable for the current year and deferred tax liabilities and assets for the future tax consequences of events that have been recognized in an entity’s financial statements or tax returns. We recognize the tax benefit from an uncertain tax position only if it is more likely than not that the tax position will be sustained on examination by the taxing authorities, based on the technical merits of the position. The tax benefits recognized in the financial statements from such a position are measured based on the largest benefit that has a greater than 50% likelihood of being realized upon ultimate settlement. Accounting literature also provides guidance on derecognition of income tax assets and liabilities, classification of deferred income tax assets and liabilities, accounting for interest and penalties associated with tax positions, and income tax disclosures. Judgment is required in assessing the future tax consequences of events that have been recognized on our consolidated financial statements or tax returns. Variations in the actual outcome of these future tax consequences could materially impact our consolidated financial statements.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Inventories</w:t>
      </w:r>
    </w:p>
    <w:p>
      <w:pPr>
        <w:spacing w:after="0" w:line="160"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Inventories are stated at average cost, subject to the lower of cost or market. Cost includes materials, labor, and manufacturing overhead related to the purchase and production of inventories. We regularly review inventory quantities on hand, future purchase commitments with our suppliers, and the estimated utility of our inventory. These reviews include analysis of demand forecasts, product life cycle status, product development plans, current sales levels, pricing strategy, and component cost trends. If our review indicates a reduction in utility below carrying value, we reduce our inventory to a new cost basis through a charge to cost of revenue.</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289165"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48" w:name="page49"/>
    <w:bookmarkEnd w:id="48"/>
    <w:p>
      <w:pPr>
        <w:ind w:left="5500"/>
        <w:spacing w:after="0"/>
        <w:rPr>
          <w:sz w:val="20"/>
          <w:szCs w:val="20"/>
          <w:color w:val="auto"/>
        </w:rPr>
      </w:pPr>
      <w:r>
        <w:rPr>
          <w:rFonts w:ascii="Arial" w:cs="Arial" w:eastAsia="Arial" w:hAnsi="Arial"/>
          <w:sz w:val="14"/>
          <w:szCs w:val="14"/>
          <w:u w:val="single" w:color="auto"/>
          <w:color w:val="auto"/>
        </w:rPr>
        <w:t>PART I</w:t>
      </w:r>
    </w:p>
    <w:p>
      <w:pPr>
        <w:spacing w:after="0" w:line="5" w:lineRule="exact"/>
        <w:rPr>
          <w:sz w:val="20"/>
          <w:szCs w:val="20"/>
          <w:color w:val="auto"/>
        </w:rPr>
      </w:pPr>
    </w:p>
    <w:p>
      <w:pPr>
        <w:ind w:left="5520"/>
        <w:spacing w:after="0"/>
        <w:rPr>
          <w:sz w:val="20"/>
          <w:szCs w:val="20"/>
          <w:color w:val="auto"/>
        </w:rPr>
      </w:pPr>
      <w:r>
        <w:rPr>
          <w:rFonts w:ascii="Arial" w:cs="Arial" w:eastAsia="Arial" w:hAnsi="Arial"/>
          <w:sz w:val="14"/>
          <w:szCs w:val="14"/>
          <w:color w:val="auto"/>
        </w:rPr>
        <w:t>Item 3</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ITEM 3. QUANTITATIVE AND QUALITATIVE DISCLOSURES ABOUT MARKET RISK</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RISKS</w:t>
      </w:r>
    </w:p>
    <w:p>
      <w:pPr>
        <w:spacing w:after="0" w:line="158"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We are exposed to economic risk from foreign exchange rates, interest rates, credit risk, and equity prices. A portion of these risks is hedged, but they may impact our consolidated financial statements.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w:t>
      </w:r>
    </w:p>
    <w:p>
      <w:pPr>
        <w:spacing w:after="0" w:line="16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Certain forecasted transactions, assets, and liabilities are exposed to foreign currency risk. We monitor our foreign currency exposures daily and use hedges where practicable to offset the risks and maximize the economic effectiveness of our foreign currency positions. Principal currencies hedged include the euro, Japanese yen, British pound, Canadian dollar, and Australian dollar.</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w:t>
      </w:r>
    </w:p>
    <w:p>
      <w:pPr>
        <w:spacing w:after="0" w:line="160"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Our fixed-income portfolio is diversified across credit sectors and maturities, consisting primarily of investment-grade securities. The credit risk and average maturity of the fixed-income portfolio is managed to achieve economic returns that correlate to certain global and domestic fixed-income indices. In addition, we use “To Be Announced” forward purchase commitments of mortgage-backed assets to gain exposure to agency mortgage-backed securities.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w:t>
      </w:r>
    </w:p>
    <w:p>
      <w:pPr>
        <w:spacing w:after="0" w:line="160" w:lineRule="exact"/>
        <w:rPr>
          <w:sz w:val="20"/>
          <w:szCs w:val="20"/>
          <w:color w:val="auto"/>
        </w:rPr>
      </w:pPr>
    </w:p>
    <w:p>
      <w:pPr>
        <w:jc w:val="both"/>
        <w:ind w:right="20"/>
        <w:spacing w:after="0" w:line="276" w:lineRule="auto"/>
        <w:rPr>
          <w:sz w:val="20"/>
          <w:szCs w:val="20"/>
          <w:color w:val="auto"/>
        </w:rPr>
      </w:pPr>
      <w:r>
        <w:rPr>
          <w:rFonts w:ascii="Arial" w:cs="Arial" w:eastAsia="Arial" w:hAnsi="Arial"/>
          <w:sz w:val="18"/>
          <w:szCs w:val="18"/>
          <w:color w:val="auto"/>
        </w:rPr>
        <w:t>Our equity portfolio consists of global, developed, and emerging market securities that are subject to market price risk. We manage the securities relative to certain global and domestic indices and expect their economic risk and return to correlate with these indices.</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VALUE-AT-RISK</w:t>
      </w:r>
    </w:p>
    <w:p>
      <w:pPr>
        <w:spacing w:after="0" w:line="158"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We use a value-at-risk (“VaR”) model to estimate and quantify our market risks. VaR is the expected loss, for a given confidence level, in the fair value of our portfolio due to adverse market movements over a defined time horizon. The VaR model is not intended to represent actual losses in fair value, including determinations of other-than-temporary losses in fair value in accordance with accounting principles generally accepted in the United States of America (“U.S. GAAP”), but is used as a risk estimation and management tool. The distribution of the potential changes in total market value of all holdings is computed based on the historical volatilities and correlations among foreign exchange rates, interest rates, equity prices, and commodity prices, assuming normal market conditions.</w:t>
      </w:r>
    </w:p>
    <w:p>
      <w:pPr>
        <w:spacing w:after="0" w:line="12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VaR is calculated as the total loss that will not be exceeded at the 97.5 percentile confidence level or, alternatively stated, the losses could exceed the VaR in 25 out of 1,000 cases. Several risk factors are not captured in the model, including liquidity risk, operational risk, and legal risk.</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one-day VaR for substantially all of our positions:</w:t>
      </w:r>
    </w:p>
    <w:p>
      <w:pPr>
        <w:spacing w:after="0" w:line="18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46990</wp:posOffset>
            </wp:positionV>
            <wp:extent cx="724662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080" w:type="dxa"/>
            <w:vAlign w:val="bottom"/>
          </w:tcPr>
          <w:p>
            <w:pPr>
              <w:jc w:val="right"/>
              <w:ind w:right="19"/>
              <w:spacing w:after="0"/>
              <w:rPr>
                <w:sz w:val="20"/>
                <w:szCs w:val="20"/>
                <w:color w:val="auto"/>
              </w:rPr>
            </w:pPr>
            <w:r>
              <w:rPr>
                <w:rFonts w:ascii="Arial" w:cs="Arial" w:eastAsia="Arial" w:hAnsi="Arial"/>
                <w:sz w:val="14"/>
                <w:szCs w:val="14"/>
                <w:b w:val="1"/>
                <w:bCs w:val="1"/>
                <w:color w:val="auto"/>
              </w:rPr>
              <w:t>September 30,</w:t>
            </w:r>
          </w:p>
        </w:tc>
        <w:tc>
          <w:tcPr>
            <w:tcW w:w="360" w:type="dxa"/>
            <w:vAlign w:val="bottom"/>
          </w:tcPr>
          <w:p>
            <w:pPr>
              <w:spacing w:after="0"/>
              <w:rPr>
                <w:sz w:val="14"/>
                <w:szCs w:val="14"/>
                <w:color w:val="auto"/>
              </w:rPr>
            </w:pPr>
          </w:p>
        </w:tc>
        <w:tc>
          <w:tcPr>
            <w:tcW w:w="860" w:type="dxa"/>
            <w:vAlign w:val="bottom"/>
          </w:tcPr>
          <w:p>
            <w:pPr>
              <w:jc w:val="right"/>
              <w:ind w:right="99"/>
              <w:spacing w:after="0"/>
              <w:rPr>
                <w:sz w:val="20"/>
                <w:szCs w:val="20"/>
                <w:color w:val="auto"/>
              </w:rPr>
            </w:pPr>
            <w:r>
              <w:rPr>
                <w:rFonts w:ascii="Arial" w:cs="Arial" w:eastAsia="Arial" w:hAnsi="Arial"/>
                <w:sz w:val="14"/>
                <w:szCs w:val="14"/>
                <w:b w:val="1"/>
                <w:bCs w:val="1"/>
                <w:color w:val="auto"/>
              </w:rPr>
              <w:t>June 30,</w:t>
            </w: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740" w:type="dxa"/>
            <w:vAlign w:val="bottom"/>
            <w:gridSpan w:val="4"/>
          </w:tcPr>
          <w:p>
            <w:pPr>
              <w:jc w:val="right"/>
              <w:ind w:right="6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56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1080" w:type="dxa"/>
            <w:vAlign w:val="bottom"/>
          </w:tcPr>
          <w:p>
            <w:pPr>
              <w:jc w:val="right"/>
              <w:ind w:right="19"/>
              <w:spacing w:after="0"/>
              <w:rPr>
                <w:sz w:val="20"/>
                <w:szCs w:val="20"/>
                <w:color w:val="auto"/>
              </w:rPr>
            </w:pPr>
            <w:r>
              <w:rPr>
                <w:rFonts w:ascii="Arial" w:cs="Arial" w:eastAsia="Arial" w:hAnsi="Arial"/>
                <w:sz w:val="14"/>
                <w:szCs w:val="14"/>
                <w:b w:val="1"/>
                <w:bCs w:val="1"/>
                <w:color w:val="auto"/>
              </w:rPr>
              <w:t>2017</w:t>
            </w:r>
          </w:p>
        </w:tc>
        <w:tc>
          <w:tcPr>
            <w:tcW w:w="360" w:type="dxa"/>
            <w:vAlign w:val="bottom"/>
          </w:tcPr>
          <w:p>
            <w:pPr>
              <w:spacing w:after="0"/>
              <w:rPr>
                <w:sz w:val="16"/>
                <w:szCs w:val="16"/>
                <w:color w:val="auto"/>
              </w:rPr>
            </w:pPr>
          </w:p>
        </w:tc>
        <w:tc>
          <w:tcPr>
            <w:tcW w:w="860" w:type="dxa"/>
            <w:vAlign w:val="bottom"/>
          </w:tcPr>
          <w:p>
            <w:pPr>
              <w:jc w:val="right"/>
              <w:ind w:right="99"/>
              <w:spacing w:after="0"/>
              <w:rPr>
                <w:sz w:val="20"/>
                <w:szCs w:val="20"/>
                <w:color w:val="auto"/>
              </w:rPr>
            </w:pPr>
            <w:r>
              <w:rPr>
                <w:rFonts w:ascii="Arial" w:cs="Arial" w:eastAsia="Arial" w:hAnsi="Arial"/>
                <w:sz w:val="14"/>
                <w:szCs w:val="14"/>
                <w:b w:val="1"/>
                <w:bCs w:val="1"/>
                <w:color w:val="auto"/>
              </w:rPr>
              <w:t>2017</w:t>
            </w:r>
          </w:p>
        </w:tc>
        <w:tc>
          <w:tcPr>
            <w:tcW w:w="2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740" w:type="dxa"/>
            <w:vAlign w:val="bottom"/>
            <w:gridSpan w:val="4"/>
          </w:tcPr>
          <w:p>
            <w:pPr>
              <w:jc w:val="right"/>
              <w:ind w:right="60"/>
              <w:spacing w:after="0"/>
              <w:rPr>
                <w:sz w:val="20"/>
                <w:szCs w:val="20"/>
                <w:color w:val="auto"/>
              </w:rPr>
            </w:pPr>
            <w:r>
              <w:rPr>
                <w:rFonts w:ascii="Arial" w:cs="Arial" w:eastAsia="Arial" w:hAnsi="Arial"/>
                <w:sz w:val="14"/>
                <w:szCs w:val="14"/>
                <w:b w:val="1"/>
                <w:bCs w:val="1"/>
                <w:color w:val="auto"/>
              </w:rPr>
              <w:t>September 30, 2017</w:t>
            </w:r>
          </w:p>
        </w:tc>
        <w:tc>
          <w:tcPr>
            <w:tcW w:w="0" w:type="dxa"/>
            <w:vAlign w:val="bottom"/>
          </w:tcPr>
          <w:p>
            <w:pPr>
              <w:spacing w:after="0"/>
              <w:rPr>
                <w:sz w:val="1"/>
                <w:szCs w:val="1"/>
                <w:color w:val="auto"/>
              </w:rPr>
            </w:pPr>
          </w:p>
        </w:tc>
      </w:tr>
      <w:tr>
        <w:trPr>
          <w:trHeight w:val="45"/>
        </w:trPr>
        <w:tc>
          <w:tcPr>
            <w:tcW w:w="3580" w:type="dxa"/>
            <w:vAlign w:val="bottom"/>
            <w:gridSpan w:val="2"/>
          </w:tcPr>
          <w:p>
            <w:pPr>
              <w:spacing w:after="0"/>
              <w:rPr>
                <w:sz w:val="3"/>
                <w:szCs w:val="3"/>
                <w:color w:val="auto"/>
              </w:rPr>
            </w:pPr>
          </w:p>
        </w:tc>
        <w:tc>
          <w:tcPr>
            <w:tcW w:w="23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360" w:type="dxa"/>
            <w:vAlign w:val="bottom"/>
          </w:tcPr>
          <w:p>
            <w:pPr>
              <w:spacing w:after="0"/>
              <w:rPr>
                <w:sz w:val="3"/>
                <w:szCs w:val="3"/>
                <w:color w:val="auto"/>
              </w:rPr>
            </w:pPr>
          </w:p>
        </w:tc>
        <w:tc>
          <w:tcPr>
            <w:tcW w:w="86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3"/>
        </w:trPr>
        <w:tc>
          <w:tcPr>
            <w:tcW w:w="3580" w:type="dxa"/>
            <w:vAlign w:val="bottom"/>
            <w:gridSpan w:val="2"/>
          </w:tcPr>
          <w:p>
            <w:pPr>
              <w:spacing w:after="0"/>
              <w:rPr>
                <w:sz w:val="20"/>
                <w:szCs w:val="20"/>
                <w:color w:val="auto"/>
              </w:rPr>
            </w:pPr>
            <w:r>
              <w:rPr>
                <w:rFonts w:ascii="Arial" w:cs="Arial" w:eastAsia="Arial" w:hAnsi="Arial"/>
                <w:sz w:val="14"/>
                <w:szCs w:val="14"/>
                <w:b w:val="1"/>
                <w:bCs w:val="1"/>
                <w:color w:val="auto"/>
              </w:rPr>
              <w:t>Risk Categories</w:t>
            </w:r>
          </w:p>
        </w:tc>
        <w:tc>
          <w:tcPr>
            <w:tcW w:w="23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Average</w:t>
            </w:r>
          </w:p>
        </w:tc>
        <w:tc>
          <w:tcPr>
            <w:tcW w:w="440" w:type="dxa"/>
            <w:vAlign w:val="bottom"/>
          </w:tcPr>
          <w:p>
            <w:pPr>
              <w:spacing w:after="0"/>
              <w:rPr>
                <w:sz w:val="20"/>
                <w:szCs w:val="20"/>
                <w:color w:val="auto"/>
              </w:rPr>
            </w:pPr>
          </w:p>
        </w:tc>
        <w:tc>
          <w:tcPr>
            <w:tcW w:w="640" w:type="dxa"/>
            <w:vAlign w:val="bottom"/>
          </w:tcPr>
          <w:p>
            <w:pPr>
              <w:jc w:val="right"/>
              <w:ind w:right="1"/>
              <w:spacing w:after="0"/>
              <w:rPr>
                <w:sz w:val="20"/>
                <w:szCs w:val="20"/>
                <w:color w:val="auto"/>
              </w:rPr>
            </w:pPr>
            <w:r>
              <w:rPr>
                <w:rFonts w:ascii="Arial" w:cs="Arial" w:eastAsia="Arial" w:hAnsi="Arial"/>
                <w:sz w:val="14"/>
                <w:szCs w:val="14"/>
                <w:b w:val="1"/>
                <w:bCs w:val="1"/>
                <w:color w:val="auto"/>
              </w:rPr>
              <w:t>High</w:t>
            </w:r>
          </w:p>
        </w:tc>
        <w:tc>
          <w:tcPr>
            <w:tcW w:w="480" w:type="dxa"/>
            <w:vAlign w:val="bottom"/>
          </w:tcPr>
          <w:p>
            <w:pPr>
              <w:spacing w:after="0"/>
              <w:rPr>
                <w:sz w:val="20"/>
                <w:szCs w:val="20"/>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Low</w:t>
            </w:r>
          </w:p>
        </w:tc>
        <w:tc>
          <w:tcPr>
            <w:tcW w:w="0" w:type="dxa"/>
            <w:vAlign w:val="bottom"/>
          </w:tcPr>
          <w:p>
            <w:pPr>
              <w:spacing w:after="0"/>
              <w:rPr>
                <w:sz w:val="1"/>
                <w:szCs w:val="1"/>
                <w:color w:val="auto"/>
              </w:rPr>
            </w:pPr>
          </w:p>
        </w:tc>
      </w:tr>
      <w:tr>
        <w:trPr>
          <w:trHeight w:val="45"/>
        </w:trPr>
        <w:tc>
          <w:tcPr>
            <w:tcW w:w="20" w:type="dxa"/>
            <w:vAlign w:val="bottom"/>
            <w:vMerge w:val="restart"/>
          </w:tcPr>
          <w:p>
            <w:pPr>
              <w:spacing w:after="0"/>
              <w:rPr>
                <w:sz w:val="3"/>
                <w:szCs w:val="3"/>
                <w:color w:val="auto"/>
              </w:rPr>
            </w:pPr>
          </w:p>
        </w:tc>
        <w:tc>
          <w:tcPr>
            <w:tcW w:w="3560" w:type="dxa"/>
            <w:vAlign w:val="bottom"/>
          </w:tcPr>
          <w:p>
            <w:pPr>
              <w:spacing w:after="0"/>
              <w:rPr>
                <w:sz w:val="3"/>
                <w:szCs w:val="3"/>
                <w:color w:val="auto"/>
              </w:rPr>
            </w:pPr>
          </w:p>
        </w:tc>
        <w:tc>
          <w:tcPr>
            <w:tcW w:w="23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360" w:type="dxa"/>
            <w:vAlign w:val="bottom"/>
          </w:tcPr>
          <w:p>
            <w:pPr>
              <w:spacing w:after="0"/>
              <w:rPr>
                <w:sz w:val="3"/>
                <w:szCs w:val="3"/>
                <w:color w:val="auto"/>
              </w:rPr>
            </w:pPr>
          </w:p>
        </w:tc>
        <w:tc>
          <w:tcPr>
            <w:tcW w:w="860" w:type="dxa"/>
            <w:vAlign w:val="bottom"/>
          </w:tcPr>
          <w:p>
            <w:pPr>
              <w:spacing w:after="0"/>
              <w:rPr>
                <w:sz w:val="3"/>
                <w:szCs w:val="3"/>
                <w:color w:val="auto"/>
              </w:rPr>
            </w:pPr>
          </w:p>
        </w:tc>
        <w:tc>
          <w:tcPr>
            <w:tcW w:w="240" w:type="dxa"/>
            <w:vAlign w:val="bottom"/>
          </w:tcPr>
          <w:p>
            <w:pPr>
              <w:spacing w:after="0"/>
              <w:rPr>
                <w:sz w:val="3"/>
                <w:szCs w:val="3"/>
                <w:color w:val="auto"/>
              </w:rPr>
            </w:pPr>
          </w:p>
        </w:tc>
        <w:tc>
          <w:tcPr>
            <w:tcW w:w="7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4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60" w:type="dxa"/>
            <w:vAlign w:val="bottom"/>
            <w:shd w:val="clear" w:color="auto" w:fill="E5E5E5"/>
          </w:tcPr>
          <w:p>
            <w:pPr>
              <w:spacing w:after="0"/>
              <w:rPr>
                <w:sz w:val="20"/>
                <w:szCs w:val="20"/>
                <w:color w:val="auto"/>
              </w:rPr>
            </w:pPr>
            <w:r>
              <w:rPr>
                <w:rFonts w:ascii="Arial" w:cs="Arial" w:eastAsia="Arial" w:hAnsi="Arial"/>
                <w:sz w:val="18"/>
                <w:szCs w:val="18"/>
                <w:color w:val="auto"/>
              </w:rPr>
              <w:t>Foreign currency</w:t>
            </w:r>
          </w:p>
        </w:tc>
        <w:tc>
          <w:tcPr>
            <w:tcW w:w="238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1080" w:type="dxa"/>
            <w:vAlign w:val="bottom"/>
            <w:shd w:val="clear" w:color="auto" w:fill="E5E5E5"/>
          </w:tcPr>
          <w:p>
            <w:pPr>
              <w:jc w:val="right"/>
              <w:ind w:right="19"/>
              <w:spacing w:after="0"/>
              <w:rPr>
                <w:sz w:val="20"/>
                <w:szCs w:val="20"/>
                <w:color w:val="auto"/>
              </w:rPr>
            </w:pPr>
            <w:r>
              <w:rPr>
                <w:rFonts w:ascii="Arial" w:cs="Arial" w:eastAsia="Arial" w:hAnsi="Arial"/>
                <w:sz w:val="18"/>
                <w:szCs w:val="18"/>
                <w:b w:val="1"/>
                <w:bCs w:val="1"/>
                <w:color w:val="auto"/>
              </w:rPr>
              <w:t>233</w:t>
            </w:r>
          </w:p>
        </w:tc>
        <w:tc>
          <w:tcPr>
            <w:tcW w:w="360" w:type="dxa"/>
            <w:vAlign w:val="bottom"/>
            <w:shd w:val="clear" w:color="auto" w:fill="E5E5E5"/>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shd w:val="clear" w:color="auto" w:fill="E5E5E5"/>
          </w:tcPr>
          <w:p>
            <w:pPr>
              <w:jc w:val="right"/>
              <w:ind w:right="99"/>
              <w:spacing w:after="0"/>
              <w:rPr>
                <w:sz w:val="20"/>
                <w:szCs w:val="20"/>
                <w:color w:val="auto"/>
              </w:rPr>
            </w:pPr>
            <w:r>
              <w:rPr>
                <w:rFonts w:ascii="Arial" w:cs="Arial" w:eastAsia="Arial" w:hAnsi="Arial"/>
                <w:sz w:val="18"/>
                <w:szCs w:val="18"/>
                <w:color w:val="auto"/>
              </w:rPr>
              <w:t>114</w:t>
            </w:r>
          </w:p>
        </w:tc>
        <w:tc>
          <w:tcPr>
            <w:tcW w:w="240" w:type="dxa"/>
            <w:vAlign w:val="bottom"/>
            <w:shd w:val="clear" w:color="auto" w:fill="E5E5E5"/>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74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155</w:t>
            </w:r>
          </w:p>
        </w:tc>
        <w:tc>
          <w:tcPr>
            <w:tcW w:w="440" w:type="dxa"/>
            <w:vAlign w:val="bottom"/>
            <w:shd w:val="clear" w:color="auto" w:fill="E5E5E5"/>
          </w:tcPr>
          <w:p>
            <w:pPr>
              <w:jc w:val="right"/>
              <w:ind w:right="150"/>
              <w:spacing w:after="0"/>
              <w:rPr>
                <w:sz w:val="20"/>
                <w:szCs w:val="20"/>
                <w:color w:val="auto"/>
              </w:rPr>
            </w:pPr>
            <w:r>
              <w:rPr>
                <w:rFonts w:ascii="Arial" w:cs="Arial" w:eastAsia="Arial" w:hAnsi="Arial"/>
                <w:sz w:val="18"/>
                <w:szCs w:val="18"/>
                <w:b w:val="1"/>
                <w:bCs w:val="1"/>
                <w:color w:val="auto"/>
              </w:rPr>
              <w:t>$</w:t>
            </w:r>
          </w:p>
        </w:tc>
        <w:tc>
          <w:tcPr>
            <w:tcW w:w="640" w:type="dxa"/>
            <w:vAlign w:val="bottom"/>
            <w:shd w:val="clear" w:color="auto" w:fill="E5E5E5"/>
          </w:tcPr>
          <w:p>
            <w:pPr>
              <w:jc w:val="right"/>
              <w:ind w:right="1"/>
              <w:spacing w:after="0"/>
              <w:rPr>
                <w:sz w:val="20"/>
                <w:szCs w:val="20"/>
                <w:color w:val="auto"/>
              </w:rPr>
            </w:pPr>
            <w:r>
              <w:rPr>
                <w:rFonts w:ascii="Arial" w:cs="Arial" w:eastAsia="Arial" w:hAnsi="Arial"/>
                <w:sz w:val="18"/>
                <w:szCs w:val="18"/>
                <w:b w:val="1"/>
                <w:bCs w:val="1"/>
                <w:color w:val="auto"/>
              </w:rPr>
              <w:t>240</w:t>
            </w:r>
          </w:p>
        </w:tc>
        <w:tc>
          <w:tcPr>
            <w:tcW w:w="480" w:type="dxa"/>
            <w:vAlign w:val="bottom"/>
            <w:shd w:val="clear" w:color="auto" w:fill="E5E5E5"/>
          </w:tcPr>
          <w:p>
            <w:pPr>
              <w:jc w:val="right"/>
              <w:ind w:right="190"/>
              <w:spacing w:after="0"/>
              <w:rPr>
                <w:sz w:val="20"/>
                <w:szCs w:val="20"/>
                <w:color w:val="auto"/>
              </w:rPr>
            </w:pPr>
            <w:r>
              <w:rPr>
                <w:rFonts w:ascii="Arial" w:cs="Arial" w:eastAsia="Arial" w:hAnsi="Arial"/>
                <w:sz w:val="18"/>
                <w:szCs w:val="18"/>
                <w:b w:val="1"/>
                <w:bCs w:val="1"/>
                <w:color w:val="auto"/>
              </w:rPr>
              <w:t>$</w:t>
            </w:r>
          </w:p>
        </w:tc>
        <w:tc>
          <w:tcPr>
            <w:tcW w:w="56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79</w:t>
            </w:r>
          </w:p>
        </w:tc>
        <w:tc>
          <w:tcPr>
            <w:tcW w:w="6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Interest rate</w:t>
            </w:r>
          </w:p>
        </w:tc>
        <w:tc>
          <w:tcPr>
            <w:tcW w:w="2380" w:type="dxa"/>
            <w:vAlign w:val="bottom"/>
          </w:tcPr>
          <w:p>
            <w:pPr>
              <w:spacing w:after="0"/>
              <w:rPr>
                <w:sz w:val="18"/>
                <w:szCs w:val="18"/>
                <w:color w:val="auto"/>
              </w:rPr>
            </w:pPr>
          </w:p>
        </w:tc>
        <w:tc>
          <w:tcPr>
            <w:tcW w:w="1080" w:type="dxa"/>
            <w:vAlign w:val="bottom"/>
          </w:tcPr>
          <w:p>
            <w:pPr>
              <w:jc w:val="right"/>
              <w:ind w:right="19"/>
              <w:spacing w:after="0"/>
              <w:rPr>
                <w:sz w:val="20"/>
                <w:szCs w:val="20"/>
                <w:color w:val="auto"/>
              </w:rPr>
            </w:pPr>
            <w:r>
              <w:rPr>
                <w:rFonts w:ascii="Arial" w:cs="Arial" w:eastAsia="Arial" w:hAnsi="Arial"/>
                <w:sz w:val="18"/>
                <w:szCs w:val="18"/>
                <w:b w:val="1"/>
                <w:bCs w:val="1"/>
                <w:color w:val="auto"/>
              </w:rPr>
              <w:t>154</w:t>
            </w:r>
          </w:p>
        </w:tc>
        <w:tc>
          <w:tcPr>
            <w:tcW w:w="360" w:type="dxa"/>
            <w:vAlign w:val="bottom"/>
          </w:tcPr>
          <w:p>
            <w:pPr>
              <w:spacing w:after="0"/>
              <w:rPr>
                <w:sz w:val="18"/>
                <w:szCs w:val="18"/>
                <w:color w:val="auto"/>
              </w:rPr>
            </w:pPr>
          </w:p>
        </w:tc>
        <w:tc>
          <w:tcPr>
            <w:tcW w:w="860" w:type="dxa"/>
            <w:vAlign w:val="bottom"/>
          </w:tcPr>
          <w:p>
            <w:pPr>
              <w:jc w:val="right"/>
              <w:ind w:right="99"/>
              <w:spacing w:after="0"/>
              <w:rPr>
                <w:sz w:val="20"/>
                <w:szCs w:val="20"/>
                <w:color w:val="auto"/>
              </w:rPr>
            </w:pPr>
            <w:r>
              <w:rPr>
                <w:rFonts w:ascii="Arial" w:cs="Arial" w:eastAsia="Arial" w:hAnsi="Arial"/>
                <w:sz w:val="18"/>
                <w:szCs w:val="18"/>
                <w:color w:val="auto"/>
              </w:rPr>
              <w:t>152</w:t>
            </w: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147</w:t>
            </w:r>
          </w:p>
        </w:tc>
        <w:tc>
          <w:tcPr>
            <w:tcW w:w="440" w:type="dxa"/>
            <w:vAlign w:val="bottom"/>
          </w:tcPr>
          <w:p>
            <w:pPr>
              <w:spacing w:after="0"/>
              <w:rPr>
                <w:sz w:val="18"/>
                <w:szCs w:val="18"/>
                <w:color w:val="auto"/>
              </w:rPr>
            </w:pPr>
          </w:p>
        </w:tc>
        <w:tc>
          <w:tcPr>
            <w:tcW w:w="640" w:type="dxa"/>
            <w:vAlign w:val="bottom"/>
          </w:tcPr>
          <w:p>
            <w:pPr>
              <w:jc w:val="right"/>
              <w:ind w:right="1"/>
              <w:spacing w:after="0"/>
              <w:rPr>
                <w:sz w:val="20"/>
                <w:szCs w:val="20"/>
                <w:color w:val="auto"/>
              </w:rPr>
            </w:pPr>
            <w:r>
              <w:rPr>
                <w:rFonts w:ascii="Arial" w:cs="Arial" w:eastAsia="Arial" w:hAnsi="Arial"/>
                <w:sz w:val="18"/>
                <w:szCs w:val="18"/>
                <w:b w:val="1"/>
                <w:bCs w:val="1"/>
                <w:color w:val="auto"/>
              </w:rPr>
              <w:t>154</w:t>
            </w:r>
          </w:p>
        </w:tc>
        <w:tc>
          <w:tcPr>
            <w:tcW w:w="4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142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E5E5E5"/>
          </w:tcPr>
          <w:p>
            <w:pPr>
              <w:spacing w:after="0"/>
              <w:rPr>
                <w:sz w:val="20"/>
                <w:szCs w:val="20"/>
                <w:color w:val="auto"/>
              </w:rPr>
            </w:pPr>
            <w:r>
              <w:rPr>
                <w:rFonts w:ascii="Arial" w:cs="Arial" w:eastAsia="Arial" w:hAnsi="Arial"/>
                <w:sz w:val="18"/>
                <w:szCs w:val="18"/>
                <w:color w:val="auto"/>
              </w:rPr>
              <w:t>Equity</w:t>
            </w:r>
          </w:p>
        </w:tc>
        <w:tc>
          <w:tcPr>
            <w:tcW w:w="2380" w:type="dxa"/>
            <w:vAlign w:val="bottom"/>
            <w:shd w:val="clear" w:color="auto" w:fill="E5E5E5"/>
          </w:tcPr>
          <w:p>
            <w:pPr>
              <w:spacing w:after="0"/>
              <w:rPr>
                <w:sz w:val="18"/>
                <w:szCs w:val="18"/>
                <w:color w:val="auto"/>
              </w:rPr>
            </w:pPr>
          </w:p>
        </w:tc>
        <w:tc>
          <w:tcPr>
            <w:tcW w:w="1080" w:type="dxa"/>
            <w:vAlign w:val="bottom"/>
            <w:shd w:val="clear" w:color="auto" w:fill="E5E5E5"/>
          </w:tcPr>
          <w:p>
            <w:pPr>
              <w:jc w:val="right"/>
              <w:ind w:right="19"/>
              <w:spacing w:after="0"/>
              <w:rPr>
                <w:sz w:val="20"/>
                <w:szCs w:val="20"/>
                <w:color w:val="auto"/>
              </w:rPr>
            </w:pPr>
            <w:r>
              <w:rPr>
                <w:rFonts w:ascii="Arial" w:cs="Arial" w:eastAsia="Arial" w:hAnsi="Arial"/>
                <w:sz w:val="18"/>
                <w:szCs w:val="18"/>
                <w:b w:val="1"/>
                <w:bCs w:val="1"/>
                <w:color w:val="auto"/>
              </w:rPr>
              <w:t>36</w:t>
            </w:r>
          </w:p>
        </w:tc>
        <w:tc>
          <w:tcPr>
            <w:tcW w:w="360" w:type="dxa"/>
            <w:vAlign w:val="bottom"/>
            <w:shd w:val="clear" w:color="auto" w:fill="E5E5E5"/>
          </w:tcPr>
          <w:p>
            <w:pPr>
              <w:spacing w:after="0"/>
              <w:rPr>
                <w:sz w:val="18"/>
                <w:szCs w:val="18"/>
                <w:color w:val="auto"/>
              </w:rPr>
            </w:pPr>
          </w:p>
        </w:tc>
        <w:tc>
          <w:tcPr>
            <w:tcW w:w="860" w:type="dxa"/>
            <w:vAlign w:val="bottom"/>
            <w:shd w:val="clear" w:color="auto" w:fill="E5E5E5"/>
          </w:tcPr>
          <w:p>
            <w:pPr>
              <w:jc w:val="right"/>
              <w:ind w:right="99"/>
              <w:spacing w:after="0"/>
              <w:rPr>
                <w:sz w:val="20"/>
                <w:szCs w:val="20"/>
                <w:color w:val="auto"/>
              </w:rPr>
            </w:pPr>
            <w:r>
              <w:rPr>
                <w:rFonts w:ascii="Arial" w:cs="Arial" w:eastAsia="Arial" w:hAnsi="Arial"/>
                <w:sz w:val="18"/>
                <w:szCs w:val="18"/>
                <w:color w:val="auto"/>
              </w:rPr>
              <w:t>54</w:t>
            </w:r>
          </w:p>
        </w:tc>
        <w:tc>
          <w:tcPr>
            <w:tcW w:w="240" w:type="dxa"/>
            <w:vAlign w:val="bottom"/>
            <w:shd w:val="clear" w:color="auto" w:fill="E5E5E5"/>
          </w:tcPr>
          <w:p>
            <w:pPr>
              <w:spacing w:after="0"/>
              <w:rPr>
                <w:sz w:val="18"/>
                <w:szCs w:val="18"/>
                <w:color w:val="auto"/>
              </w:rPr>
            </w:pPr>
          </w:p>
        </w:tc>
        <w:tc>
          <w:tcPr>
            <w:tcW w:w="74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45</w:t>
            </w:r>
          </w:p>
        </w:tc>
        <w:tc>
          <w:tcPr>
            <w:tcW w:w="44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1"/>
              <w:spacing w:after="0"/>
              <w:rPr>
                <w:sz w:val="20"/>
                <w:szCs w:val="20"/>
                <w:color w:val="auto"/>
              </w:rPr>
            </w:pPr>
            <w:r>
              <w:rPr>
                <w:rFonts w:ascii="Arial" w:cs="Arial" w:eastAsia="Arial" w:hAnsi="Arial"/>
                <w:sz w:val="18"/>
                <w:szCs w:val="18"/>
                <w:b w:val="1"/>
                <w:bCs w:val="1"/>
                <w:color w:val="auto"/>
              </w:rPr>
              <w:t>55</w:t>
            </w:r>
          </w:p>
        </w:tc>
        <w:tc>
          <w:tcPr>
            <w:tcW w:w="480" w:type="dxa"/>
            <w:vAlign w:val="bottom"/>
            <w:shd w:val="clear" w:color="auto" w:fill="E5E5E5"/>
          </w:tcPr>
          <w:p>
            <w:pPr>
              <w:spacing w:after="0"/>
              <w:rPr>
                <w:sz w:val="18"/>
                <w:szCs w:val="18"/>
                <w:color w:val="auto"/>
              </w:rPr>
            </w:pPr>
          </w:p>
        </w:tc>
        <w:tc>
          <w:tcPr>
            <w:tcW w:w="56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36</w:t>
            </w:r>
          </w:p>
        </w:tc>
        <w:tc>
          <w:tcPr>
            <w:tcW w:w="6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3560" w:type="dxa"/>
            <w:vAlign w:val="bottom"/>
            <w:tcBorders>
              <w:bottom w:val="single" w:sz="8" w:color="auto"/>
            </w:tcBorders>
          </w:tcPr>
          <w:p>
            <w:pPr>
              <w:spacing w:after="0"/>
              <w:rPr>
                <w:sz w:val="5"/>
                <w:szCs w:val="5"/>
                <w:color w:val="auto"/>
              </w:rPr>
            </w:pPr>
          </w:p>
        </w:tc>
        <w:tc>
          <w:tcPr>
            <w:tcW w:w="238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Total one-day VaR for the combined risk categories was $296 million and $ 207 million as of September 30, 2017 and June 30, 2017, respectively. The total VaR is 30% and 35% less as of September 30, 2017 and June 30, 2017, respectively, than the sum of the separate risk categories in the table above due to the diversification benefit of the combination of risks.</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289165"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49" w:name="page50"/>
    <w:bookmarkEnd w:id="49"/>
    <w:p>
      <w:pPr>
        <w:ind w:left="5500"/>
        <w:spacing w:after="0"/>
        <w:rPr>
          <w:sz w:val="20"/>
          <w:szCs w:val="20"/>
          <w:color w:val="auto"/>
        </w:rPr>
      </w:pPr>
      <w:r>
        <w:rPr>
          <w:rFonts w:ascii="Arial" w:cs="Arial" w:eastAsia="Arial" w:hAnsi="Arial"/>
          <w:sz w:val="14"/>
          <w:szCs w:val="14"/>
          <w:u w:val="single" w:color="auto"/>
          <w:color w:val="auto"/>
        </w:rPr>
        <w:t>PART I</w:t>
      </w:r>
    </w:p>
    <w:p>
      <w:pPr>
        <w:spacing w:after="0" w:line="5" w:lineRule="exact"/>
        <w:rPr>
          <w:sz w:val="20"/>
          <w:szCs w:val="20"/>
          <w:color w:val="auto"/>
        </w:rPr>
      </w:pPr>
    </w:p>
    <w:p>
      <w:pPr>
        <w:ind w:left="5520"/>
        <w:spacing w:after="0"/>
        <w:rPr>
          <w:sz w:val="20"/>
          <w:szCs w:val="20"/>
          <w:color w:val="auto"/>
        </w:rPr>
      </w:pPr>
      <w:r>
        <w:rPr>
          <w:rFonts w:ascii="Arial" w:cs="Arial" w:eastAsia="Arial" w:hAnsi="Arial"/>
          <w:sz w:val="14"/>
          <w:szCs w:val="14"/>
          <w:color w:val="auto"/>
        </w:rPr>
        <w:t>Item 4</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ITEM 4. CONTROLS AND PROCEDURES</w:t>
      </w:r>
    </w:p>
    <w:p>
      <w:pPr>
        <w:spacing w:after="0" w:line="166"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Under the supervision and with the participation of our management, including the Chief Executive Officer and Chief Financial Officer, we have evaluated the effectiveness of our disclosure controls and procedures as required by Exchange Act Rule 13a-15(b) as of the end of the period covered by this report. Based on that evaluation, the Chief Executive Officer and Chief Financial Officer have concluded that these disclosure controls and procedures are effective.</w:t>
      </w:r>
    </w:p>
    <w:p>
      <w:pPr>
        <w:spacing w:after="0" w:line="117"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There were no changes in our internal control over financial reporting during the quarter ended September 30, 2017 that have materially affected, or are reasonably likely to materially affect, our internal control over financial reporting. We implemented internal controls to ensure we adequately evaluated our contracts and properly assessed the impact of the new accounting standards related to revenue recognition and leases on our financial statements to facilitate their adoption on July 1, 2017. There were no significant changes to our internal control over financial reporting due to the adoption of the new standards.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289165"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50" w:name="page51"/>
    <w:bookmarkEnd w:id="50"/>
    <w:p>
      <w:pPr>
        <w:jc w:val="center"/>
        <w:spacing w:after="0"/>
        <w:rPr>
          <w:sz w:val="20"/>
          <w:szCs w:val="20"/>
          <w:color w:val="auto"/>
        </w:rPr>
      </w:pPr>
      <w:r>
        <w:rPr>
          <w:rFonts w:ascii="Arial" w:cs="Arial" w:eastAsia="Arial" w:hAnsi="Arial"/>
          <w:sz w:val="14"/>
          <w:szCs w:val="14"/>
          <w:u w:val="single" w:color="auto"/>
          <w:color w:val="auto"/>
        </w:rPr>
        <w:t>PART II</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Item 1, 1A</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ITEM 1. LEGAL PROCEEDINGS</w:t>
      </w:r>
    </w:p>
    <w:p>
      <w:pPr>
        <w:spacing w:after="0" w:line="166"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Refer to Note 16 – Contingencies in the Notes to Financial Statements (Part I, Item 1 of this Form 10-Q) for information regarding legal proceedings in which we are involved.</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ITEM 1A. RISK FACTORS</w:t>
      </w:r>
    </w:p>
    <w:p>
      <w:pPr>
        <w:spacing w:after="0" w:line="166"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Our operations and financial results are subject to various risks and uncertainties, including those described below, that could adversely affect our business, financial condition, results of operations, cash flows, and the trading price of our common stock.</w:t>
      </w:r>
    </w:p>
    <w:p>
      <w:pPr>
        <w:spacing w:after="0" w:line="170" w:lineRule="exact"/>
        <w:rPr>
          <w:sz w:val="20"/>
          <w:szCs w:val="20"/>
          <w:color w:val="auto"/>
        </w:rPr>
      </w:pPr>
    </w:p>
    <w:p>
      <w:pPr>
        <w:jc w:val="both"/>
        <w:spacing w:after="0" w:line="288" w:lineRule="auto"/>
        <w:rPr>
          <w:sz w:val="20"/>
          <w:szCs w:val="20"/>
          <w:color w:val="auto"/>
        </w:rPr>
      </w:pPr>
      <w:r>
        <w:rPr>
          <w:rFonts w:ascii="Arial" w:cs="Arial" w:eastAsia="Arial" w:hAnsi="Arial"/>
          <w:sz w:val="18"/>
          <w:szCs w:val="18"/>
          <w:b w:val="1"/>
          <w:bCs w:val="1"/>
          <w:color w:val="auto"/>
        </w:rPr>
        <w:t>We face intense competition across all markets for our products and services, which may lead to lower revenue or operating margins.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Competition in the technology sector</w:t>
      </w:r>
    </w:p>
    <w:p>
      <w:pPr>
        <w:spacing w:after="0" w:line="158"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Our competitors range in size from diversified global companies with significant research and development resources to small, specialized firms whose narrower product lines may let them be more effective in deploying technical, marketing, and financial resources. Barriers to entry in many of our businesses are low and many of the areas in which we compete evolve rapidly with changing and disruptive technologies, shifting user needs, and frequent introductions of new products and services. Our ability to remain competitive depends on our success in making innovative products, devices, and services that appeal to businesses and consumers.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Competition among platforms, ecosystems, and devices</w:t>
      </w:r>
    </w:p>
    <w:p>
      <w:pPr>
        <w:spacing w:after="0" w:line="158"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An important element of our business model has been to create platform-based ecosystems on which many participants can build diverse solutions. A well-established ecosystem creates beneficial network effects among users, application developers, and the platform provider that can accelerate growth. Establishing significant scale in the marketplace is necessary to achieve and maintain attractive margins. We face significant competition from firms that provide competing platforms, applications, and services.</w:t>
      </w:r>
    </w:p>
    <w:p>
      <w:pPr>
        <w:spacing w:after="0" w:line="22" w:lineRule="exact"/>
        <w:rPr>
          <w:sz w:val="20"/>
          <w:szCs w:val="20"/>
          <w:color w:val="auto"/>
        </w:rPr>
      </w:pPr>
    </w:p>
    <w:p>
      <w:pPr>
        <w:jc w:val="both"/>
        <w:ind w:left="1060" w:hanging="390"/>
        <w:spacing w:after="0" w:line="245" w:lineRule="auto"/>
        <w:tabs>
          <w:tab w:leader="none" w:pos="10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competing vertically-integrated model, in which a single firm controls the software and hardware elements of a product and related services, has succeeded with some consumer products such as personal computers, tablets, phones, gaming consoles, and wearables. Competitors pursuing this model also earn revenue from services integrated with the hardware and software platform. We also offer some vertically-integrated hardware and software products and services. To the extent we shift a portion of our business to a vertically integrated model we increase our cost of revenue and reduce our operating margins.</w:t>
      </w:r>
    </w:p>
    <w:p>
      <w:pPr>
        <w:spacing w:after="0" w:line="23" w:lineRule="exact"/>
        <w:rPr>
          <w:rFonts w:ascii="Arial" w:cs="Arial" w:eastAsia="Arial" w:hAnsi="Arial"/>
          <w:sz w:val="18"/>
          <w:szCs w:val="18"/>
          <w:color w:val="auto"/>
        </w:rPr>
      </w:pPr>
    </w:p>
    <w:p>
      <w:pPr>
        <w:jc w:val="both"/>
        <w:ind w:left="1060" w:hanging="390"/>
        <w:spacing w:after="0"/>
        <w:tabs>
          <w:tab w:leader="none" w:pos="10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derive substantial revenue from licenses of Windows operating systems on personal computers. We face significant competition from competing platforms developed for new devices and form factors such as smartphones and tablet computers. These devices compete on multiple bases including price and the perceived utility of the device and its platform. Users are increasingly turning to these devices to perform functions that in the past were performed by personal computers. Even if many users view these devices as complementary to a personal computer, the prevalence of these devices may make it more difficult to attract application developers to our PC operating system platforms. Competing with operating systems licensed at low or no cost may decrease our PC operating system margins. In addition, some of our devices compete with products made by our original equipment manufacturer (“OEM”) partners, which may affect their commitment to our platform.</w:t>
      </w:r>
    </w:p>
    <w:p>
      <w:pPr>
        <w:spacing w:after="0" w:line="32" w:lineRule="exact"/>
        <w:rPr>
          <w:rFonts w:ascii="Arial" w:cs="Arial" w:eastAsia="Arial" w:hAnsi="Arial"/>
          <w:sz w:val="18"/>
          <w:szCs w:val="18"/>
          <w:color w:val="auto"/>
        </w:rPr>
      </w:pPr>
    </w:p>
    <w:p>
      <w:pPr>
        <w:jc w:val="both"/>
        <w:ind w:left="1060" w:hanging="390"/>
        <w:spacing w:after="0" w:line="243" w:lineRule="auto"/>
        <w:tabs>
          <w:tab w:leader="none" w:pos="10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Competing platforms have content and application marketplaces with scale and significant installed bases. The variety and utility of content and applications available on a platform are important to device purchasing decisions. Users sometimes incur costs to move data and buy new content and applications when switching platforms. To compete, we must successfully enlist developers to write applications for our marketplace and ensure that these applications have high quality, customer appeal, and value. Efforts to compete with competitors’ content and application marketplaces may increase our cost of revenue and lower our operating margins.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289165"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51" w:name="page52"/>
    <w:bookmarkEnd w:id="51"/>
    <w:p>
      <w:pPr>
        <w:ind w:left="5480"/>
        <w:spacing w:after="0"/>
        <w:rPr>
          <w:sz w:val="20"/>
          <w:szCs w:val="20"/>
          <w:color w:val="auto"/>
        </w:rPr>
      </w:pPr>
      <w:r>
        <w:rPr>
          <w:rFonts w:ascii="Arial" w:cs="Arial" w:eastAsia="Arial" w:hAnsi="Arial"/>
          <w:sz w:val="14"/>
          <w:szCs w:val="14"/>
          <w:u w:val="single" w:color="auto"/>
          <w:color w:val="auto"/>
        </w:rPr>
        <w:t>PART II</w:t>
      </w:r>
    </w:p>
    <w:p>
      <w:pPr>
        <w:spacing w:after="0" w:line="5" w:lineRule="exact"/>
        <w:rPr>
          <w:sz w:val="20"/>
          <w:szCs w:val="20"/>
          <w:color w:val="auto"/>
        </w:rPr>
      </w:pPr>
    </w:p>
    <w:p>
      <w:pPr>
        <w:ind w:left="5480"/>
        <w:spacing w:after="0"/>
        <w:rPr>
          <w:sz w:val="20"/>
          <w:szCs w:val="20"/>
          <w:color w:val="auto"/>
        </w:rPr>
      </w:pPr>
      <w:r>
        <w:rPr>
          <w:rFonts w:ascii="Arial" w:cs="Arial" w:eastAsia="Arial" w:hAnsi="Arial"/>
          <w:sz w:val="14"/>
          <w:szCs w:val="14"/>
          <w:color w:val="auto"/>
        </w:rPr>
        <w:t>Item 1A</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model competition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Companies compete with us based on a growing variety of business models.</w:t>
      </w:r>
    </w:p>
    <w:p>
      <w:pPr>
        <w:spacing w:after="0" w:line="77" w:lineRule="exact"/>
        <w:rPr>
          <w:sz w:val="20"/>
          <w:szCs w:val="20"/>
          <w:color w:val="auto"/>
        </w:rPr>
      </w:pPr>
    </w:p>
    <w:p>
      <w:pPr>
        <w:jc w:val="both"/>
        <w:ind w:left="1060" w:hanging="390"/>
        <w:spacing w:after="0" w:line="248" w:lineRule="auto"/>
        <w:tabs>
          <w:tab w:leader="none" w:pos="10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Even as we transition more of our business to a services and subscription business model, the license-based proprietary software model generates most of our software revenue. We bear the costs of converting original ideas into software products through investments in research and development, offsetting these costs with the revenue received from licensing our products. Many of our competitors also develop and sell software to businesses and consumers under this model.</w:t>
      </w:r>
    </w:p>
    <w:p>
      <w:pPr>
        <w:spacing w:after="0" w:line="22" w:lineRule="exact"/>
        <w:rPr>
          <w:rFonts w:ascii="Arial" w:cs="Arial" w:eastAsia="Arial" w:hAnsi="Arial"/>
          <w:sz w:val="18"/>
          <w:szCs w:val="18"/>
          <w:color w:val="auto"/>
        </w:rPr>
      </w:pPr>
    </w:p>
    <w:p>
      <w:pPr>
        <w:jc w:val="both"/>
        <w:ind w:left="1060" w:hanging="390"/>
        <w:spacing w:after="0" w:line="255" w:lineRule="auto"/>
        <w:tabs>
          <w:tab w:leader="none" w:pos="10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Other competitors develop and offer free applications, online services and content, and make money by selling third-party advertising. Advertising revenue funds development of products and services these competitors provide to users at no or little cost, competing directly with our revenue-generating products.</w:t>
      </w:r>
    </w:p>
    <w:p>
      <w:pPr>
        <w:spacing w:after="0" w:line="15" w:lineRule="exact"/>
        <w:rPr>
          <w:rFonts w:ascii="Arial" w:cs="Arial" w:eastAsia="Arial" w:hAnsi="Arial"/>
          <w:sz w:val="18"/>
          <w:szCs w:val="18"/>
          <w:color w:val="auto"/>
        </w:rPr>
      </w:pPr>
    </w:p>
    <w:p>
      <w:pPr>
        <w:jc w:val="both"/>
        <w:ind w:left="1060" w:hanging="390"/>
        <w:spacing w:after="0" w:line="248" w:lineRule="auto"/>
        <w:tabs>
          <w:tab w:leader="none" w:pos="10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Some companies compete with us using an open source business model by modifying and then distributing open source software at nominal cost to end-users, and earning revenue on advertising or complementary services and products. These firms do not bear the full costs of research and development for the software. Some open source software vendors develop software that mimics the features and functionality of our products.</w:t>
      </w:r>
    </w:p>
    <w:p>
      <w:pPr>
        <w:spacing w:after="0" w:line="103"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The competitive pressures described above may cause decreased sales volumes, price reductions, and/or increased operating costs, such as for research and development, marketing, and sales incentives. This may lead to lower revenue, gross margins, and operating income.</w:t>
      </w:r>
    </w:p>
    <w:p>
      <w:pPr>
        <w:spacing w:after="0" w:line="89" w:lineRule="exact"/>
        <w:rPr>
          <w:sz w:val="20"/>
          <w:szCs w:val="20"/>
          <w:color w:val="auto"/>
        </w:rPr>
      </w:pPr>
    </w:p>
    <w:p>
      <w:pPr>
        <w:jc w:val="both"/>
        <w:spacing w:after="0"/>
        <w:rPr>
          <w:sz w:val="20"/>
          <w:szCs w:val="20"/>
          <w:color w:val="auto"/>
        </w:rPr>
      </w:pPr>
      <w:r>
        <w:rPr>
          <w:rFonts w:ascii="Arial" w:cs="Arial" w:eastAsia="Arial" w:hAnsi="Arial"/>
          <w:sz w:val="18"/>
          <w:szCs w:val="18"/>
          <w:b w:val="1"/>
          <w:bCs w:val="1"/>
          <w:color w:val="auto"/>
        </w:rPr>
        <w:t xml:space="preserve">Our increasing focus on services presents execution and competitive risks. </w:t>
      </w:r>
      <w:r>
        <w:rPr>
          <w:rFonts w:ascii="Arial" w:cs="Arial" w:eastAsia="Arial" w:hAnsi="Arial"/>
          <w:sz w:val="18"/>
          <w:szCs w:val="18"/>
          <w:color w:val="auto"/>
        </w:rPr>
        <w:t>A growing part of our business involves cloud-based services</w:t>
      </w:r>
      <w:r>
        <w:rPr>
          <w:rFonts w:ascii="Arial" w:cs="Arial" w:eastAsia="Arial" w:hAnsi="Arial"/>
          <w:sz w:val="18"/>
          <w:szCs w:val="18"/>
          <w:b w:val="1"/>
          <w:bCs w:val="1"/>
          <w:color w:val="auto"/>
        </w:rPr>
        <w:t xml:space="preserve"> </w:t>
      </w:r>
      <w:r>
        <w:rPr>
          <w:rFonts w:ascii="Arial" w:cs="Arial" w:eastAsia="Arial" w:hAnsi="Arial"/>
          <w:sz w:val="18"/>
          <w:szCs w:val="18"/>
          <w:color w:val="auto"/>
        </w:rPr>
        <w:t>available across the spectrum of computing devices. Our strategic vision is to compete and grow by building best-in-class platforms and productivity services for an intelligent cloud and an intelligent edge infused with artificial intelligence. At the same time, our competitors are rapidly developing and deploying cloud-based services for consumers and business customers. Pricing and delivery models are evolving. Devices and form factors influence how users access services in the cloud and sometimes the user’s choice of which suite of cloud-based services to use. We are devoting significant resources to develop and deploy our cloud-based strategies. The Windows ecosystem must continue to evolve with this changing environment. We are undertaking cultural and organizational changes to drive accountability and eliminate obstacles to innovation. The Company’s investment in gaining insights from data is becoming central to the value of the services we deliver to customers, to our operational efficiency and key opportunities in monetization, customer perceptions of quality, and operational</w:t>
      </w:r>
    </w:p>
    <w:p>
      <w:pPr>
        <w:spacing w:after="0" w:line="3" w:lineRule="exact"/>
        <w:rPr>
          <w:sz w:val="20"/>
          <w:szCs w:val="20"/>
          <w:color w:val="auto"/>
        </w:rPr>
      </w:pPr>
    </w:p>
    <w:p>
      <w:pPr>
        <w:jc w:val="both"/>
        <w:ind w:right="20"/>
        <w:spacing w:after="0" w:line="276" w:lineRule="auto"/>
        <w:rPr>
          <w:sz w:val="20"/>
          <w:szCs w:val="20"/>
          <w:color w:val="auto"/>
        </w:rPr>
      </w:pPr>
      <w:r>
        <w:rPr>
          <w:rFonts w:ascii="Arial" w:cs="Arial" w:eastAsia="Arial" w:hAnsi="Arial"/>
          <w:sz w:val="18"/>
          <w:szCs w:val="18"/>
          <w:color w:val="auto"/>
        </w:rPr>
        <w:t>efficiency. Our ability to use data in this way may be constrained by regulatory developments that impede realizing the expected return from this investment.</w:t>
      </w:r>
    </w:p>
    <w:p>
      <w:pPr>
        <w:spacing w:after="0" w:line="9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Besides software development costs, we are incurring costs to build and maintain infrastructure to support cloud computing services. These costs will reduce the operating margins we have previously achieved. Whether we succeed in cloud-based services depends on our execution in several areas, including:</w:t>
      </w:r>
    </w:p>
    <w:p>
      <w:pPr>
        <w:spacing w:after="0" w:line="29" w:lineRule="exact"/>
        <w:rPr>
          <w:sz w:val="20"/>
          <w:szCs w:val="20"/>
          <w:color w:val="auto"/>
        </w:rPr>
      </w:pPr>
    </w:p>
    <w:p>
      <w:pPr>
        <w:ind w:left="1060" w:hanging="390"/>
        <w:spacing w:after="0"/>
        <w:tabs>
          <w:tab w:leader="none" w:pos="10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Continuing to bring to market compelling cloud-based experiences that generate increasing traffic and market share.</w:t>
      </w:r>
    </w:p>
    <w:p>
      <w:pPr>
        <w:spacing w:after="0" w:line="63" w:lineRule="exact"/>
        <w:rPr>
          <w:rFonts w:ascii="Arial" w:cs="Arial" w:eastAsia="Arial" w:hAnsi="Arial"/>
          <w:sz w:val="18"/>
          <w:szCs w:val="18"/>
          <w:color w:val="auto"/>
        </w:rPr>
      </w:pPr>
    </w:p>
    <w:p>
      <w:pPr>
        <w:ind w:left="1060" w:hanging="390"/>
        <w:spacing w:after="0" w:line="274" w:lineRule="auto"/>
        <w:tabs>
          <w:tab w:leader="none" w:pos="10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Maintaining the utility, compatibility, and performance of our cloud-based services on the growing array of computing devices, including PCs, smartphones, tablets, gaming consoles, and other television-related devices.</w:t>
      </w:r>
    </w:p>
    <w:p>
      <w:pPr>
        <w:ind w:left="1060" w:hanging="390"/>
        <w:spacing w:after="0"/>
        <w:tabs>
          <w:tab w:leader="none" w:pos="10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Continuing to enhance the attractiveness of our cloud platforms to third-party developers.</w:t>
      </w:r>
    </w:p>
    <w:p>
      <w:pPr>
        <w:spacing w:after="0" w:line="63" w:lineRule="exact"/>
        <w:rPr>
          <w:rFonts w:ascii="Arial" w:cs="Arial" w:eastAsia="Arial" w:hAnsi="Arial"/>
          <w:sz w:val="18"/>
          <w:szCs w:val="18"/>
          <w:color w:val="auto"/>
        </w:rPr>
      </w:pPr>
    </w:p>
    <w:p>
      <w:pPr>
        <w:ind w:left="1060" w:hanging="390"/>
        <w:spacing w:after="0"/>
        <w:tabs>
          <w:tab w:leader="none" w:pos="10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Ensuring our cloud-based services meet the reliability expectations of our customers and maintain the security of their data.</w:t>
      </w:r>
    </w:p>
    <w:p>
      <w:pPr>
        <w:spacing w:after="0" w:line="63" w:lineRule="exact"/>
        <w:rPr>
          <w:rFonts w:ascii="Arial" w:cs="Arial" w:eastAsia="Arial" w:hAnsi="Arial"/>
          <w:sz w:val="18"/>
          <w:szCs w:val="18"/>
          <w:color w:val="auto"/>
        </w:rPr>
      </w:pPr>
    </w:p>
    <w:p>
      <w:pPr>
        <w:ind w:left="1060" w:right="20" w:hanging="390"/>
        <w:spacing w:after="0" w:line="276" w:lineRule="auto"/>
        <w:tabs>
          <w:tab w:leader="none" w:pos="10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Making our suite of cloud-based services platform-agnostic, available on a wide range of devices and ecosystems, including those of our competitors.</w:t>
      </w:r>
    </w:p>
    <w:p>
      <w:pPr>
        <w:spacing w:after="0" w:line="78"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It is uncertain whether our strategies will attract the users or generate the revenue required to succeed. If we are not effective in executing organizational and technical changes to increase efficiency and accelerate innovation, or if we fail to generate sufficient usage of our new products and services, we may not grow revenue in line with the infrastructure and development investments described above. This may negatively impact gross margins and operating income.</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289165"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52" w:name="page53"/>
    <w:bookmarkEnd w:id="52"/>
    <w:p>
      <w:pPr>
        <w:ind w:left="5480"/>
        <w:spacing w:after="0"/>
        <w:rPr>
          <w:sz w:val="20"/>
          <w:szCs w:val="20"/>
          <w:color w:val="auto"/>
        </w:rPr>
      </w:pPr>
      <w:r>
        <w:rPr>
          <w:rFonts w:ascii="Arial" w:cs="Arial" w:eastAsia="Arial" w:hAnsi="Arial"/>
          <w:sz w:val="14"/>
          <w:szCs w:val="14"/>
          <w:u w:val="single" w:color="auto"/>
          <w:color w:val="auto"/>
        </w:rPr>
        <w:t>PART II</w:t>
      </w:r>
    </w:p>
    <w:p>
      <w:pPr>
        <w:spacing w:after="0" w:line="5" w:lineRule="exact"/>
        <w:rPr>
          <w:sz w:val="20"/>
          <w:szCs w:val="20"/>
          <w:color w:val="auto"/>
        </w:rPr>
      </w:pPr>
    </w:p>
    <w:p>
      <w:pPr>
        <w:ind w:left="5480"/>
        <w:spacing w:after="0"/>
        <w:rPr>
          <w:sz w:val="20"/>
          <w:szCs w:val="20"/>
          <w:color w:val="auto"/>
        </w:rPr>
      </w:pPr>
      <w:r>
        <w:rPr>
          <w:rFonts w:ascii="Arial" w:cs="Arial" w:eastAsia="Arial" w:hAnsi="Arial"/>
          <w:sz w:val="14"/>
          <w:szCs w:val="14"/>
          <w:color w:val="auto"/>
        </w:rPr>
        <w:t>Item 1A</w:t>
      </w:r>
    </w:p>
    <w:p>
      <w:pPr>
        <w:spacing w:after="0" w:line="125" w:lineRule="exact"/>
        <w:rPr>
          <w:sz w:val="20"/>
          <w:szCs w:val="20"/>
          <w:color w:val="auto"/>
        </w:rPr>
      </w:pPr>
    </w:p>
    <w:p>
      <w:pPr>
        <w:jc w:val="both"/>
        <w:spacing w:after="0" w:line="239" w:lineRule="auto"/>
        <w:rPr>
          <w:sz w:val="20"/>
          <w:szCs w:val="20"/>
          <w:color w:val="auto"/>
        </w:rPr>
      </w:pPr>
      <w:r>
        <w:rPr>
          <w:rFonts w:ascii="Arial" w:cs="Arial" w:eastAsia="Arial" w:hAnsi="Arial"/>
          <w:sz w:val="18"/>
          <w:szCs w:val="18"/>
          <w:b w:val="1"/>
          <w:bCs w:val="1"/>
          <w:color w:val="auto"/>
        </w:rPr>
        <w:t xml:space="preserve">We make significant investments in new products and services that may not achieve expected returns. </w:t>
      </w:r>
      <w:r>
        <w:rPr>
          <w:rFonts w:ascii="Arial" w:cs="Arial" w:eastAsia="Arial" w:hAnsi="Arial"/>
          <w:sz w:val="18"/>
          <w:szCs w:val="18"/>
          <w:color w:val="auto"/>
        </w:rPr>
        <w:t>We will continue to make</w:t>
      </w:r>
      <w:r>
        <w:rPr>
          <w:rFonts w:ascii="Arial" w:cs="Arial" w:eastAsia="Arial" w:hAnsi="Arial"/>
          <w:sz w:val="18"/>
          <w:szCs w:val="18"/>
          <w:b w:val="1"/>
          <w:bCs w:val="1"/>
          <w:color w:val="auto"/>
        </w:rPr>
        <w:t xml:space="preserve"> </w:t>
      </w:r>
      <w:r>
        <w:rPr>
          <w:rFonts w:ascii="Arial" w:cs="Arial" w:eastAsia="Arial" w:hAnsi="Arial"/>
          <w:sz w:val="18"/>
          <w:szCs w:val="18"/>
          <w:color w:val="auto"/>
        </w:rPr>
        <w:t>significant investments in research, development, and marketing for existing products, services, and technologies, including the Windows operating system, Microsoft Office, Bing, SQL Server, Windows Server, the Windows Store, Microsoft Azure, Office 365, other cloud-based offerings, Xbox Live, and LinkedIn. We also invest in the development and acquisition of a variety of hardware for productivity, communication, and entertainment including PCs, tablets, gaming devices, and HoloLens. Investments in new technology are speculative. Commercial success depends on many factors, including innovativeness, developer support, and effective distribution and marketing. If customers do not perceive our latest offerings as providing significant new functionality or other value, they may reduce their purchases of new software and hardware products or upgrades, unfavorably affecting revenue. We may not achieve significant revenue from new product, service, and distribution channel investments for several years, if at all. New products and services may not be profitable, and even if they are profitable, operating margins for some new products and businesses will not be as high as the margins we have experienced historically.</w:t>
      </w:r>
    </w:p>
    <w:p>
      <w:pPr>
        <w:spacing w:after="0" w:line="129"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We did extensive preparation and ongoing compatibility testing for applications and devices to help ensure a positive experience for our users installing Windows 10. However, negative upgrade experiences could adversely affect the reception of Windows 10 in the marketplace and could lead to litigation or regulatory actions by customers and government agencies. In addition, we anticipate that Windows 10 will enable new post-license monetization opportunities beyond initial license revenues. Our inability to realize these opportunities to the extent we expect could have an adverse impact on our revenues. Finally, our practices for data collection, use, and management in Windows 10 are subject to regulatory review, and may result in decisions directing us to change these practices and imposing fines. If so, we could face negative public reaction, degraded user experiences, and reduced flexibility in product design.</w:t>
      </w:r>
    </w:p>
    <w:p>
      <w:pPr>
        <w:spacing w:after="0" w:line="125"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Developing new technologies is complex. It can require long development and testing periods. Significant delays in new releases or significant problems in creating new products or services could adversely affect our revenue.</w:t>
      </w:r>
    </w:p>
    <w:p>
      <w:pPr>
        <w:spacing w:after="0" w:line="89" w:lineRule="exact"/>
        <w:rPr>
          <w:sz w:val="20"/>
          <w:szCs w:val="20"/>
          <w:color w:val="auto"/>
        </w:rPr>
      </w:pPr>
    </w:p>
    <w:p>
      <w:pPr>
        <w:jc w:val="both"/>
        <w:spacing w:after="0" w:line="239" w:lineRule="auto"/>
        <w:rPr>
          <w:sz w:val="20"/>
          <w:szCs w:val="20"/>
          <w:color w:val="auto"/>
        </w:rPr>
      </w:pPr>
      <w:r>
        <w:rPr>
          <w:rFonts w:ascii="Arial" w:cs="Arial" w:eastAsia="Arial" w:hAnsi="Arial"/>
          <w:sz w:val="18"/>
          <w:szCs w:val="18"/>
          <w:b w:val="1"/>
          <w:bCs w:val="1"/>
          <w:color w:val="auto"/>
        </w:rPr>
        <w:t xml:space="preserve">Acquisitions, joint ventures, and strategic alliances may have an adverse effect on our business. </w:t>
      </w:r>
      <w:r>
        <w:rPr>
          <w:rFonts w:ascii="Arial" w:cs="Arial" w:eastAsia="Arial" w:hAnsi="Arial"/>
          <w:sz w:val="18"/>
          <w:szCs w:val="18"/>
          <w:color w:val="auto"/>
        </w:rPr>
        <w:t>We expect to continue making</w:t>
      </w:r>
      <w:r>
        <w:rPr>
          <w:rFonts w:ascii="Arial" w:cs="Arial" w:eastAsia="Arial" w:hAnsi="Arial"/>
          <w:sz w:val="18"/>
          <w:szCs w:val="18"/>
          <w:b w:val="1"/>
          <w:bCs w:val="1"/>
          <w:color w:val="auto"/>
        </w:rPr>
        <w:t xml:space="preserve"> </w:t>
      </w:r>
      <w:r>
        <w:rPr>
          <w:rFonts w:ascii="Arial" w:cs="Arial" w:eastAsia="Arial" w:hAnsi="Arial"/>
          <w:sz w:val="18"/>
          <w:szCs w:val="18"/>
          <w:color w:val="auto"/>
        </w:rPr>
        <w:t>acquisitions and entering into joint ventures and strategic alliances as part of our long-term business strategy. In December 2016, we completed our acquisition of LinkedIn for $ 27.0 billion. The LinkedIn acquisition and other transactions and arrangements involve significant challenges and risks, including that they do not advance our business strategy, that we get an unsatisfactory return on our investment, that we have difficulty integrating and retaining new employees, business systems, and technology, or that they distract management from our other businesses. If an arrangement fails to adequately anticipate changing circumstances and interests of a party, it may result in early termination or renegotiation of the arrangement. The success of these transactions and arrangements will depend in part on our ability to leverage them to enhance our existing products and services or develop compelling new ones. It may take longer than expected to realize the full benefits from these transactions and arrangements, such as increased revenue, enhanced efficiencies, or increased market share, or the benefits may ultimately be smaller than we expected. These events could adversely affect our operating results or financial condition.</w:t>
      </w:r>
    </w:p>
    <w:p>
      <w:pPr>
        <w:spacing w:after="0" w:line="127" w:lineRule="exact"/>
        <w:rPr>
          <w:sz w:val="20"/>
          <w:szCs w:val="20"/>
          <w:color w:val="auto"/>
        </w:rPr>
      </w:pPr>
    </w:p>
    <w:p>
      <w:pPr>
        <w:jc w:val="both"/>
        <w:spacing w:after="0" w:line="238" w:lineRule="auto"/>
        <w:rPr>
          <w:sz w:val="20"/>
          <w:szCs w:val="20"/>
          <w:color w:val="auto"/>
        </w:rPr>
      </w:pPr>
      <w:r>
        <w:rPr>
          <w:rFonts w:ascii="Arial" w:cs="Arial" w:eastAsia="Arial" w:hAnsi="Arial"/>
          <w:sz w:val="18"/>
          <w:szCs w:val="18"/>
          <w:b w:val="1"/>
          <w:bCs w:val="1"/>
          <w:color w:val="auto"/>
        </w:rPr>
        <w:t xml:space="preserve">If our goodwill or amortizable intangible assets become impaired, we may be required to record a significant charge to earnings. </w:t>
      </w:r>
      <w:r>
        <w:rPr>
          <w:rFonts w:ascii="Arial" w:cs="Arial" w:eastAsia="Arial" w:hAnsi="Arial"/>
          <w:sz w:val="18"/>
          <w:szCs w:val="18"/>
          <w:color w:val="auto"/>
        </w:rPr>
        <w:t>We</w:t>
      </w:r>
      <w:r>
        <w:rPr>
          <w:rFonts w:ascii="Arial" w:cs="Arial" w:eastAsia="Arial" w:hAnsi="Arial"/>
          <w:sz w:val="18"/>
          <w:szCs w:val="18"/>
          <w:b w:val="1"/>
          <w:bCs w:val="1"/>
          <w:color w:val="auto"/>
        </w:rPr>
        <w:t xml:space="preserve"> </w:t>
      </w:r>
      <w:r>
        <w:rPr>
          <w:rFonts w:ascii="Arial" w:cs="Arial" w:eastAsia="Arial" w:hAnsi="Arial"/>
          <w:sz w:val="18"/>
          <w:szCs w:val="18"/>
          <w:color w:val="auto"/>
        </w:rPr>
        <w:t>acquire other companies and intangible assets and may not realize all the economic benefit from those acquisitions, which could cause an impairment of goodwill or intangibles. We review our amortizable intangible assets for impairment when events or changes in circumstances indicate the carrying value may not be recoverable. We test goodwill for impairment at least annually. Factors that may be a change in circumstances, indicating that the carrying value of our goodwill or amortizable intangible assets may not be recoverable, include a decline in our stock price and market capitalization, reduced future cash flow estimates, and slower growth rates in industry segments in which we participate. We may be required to record a significant charge on our consolidated financial statements during the period in which any impairment of our goodwill or amortizable intangible assets is determined, negatively affecting our results of operations. For example, in the fourth quarter of fiscal year 2015, we recorded a $5.1 billion charge for the impairment of goodwill and a $2.2 billion charge for the impairment of intangible assets, and in the fourth quarter of fiscal year 2016 we recorded a $480 million charge for the impairment of intangible assets. The impairment charges for both periods related to our phone business. Our acquisition of LinkedIn resulted in a significant increase in our goodwill and intangible asset balances.</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289165"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53" w:name="page54"/>
    <w:bookmarkEnd w:id="53"/>
    <w:p>
      <w:pPr>
        <w:ind w:left="5480"/>
        <w:spacing w:after="0"/>
        <w:rPr>
          <w:sz w:val="20"/>
          <w:szCs w:val="20"/>
          <w:color w:val="auto"/>
        </w:rPr>
      </w:pPr>
      <w:r>
        <w:rPr>
          <w:rFonts w:ascii="Arial" w:cs="Arial" w:eastAsia="Arial" w:hAnsi="Arial"/>
          <w:sz w:val="14"/>
          <w:szCs w:val="14"/>
          <w:u w:val="single" w:color="auto"/>
          <w:color w:val="auto"/>
        </w:rPr>
        <w:t>PART II</w:t>
      </w:r>
    </w:p>
    <w:p>
      <w:pPr>
        <w:spacing w:after="0" w:line="5" w:lineRule="exact"/>
        <w:rPr>
          <w:sz w:val="20"/>
          <w:szCs w:val="20"/>
          <w:color w:val="auto"/>
        </w:rPr>
      </w:pPr>
    </w:p>
    <w:p>
      <w:pPr>
        <w:ind w:left="5480"/>
        <w:spacing w:after="0"/>
        <w:rPr>
          <w:sz w:val="20"/>
          <w:szCs w:val="20"/>
          <w:color w:val="auto"/>
        </w:rPr>
      </w:pPr>
      <w:r>
        <w:rPr>
          <w:rFonts w:ascii="Arial" w:cs="Arial" w:eastAsia="Arial" w:hAnsi="Arial"/>
          <w:sz w:val="14"/>
          <w:szCs w:val="14"/>
          <w:color w:val="auto"/>
        </w:rPr>
        <w:t>Item 1A</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not earn the revenues we expect from our intellectual property rights.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adequately protect our intellectual property rights</w:t>
      </w:r>
    </w:p>
    <w:p>
      <w:pPr>
        <w:spacing w:after="0" w:line="158"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Protecting our intellectual property rights and combating unlicensed copying and use of our software and other intellectual property on a global basis is difficult. While piracy adversely affects U.S. revenue, the impact on revenue from outside the U.S. is more significant, particularly in countries where laws are less protective of intellectual property rights. Our revenue in these markets may grow slower than the underlying device market. Similarly, the absence of harmonized patent laws makes it more difficult to ensure consistent respect for patent rights. Throughout the world, we educate users about the benefits of licensing genuine products and obtaining indemnification benefits for intellectual property risks, and we educate lawmakers about the advantages of a business climate where intellectual property rights are protected. Reductions in the legal protection for software intellectual property rights could adversely affect revenue.</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receive expected royalties from our patent licenses</w:t>
      </w:r>
    </w:p>
    <w:p>
      <w:pPr>
        <w:spacing w:after="0" w:line="158"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We expend significant resources to patent the intellectual property we create with the expectation that we will generate revenues by incorporating that intellectual property in our products or services or, in some instances, by licensing our patents to others in return for a royalty. Changes in the law may weaken our ability to prevent the use of patented technology or collect revenue for licensing our patents. These include legislative changes and regulatory actions that make it more difficult to obtain injunctions, and the increasing use of legal process to challenge issued patents. Similarly, licensees of our patents may fail to satisfy their obligations to pay us royalties, or may contest the scope and extent of their obligations. Finally, the royalties we can obtain to monetize our intellectual property may decline because of the evolution of technology, selling price changes in products using licensed patents, or the difficulty of discovering infringements.</w:t>
      </w:r>
    </w:p>
    <w:p>
      <w:pPr>
        <w:spacing w:after="0" w:line="123" w:lineRule="exact"/>
        <w:rPr>
          <w:sz w:val="20"/>
          <w:szCs w:val="20"/>
          <w:color w:val="auto"/>
        </w:rPr>
      </w:pPr>
    </w:p>
    <w:p>
      <w:pPr>
        <w:jc w:val="both"/>
        <w:spacing w:after="0" w:line="239" w:lineRule="auto"/>
        <w:rPr>
          <w:sz w:val="20"/>
          <w:szCs w:val="20"/>
          <w:color w:val="auto"/>
        </w:rPr>
      </w:pPr>
      <w:r>
        <w:rPr>
          <w:rFonts w:ascii="Arial" w:cs="Arial" w:eastAsia="Arial" w:hAnsi="Arial"/>
          <w:sz w:val="18"/>
          <w:szCs w:val="18"/>
          <w:b w:val="1"/>
          <w:bCs w:val="1"/>
          <w:color w:val="auto"/>
        </w:rPr>
        <w:t xml:space="preserve">Third parties may claim we infringe their intellectual property rights. </w:t>
      </w:r>
      <w:r>
        <w:rPr>
          <w:rFonts w:ascii="Arial" w:cs="Arial" w:eastAsia="Arial" w:hAnsi="Arial"/>
          <w:sz w:val="18"/>
          <w:szCs w:val="18"/>
          <w:color w:val="auto"/>
        </w:rPr>
        <w:t>From time to time, others claim we infringe their intellectual property</w:t>
      </w:r>
      <w:r>
        <w:rPr>
          <w:rFonts w:ascii="Arial" w:cs="Arial" w:eastAsia="Arial" w:hAnsi="Arial"/>
          <w:sz w:val="18"/>
          <w:szCs w:val="18"/>
          <w:b w:val="1"/>
          <w:bCs w:val="1"/>
          <w:color w:val="auto"/>
        </w:rPr>
        <w:t xml:space="preserve"> </w:t>
      </w:r>
      <w:r>
        <w:rPr>
          <w:rFonts w:ascii="Arial" w:cs="Arial" w:eastAsia="Arial" w:hAnsi="Arial"/>
          <w:sz w:val="18"/>
          <w:szCs w:val="18"/>
          <w:color w:val="auto"/>
        </w:rPr>
        <w:t>rights. The number of these claims may grow because of constant technological change in the markets in which we compete, the extensive patent coverage of existing technologies, the rapid rate of issuance of new patents, and our offering of first-party devices, such as Surface. To resolve these claims, we may enter into royalty and licensing agreements on terms that are less favorable than currently available, stop selling or redesign affected products or services, or pay damages to satisfy indemnification commitments with our customers. These outcomes may cause operating margins to decline. Besides money damages, in some jurisdictions plaintiffs can seek injunctive relief that may limit or prevent importing, marketing, and selling our products or services that have infringing technologies. In some countries, such as Germany, an injunction can be issued before the parties have fully litigated the validity of the underlying patents. We have paid significant amounts to settle claims related to the use of technology and intellectual property rights and to procure intellectual property rights as part of our strategy to manage this risk, and may continue to do so.</w:t>
      </w:r>
    </w:p>
    <w:p>
      <w:pPr>
        <w:spacing w:after="0" w:line="127" w:lineRule="exact"/>
        <w:rPr>
          <w:sz w:val="20"/>
          <w:szCs w:val="20"/>
          <w:color w:val="auto"/>
        </w:rPr>
      </w:pPr>
    </w:p>
    <w:p>
      <w:pPr>
        <w:jc w:val="both"/>
        <w:spacing w:after="0" w:line="243" w:lineRule="auto"/>
        <w:rPr>
          <w:sz w:val="20"/>
          <w:szCs w:val="20"/>
          <w:color w:val="auto"/>
        </w:rPr>
      </w:pPr>
      <w:r>
        <w:rPr>
          <w:rFonts w:ascii="Arial" w:cs="Arial" w:eastAsia="Arial" w:hAnsi="Arial"/>
          <w:sz w:val="18"/>
          <w:szCs w:val="18"/>
          <w:b w:val="1"/>
          <w:bCs w:val="1"/>
          <w:color w:val="auto"/>
        </w:rPr>
        <w:t xml:space="preserve">We may not be able to protect our source code from copying if there is an unauthorized disclosure of source code. </w:t>
      </w:r>
      <w:r>
        <w:rPr>
          <w:rFonts w:ascii="Arial" w:cs="Arial" w:eastAsia="Arial" w:hAnsi="Arial"/>
          <w:sz w:val="18"/>
          <w:szCs w:val="18"/>
          <w:color w:val="auto"/>
        </w:rPr>
        <w:t>Source code, the</w:t>
      </w:r>
      <w:r>
        <w:rPr>
          <w:rFonts w:ascii="Arial" w:cs="Arial" w:eastAsia="Arial" w:hAnsi="Arial"/>
          <w:sz w:val="18"/>
          <w:szCs w:val="18"/>
          <w:b w:val="1"/>
          <w:bCs w:val="1"/>
          <w:color w:val="auto"/>
        </w:rPr>
        <w:t xml:space="preserve"> </w:t>
      </w:r>
      <w:r>
        <w:rPr>
          <w:rFonts w:ascii="Arial" w:cs="Arial" w:eastAsia="Arial" w:hAnsi="Arial"/>
          <w:sz w:val="18"/>
          <w:szCs w:val="18"/>
          <w:color w:val="auto"/>
        </w:rPr>
        <w:t>detailed program commands for our operating systems and other software programs, is critical to our business. Although we license portions of our application and operating system source code to several licensees, we take significant measures to protect the secrecy of large portions of our source code. If a significant portion of our source code leaks, we might lose future trade secret protection for that source code. It may become easier for third parties to compete with our products by copying functionality, which could adversely affect our revenue and operating margins. Unauthorized disclosure of source code also could increase the security risks described in the next paragraph.</w:t>
      </w:r>
    </w:p>
    <w:p>
      <w:pPr>
        <w:spacing w:after="0" w:line="120" w:lineRule="exact"/>
        <w:rPr>
          <w:sz w:val="20"/>
          <w:szCs w:val="20"/>
          <w:color w:val="auto"/>
        </w:rPr>
      </w:pPr>
    </w:p>
    <w:p>
      <w:pPr>
        <w:jc w:val="both"/>
        <w:spacing w:after="0" w:line="245" w:lineRule="auto"/>
        <w:rPr>
          <w:sz w:val="20"/>
          <w:szCs w:val="20"/>
          <w:color w:val="auto"/>
        </w:rPr>
      </w:pPr>
      <w:r>
        <w:rPr>
          <w:rFonts w:ascii="Arial" w:cs="Arial" w:eastAsia="Arial" w:hAnsi="Arial"/>
          <w:sz w:val="18"/>
          <w:szCs w:val="18"/>
          <w:b w:val="1"/>
          <w:bCs w:val="1"/>
          <w:color w:val="auto"/>
        </w:rPr>
        <w:t>We may not be able to protect information on our products and services from use by others</w:t>
      </w:r>
      <w:r>
        <w:rPr>
          <w:rFonts w:ascii="Arial" w:cs="Arial" w:eastAsia="Arial" w:hAnsi="Arial"/>
          <w:sz w:val="18"/>
          <w:szCs w:val="18"/>
          <w:color w:val="auto"/>
        </w:rPr>
        <w:t>. LinkedIn and other Microsoft products and</w:t>
      </w:r>
      <w:r>
        <w:rPr>
          <w:rFonts w:ascii="Arial" w:cs="Arial" w:eastAsia="Arial" w:hAnsi="Arial"/>
          <w:sz w:val="18"/>
          <w:szCs w:val="18"/>
          <w:b w:val="1"/>
          <w:bCs w:val="1"/>
          <w:color w:val="auto"/>
        </w:rPr>
        <w:t xml:space="preserve"> </w:t>
      </w:r>
      <w:r>
        <w:rPr>
          <w:rFonts w:ascii="Arial" w:cs="Arial" w:eastAsia="Arial" w:hAnsi="Arial"/>
          <w:sz w:val="18"/>
          <w:szCs w:val="18"/>
          <w:color w:val="auto"/>
        </w:rPr>
        <w:t>services contain valuable information and content protected by contractual restrictions or technical measures. In certain cases, we have made commitments to our members and users to limit access to or use of this information. Changes in the law or interpretations of the law may weaken our ability to prevent third parties from scraping or gathering information or content through use of bots or other measures and using it for their own benefit, thus diminishing the value of our products and services.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289165"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54" w:name="page55"/>
    <w:bookmarkEnd w:id="54"/>
    <w:p>
      <w:pPr>
        <w:ind w:left="5480"/>
        <w:spacing w:after="0"/>
        <w:rPr>
          <w:sz w:val="20"/>
          <w:szCs w:val="20"/>
          <w:color w:val="auto"/>
        </w:rPr>
      </w:pPr>
      <w:r>
        <w:rPr>
          <w:rFonts w:ascii="Arial" w:cs="Arial" w:eastAsia="Arial" w:hAnsi="Arial"/>
          <w:sz w:val="14"/>
          <w:szCs w:val="14"/>
          <w:u w:val="single" w:color="auto"/>
          <w:color w:val="auto"/>
        </w:rPr>
        <w:t>PART II</w:t>
      </w:r>
    </w:p>
    <w:p>
      <w:pPr>
        <w:spacing w:after="0" w:line="5" w:lineRule="exact"/>
        <w:rPr>
          <w:sz w:val="20"/>
          <w:szCs w:val="20"/>
          <w:color w:val="auto"/>
        </w:rPr>
      </w:pPr>
    </w:p>
    <w:p>
      <w:pPr>
        <w:ind w:left="5480"/>
        <w:spacing w:after="0"/>
        <w:rPr>
          <w:sz w:val="20"/>
          <w:szCs w:val="20"/>
          <w:color w:val="auto"/>
        </w:rPr>
      </w:pPr>
      <w:r>
        <w:rPr>
          <w:rFonts w:ascii="Arial" w:cs="Arial" w:eastAsia="Arial" w:hAnsi="Arial"/>
          <w:sz w:val="14"/>
          <w:szCs w:val="14"/>
          <w:color w:val="auto"/>
        </w:rPr>
        <w:t>Item 1A</w:t>
      </w:r>
    </w:p>
    <w:p>
      <w:pPr>
        <w:spacing w:after="0" w:line="193" w:lineRule="exact"/>
        <w:rPr>
          <w:sz w:val="20"/>
          <w:szCs w:val="20"/>
          <w:color w:val="auto"/>
        </w:rPr>
      </w:pPr>
    </w:p>
    <w:p>
      <w:pPr>
        <w:jc w:val="both"/>
        <w:spacing w:after="0" w:line="288" w:lineRule="auto"/>
        <w:rPr>
          <w:sz w:val="20"/>
          <w:szCs w:val="20"/>
          <w:color w:val="auto"/>
        </w:rPr>
      </w:pPr>
      <w:r>
        <w:rPr>
          <w:rFonts w:ascii="Arial" w:cs="Arial" w:eastAsia="Arial" w:hAnsi="Arial"/>
          <w:sz w:val="18"/>
          <w:szCs w:val="18"/>
          <w:b w:val="1"/>
          <w:bCs w:val="1"/>
          <w:color w:val="auto"/>
        </w:rPr>
        <w:t>Cyber-attacks and security vulnerabilities could lead to reduced revenue, increased costs, liability claims, or harm to our competitive position.</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Security of Microsoft’s information technology</w:t>
      </w:r>
    </w:p>
    <w:p>
      <w:pPr>
        <w:spacing w:after="0" w:line="15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Threats to IT security can take a variety of forms. Individual and groups of hackers and sophisticated organizations, including state-sponsored organizations or nation-states, continuously undertake attacks that pose threats to our customers and our IT. These actors may use a wide variety of methods, which may include developing and deploying malicious software to attack our products and services and gain access to our networks and datacenters, using social engineering techniques to induce our employees, users, partners, or customers to disclose passwords or other sensitive information or take other actions to gain access to our data or our users’ or customers’ data, or acting in a coordinated manner to launch distributed denial of service or other coordinated attacks. Cyber threats are constantly evolving, increasing the difficulty of detecting and successfully defending against them. Cyber threats can have cascading impacts that unfold with increasing speed across our internal networks and systems and those of our partners and customers. Breaches of our network or data security could disrupt the security of our internal systems and business applications, impair our ability to provide services to our customers and protect the privacy of their data, result in product development delays, compromise confidential or technical business information harming our reputation or competitive position, result in theft or misuse of our intellectual property or other assets, require us to allocate more resources to improved technologies, or otherwise adversely affect our business.</w:t>
      </w:r>
    </w:p>
    <w:p>
      <w:pPr>
        <w:spacing w:after="0" w:line="130"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In addition, our internal IT environment continues to evolve. Often, we are early adopters of new devices and technologies. We embrace new ways of sharing data and communicating internally and with partners and customers using methods such as social networking and other consumer-oriented technologies. Our business policies and internal security controls may not keep pace with these changes as new threats emerge.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Security of our products, services, devices, and customers’ data</w:t>
      </w:r>
    </w:p>
    <w:p>
      <w:pPr>
        <w:spacing w:after="0" w:line="158"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The Security of our products and services is important in our customers’ decisions to purchase or use our products or services. Security threats are a challenge to companies like us whose business is technology products and services. Threats to our own IT infrastructure can also affect our customers. Customers using our cloud-based services rely on the security of our infrastructure to ensure the reliability of our services and the protection of their data. Hackers tend to focus their efforts on the most popular operating systems, programs, and services, including many of ours, and we expect that to continue. Hackers that acquire user account information at other companies can use that information to compromise our users’ accounts where accounts share the same attributes like passwords.</w:t>
      </w:r>
    </w:p>
    <w:p>
      <w:pPr>
        <w:spacing w:after="0" w:line="120"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To defend against security threats, both to our internal IT systems and those of our customers, we must continuously engineer more secure products and services, enhance security and reliability features, improve the deployment of software updates to address security vulnerabilities, develop mitigation technologies that help to secure customers from attacks even when software updates are not deployed, maintain the digital security infrastructure that protects the integrity of our network, products, and services, and provide customers security tools such as firewalls and anti-virus software.</w:t>
      </w:r>
    </w:p>
    <w:p>
      <w:pPr>
        <w:spacing w:after="0" w:line="118"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cost of these steps could reduce our operating margins. If we fail to do these things well, actual or perceived security vulnerabilities in our products and services could harm our reputation and lead customers to reduce or delay future purchases of products or subscriptions to services, or to use competing products or services. Customers may also spend more on protecting their existing computer systems from attack, which could delay adoption of additional products or services. Customers may fail to update their systems, continue to run software or operating systems we no longer support, or may fail timely to install security patches. Any of these actions by customers could adversely affect our revenue. Actual or perceived vulnerabilities may lead to claims against us. Our license agreements typically contain provisions that eliminate or limit our exposure to liability, there is no assurance these provisions will withstand legal challenges. At times, to achieve commercial objectives, we may enter into agreements with larger liability exposure. Legislative or regulatory action in these areas may increase the costs to develop, implement, or secure our products and services.</w:t>
      </w:r>
    </w:p>
    <w:p>
      <w:pPr>
        <w:spacing w:after="0" w:line="120" w:lineRule="exact"/>
        <w:rPr>
          <w:sz w:val="20"/>
          <w:szCs w:val="20"/>
          <w:color w:val="auto"/>
        </w:rPr>
      </w:pPr>
    </w:p>
    <w:p>
      <w:pPr>
        <w:jc w:val="both"/>
        <w:spacing w:after="0" w:line="245" w:lineRule="auto"/>
        <w:rPr>
          <w:sz w:val="20"/>
          <w:szCs w:val="20"/>
          <w:color w:val="auto"/>
        </w:rPr>
      </w:pPr>
      <w:r>
        <w:rPr>
          <w:rFonts w:ascii="Arial" w:cs="Arial" w:eastAsia="Arial" w:hAnsi="Arial"/>
          <w:sz w:val="18"/>
          <w:szCs w:val="18"/>
          <w:b w:val="1"/>
          <w:bCs w:val="1"/>
          <w:color w:val="auto"/>
        </w:rPr>
        <w:t xml:space="preserve">Disclosure of personal data could result in liability and harm our reputation. </w:t>
      </w:r>
      <w:r>
        <w:rPr>
          <w:rFonts w:ascii="Arial" w:cs="Arial" w:eastAsia="Arial" w:hAnsi="Arial"/>
          <w:sz w:val="18"/>
          <w:szCs w:val="18"/>
          <w:color w:val="auto"/>
        </w:rPr>
        <w:t>As we continue to grow the number and scale of our cloud-based offerings, we store and process increasingly large amounts of personally identifiable information of our customers. The continued occurrence of high-profile data breaches provides evidence of an external environment increasingly hostile to information security. Despite our efforts to improve the security controls across our business groups and geographies, it is possible our security controls over personal data, our training of employees and vendors on data security, and other practices we follow may not prevent the improper</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289165"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55" w:name="page56"/>
    <w:bookmarkEnd w:id="55"/>
    <w:p>
      <w:pPr>
        <w:ind w:left="5480"/>
        <w:spacing w:after="0"/>
        <w:rPr>
          <w:sz w:val="20"/>
          <w:szCs w:val="20"/>
          <w:color w:val="auto"/>
        </w:rPr>
      </w:pPr>
      <w:r>
        <w:rPr>
          <w:rFonts w:ascii="Arial" w:cs="Arial" w:eastAsia="Arial" w:hAnsi="Arial"/>
          <w:sz w:val="14"/>
          <w:szCs w:val="14"/>
          <w:u w:val="single" w:color="auto"/>
          <w:color w:val="auto"/>
        </w:rPr>
        <w:t>PART II</w:t>
      </w:r>
    </w:p>
    <w:p>
      <w:pPr>
        <w:spacing w:after="0" w:line="5" w:lineRule="exact"/>
        <w:rPr>
          <w:sz w:val="20"/>
          <w:szCs w:val="20"/>
          <w:color w:val="auto"/>
        </w:rPr>
      </w:pPr>
    </w:p>
    <w:p>
      <w:pPr>
        <w:ind w:left="5480"/>
        <w:spacing w:after="0"/>
        <w:rPr>
          <w:sz w:val="20"/>
          <w:szCs w:val="20"/>
          <w:color w:val="auto"/>
        </w:rPr>
      </w:pPr>
      <w:r>
        <w:rPr>
          <w:rFonts w:ascii="Arial" w:cs="Arial" w:eastAsia="Arial" w:hAnsi="Arial"/>
          <w:sz w:val="14"/>
          <w:szCs w:val="14"/>
          <w:color w:val="auto"/>
        </w:rPr>
        <w:t>Item 1A</w:t>
      </w:r>
    </w:p>
    <w:p>
      <w:pPr>
        <w:spacing w:after="0" w:line="127" w:lineRule="exact"/>
        <w:rPr>
          <w:sz w:val="20"/>
          <w:szCs w:val="20"/>
          <w:color w:val="auto"/>
        </w:rPr>
      </w:pPr>
    </w:p>
    <w:p>
      <w:pPr>
        <w:jc w:val="both"/>
        <w:spacing w:after="0"/>
        <w:rPr>
          <w:sz w:val="20"/>
          <w:szCs w:val="20"/>
          <w:color w:val="auto"/>
        </w:rPr>
      </w:pPr>
      <w:r>
        <w:rPr>
          <w:rFonts w:ascii="Arial" w:cs="Arial" w:eastAsia="Arial" w:hAnsi="Arial"/>
          <w:sz w:val="18"/>
          <w:szCs w:val="18"/>
          <w:color w:val="auto"/>
        </w:rPr>
        <w:t>disclosure of customer data we or our vendors store and manage. Improper disclosure could harm our reputation, lead to legal exposure to customers, or subject us to liability under laws that protect personal data, resulting in increased costs or loss of revenue. Our software products and services also enable our customers to store and process personal data on-premises or, increasingly, in a cloud-based environment we host. Government authorities can sometimes require us to produce customer data in response to valid legal orders. In the U.S. and elsewhere, we advocate for transparency concerning these requests and appropriate limitations on government authority to compel disclosure. Despite our efforts to protect customer data, perceptions that the collection, use, and retention of personal information is not satisfactorily protected could inhibit sales of our products or services, and could limit adoption of our cloud-based solutions by consumers, businesses, and government entities. Additional security measures we may take to address customer concerns, or constraints on our flexibility to determine where and how to operate datacenters in response to customer expectations or governmental rules or actions, may cause higher operating expenses.</w:t>
      </w:r>
    </w:p>
    <w:p>
      <w:pPr>
        <w:spacing w:after="0" w:line="120" w:lineRule="exact"/>
        <w:rPr>
          <w:sz w:val="20"/>
          <w:szCs w:val="20"/>
          <w:color w:val="auto"/>
        </w:rPr>
      </w:pPr>
    </w:p>
    <w:p>
      <w:pPr>
        <w:jc w:val="both"/>
        <w:spacing w:after="0" w:line="242" w:lineRule="auto"/>
        <w:rPr>
          <w:sz w:val="20"/>
          <w:szCs w:val="20"/>
          <w:color w:val="auto"/>
        </w:rPr>
      </w:pPr>
      <w:r>
        <w:rPr>
          <w:rFonts w:ascii="Arial" w:cs="Arial" w:eastAsia="Arial" w:hAnsi="Arial"/>
          <w:sz w:val="18"/>
          <w:szCs w:val="18"/>
          <w:b w:val="1"/>
          <w:bCs w:val="1"/>
          <w:color w:val="auto"/>
        </w:rPr>
        <w:t xml:space="preserve">Abuse of our advertising or social platforms may harm our reputation or user engagement. </w:t>
      </w:r>
      <w:r>
        <w:rPr>
          <w:rFonts w:ascii="Arial" w:cs="Arial" w:eastAsia="Arial" w:hAnsi="Arial"/>
          <w:sz w:val="18"/>
          <w:szCs w:val="18"/>
          <w:color w:val="auto"/>
        </w:rPr>
        <w:t>For LinkedIn, Bing Ads, and other products</w:t>
      </w:r>
      <w:r>
        <w:rPr>
          <w:rFonts w:ascii="Arial" w:cs="Arial" w:eastAsia="Arial" w:hAnsi="Arial"/>
          <w:sz w:val="18"/>
          <w:szCs w:val="18"/>
          <w:b w:val="1"/>
          <w:bCs w:val="1"/>
          <w:color w:val="auto"/>
        </w:rPr>
        <w:t xml:space="preserve"> </w:t>
      </w:r>
      <w:r>
        <w:rPr>
          <w:rFonts w:ascii="Arial" w:cs="Arial" w:eastAsia="Arial" w:hAnsi="Arial"/>
          <w:sz w:val="18"/>
          <w:szCs w:val="18"/>
          <w:color w:val="auto"/>
        </w:rPr>
        <w:t>and services that provide content or host ads that come from or can be influenced by third parties, our reputation or user engagement may be negatively affected by activity that is hostile or inappropriate to other people, by users impersonating other people or organizations, by use of our products or services to disseminate information that may be viewed as misleading or intended to manipulate the opinions of our users, or by the use of our products or services that violates our terms of service or otherwise for objectionable or illegal ends. Preventing these actions may require us to make substantial investments in people and technology and these investments may not be successful, adversely affecting our business and financial results.</w:t>
      </w:r>
    </w:p>
    <w:p>
      <w:pPr>
        <w:spacing w:after="0" w:line="11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b w:val="1"/>
          <w:bCs w:val="1"/>
          <w:color w:val="auto"/>
        </w:rPr>
        <w:t xml:space="preserve">We may have outages, data losses, and disruptions of our online services if we fail to maintain an adequate operations infrastructure. </w:t>
      </w:r>
      <w:r>
        <w:rPr>
          <w:rFonts w:ascii="Arial" w:cs="Arial" w:eastAsia="Arial" w:hAnsi="Arial"/>
          <w:sz w:val="18"/>
          <w:szCs w:val="18"/>
          <w:color w:val="auto"/>
        </w:rPr>
        <w:t>Our increasing user traffic, growth in services, and the complexity of our products and services demand more computing power.</w:t>
      </w:r>
      <w:r>
        <w:rPr>
          <w:rFonts w:ascii="Arial" w:cs="Arial" w:eastAsia="Arial" w:hAnsi="Arial"/>
          <w:sz w:val="18"/>
          <w:szCs w:val="18"/>
          <w:b w:val="1"/>
          <w:bCs w:val="1"/>
          <w:color w:val="auto"/>
        </w:rPr>
        <w:t xml:space="preserve"> </w:t>
      </w:r>
      <w:r>
        <w:rPr>
          <w:rFonts w:ascii="Arial" w:cs="Arial" w:eastAsia="Arial" w:hAnsi="Arial"/>
          <w:sz w:val="18"/>
          <w:szCs w:val="18"/>
          <w:color w:val="auto"/>
        </w:rPr>
        <w:t>We spend substantial amounts to build, purchase, or lease datacenters and equipment and to upgrade our technology and network infrastructure to handle more traffic on our websites and in our datacenters. These demands continue to increase as we introduce new products and services and support the growth of existing services such as Bing, Exchange Online, Microsoft Azure, Microsoft Account services, Office 365, OneDrive, SharePoint Online, Skype, Xbox Live, Outlook.com, and Windows Stores. We are rapidly growing our business of providing a platform and back-end hosting for services provided by third parties to their end users. Maintaining, securing, and expanding this infrastructure is expensive and complex. It requires that we maintain an Internet connectivity infrastructure that is robust and reliable within competitive and regulatory constraints that continue to evolve. Inefficiencies or operational failures, including temporary or permanent loss of customer data or insufficient Internet connectivity, could diminish the quality of our products, services, and user experience resulting in contractual liability, claims by customers and other third parties, regulatory actions, damage to our reputation, and loss of current and potential users, subscribers, and advertisers, each of which may harm our operating results and financial condition.</w:t>
      </w:r>
    </w:p>
    <w:p>
      <w:pPr>
        <w:spacing w:after="0" w:line="130" w:lineRule="exact"/>
        <w:rPr>
          <w:sz w:val="20"/>
          <w:szCs w:val="20"/>
          <w:color w:val="auto"/>
        </w:rPr>
      </w:pPr>
    </w:p>
    <w:p>
      <w:pPr>
        <w:jc w:val="both"/>
        <w:spacing w:after="0" w:line="245" w:lineRule="auto"/>
        <w:rPr>
          <w:sz w:val="20"/>
          <w:szCs w:val="20"/>
          <w:color w:val="auto"/>
        </w:rPr>
      </w:pPr>
      <w:r>
        <w:rPr>
          <w:rFonts w:ascii="Arial" w:cs="Arial" w:eastAsia="Arial" w:hAnsi="Arial"/>
          <w:sz w:val="18"/>
          <w:szCs w:val="18"/>
          <w:b w:val="1"/>
          <w:bCs w:val="1"/>
          <w:color w:val="auto"/>
        </w:rPr>
        <w:t xml:space="preserve">Government litigation and regulatory activity relating to competition rules may limit how we design and market our products. </w:t>
      </w:r>
      <w:r>
        <w:rPr>
          <w:rFonts w:ascii="Arial" w:cs="Arial" w:eastAsia="Arial" w:hAnsi="Arial"/>
          <w:sz w:val="18"/>
          <w:szCs w:val="18"/>
          <w:color w:val="auto"/>
        </w:rPr>
        <w:t>As a</w:t>
      </w:r>
      <w:r>
        <w:rPr>
          <w:rFonts w:ascii="Arial" w:cs="Arial" w:eastAsia="Arial" w:hAnsi="Arial"/>
          <w:sz w:val="18"/>
          <w:szCs w:val="18"/>
          <w:b w:val="1"/>
          <w:bCs w:val="1"/>
          <w:color w:val="auto"/>
        </w:rPr>
        <w:t xml:space="preserve"> </w:t>
      </w:r>
      <w:r>
        <w:rPr>
          <w:rFonts w:ascii="Arial" w:cs="Arial" w:eastAsia="Arial" w:hAnsi="Arial"/>
          <w:sz w:val="18"/>
          <w:szCs w:val="18"/>
          <w:color w:val="auto"/>
        </w:rPr>
        <w:t>leading global software and device maker, government agencies closely scrutinize us under U.S. and foreign competition laws. An increasing number of governments are regulating competition law activities and this includes increased scrutiny in potentially large markets such as the European Union (“EU”), the U.S., and China. Some jurisdictions also allow competitors or consumers to assert claims of anti-competitive conduct. U.S. federal and state antitrust authorities have previously brought enforcement actions and continue to scrutinize our business.</w:t>
      </w:r>
    </w:p>
    <w:p>
      <w:pPr>
        <w:spacing w:after="0" w:line="120"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The European Commission (“the Commission”) closely scrutinizes the design of high-volume Microsoft products and the terms on which we make certain technologies used in these products, such as file formats, programming interfaces, and protocols, available to other companies. Flagship product releases such as Windows 10 can receive significant scrutiny under competition laws. For example, in 2004, the Commission ordered us to create new versions of our Windows operating system that do not include certain multimedia technologies and to provide our competitors with specifications for how to implement certain proprietary Windows communications protocols in their own products. In 2009, the Commission accepted a set of commitments offered by Microsoft to address the Commission’s concerns relating to competition in web browsing software, including an undertaking to address Commission concerns relating to interoperability. The web browsing commitments expired in 2014. The remaining obligations may limit our ability to innovate in Windows or other products in the future, diminish the developer appeal of the Windows platform, and increase our product development costs. The availability of licenses related to protocols and file formats may enable competitors to develop software products that better mimic the functionality of our products, which could hamper sales of our products.</w:t>
      </w:r>
    </w:p>
    <w:p>
      <w:pPr>
        <w:spacing w:after="0" w:line="123"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Our portfolio of first-party devices continues to grow; at the same time our OEM partners offer a large variety of devices on our platforms. As a result, increasingly we both cooperate and compete with our OEM partners, creating a</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289165"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56" w:name="page57"/>
    <w:bookmarkEnd w:id="56"/>
    <w:p>
      <w:pPr>
        <w:ind w:left="5480"/>
        <w:spacing w:after="0"/>
        <w:rPr>
          <w:sz w:val="20"/>
          <w:szCs w:val="20"/>
          <w:color w:val="auto"/>
        </w:rPr>
      </w:pPr>
      <w:r>
        <w:rPr>
          <w:rFonts w:ascii="Arial" w:cs="Arial" w:eastAsia="Arial" w:hAnsi="Arial"/>
          <w:sz w:val="14"/>
          <w:szCs w:val="14"/>
          <w:u w:val="single" w:color="auto"/>
          <w:color w:val="auto"/>
        </w:rPr>
        <w:t>PART II</w:t>
      </w:r>
    </w:p>
    <w:p>
      <w:pPr>
        <w:spacing w:after="0" w:line="5" w:lineRule="exact"/>
        <w:rPr>
          <w:sz w:val="20"/>
          <w:szCs w:val="20"/>
          <w:color w:val="auto"/>
        </w:rPr>
      </w:pPr>
    </w:p>
    <w:p>
      <w:pPr>
        <w:ind w:left="5480"/>
        <w:spacing w:after="0"/>
        <w:rPr>
          <w:sz w:val="20"/>
          <w:szCs w:val="20"/>
          <w:color w:val="auto"/>
        </w:rPr>
      </w:pPr>
      <w:r>
        <w:rPr>
          <w:rFonts w:ascii="Arial" w:cs="Arial" w:eastAsia="Arial" w:hAnsi="Arial"/>
          <w:sz w:val="14"/>
          <w:szCs w:val="14"/>
          <w:color w:val="auto"/>
        </w:rPr>
        <w:t>Item 1A</w:t>
      </w:r>
    </w:p>
    <w:p>
      <w:pPr>
        <w:spacing w:after="0" w:line="127"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risk that we fail to do so in compliance with competition rules. Regulatory scrutiny in this area may increase. Certain foreign governments, particularly in China and other countries in Asia, have advanced arguments under their competition laws that exert downward pressure on royalties for our intellectual property. Because these jurisdictions only recently implemented competition laws, their enforcement activities are unpredictable.</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Government regulatory actions and court decisions such as these may hinder our ability to provide the benefits of our software to consumers and businesses, reducing the attractiveness of our products and the revenue that come from them. New competition law actions could be initiated. The outcome of such actions, or steps taken to avoid them, could adversely affect us in a variety of ways, including:</w:t>
      </w:r>
    </w:p>
    <w:p>
      <w:pPr>
        <w:spacing w:after="0" w:line="15" w:lineRule="exact"/>
        <w:rPr>
          <w:sz w:val="20"/>
          <w:szCs w:val="20"/>
          <w:color w:val="auto"/>
        </w:rPr>
      </w:pPr>
    </w:p>
    <w:p>
      <w:pPr>
        <w:jc w:val="both"/>
        <w:ind w:left="1060" w:hanging="390"/>
        <w:spacing w:after="0" w:line="255" w:lineRule="auto"/>
        <w:tabs>
          <w:tab w:leader="none" w:pos="10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 may have to choose between withdrawing products from certain geographies to avoid fines or designing and developing alternative versions of those products to comply with government rulings, which may entail a delay in a product release and removing functionality that customers want or on which developers rely.</w:t>
      </w:r>
    </w:p>
    <w:p>
      <w:pPr>
        <w:spacing w:after="0" w:line="15" w:lineRule="exact"/>
        <w:rPr>
          <w:rFonts w:ascii="Arial" w:cs="Arial" w:eastAsia="Arial" w:hAnsi="Arial"/>
          <w:sz w:val="18"/>
          <w:szCs w:val="18"/>
          <w:color w:val="auto"/>
        </w:rPr>
      </w:pPr>
    </w:p>
    <w:p>
      <w:pPr>
        <w:ind w:left="1060" w:hanging="390"/>
        <w:spacing w:after="0" w:line="274" w:lineRule="auto"/>
        <w:tabs>
          <w:tab w:leader="none" w:pos="10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 may be required to make available licenses to our proprietary technologies on terms that do not reflect their fair market value or do not protect our associated intellectual property.</w:t>
      </w:r>
    </w:p>
    <w:p>
      <w:pPr>
        <w:ind w:left="1060" w:hanging="390"/>
        <w:spacing w:after="0"/>
        <w:tabs>
          <w:tab w:leader="none" w:pos="10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rulings described above may be precedent in other competition law proceedings.</w:t>
      </w:r>
    </w:p>
    <w:p>
      <w:pPr>
        <w:spacing w:after="0" w:line="63" w:lineRule="exact"/>
        <w:rPr>
          <w:rFonts w:ascii="Arial" w:cs="Arial" w:eastAsia="Arial" w:hAnsi="Arial"/>
          <w:sz w:val="18"/>
          <w:szCs w:val="18"/>
          <w:color w:val="auto"/>
        </w:rPr>
      </w:pPr>
    </w:p>
    <w:p>
      <w:pPr>
        <w:jc w:val="both"/>
        <w:ind w:left="1060" w:hanging="390"/>
        <w:spacing w:after="0" w:line="255" w:lineRule="auto"/>
        <w:tabs>
          <w:tab w:leader="none" w:pos="10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 are subject to a variety of ongoing commitments because of court or administrative orders, consent decrees, or other voluntary actions we have taken. If we fail to comply with these commitments, we may incur litigation costs and be subject to substantial fines or other remedial actions.</w:t>
      </w:r>
    </w:p>
    <w:p>
      <w:pPr>
        <w:spacing w:after="0" w:line="15" w:lineRule="exact"/>
        <w:rPr>
          <w:rFonts w:ascii="Arial" w:cs="Arial" w:eastAsia="Arial" w:hAnsi="Arial"/>
          <w:sz w:val="18"/>
          <w:szCs w:val="18"/>
          <w:color w:val="auto"/>
        </w:rPr>
      </w:pPr>
    </w:p>
    <w:p>
      <w:pPr>
        <w:ind w:left="1060" w:hanging="390"/>
        <w:spacing w:after="0"/>
        <w:tabs>
          <w:tab w:leader="none" w:pos="10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ability to realize anticipated Windows 10 post-sale monetization opportunities may be limited.</w:t>
      </w:r>
    </w:p>
    <w:p>
      <w:pPr>
        <w:spacing w:after="0" w:line="156" w:lineRule="exact"/>
        <w:rPr>
          <w:sz w:val="20"/>
          <w:szCs w:val="20"/>
          <w:color w:val="auto"/>
        </w:rPr>
      </w:pPr>
    </w:p>
    <w:p>
      <w:pPr>
        <w:jc w:val="both"/>
        <w:spacing w:after="0" w:line="238" w:lineRule="auto"/>
        <w:rPr>
          <w:sz w:val="20"/>
          <w:szCs w:val="20"/>
          <w:color w:val="auto"/>
        </w:rPr>
      </w:pPr>
      <w:r>
        <w:rPr>
          <w:rFonts w:ascii="Arial" w:cs="Arial" w:eastAsia="Arial" w:hAnsi="Arial"/>
          <w:sz w:val="18"/>
          <w:szCs w:val="18"/>
          <w:b w:val="1"/>
          <w:bCs w:val="1"/>
          <w:color w:val="auto"/>
        </w:rPr>
        <w:t xml:space="preserve">Our global operations subject us to potential liability under anti-corruption, trade protection, and other laws and regulations. </w:t>
      </w:r>
      <w:r>
        <w:rPr>
          <w:rFonts w:ascii="Arial" w:cs="Arial" w:eastAsia="Arial" w:hAnsi="Arial"/>
          <w:sz w:val="18"/>
          <w:szCs w:val="18"/>
          <w:color w:val="auto"/>
        </w:rPr>
        <w:t>The</w:t>
      </w:r>
      <w:r>
        <w:rPr>
          <w:rFonts w:ascii="Arial" w:cs="Arial" w:eastAsia="Arial" w:hAnsi="Arial"/>
          <w:sz w:val="18"/>
          <w:szCs w:val="18"/>
          <w:b w:val="1"/>
          <w:bCs w:val="1"/>
          <w:color w:val="auto"/>
        </w:rPr>
        <w:t xml:space="preserve"> </w:t>
      </w:r>
      <w:r>
        <w:rPr>
          <w:rFonts w:ascii="Arial" w:cs="Arial" w:eastAsia="Arial" w:hAnsi="Arial"/>
          <w:sz w:val="18"/>
          <w:szCs w:val="18"/>
          <w:color w:val="auto"/>
        </w:rPr>
        <w:t>Foreign Corrupt Practices Act and other anti-corruption laws and regulations (“Anti-Corruption Laws”) prohibit corrupt payments by our employees, vendors, or agents. From time to time, we receive inquiries from authorities in the U.S. and elsewhere and reports from employees and others about our business activities outside the U.S. and our compliance with Anti-Corruption Laws. Specifically, we have been cooperating with authorities in the U.S. in connection with reports concerning our compliance with the Foreign Corrupt Practices Act in various countries. While we devote substantial resources to our global compliance programs and have implemented policies, training, and internal controls designed to reduce the risk of corrupt payments, our employees, vendors, or agents may violate our policies. Our failure to comply with Anti-Corruption Laws could result in significant fines and penalties, criminal sanctions against us, our officers, or our employees, prohibitions on the conduct of our business, and damage to our reputation. Operations outside the U.S. may be affected by changes in trade protection laws, policies, and measures, sanctions, and other regulatory requirements affecting trade and investment. We may be subject to legal liability and reputational damage if we sell goods or services in violation of U.S. trade sanctions on countries such as Iran, North Korea, Cuba, Sudan, and Syria.</w:t>
      </w:r>
    </w:p>
    <w:p>
      <w:pPr>
        <w:spacing w:after="0" w:line="132" w:lineRule="exact"/>
        <w:rPr>
          <w:sz w:val="20"/>
          <w:szCs w:val="20"/>
          <w:color w:val="auto"/>
        </w:rPr>
      </w:pPr>
    </w:p>
    <w:p>
      <w:pPr>
        <w:jc w:val="both"/>
        <w:spacing w:after="0"/>
        <w:rPr>
          <w:sz w:val="20"/>
          <w:szCs w:val="20"/>
          <w:color w:val="auto"/>
        </w:rPr>
      </w:pPr>
      <w:r>
        <w:rPr>
          <w:rFonts w:ascii="Arial" w:cs="Arial" w:eastAsia="Arial" w:hAnsi="Arial"/>
          <w:sz w:val="18"/>
          <w:szCs w:val="18"/>
          <w:color w:val="auto"/>
        </w:rPr>
        <w:t>Other regulatory areas that may apply to our products and online services offerings include user privacy, telecommunications, data storage and protection, and online content. For example, regulators may take the position that our offerings such as Skype are covered by laws regulating telecommunications services. Data protection authorities may assert that our collection, use, and management of customer data is inconsistent with their laws and regulations. Applying these laws and regulations to our business is often unclear, subject to change over time, and sometimes may conflict from jurisdiction to jurisdiction. Additionally, these laws and governments’ approach to their enforcement, and our products and services, are continuing to evolve. Compliance with these types of regulation may involve significant costs or require changes in products or business practices that result in reduced revenue. Noncompliance could result in the imposition of penalties or orders we stop the alleged noncompliant activity.</w:t>
      </w:r>
    </w:p>
    <w:p>
      <w:pPr>
        <w:spacing w:after="0" w:line="125" w:lineRule="exact"/>
        <w:rPr>
          <w:sz w:val="20"/>
          <w:szCs w:val="20"/>
          <w:color w:val="auto"/>
        </w:rPr>
      </w:pPr>
    </w:p>
    <w:p>
      <w:pPr>
        <w:jc w:val="both"/>
        <w:spacing w:after="0" w:line="239" w:lineRule="auto"/>
        <w:rPr>
          <w:sz w:val="20"/>
          <w:szCs w:val="20"/>
          <w:color w:val="auto"/>
        </w:rPr>
      </w:pPr>
      <w:r>
        <w:rPr>
          <w:rFonts w:ascii="Arial" w:cs="Arial" w:eastAsia="Arial" w:hAnsi="Arial"/>
          <w:sz w:val="18"/>
          <w:szCs w:val="18"/>
          <w:b w:val="1"/>
          <w:bCs w:val="1"/>
          <w:color w:val="auto"/>
        </w:rPr>
        <w:t xml:space="preserve">Laws and regulations relating to the handling of personal data may impede the adoption of our services or result in increased costs, legal claims, or fines against us. </w:t>
      </w:r>
      <w:r>
        <w:rPr>
          <w:rFonts w:ascii="Arial" w:cs="Arial" w:eastAsia="Arial" w:hAnsi="Arial"/>
          <w:sz w:val="18"/>
          <w:szCs w:val="18"/>
          <w:color w:val="auto"/>
        </w:rPr>
        <w:t>The growth of our Internet- and cloud-based services internationally relies increasingly on the movement of</w:t>
      </w:r>
      <w:r>
        <w:rPr>
          <w:rFonts w:ascii="Arial" w:cs="Arial" w:eastAsia="Arial" w:hAnsi="Arial"/>
          <w:sz w:val="18"/>
          <w:szCs w:val="18"/>
          <w:b w:val="1"/>
          <w:bCs w:val="1"/>
          <w:color w:val="auto"/>
        </w:rPr>
        <w:t xml:space="preserve"> </w:t>
      </w:r>
      <w:r>
        <w:rPr>
          <w:rFonts w:ascii="Arial" w:cs="Arial" w:eastAsia="Arial" w:hAnsi="Arial"/>
          <w:sz w:val="18"/>
          <w:szCs w:val="18"/>
          <w:color w:val="auto"/>
        </w:rPr>
        <w:t>data across national boundaries. Legal requirements relating to the collection, storage, handling, and transfer of personal data continue to evolve. For example, the EU and the U.S. formally entered into a new framework in July 2016 that provides a mechanism for companies to transfer data from EU member states to the U.S. This new framework, called the Privacy Shield, is intended to address shortcomings identified by the European Court of Justice in a predecessor mechanism. The Privacy Shield and other mechanisms are subject to review by the European courts, which may lead to uncertainty about the legal basis for data transfers across the Atlantic. In 2016, the EU adopted a new law governing data practices and privacy called the General Data Protection Regulation (“GDPR”), which becomes effective in May 2018. The law requires firms to meet new requirements regarding the handling of personal data. Engineering efforts to build new capabilities to facilitate compliance with the law may entail substantial expense and the diversion of engineering resources from other projects. If we are unable to engineer products that meet Microsoft’s legal duties or help our customers meet their</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289165"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57" w:name="page58"/>
    <w:bookmarkEnd w:id="57"/>
    <w:p>
      <w:pPr>
        <w:ind w:left="5480"/>
        <w:spacing w:after="0"/>
        <w:rPr>
          <w:sz w:val="20"/>
          <w:szCs w:val="20"/>
          <w:color w:val="auto"/>
        </w:rPr>
      </w:pPr>
      <w:r>
        <w:rPr>
          <w:rFonts w:ascii="Arial" w:cs="Arial" w:eastAsia="Arial" w:hAnsi="Arial"/>
          <w:sz w:val="14"/>
          <w:szCs w:val="14"/>
          <w:u w:val="single" w:color="auto"/>
          <w:color w:val="auto"/>
        </w:rPr>
        <w:t>PART II</w:t>
      </w:r>
    </w:p>
    <w:p>
      <w:pPr>
        <w:spacing w:after="0" w:line="5" w:lineRule="exact"/>
        <w:rPr>
          <w:sz w:val="20"/>
          <w:szCs w:val="20"/>
          <w:color w:val="auto"/>
        </w:rPr>
      </w:pPr>
    </w:p>
    <w:p>
      <w:pPr>
        <w:ind w:left="5480"/>
        <w:spacing w:after="0"/>
        <w:rPr>
          <w:sz w:val="20"/>
          <w:szCs w:val="20"/>
          <w:color w:val="auto"/>
        </w:rPr>
      </w:pPr>
      <w:r>
        <w:rPr>
          <w:rFonts w:ascii="Arial" w:cs="Arial" w:eastAsia="Arial" w:hAnsi="Arial"/>
          <w:sz w:val="14"/>
          <w:szCs w:val="14"/>
          <w:color w:val="auto"/>
        </w:rPr>
        <w:t>Item 1A</w:t>
      </w:r>
    </w:p>
    <w:p>
      <w:pPr>
        <w:spacing w:after="0" w:line="127"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obligations under the GDPR or other data regulations, we might experience reduced demand for our offerings. Non-compliance with the GDPR may result in monetary penalties of up to 4% of worldwide revenue.</w:t>
      </w:r>
    </w:p>
    <w:p>
      <w:pPr>
        <w:spacing w:after="0" w:line="91"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Ongoing legal reviews by regulators may result in burdensome or inconsistent requirements affecting the location and movement of our customer and internal employee data as well as the management of that data. Compliance may require changes in services, business practices, or internal systems that result in increased costs, lower revenue, reduced efficiency, or greater difficulty in competing with foreign-based firms. Failure to comply with existing or new rules may result in significant penalties or orders to stop the alleged noncompliant activity.</w:t>
      </w:r>
    </w:p>
    <w:p>
      <w:pPr>
        <w:spacing w:after="0" w:line="115" w:lineRule="exact"/>
        <w:rPr>
          <w:sz w:val="20"/>
          <w:szCs w:val="20"/>
          <w:color w:val="auto"/>
        </w:rPr>
      </w:pPr>
    </w:p>
    <w:p>
      <w:pPr>
        <w:jc w:val="both"/>
        <w:spacing w:after="0" w:line="241" w:lineRule="auto"/>
        <w:rPr>
          <w:sz w:val="20"/>
          <w:szCs w:val="20"/>
          <w:color w:val="auto"/>
        </w:rPr>
      </w:pPr>
      <w:r>
        <w:rPr>
          <w:rFonts w:ascii="Arial" w:cs="Arial" w:eastAsia="Arial" w:hAnsi="Arial"/>
          <w:sz w:val="18"/>
          <w:szCs w:val="18"/>
          <w:b w:val="1"/>
          <w:bCs w:val="1"/>
          <w:color w:val="auto"/>
        </w:rPr>
        <w:t xml:space="preserve">Our business depends on our ability to attract and retain talented employees. </w:t>
      </w:r>
      <w:r>
        <w:rPr>
          <w:rFonts w:ascii="Arial" w:cs="Arial" w:eastAsia="Arial" w:hAnsi="Arial"/>
          <w:sz w:val="18"/>
          <w:szCs w:val="18"/>
          <w:color w:val="auto"/>
        </w:rPr>
        <w:t>Our business is based on successfully attracting and</w:t>
      </w:r>
      <w:r>
        <w:rPr>
          <w:rFonts w:ascii="Arial" w:cs="Arial" w:eastAsia="Arial" w:hAnsi="Arial"/>
          <w:sz w:val="18"/>
          <w:szCs w:val="18"/>
          <w:b w:val="1"/>
          <w:bCs w:val="1"/>
          <w:color w:val="auto"/>
        </w:rPr>
        <w:t xml:space="preserve"> </w:t>
      </w:r>
      <w:r>
        <w:rPr>
          <w:rFonts w:ascii="Arial" w:cs="Arial" w:eastAsia="Arial" w:hAnsi="Arial"/>
          <w:sz w:val="18"/>
          <w:szCs w:val="18"/>
          <w:color w:val="auto"/>
        </w:rPr>
        <w:t>retaining talented employees. The market for highly skilled workers and leaders in our industry is extremely competitive. We are limited in our ability to recruit internationally by restrictive domestic immigration laws. Changes to U.S. immigration policies that restrain the flow of technical and professional talent may inhibit our ability to adequately staff our research and development efforts. If we are less successful in our recruiting efforts, or if we cannot retain key employees, our ability to develop and deliver successful products and services may be adversely affected. Effective succession planning is also important to our long-term success. Failure to ensure effective transfer of knowledge and smooth transitions involving key employees could hinder our strategic planning and execution. How employment-related laws are interpreted and applied to our workforce practices may result in increased operating costs and less flexibility in how we meet our workforce needs.</w:t>
      </w:r>
    </w:p>
    <w:p>
      <w:pPr>
        <w:spacing w:after="0" w:line="120" w:lineRule="exact"/>
        <w:rPr>
          <w:sz w:val="20"/>
          <w:szCs w:val="20"/>
          <w:color w:val="auto"/>
        </w:rPr>
      </w:pPr>
    </w:p>
    <w:p>
      <w:pPr>
        <w:jc w:val="both"/>
        <w:spacing w:after="0" w:line="242" w:lineRule="auto"/>
        <w:rPr>
          <w:sz w:val="20"/>
          <w:szCs w:val="20"/>
          <w:color w:val="auto"/>
        </w:rPr>
      </w:pPr>
      <w:r>
        <w:rPr>
          <w:rFonts w:ascii="Arial" w:cs="Arial" w:eastAsia="Arial" w:hAnsi="Arial"/>
          <w:sz w:val="18"/>
          <w:szCs w:val="18"/>
          <w:b w:val="1"/>
          <w:bCs w:val="1"/>
          <w:color w:val="auto"/>
        </w:rPr>
        <w:t xml:space="preserve">We have claims and lawsuits against us that may result in adverse outcomes. </w:t>
      </w:r>
      <w:r>
        <w:rPr>
          <w:rFonts w:ascii="Arial" w:cs="Arial" w:eastAsia="Arial" w:hAnsi="Arial"/>
          <w:sz w:val="18"/>
          <w:szCs w:val="18"/>
          <w:color w:val="auto"/>
        </w:rPr>
        <w:t>We are subject to a variety of claims and lawsuits. These</w:t>
      </w:r>
      <w:r>
        <w:rPr>
          <w:rFonts w:ascii="Arial" w:cs="Arial" w:eastAsia="Arial" w:hAnsi="Arial"/>
          <w:sz w:val="18"/>
          <w:szCs w:val="18"/>
          <w:b w:val="1"/>
          <w:bCs w:val="1"/>
          <w:color w:val="auto"/>
        </w:rPr>
        <w:t xml:space="preserve"> </w:t>
      </w:r>
      <w:r>
        <w:rPr>
          <w:rFonts w:ascii="Arial" w:cs="Arial" w:eastAsia="Arial" w:hAnsi="Arial"/>
          <w:sz w:val="18"/>
          <w:szCs w:val="18"/>
          <w:color w:val="auto"/>
        </w:rPr>
        <w:t>claims may arise from a wide variety of business practices and initiatives, including major new product releases such as Windows 10, significant business transactions, warranty or product claims, and employment practices. Adverse outcomes in some or all of these claims may result in significant monetary damages or injunctive relief that could adversely affect our ability to conduct our business. The litigation and other claims are subject to inherent uncertainties and management’s view of these matters may change in the future. A material adverse impact on our consolidated financial statements could occur for the period in which the effect of an unfavorable outcome becomes probable and reasonably estimable.</w:t>
      </w:r>
    </w:p>
    <w:p>
      <w:pPr>
        <w:spacing w:after="0" w:line="119" w:lineRule="exact"/>
        <w:rPr>
          <w:sz w:val="20"/>
          <w:szCs w:val="20"/>
          <w:color w:val="auto"/>
        </w:rPr>
      </w:pPr>
    </w:p>
    <w:p>
      <w:pPr>
        <w:jc w:val="both"/>
        <w:spacing w:after="0" w:line="242" w:lineRule="auto"/>
        <w:rPr>
          <w:sz w:val="20"/>
          <w:szCs w:val="20"/>
          <w:color w:val="auto"/>
        </w:rPr>
      </w:pPr>
      <w:r>
        <w:rPr>
          <w:rFonts w:ascii="Arial" w:cs="Arial" w:eastAsia="Arial" w:hAnsi="Arial"/>
          <w:sz w:val="18"/>
          <w:szCs w:val="18"/>
          <w:b w:val="1"/>
          <w:bCs w:val="1"/>
          <w:color w:val="auto"/>
        </w:rPr>
        <w:t xml:space="preserve">We may have additional tax liabilities. </w:t>
      </w:r>
      <w:r>
        <w:rPr>
          <w:rFonts w:ascii="Arial" w:cs="Arial" w:eastAsia="Arial" w:hAnsi="Arial"/>
          <w:sz w:val="18"/>
          <w:szCs w:val="18"/>
          <w:color w:val="auto"/>
        </w:rPr>
        <w:t>We are subject to income taxes in the U.S. and many foreign jurisdictions. Significant judgment is</w:t>
      </w:r>
      <w:r>
        <w:rPr>
          <w:rFonts w:ascii="Arial" w:cs="Arial" w:eastAsia="Arial" w:hAnsi="Arial"/>
          <w:sz w:val="18"/>
          <w:szCs w:val="18"/>
          <w:b w:val="1"/>
          <w:bCs w:val="1"/>
          <w:color w:val="auto"/>
        </w:rPr>
        <w:t xml:space="preserve"> </w:t>
      </w:r>
      <w:r>
        <w:rPr>
          <w:rFonts w:ascii="Arial" w:cs="Arial" w:eastAsia="Arial" w:hAnsi="Arial"/>
          <w:sz w:val="18"/>
          <w:szCs w:val="18"/>
          <w:color w:val="auto"/>
        </w:rPr>
        <w:t>required in determining our worldwide provision for income taxes. In the course of our business, there are many transactions and calculations where the ultimate tax determination is uncertain. We regularly are under audit by tax authorities in different jurisdictions. Economic and political pressures to increase tax revenue in various jurisdictions may make resolving tax disputes favorably more difficult. Although we believe our tax estimates are reasonable, the final determination of tax audits and any related litigation in the jurisdictions where we are subject to taxation could be materially different from our historical income tax provisions and accruals. The results of an audit or litigation could have a material effect on our consolidated financial statements in the period or periods in which that determination is made.</w:t>
      </w:r>
    </w:p>
    <w:p>
      <w:pPr>
        <w:spacing w:after="0" w:line="121"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We earn a significant amount of our operating income outside the U.S.; repatriation of funds currently held in foreign jurisdictions to the U.S., a change in the mix of earnings and losses in countries with differing statutory tax rates, or the expiration of or disputes about certain tax agreements in a particular country may result in higher effective tax rates for the Company. In addition, changes in U.S. federal and state or international tax laws applicable to corporate multinationals, other fundamental law changes currently being considered by many countries, including in the U.S., and changes in taxing jurisdictions’ administrative interpretations, decisions, policies, and positions may materially adversely impact our tax expense and cash flows.</w:t>
      </w:r>
    </w:p>
    <w:p>
      <w:pPr>
        <w:spacing w:after="0" w:line="118" w:lineRule="exact"/>
        <w:rPr>
          <w:sz w:val="20"/>
          <w:szCs w:val="20"/>
          <w:color w:val="auto"/>
        </w:rPr>
      </w:pPr>
    </w:p>
    <w:p>
      <w:pPr>
        <w:jc w:val="both"/>
        <w:spacing w:after="0" w:line="249" w:lineRule="auto"/>
        <w:rPr>
          <w:sz w:val="20"/>
          <w:szCs w:val="20"/>
          <w:color w:val="auto"/>
        </w:rPr>
      </w:pPr>
      <w:r>
        <w:rPr>
          <w:rFonts w:ascii="Arial" w:cs="Arial" w:eastAsia="Arial" w:hAnsi="Arial"/>
          <w:sz w:val="18"/>
          <w:szCs w:val="18"/>
          <w:b w:val="1"/>
          <w:bCs w:val="1"/>
          <w:color w:val="auto"/>
        </w:rPr>
        <w:t xml:space="preserve">We may experience quality or supply problems. </w:t>
      </w:r>
      <w:r>
        <w:rPr>
          <w:rFonts w:ascii="Arial" w:cs="Arial" w:eastAsia="Arial" w:hAnsi="Arial"/>
          <w:sz w:val="18"/>
          <w:szCs w:val="18"/>
          <w:color w:val="auto"/>
        </w:rPr>
        <w:t>Our vertically-integrated hardware products such as Xbox consoles, Surface devices, and</w:t>
      </w:r>
      <w:r>
        <w:rPr>
          <w:rFonts w:ascii="Arial" w:cs="Arial" w:eastAsia="Arial" w:hAnsi="Arial"/>
          <w:sz w:val="18"/>
          <w:szCs w:val="18"/>
          <w:b w:val="1"/>
          <w:bCs w:val="1"/>
          <w:color w:val="auto"/>
        </w:rPr>
        <w:t xml:space="preserve"> </w:t>
      </w:r>
      <w:r>
        <w:rPr>
          <w:rFonts w:ascii="Arial" w:cs="Arial" w:eastAsia="Arial" w:hAnsi="Arial"/>
          <w:sz w:val="18"/>
          <w:szCs w:val="18"/>
          <w:color w:val="auto"/>
        </w:rPr>
        <w:t>other devices we design, manufacture, and market are highly complex and can have defects in design, manufacture, or associated software. We could incur significant expenses, lost revenue, and reputational harm as a result of recalls, safety alerts, or product liability claims if we fail to prevent, detect, or address such issues through design, testing, or warranty repairs.</w:t>
      </w:r>
    </w:p>
    <w:p>
      <w:pPr>
        <w:spacing w:after="0" w:line="115"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Our software products also may experience quality or reliability problems. The highly-sophisticated software products we develop may contain bugs and other defects that interfere with their intended operation. Any defects we do not detect and fix in pre-release testing could cause reduced sales and revenue, damage to our reputation, repair or remediation costs, delays in the release of new products or versions, or legal liability. Although our license agreements typically contain provisions that eliminate or limit our exposure to liability, there is no assurance these provisions will withstand legal challenge.</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289165"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58" w:name="page59"/>
    <w:bookmarkEnd w:id="58"/>
    <w:p>
      <w:pPr>
        <w:ind w:left="5480"/>
        <w:spacing w:after="0"/>
        <w:rPr>
          <w:sz w:val="20"/>
          <w:szCs w:val="20"/>
          <w:color w:val="auto"/>
        </w:rPr>
      </w:pPr>
      <w:r>
        <w:rPr>
          <w:rFonts w:ascii="Arial" w:cs="Arial" w:eastAsia="Arial" w:hAnsi="Arial"/>
          <w:sz w:val="14"/>
          <w:szCs w:val="14"/>
          <w:u w:val="single" w:color="auto"/>
          <w:color w:val="auto"/>
        </w:rPr>
        <w:t>PART II</w:t>
      </w:r>
    </w:p>
    <w:p>
      <w:pPr>
        <w:spacing w:after="0" w:line="5" w:lineRule="exact"/>
        <w:rPr>
          <w:sz w:val="20"/>
          <w:szCs w:val="20"/>
          <w:color w:val="auto"/>
        </w:rPr>
      </w:pPr>
    </w:p>
    <w:p>
      <w:pPr>
        <w:ind w:left="5480"/>
        <w:spacing w:after="0"/>
        <w:rPr>
          <w:sz w:val="20"/>
          <w:szCs w:val="20"/>
          <w:color w:val="auto"/>
        </w:rPr>
      </w:pPr>
      <w:r>
        <w:rPr>
          <w:rFonts w:ascii="Arial" w:cs="Arial" w:eastAsia="Arial" w:hAnsi="Arial"/>
          <w:sz w:val="14"/>
          <w:szCs w:val="14"/>
          <w:color w:val="auto"/>
        </w:rPr>
        <w:t>Item 1A</w:t>
      </w:r>
    </w:p>
    <w:p>
      <w:pPr>
        <w:spacing w:after="0" w:line="127"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We acquire some device and datacenter components from sole suppliers. Our competitors use some of the same suppliers and their demand for hardware components can affect the capacity available to us. If a component from a sole-source supplier is delayed or becomes unavailable, whether because of supplier capacity constraint or industry shortages, we may not obtain timely replacement supplies, resulting in reduced sales or inadequate datacenter capacity. Component shortages, excess or obsolete inventory, or price reductions resulting in inventory adjustments may increase our cost of revenue. Xbox consoles, Surface devices, datacenter servers, and other hardware are assembled in Asia and other geographies that may be subject to disruptions in the supply chain, resulting in shortages that would affect our revenue and operating margins. These same risks would apply to any other vertically-integrated hardware and software products we may offer.</w:t>
      </w:r>
    </w:p>
    <w:p>
      <w:pPr>
        <w:spacing w:after="0" w:line="1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strive to empower all people and organizations to achieve more, and accessibility of our products is an important aspect of this goal. There is increasing pressure from advocacy groups, regulators, competitors, and customers to make technology more accessible. If our products do not meet customer expectations or emerging global accessibility requirements, we could lose sales opportunities or face regulatory actions.</w:t>
      </w:r>
    </w:p>
    <w:p>
      <w:pPr>
        <w:spacing w:after="0" w:line="108" w:lineRule="exact"/>
        <w:rPr>
          <w:sz w:val="20"/>
          <w:szCs w:val="20"/>
          <w:color w:val="auto"/>
        </w:rPr>
      </w:pPr>
    </w:p>
    <w:p>
      <w:pPr>
        <w:jc w:val="both"/>
        <w:spacing w:after="0" w:line="242" w:lineRule="auto"/>
        <w:rPr>
          <w:sz w:val="20"/>
          <w:szCs w:val="20"/>
          <w:color w:val="auto"/>
        </w:rPr>
      </w:pPr>
      <w:r>
        <w:rPr>
          <w:rFonts w:ascii="Arial" w:cs="Arial" w:eastAsia="Arial" w:hAnsi="Arial"/>
          <w:sz w:val="18"/>
          <w:szCs w:val="18"/>
          <w:b w:val="1"/>
          <w:bCs w:val="1"/>
          <w:color w:val="auto"/>
        </w:rPr>
        <w:t xml:space="preserve">Our global business exposes us to operational and economic risks. </w:t>
      </w:r>
      <w:r>
        <w:rPr>
          <w:rFonts w:ascii="Arial" w:cs="Arial" w:eastAsia="Arial" w:hAnsi="Arial"/>
          <w:sz w:val="18"/>
          <w:szCs w:val="18"/>
          <w:color w:val="auto"/>
        </w:rPr>
        <w:t>Our customers are located in over 200 countries and a significant part of</w:t>
      </w:r>
      <w:r>
        <w:rPr>
          <w:rFonts w:ascii="Arial" w:cs="Arial" w:eastAsia="Arial" w:hAnsi="Arial"/>
          <w:sz w:val="18"/>
          <w:szCs w:val="18"/>
          <w:b w:val="1"/>
          <w:bCs w:val="1"/>
          <w:color w:val="auto"/>
        </w:rPr>
        <w:t xml:space="preserve"> </w:t>
      </w:r>
      <w:r>
        <w:rPr>
          <w:rFonts w:ascii="Arial" w:cs="Arial" w:eastAsia="Arial" w:hAnsi="Arial"/>
          <w:sz w:val="18"/>
          <w:szCs w:val="18"/>
          <w:color w:val="auto"/>
        </w:rPr>
        <w:t>our revenue comes from international sales. The global nature of our business creates operational and economic risks. Emerging markets are a significant focus of our international growth strategy. The developing nature of these markets presents several risks, including deterioration of social, political, labor, or economic conditions in a country or region, and difficulties in staffing and managing foreign operations. Although we hedge a portion of our international currency exposure, significant fluctuations in foreign exchange rates between the U.S. dollar and foreign currencies may adversely affect our revenue. Competitive or regulatory pressure to make our pricing structure uniform might require that we reduce the sales price of our software in the U.S. and other countries.</w:t>
      </w:r>
    </w:p>
    <w:p>
      <w:pPr>
        <w:spacing w:after="0" w:line="119" w:lineRule="exact"/>
        <w:rPr>
          <w:sz w:val="20"/>
          <w:szCs w:val="20"/>
          <w:color w:val="auto"/>
        </w:rPr>
      </w:pPr>
    </w:p>
    <w:p>
      <w:pPr>
        <w:jc w:val="both"/>
        <w:spacing w:after="0" w:line="241" w:lineRule="auto"/>
        <w:rPr>
          <w:sz w:val="20"/>
          <w:szCs w:val="20"/>
          <w:color w:val="auto"/>
        </w:rPr>
      </w:pPr>
      <w:r>
        <w:rPr>
          <w:rFonts w:ascii="Arial" w:cs="Arial" w:eastAsia="Arial" w:hAnsi="Arial"/>
          <w:sz w:val="18"/>
          <w:szCs w:val="18"/>
          <w:b w:val="1"/>
          <w:bCs w:val="1"/>
          <w:color w:val="auto"/>
        </w:rPr>
        <w:t xml:space="preserve">Catastrophic events or geopolitical conditions may disrupt our business. </w:t>
      </w:r>
      <w:r>
        <w:rPr>
          <w:rFonts w:ascii="Arial" w:cs="Arial" w:eastAsia="Arial" w:hAnsi="Arial"/>
          <w:sz w:val="18"/>
          <w:szCs w:val="18"/>
          <w:color w:val="auto"/>
        </w:rPr>
        <w:t>A disruption or failure of our systems or operations because of a</w:t>
      </w:r>
      <w:r>
        <w:rPr>
          <w:rFonts w:ascii="Arial" w:cs="Arial" w:eastAsia="Arial" w:hAnsi="Arial"/>
          <w:sz w:val="18"/>
          <w:szCs w:val="18"/>
          <w:b w:val="1"/>
          <w:bCs w:val="1"/>
          <w:color w:val="auto"/>
        </w:rPr>
        <w:t xml:space="preserve"> </w:t>
      </w:r>
      <w:r>
        <w:rPr>
          <w:rFonts w:ascii="Arial" w:cs="Arial" w:eastAsia="Arial" w:hAnsi="Arial"/>
          <w:sz w:val="18"/>
          <w:szCs w:val="18"/>
          <w:color w:val="auto"/>
        </w:rPr>
        <w:t>major earthquake, weather event, cyber-attack, terrorist attack, or other catastrophic event could cause delays in completing sales, providing services, or performing other critical functions. Our corporate headquarters, a significant portion of our research and development activities, and certain other essential business operations are in the Seattle, Washington area, and we have other business operations in the Silicon Valley area of California, both of which are seismically active regions. A catastrophic event that results in the destruction or disruption of any of our critical business or IT systems could harm our ability to conduct normal business operations. Providing our customers with more services and solutions in the cloud puts a premium on the resilience of our systems and strength of our business continuity management plans, and magnifies the potential impact of prolonged service outages on our operating results.</w:t>
      </w:r>
    </w:p>
    <w:p>
      <w:pPr>
        <w:spacing w:after="0" w:line="122" w:lineRule="exact"/>
        <w:rPr>
          <w:sz w:val="20"/>
          <w:szCs w:val="20"/>
          <w:color w:val="auto"/>
        </w:rPr>
      </w:pPr>
    </w:p>
    <w:p>
      <w:pPr>
        <w:jc w:val="both"/>
        <w:spacing w:after="0"/>
        <w:rPr>
          <w:sz w:val="20"/>
          <w:szCs w:val="20"/>
          <w:color w:val="auto"/>
        </w:rPr>
      </w:pPr>
      <w:r>
        <w:rPr>
          <w:rFonts w:ascii="Arial" w:cs="Arial" w:eastAsia="Arial" w:hAnsi="Arial"/>
          <w:sz w:val="18"/>
          <w:szCs w:val="18"/>
          <w:color w:val="auto"/>
        </w:rPr>
        <w:t>Abrupt political change, terrorist activity, and armed conflict pose a risk of general economic disruption in affected countries, which may increase our operating costs. These conditions also may add uncertainty to the timing and budget for technology investment decisions by our customers, and may cause supply chain disruptions for hardware manufacturers. Geopolitical change may result in changing regulatory requirements that could impact our operating strategies, access to global markets, hiring, and profitability. Geopolitical instability may lead to sanctions and impact our ability to do business in some markets or with some public-sector customers. Emerging nationalist trends in specific countries may significantly alter the trade environment. Changes to trade policy or agreements may result in higher tariffs, local sourcing initiatives, or other developments that make it more difficult to sell our products in foreign countries. Any of these changes may negatively impact our revenues.</w:t>
      </w:r>
    </w:p>
    <w:p>
      <w:pPr>
        <w:spacing w:after="0" w:line="127"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The long-term effects of climate change on the global economy or the IT industry in particular are unclear. Environmental regulations or changes in the supply, demand or available sources of energy or other natural resources may affect the availability or cost of goods and services, including natural resources, necessary to run our business. Changes in weather where we operate may increase the costs of powering and cooling computer hardware we use to develop software and provide cloud-based services.</w:t>
      </w:r>
    </w:p>
    <w:p>
      <w:pPr>
        <w:spacing w:after="0" w:line="115" w:lineRule="exact"/>
        <w:rPr>
          <w:sz w:val="20"/>
          <w:szCs w:val="20"/>
          <w:color w:val="auto"/>
        </w:rPr>
      </w:pPr>
    </w:p>
    <w:p>
      <w:pPr>
        <w:jc w:val="both"/>
        <w:spacing w:after="0" w:line="243" w:lineRule="auto"/>
        <w:rPr>
          <w:sz w:val="20"/>
          <w:szCs w:val="20"/>
          <w:color w:val="auto"/>
        </w:rPr>
      </w:pPr>
      <w:r>
        <w:rPr>
          <w:rFonts w:ascii="Arial" w:cs="Arial" w:eastAsia="Arial" w:hAnsi="Arial"/>
          <w:sz w:val="18"/>
          <w:szCs w:val="18"/>
          <w:b w:val="1"/>
          <w:bCs w:val="1"/>
          <w:color w:val="auto"/>
        </w:rPr>
        <w:t xml:space="preserve">Adverse economic or market conditions may harm our business. </w:t>
      </w:r>
      <w:r>
        <w:rPr>
          <w:rFonts w:ascii="Arial" w:cs="Arial" w:eastAsia="Arial" w:hAnsi="Arial"/>
          <w:sz w:val="18"/>
          <w:szCs w:val="18"/>
          <w:color w:val="auto"/>
        </w:rPr>
        <w:t>Worsening economic conditions, including inflation, recession, or other</w:t>
      </w:r>
      <w:r>
        <w:rPr>
          <w:rFonts w:ascii="Arial" w:cs="Arial" w:eastAsia="Arial" w:hAnsi="Arial"/>
          <w:sz w:val="18"/>
          <w:szCs w:val="18"/>
          <w:b w:val="1"/>
          <w:bCs w:val="1"/>
          <w:color w:val="auto"/>
        </w:rPr>
        <w:t xml:space="preserve"> </w:t>
      </w:r>
      <w:r>
        <w:rPr>
          <w:rFonts w:ascii="Arial" w:cs="Arial" w:eastAsia="Arial" w:hAnsi="Arial"/>
          <w:sz w:val="18"/>
          <w:szCs w:val="18"/>
          <w:color w:val="auto"/>
        </w:rPr>
        <w:t>changes in economic conditions, may cause lower IT spending and adversely affect our revenue. If demand for PCs, servers, and other computing devices declines, or consumer or business spending for those products declines, our revenue will be adversely affected. Substantial revenue comes from our U.S. government contracts. An extended federal government shutdown resulting from failing to pass budget appropriations, adopt continuing funding resolutions or raise the debt ceiling, and other budgetary decisions limiting or delaying federal government spending, could reduce government IT spending on our products and services and adversely affect our revenue.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289165"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59" w:name="page60"/>
    <w:bookmarkEnd w:id="59"/>
    <w:p>
      <w:pPr>
        <w:ind w:left="5480"/>
        <w:spacing w:after="0"/>
        <w:rPr>
          <w:sz w:val="20"/>
          <w:szCs w:val="20"/>
          <w:color w:val="auto"/>
        </w:rPr>
      </w:pPr>
      <w:r>
        <w:rPr>
          <w:rFonts w:ascii="Arial" w:cs="Arial" w:eastAsia="Arial" w:hAnsi="Arial"/>
          <w:sz w:val="14"/>
          <w:szCs w:val="14"/>
          <w:u w:val="single" w:color="auto"/>
          <w:color w:val="auto"/>
        </w:rPr>
        <w:t>PART II</w:t>
      </w:r>
    </w:p>
    <w:p>
      <w:pPr>
        <w:spacing w:after="0" w:line="5" w:lineRule="exact"/>
        <w:rPr>
          <w:sz w:val="20"/>
          <w:szCs w:val="20"/>
          <w:color w:val="auto"/>
        </w:rPr>
      </w:pPr>
    </w:p>
    <w:p>
      <w:pPr>
        <w:ind w:left="5480"/>
        <w:spacing w:after="0"/>
        <w:rPr>
          <w:sz w:val="20"/>
          <w:szCs w:val="20"/>
          <w:color w:val="auto"/>
        </w:rPr>
      </w:pPr>
      <w:r>
        <w:rPr>
          <w:rFonts w:ascii="Arial" w:cs="Arial" w:eastAsia="Arial" w:hAnsi="Arial"/>
          <w:sz w:val="14"/>
          <w:szCs w:val="14"/>
          <w:color w:val="auto"/>
        </w:rPr>
        <w:t>Item 1A</w:t>
      </w:r>
    </w:p>
    <w:p>
      <w:pPr>
        <w:spacing w:after="0" w:line="1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product distribution system relies on an extensive partner and retail network. OEMs building devices that run our software have also been a significant means of distribution. The impact of economic conditions on our partners, such as the bankruptcy of a major distributor, OEM, or retailer, could cause sales channel disruption.</w:t>
      </w:r>
    </w:p>
    <w:p>
      <w:pPr>
        <w:spacing w:after="0" w:line="110"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Challenging economic conditions also may impair the ability of our customers to pay for products and services they have purchased. As a result, allowances for doubtful accounts and write-offs of accounts receivable may increase.</w:t>
      </w:r>
    </w:p>
    <w:p>
      <w:pPr>
        <w:spacing w:after="0" w:line="91"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We maintain an investment portfolio of various holdings, types, and maturities. These investments are subject to general credit, liquidity, market, and interest rate risks, which may be exacerbated by unusual events that affect global financial markets. A significant part of our investment portfolio comprises U.S. government securities. If global credit and equity markets decline for long periods, or if there is a downgrade of the U.S. government credit rating due to an actual or threatened default on government debt, our investment portfolio may be adversely affected and we could determine that more of our investments have experienced an other-than-temporary decline in fair value, requiring impairment charges that could adversely affect our financial results.</w:t>
      </w:r>
    </w:p>
    <w:p>
      <w:pPr>
        <w:spacing w:after="0" w:line="118" w:lineRule="exact"/>
        <w:rPr>
          <w:sz w:val="20"/>
          <w:szCs w:val="20"/>
          <w:color w:val="auto"/>
        </w:rPr>
      </w:pPr>
    </w:p>
    <w:p>
      <w:pPr>
        <w:jc w:val="both"/>
        <w:spacing w:after="0" w:line="243" w:lineRule="auto"/>
        <w:rPr>
          <w:sz w:val="20"/>
          <w:szCs w:val="20"/>
          <w:color w:val="auto"/>
        </w:rPr>
      </w:pPr>
      <w:r>
        <w:rPr>
          <w:rFonts w:ascii="Arial" w:cs="Arial" w:eastAsia="Arial" w:hAnsi="Arial"/>
          <w:sz w:val="18"/>
          <w:szCs w:val="18"/>
          <w:b w:val="1"/>
          <w:bCs w:val="1"/>
          <w:color w:val="auto"/>
        </w:rPr>
        <w:t xml:space="preserve">Changes in our sales organization may impact revenues. </w:t>
      </w:r>
      <w:r>
        <w:rPr>
          <w:rFonts w:ascii="Arial" w:cs="Arial" w:eastAsia="Arial" w:hAnsi="Arial"/>
          <w:sz w:val="18"/>
          <w:szCs w:val="18"/>
          <w:color w:val="auto"/>
        </w:rPr>
        <w:t>In July 2017, we announced plans to reorganize our global sales organization to</w:t>
      </w:r>
      <w:r>
        <w:rPr>
          <w:rFonts w:ascii="Arial" w:cs="Arial" w:eastAsia="Arial" w:hAnsi="Arial"/>
          <w:sz w:val="18"/>
          <w:szCs w:val="18"/>
          <w:b w:val="1"/>
          <w:bCs w:val="1"/>
          <w:color w:val="auto"/>
        </w:rPr>
        <w:t xml:space="preserve"> </w:t>
      </w:r>
      <w:r>
        <w:rPr>
          <w:rFonts w:ascii="Arial" w:cs="Arial" w:eastAsia="Arial" w:hAnsi="Arial"/>
          <w:sz w:val="18"/>
          <w:szCs w:val="18"/>
          <w:color w:val="auto"/>
        </w:rPr>
        <w:t>help enable customers’ digital transformation, add greater technical ability to our sales force, and create pooled resources that can be used across countries and industries. The reorganization is the most significant change in our global sales organization in Microsoft’s history, involving employees changing roles, adding additional talent, realigning teams, and onboarding new partners. Successfully executing these changes will be a significant factor in enabling future revenue growth. As we navigate through this transition, sales, profitability, and cash flow could be adversely impacted.</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289165"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60" w:name="page61"/>
    <w:bookmarkEnd w:id="60"/>
    <w:p>
      <w:pPr>
        <w:ind w:left="5480"/>
        <w:spacing w:after="0"/>
        <w:rPr>
          <w:sz w:val="20"/>
          <w:szCs w:val="20"/>
          <w:color w:val="auto"/>
        </w:rPr>
      </w:pPr>
      <w:r>
        <w:rPr>
          <w:rFonts w:ascii="Arial" w:cs="Arial" w:eastAsia="Arial" w:hAnsi="Arial"/>
          <w:sz w:val="14"/>
          <w:szCs w:val="14"/>
          <w:u w:val="single" w:color="auto"/>
          <w:color w:val="auto"/>
        </w:rPr>
        <w:t>PART II</w:t>
      </w:r>
    </w:p>
    <w:p>
      <w:pPr>
        <w:spacing w:after="0" w:line="5" w:lineRule="exact"/>
        <w:rPr>
          <w:sz w:val="20"/>
          <w:szCs w:val="20"/>
          <w:color w:val="auto"/>
        </w:rPr>
      </w:pPr>
    </w:p>
    <w:p>
      <w:pPr>
        <w:ind w:left="5520"/>
        <w:spacing w:after="0"/>
        <w:rPr>
          <w:sz w:val="20"/>
          <w:szCs w:val="20"/>
          <w:color w:val="auto"/>
        </w:rPr>
      </w:pPr>
      <w:r>
        <w:rPr>
          <w:rFonts w:ascii="Arial" w:cs="Arial" w:eastAsia="Arial" w:hAnsi="Arial"/>
          <w:sz w:val="14"/>
          <w:szCs w:val="14"/>
          <w:color w:val="auto"/>
        </w:rPr>
        <w:t>Item 2</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ITEM 2. UNREGISTERED SALES OF EQUITY SECURITIES AND USE OF PROCEEDS</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DIVIDENDS AND SHARE REPURCHASES</w:t>
      </w:r>
    </w:p>
    <w:p>
      <w:pPr>
        <w:spacing w:after="0" w:line="185" w:lineRule="exact"/>
        <w:rPr>
          <w:sz w:val="20"/>
          <w:szCs w:val="20"/>
          <w:color w:val="auto"/>
        </w:rPr>
      </w:pPr>
    </w:p>
    <w:p>
      <w:pPr>
        <w:spacing w:after="0" w:line="292" w:lineRule="auto"/>
        <w:rPr>
          <w:sz w:val="20"/>
          <w:szCs w:val="20"/>
          <w:color w:val="auto"/>
        </w:rPr>
      </w:pPr>
      <w:r>
        <w:rPr>
          <w:rFonts w:ascii="Arial" w:cs="Arial" w:eastAsia="Arial" w:hAnsi="Arial"/>
          <w:sz w:val="18"/>
          <w:szCs w:val="18"/>
          <w:color w:val="auto"/>
        </w:rPr>
        <w:t>Refer to Note 17 – Stockholders’ Equity of the Notes to Financial Statements (Part I, Item 1 of this Form 10-Q) for further discussion regarding dividends and share repurchases. Following are our monthly stock repurchases for the first quarter of fiscal year 2018:</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70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Total Number of</w:t>
            </w:r>
          </w:p>
        </w:tc>
        <w:tc>
          <w:tcPr>
            <w:tcW w:w="400" w:type="dxa"/>
            <w:vAlign w:val="bottom"/>
          </w:tcPr>
          <w:p>
            <w:pPr>
              <w:spacing w:after="0"/>
              <w:rPr>
                <w:sz w:val="14"/>
                <w:szCs w:val="14"/>
                <w:color w:val="auto"/>
              </w:rPr>
            </w:pPr>
          </w:p>
        </w:tc>
        <w:tc>
          <w:tcPr>
            <w:tcW w:w="2040" w:type="dxa"/>
            <w:vAlign w:val="bottom"/>
            <w:gridSpan w:val="2"/>
            <w:vMerge w:val="restart"/>
          </w:tcPr>
          <w:p>
            <w:pPr>
              <w:jc w:val="right"/>
              <w:ind w:right="60"/>
              <w:spacing w:after="0"/>
              <w:rPr>
                <w:sz w:val="20"/>
                <w:szCs w:val="20"/>
                <w:color w:val="auto"/>
              </w:rPr>
            </w:pPr>
            <w:r>
              <w:rPr>
                <w:rFonts w:ascii="Arial" w:cs="Arial" w:eastAsia="Arial" w:hAnsi="Arial"/>
                <w:sz w:val="14"/>
                <w:szCs w:val="14"/>
                <w:b w:val="1"/>
                <w:bCs w:val="1"/>
                <w:color w:val="auto"/>
              </w:rPr>
              <w:t>Approximate Dollar Value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1240" w:type="dxa"/>
            <w:vAlign w:val="bottom"/>
            <w:gridSpan w:val="2"/>
            <w:vMerge w:val="restart"/>
          </w:tcPr>
          <w:p>
            <w:pPr>
              <w:jc w:val="right"/>
              <w:ind w:right="120"/>
              <w:spacing w:after="0"/>
              <w:rPr>
                <w:sz w:val="20"/>
                <w:szCs w:val="20"/>
                <w:color w:val="auto"/>
              </w:rPr>
            </w:pPr>
            <w:r>
              <w:rPr>
                <w:rFonts w:ascii="Arial" w:cs="Arial" w:eastAsia="Arial" w:hAnsi="Arial"/>
                <w:sz w:val="14"/>
                <w:szCs w:val="14"/>
                <w:b w:val="1"/>
                <w:bCs w:val="1"/>
                <w:color w:val="auto"/>
              </w:rPr>
              <w:t>Total Number</w:t>
            </w:r>
          </w:p>
        </w:tc>
        <w:tc>
          <w:tcPr>
            <w:tcW w:w="340" w:type="dxa"/>
            <w:vAlign w:val="bottom"/>
          </w:tcPr>
          <w:p>
            <w:pPr>
              <w:spacing w:after="0"/>
              <w:rPr>
                <w:sz w:val="12"/>
                <w:szCs w:val="12"/>
                <w:color w:val="auto"/>
              </w:rPr>
            </w:pPr>
          </w:p>
        </w:tc>
        <w:tc>
          <w:tcPr>
            <w:tcW w:w="1120" w:type="dxa"/>
            <w:vAlign w:val="bottom"/>
            <w:vMerge w:val="restart"/>
          </w:tcPr>
          <w:p>
            <w:pPr>
              <w:jc w:val="right"/>
              <w:ind w:right="261"/>
              <w:spacing w:after="0"/>
              <w:rPr>
                <w:sz w:val="20"/>
                <w:szCs w:val="20"/>
                <w:color w:val="auto"/>
              </w:rPr>
            </w:pPr>
            <w:r>
              <w:rPr>
                <w:rFonts w:ascii="Arial" w:cs="Arial" w:eastAsia="Arial" w:hAnsi="Arial"/>
                <w:sz w:val="14"/>
                <w:szCs w:val="14"/>
                <w:b w:val="1"/>
                <w:bCs w:val="1"/>
                <w:color w:val="auto"/>
              </w:rPr>
              <w:t>Average</w:t>
            </w:r>
          </w:p>
        </w:tc>
        <w:tc>
          <w:tcPr>
            <w:tcW w:w="170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Shares Purchased as</w:t>
            </w:r>
          </w:p>
        </w:tc>
        <w:tc>
          <w:tcPr>
            <w:tcW w:w="400" w:type="dxa"/>
            <w:vAlign w:val="bottom"/>
          </w:tcPr>
          <w:p>
            <w:pPr>
              <w:spacing w:after="0"/>
              <w:rPr>
                <w:sz w:val="12"/>
                <w:szCs w:val="12"/>
                <w:color w:val="auto"/>
              </w:rPr>
            </w:pPr>
          </w:p>
        </w:tc>
        <w:tc>
          <w:tcPr>
            <w:tcW w:w="20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170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Part of Publicly</w:t>
            </w:r>
          </w:p>
        </w:tc>
        <w:tc>
          <w:tcPr>
            <w:tcW w:w="400" w:type="dxa"/>
            <w:vAlign w:val="bottom"/>
          </w:tcPr>
          <w:p>
            <w:pPr>
              <w:spacing w:after="0"/>
              <w:rPr>
                <w:sz w:val="12"/>
                <w:szCs w:val="12"/>
                <w:color w:val="auto"/>
              </w:rPr>
            </w:pPr>
          </w:p>
        </w:tc>
        <w:tc>
          <w:tcPr>
            <w:tcW w:w="2040" w:type="dxa"/>
            <w:vAlign w:val="bottom"/>
            <w:gridSpan w:val="2"/>
          </w:tcPr>
          <w:p>
            <w:pPr>
              <w:jc w:val="right"/>
              <w:ind w:right="60"/>
              <w:spacing w:after="0" w:line="149" w:lineRule="exact"/>
              <w:rPr>
                <w:sz w:val="20"/>
                <w:szCs w:val="20"/>
                <w:color w:val="auto"/>
              </w:rPr>
            </w:pPr>
            <w:r>
              <w:rPr>
                <w:rFonts w:ascii="Arial" w:cs="Arial" w:eastAsia="Arial" w:hAnsi="Arial"/>
                <w:sz w:val="14"/>
                <w:szCs w:val="14"/>
                <w:b w:val="1"/>
                <w:bCs w:val="1"/>
                <w:color w:val="auto"/>
              </w:rPr>
              <w:t>Shares that May Yet be</w:t>
            </w:r>
          </w:p>
        </w:tc>
        <w:tc>
          <w:tcPr>
            <w:tcW w:w="0" w:type="dxa"/>
            <w:vAlign w:val="bottom"/>
          </w:tcPr>
          <w:p>
            <w:pPr>
              <w:spacing w:after="0"/>
              <w:rPr>
                <w:sz w:val="1"/>
                <w:szCs w:val="1"/>
                <w:color w:val="auto"/>
              </w:rPr>
            </w:pPr>
          </w:p>
        </w:tc>
      </w:tr>
      <w:tr>
        <w:trPr>
          <w:trHeight w:val="149"/>
        </w:trPr>
        <w:tc>
          <w:tcPr>
            <w:tcW w:w="45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Period</w:t>
            </w:r>
          </w:p>
        </w:tc>
        <w:tc>
          <w:tcPr>
            <w:tcW w:w="124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of Shares</w:t>
            </w:r>
          </w:p>
        </w:tc>
        <w:tc>
          <w:tcPr>
            <w:tcW w:w="340" w:type="dxa"/>
            <w:vAlign w:val="bottom"/>
          </w:tcPr>
          <w:p>
            <w:pPr>
              <w:spacing w:after="0"/>
              <w:rPr>
                <w:sz w:val="12"/>
                <w:szCs w:val="12"/>
                <w:color w:val="auto"/>
              </w:rPr>
            </w:pPr>
          </w:p>
        </w:tc>
        <w:tc>
          <w:tcPr>
            <w:tcW w:w="1120" w:type="dxa"/>
            <w:vAlign w:val="bottom"/>
          </w:tcPr>
          <w:p>
            <w:pPr>
              <w:jc w:val="right"/>
              <w:ind w:right="261"/>
              <w:spacing w:after="0" w:line="149" w:lineRule="exact"/>
              <w:rPr>
                <w:sz w:val="20"/>
                <w:szCs w:val="20"/>
                <w:color w:val="auto"/>
              </w:rPr>
            </w:pPr>
            <w:r>
              <w:rPr>
                <w:rFonts w:ascii="Arial" w:cs="Arial" w:eastAsia="Arial" w:hAnsi="Arial"/>
                <w:sz w:val="14"/>
                <w:szCs w:val="14"/>
                <w:b w:val="1"/>
                <w:bCs w:val="1"/>
                <w:color w:val="auto"/>
              </w:rPr>
              <w:t>Price Paid</w:t>
            </w:r>
          </w:p>
        </w:tc>
        <w:tc>
          <w:tcPr>
            <w:tcW w:w="170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Announced Plans</w:t>
            </w:r>
          </w:p>
        </w:tc>
        <w:tc>
          <w:tcPr>
            <w:tcW w:w="400" w:type="dxa"/>
            <w:vAlign w:val="bottom"/>
          </w:tcPr>
          <w:p>
            <w:pPr>
              <w:spacing w:after="0"/>
              <w:rPr>
                <w:sz w:val="12"/>
                <w:szCs w:val="12"/>
                <w:color w:val="auto"/>
              </w:rPr>
            </w:pPr>
          </w:p>
        </w:tc>
        <w:tc>
          <w:tcPr>
            <w:tcW w:w="2040" w:type="dxa"/>
            <w:vAlign w:val="bottom"/>
            <w:gridSpan w:val="2"/>
          </w:tcPr>
          <w:p>
            <w:pPr>
              <w:jc w:val="right"/>
              <w:ind w:right="60"/>
              <w:spacing w:after="0" w:line="149" w:lineRule="exact"/>
              <w:rPr>
                <w:sz w:val="20"/>
                <w:szCs w:val="20"/>
                <w:color w:val="auto"/>
              </w:rPr>
            </w:pPr>
            <w:r>
              <w:rPr>
                <w:rFonts w:ascii="Arial" w:cs="Arial" w:eastAsia="Arial" w:hAnsi="Arial"/>
                <w:sz w:val="14"/>
                <w:szCs w:val="14"/>
                <w:b w:val="1"/>
                <w:bCs w:val="1"/>
                <w:color w:val="auto"/>
              </w:rPr>
              <w:t>Purchased under the Plans</w:t>
            </w:r>
          </w:p>
        </w:tc>
        <w:tc>
          <w:tcPr>
            <w:tcW w:w="0" w:type="dxa"/>
            <w:vAlign w:val="bottom"/>
          </w:tcPr>
          <w:p>
            <w:pPr>
              <w:spacing w:after="0"/>
              <w:rPr>
                <w:sz w:val="1"/>
                <w:szCs w:val="1"/>
                <w:color w:val="auto"/>
              </w:rPr>
            </w:pPr>
          </w:p>
        </w:tc>
      </w:tr>
      <w:tr>
        <w:trPr>
          <w:trHeight w:val="190"/>
        </w:trPr>
        <w:tc>
          <w:tcPr>
            <w:tcW w:w="4580" w:type="dxa"/>
            <w:vAlign w:val="bottom"/>
            <w:gridSpan w:val="2"/>
            <w:vMerge w:val="continue"/>
          </w:tcPr>
          <w:p>
            <w:pPr>
              <w:spacing w:after="0"/>
              <w:rPr>
                <w:sz w:val="16"/>
                <w:szCs w:val="16"/>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Purchased</w:t>
            </w:r>
          </w:p>
        </w:tc>
        <w:tc>
          <w:tcPr>
            <w:tcW w:w="340" w:type="dxa"/>
            <w:vAlign w:val="bottom"/>
          </w:tcPr>
          <w:p>
            <w:pPr>
              <w:spacing w:after="0"/>
              <w:rPr>
                <w:sz w:val="16"/>
                <w:szCs w:val="16"/>
                <w:color w:val="auto"/>
              </w:rPr>
            </w:pPr>
          </w:p>
        </w:tc>
        <w:tc>
          <w:tcPr>
            <w:tcW w:w="1120" w:type="dxa"/>
            <w:vAlign w:val="bottom"/>
          </w:tcPr>
          <w:p>
            <w:pPr>
              <w:jc w:val="right"/>
              <w:ind w:right="261"/>
              <w:spacing w:after="0"/>
              <w:rPr>
                <w:sz w:val="20"/>
                <w:szCs w:val="20"/>
                <w:color w:val="auto"/>
              </w:rPr>
            </w:pPr>
            <w:r>
              <w:rPr>
                <w:rFonts w:ascii="Arial" w:cs="Arial" w:eastAsia="Arial" w:hAnsi="Arial"/>
                <w:sz w:val="14"/>
                <w:szCs w:val="14"/>
                <w:b w:val="1"/>
                <w:bCs w:val="1"/>
                <w:color w:val="auto"/>
              </w:rPr>
              <w:t>per Share</w:t>
            </w:r>
          </w:p>
        </w:tc>
        <w:tc>
          <w:tcPr>
            <w:tcW w:w="170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or Programs</w:t>
            </w:r>
          </w:p>
        </w:tc>
        <w:tc>
          <w:tcPr>
            <w:tcW w:w="400" w:type="dxa"/>
            <w:vAlign w:val="bottom"/>
          </w:tcPr>
          <w:p>
            <w:pPr>
              <w:spacing w:after="0"/>
              <w:rPr>
                <w:sz w:val="16"/>
                <w:szCs w:val="16"/>
                <w:color w:val="auto"/>
              </w:rPr>
            </w:pPr>
          </w:p>
        </w:tc>
        <w:tc>
          <w:tcPr>
            <w:tcW w:w="204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or Programs</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45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98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4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(in millions)</w:t>
            </w:r>
          </w:p>
        </w:tc>
        <w:tc>
          <w:tcPr>
            <w:tcW w:w="0" w:type="dxa"/>
            <w:vAlign w:val="bottom"/>
          </w:tcPr>
          <w:p>
            <w:pPr>
              <w:spacing w:after="0"/>
              <w:rPr>
                <w:sz w:val="1"/>
                <w:szCs w:val="1"/>
                <w:color w:val="auto"/>
              </w:rPr>
            </w:pPr>
          </w:p>
        </w:tc>
      </w:tr>
      <w:tr>
        <w:trPr>
          <w:trHeight w:val="45"/>
        </w:trPr>
        <w:tc>
          <w:tcPr>
            <w:tcW w:w="20" w:type="dxa"/>
            <w:vAlign w:val="bottom"/>
            <w:vMerge w:val="restart"/>
          </w:tcPr>
          <w:p>
            <w:pPr>
              <w:spacing w:after="0"/>
              <w:rPr>
                <w:sz w:val="3"/>
                <w:szCs w:val="3"/>
                <w:color w:val="auto"/>
              </w:rPr>
            </w:pPr>
          </w:p>
        </w:tc>
        <w:tc>
          <w:tcPr>
            <w:tcW w:w="45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198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4560" w:type="dxa"/>
            <w:vAlign w:val="bottom"/>
            <w:shd w:val="clear" w:color="auto" w:fill="E5E5E5"/>
          </w:tcPr>
          <w:p>
            <w:pPr>
              <w:spacing w:after="0"/>
              <w:rPr>
                <w:sz w:val="20"/>
                <w:szCs w:val="20"/>
                <w:color w:val="auto"/>
              </w:rPr>
            </w:pPr>
            <w:r>
              <w:rPr>
                <w:rFonts w:ascii="Arial" w:cs="Arial" w:eastAsia="Arial" w:hAnsi="Arial"/>
                <w:sz w:val="18"/>
                <w:szCs w:val="18"/>
                <w:color w:val="auto"/>
              </w:rPr>
              <w:t>July 1, 2017 – July 31, 2017</w:t>
            </w:r>
          </w:p>
        </w:tc>
        <w:tc>
          <w:tcPr>
            <w:tcW w:w="1240" w:type="dxa"/>
            <w:vAlign w:val="bottom"/>
            <w:gridSpan w:val="2"/>
            <w:shd w:val="clear" w:color="auto" w:fill="E5E5E5"/>
          </w:tcPr>
          <w:p>
            <w:pPr>
              <w:jc w:val="right"/>
              <w:ind w:right="100"/>
              <w:spacing w:after="0"/>
              <w:rPr>
                <w:sz w:val="20"/>
                <w:szCs w:val="20"/>
                <w:color w:val="auto"/>
              </w:rPr>
            </w:pPr>
            <w:r>
              <w:rPr>
                <w:rFonts w:ascii="Arial" w:cs="Arial" w:eastAsia="Arial" w:hAnsi="Arial"/>
                <w:sz w:val="18"/>
                <w:szCs w:val="18"/>
                <w:color w:val="auto"/>
              </w:rPr>
              <w:t>6,687,122</w:t>
            </w:r>
          </w:p>
        </w:tc>
        <w:tc>
          <w:tcPr>
            <w:tcW w:w="340" w:type="dxa"/>
            <w:vAlign w:val="bottom"/>
            <w:shd w:val="clear" w:color="auto" w:fill="E5E5E5"/>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shd w:val="clear" w:color="auto" w:fill="E5E5E5"/>
          </w:tcPr>
          <w:p>
            <w:pPr>
              <w:jc w:val="right"/>
              <w:ind w:right="261"/>
              <w:spacing w:after="0"/>
              <w:rPr>
                <w:sz w:val="20"/>
                <w:szCs w:val="20"/>
                <w:color w:val="auto"/>
              </w:rPr>
            </w:pPr>
            <w:r>
              <w:rPr>
                <w:rFonts w:ascii="Arial" w:cs="Arial" w:eastAsia="Arial" w:hAnsi="Arial"/>
                <w:sz w:val="18"/>
                <w:szCs w:val="18"/>
                <w:color w:val="auto"/>
              </w:rPr>
              <w:t>72.09</w:t>
            </w:r>
          </w:p>
        </w:tc>
        <w:tc>
          <w:tcPr>
            <w:tcW w:w="1700" w:type="dxa"/>
            <w:vAlign w:val="bottom"/>
            <w:gridSpan w:val="2"/>
            <w:shd w:val="clear" w:color="auto" w:fill="E5E5E5"/>
          </w:tcPr>
          <w:p>
            <w:pPr>
              <w:jc w:val="right"/>
              <w:ind w:right="120"/>
              <w:spacing w:after="0"/>
              <w:rPr>
                <w:sz w:val="20"/>
                <w:szCs w:val="20"/>
                <w:color w:val="auto"/>
              </w:rPr>
            </w:pPr>
            <w:r>
              <w:rPr>
                <w:rFonts w:ascii="Arial" w:cs="Arial" w:eastAsia="Arial" w:hAnsi="Arial"/>
                <w:sz w:val="18"/>
                <w:szCs w:val="18"/>
                <w:color w:val="auto"/>
              </w:rPr>
              <w:t>6,687,122</w:t>
            </w:r>
          </w:p>
        </w:tc>
        <w:tc>
          <w:tcPr>
            <w:tcW w:w="400" w:type="dxa"/>
            <w:vAlign w:val="bottom"/>
            <w:shd w:val="clear" w:color="auto" w:fill="E5E5E5"/>
          </w:tcPr>
          <w:p>
            <w:pPr>
              <w:jc w:val="right"/>
              <w:ind w:right="90"/>
              <w:spacing w:after="0"/>
              <w:rPr>
                <w:sz w:val="20"/>
                <w:szCs w:val="20"/>
                <w:color w:val="auto"/>
              </w:rPr>
            </w:pPr>
            <w:r>
              <w:rPr>
                <w:rFonts w:ascii="Arial" w:cs="Arial" w:eastAsia="Arial" w:hAnsi="Arial"/>
                <w:sz w:val="18"/>
                <w:szCs w:val="18"/>
                <w:color w:val="auto"/>
              </w:rPr>
              <w:t>$</w:t>
            </w:r>
          </w:p>
        </w:tc>
        <w:tc>
          <w:tcPr>
            <w:tcW w:w="2040" w:type="dxa"/>
            <w:vAlign w:val="bottom"/>
            <w:gridSpan w:val="2"/>
            <w:shd w:val="clear" w:color="auto" w:fill="E5E5E5"/>
          </w:tcPr>
          <w:p>
            <w:pPr>
              <w:jc w:val="right"/>
              <w:ind w:right="60"/>
              <w:spacing w:after="0"/>
              <w:rPr>
                <w:sz w:val="20"/>
                <w:szCs w:val="20"/>
                <w:color w:val="auto"/>
              </w:rPr>
            </w:pPr>
            <w:r>
              <w:rPr>
                <w:rFonts w:ascii="Arial" w:cs="Arial" w:eastAsia="Arial" w:hAnsi="Arial"/>
                <w:sz w:val="18"/>
                <w:szCs w:val="18"/>
                <w:color w:val="auto"/>
              </w:rPr>
              <w:t>36,318</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August 1, 2017 – August 31, 2017</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8,426,705</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261"/>
              <w:spacing w:after="0"/>
              <w:rPr>
                <w:sz w:val="20"/>
                <w:szCs w:val="20"/>
                <w:color w:val="auto"/>
              </w:rPr>
            </w:pPr>
            <w:r>
              <w:rPr>
                <w:rFonts w:ascii="Arial" w:cs="Arial" w:eastAsia="Arial" w:hAnsi="Arial"/>
                <w:sz w:val="18"/>
                <w:szCs w:val="18"/>
                <w:color w:val="auto"/>
              </w:rPr>
              <w:t>72.80</w:t>
            </w:r>
          </w:p>
        </w:tc>
        <w:tc>
          <w:tcPr>
            <w:tcW w:w="1700" w:type="dxa"/>
            <w:vAlign w:val="bottom"/>
            <w:gridSpan w:val="2"/>
          </w:tcPr>
          <w:p>
            <w:pPr>
              <w:jc w:val="right"/>
              <w:ind w:right="120"/>
              <w:spacing w:after="0"/>
              <w:rPr>
                <w:sz w:val="20"/>
                <w:szCs w:val="20"/>
                <w:color w:val="auto"/>
              </w:rPr>
            </w:pPr>
            <w:r>
              <w:rPr>
                <w:rFonts w:ascii="Arial" w:cs="Arial" w:eastAsia="Arial" w:hAnsi="Arial"/>
                <w:sz w:val="18"/>
                <w:szCs w:val="18"/>
                <w:color w:val="auto"/>
              </w:rPr>
              <w:t>8,426,705</w:t>
            </w:r>
          </w:p>
        </w:tc>
        <w:tc>
          <w:tcPr>
            <w:tcW w:w="4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2040" w:type="dxa"/>
            <w:vAlign w:val="bottom"/>
            <w:gridSpan w:val="2"/>
          </w:tcPr>
          <w:p>
            <w:pPr>
              <w:jc w:val="right"/>
              <w:ind w:right="60"/>
              <w:spacing w:after="0"/>
              <w:rPr>
                <w:sz w:val="20"/>
                <w:szCs w:val="20"/>
                <w:color w:val="auto"/>
              </w:rPr>
            </w:pPr>
            <w:r>
              <w:rPr>
                <w:rFonts w:ascii="Arial" w:cs="Arial" w:eastAsia="Arial" w:hAnsi="Arial"/>
                <w:sz w:val="18"/>
                <w:szCs w:val="18"/>
                <w:color w:val="auto"/>
              </w:rPr>
              <w:t>35,704</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560" w:type="dxa"/>
            <w:vAlign w:val="bottom"/>
            <w:shd w:val="clear" w:color="auto" w:fill="E5E5E5"/>
          </w:tcPr>
          <w:p>
            <w:pPr>
              <w:spacing w:after="0"/>
              <w:rPr>
                <w:sz w:val="20"/>
                <w:szCs w:val="20"/>
                <w:color w:val="auto"/>
              </w:rPr>
            </w:pPr>
            <w:r>
              <w:rPr>
                <w:rFonts w:ascii="Arial" w:cs="Arial" w:eastAsia="Arial" w:hAnsi="Arial"/>
                <w:sz w:val="18"/>
                <w:szCs w:val="18"/>
                <w:color w:val="auto"/>
              </w:rPr>
              <w:t>September 1, 2017 – September 30, 2017</w:t>
            </w:r>
          </w:p>
        </w:tc>
        <w:tc>
          <w:tcPr>
            <w:tcW w:w="1240" w:type="dxa"/>
            <w:vAlign w:val="bottom"/>
            <w:gridSpan w:val="2"/>
            <w:shd w:val="clear" w:color="auto" w:fill="E5E5E5"/>
          </w:tcPr>
          <w:p>
            <w:pPr>
              <w:jc w:val="right"/>
              <w:ind w:right="100"/>
              <w:spacing w:after="0"/>
              <w:rPr>
                <w:sz w:val="20"/>
                <w:szCs w:val="20"/>
                <w:color w:val="auto"/>
              </w:rPr>
            </w:pPr>
            <w:r>
              <w:rPr>
                <w:rFonts w:ascii="Arial" w:cs="Arial" w:eastAsia="Arial" w:hAnsi="Arial"/>
                <w:sz w:val="18"/>
                <w:szCs w:val="18"/>
                <w:color w:val="auto"/>
              </w:rPr>
              <w:t>6,771,744</w:t>
            </w:r>
          </w:p>
        </w:tc>
        <w:tc>
          <w:tcPr>
            <w:tcW w:w="340" w:type="dxa"/>
            <w:vAlign w:val="bottom"/>
            <w:shd w:val="clear" w:color="auto" w:fill="E5E5E5"/>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shd w:val="clear" w:color="auto" w:fill="E5E5E5"/>
          </w:tcPr>
          <w:p>
            <w:pPr>
              <w:jc w:val="right"/>
              <w:ind w:right="261"/>
              <w:spacing w:after="0"/>
              <w:rPr>
                <w:sz w:val="20"/>
                <w:szCs w:val="20"/>
                <w:color w:val="auto"/>
              </w:rPr>
            </w:pPr>
            <w:r>
              <w:rPr>
                <w:rFonts w:ascii="Arial" w:cs="Arial" w:eastAsia="Arial" w:hAnsi="Arial"/>
                <w:sz w:val="18"/>
                <w:szCs w:val="18"/>
                <w:color w:val="auto"/>
              </w:rPr>
              <w:t>74.51</w:t>
            </w:r>
          </w:p>
        </w:tc>
        <w:tc>
          <w:tcPr>
            <w:tcW w:w="1700" w:type="dxa"/>
            <w:vAlign w:val="bottom"/>
            <w:gridSpan w:val="2"/>
            <w:shd w:val="clear" w:color="auto" w:fill="E5E5E5"/>
          </w:tcPr>
          <w:p>
            <w:pPr>
              <w:jc w:val="right"/>
              <w:ind w:right="120"/>
              <w:spacing w:after="0"/>
              <w:rPr>
                <w:sz w:val="20"/>
                <w:szCs w:val="20"/>
                <w:color w:val="auto"/>
              </w:rPr>
            </w:pPr>
            <w:r>
              <w:rPr>
                <w:rFonts w:ascii="Arial" w:cs="Arial" w:eastAsia="Arial" w:hAnsi="Arial"/>
                <w:sz w:val="18"/>
                <w:szCs w:val="18"/>
                <w:color w:val="auto"/>
              </w:rPr>
              <w:t>6,771,744</w:t>
            </w:r>
          </w:p>
        </w:tc>
        <w:tc>
          <w:tcPr>
            <w:tcW w:w="400" w:type="dxa"/>
            <w:vAlign w:val="bottom"/>
            <w:shd w:val="clear" w:color="auto" w:fill="E5E5E5"/>
          </w:tcPr>
          <w:p>
            <w:pPr>
              <w:jc w:val="right"/>
              <w:ind w:right="90"/>
              <w:spacing w:after="0"/>
              <w:rPr>
                <w:sz w:val="20"/>
                <w:szCs w:val="20"/>
                <w:color w:val="auto"/>
              </w:rPr>
            </w:pPr>
            <w:r>
              <w:rPr>
                <w:rFonts w:ascii="Arial" w:cs="Arial" w:eastAsia="Arial" w:hAnsi="Arial"/>
                <w:sz w:val="18"/>
                <w:szCs w:val="18"/>
                <w:color w:val="auto"/>
              </w:rPr>
              <w:t>$</w:t>
            </w:r>
          </w:p>
        </w:tc>
        <w:tc>
          <w:tcPr>
            <w:tcW w:w="2040" w:type="dxa"/>
            <w:vAlign w:val="bottom"/>
            <w:gridSpan w:val="2"/>
            <w:shd w:val="clear" w:color="auto" w:fill="E5E5E5"/>
          </w:tcPr>
          <w:p>
            <w:pPr>
              <w:jc w:val="right"/>
              <w:ind w:right="60"/>
              <w:spacing w:after="0"/>
              <w:rPr>
                <w:sz w:val="20"/>
                <w:szCs w:val="20"/>
                <w:color w:val="auto"/>
              </w:rPr>
            </w:pPr>
            <w:r>
              <w:rPr>
                <w:rFonts w:ascii="Arial" w:cs="Arial" w:eastAsia="Arial" w:hAnsi="Arial"/>
                <w:sz w:val="18"/>
                <w:szCs w:val="18"/>
                <w:color w:val="auto"/>
              </w:rPr>
              <w:t>35,200</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456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gridSpan w:val="2"/>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58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98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2"/>
        </w:trPr>
        <w:tc>
          <w:tcPr>
            <w:tcW w:w="2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21,885,571</w:t>
            </w: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21,885,571</w:t>
            </w: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4560" w:type="dxa"/>
            <w:vAlign w:val="bottom"/>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5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198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139"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All repurchases were made using cash resources. Our stock repurchases may occur through open market purchases or pursuant to a Rule 10b5-1 trading plan. The above table excludes shares repurchased to settle employee tax withholding related to the vesting of stock awards.</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289165"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61" w:name="page62"/>
    <w:bookmarkEnd w:id="61"/>
    <w:tbl>
      <w:tblPr>
        <w:tblLayout w:type="fixed"/>
        <w:tblInd w:w="0" w:type="dxa"/>
        <w:tblCellMar>
          <w:top w:w="0" w:type="dxa"/>
          <w:left w:w="0" w:type="dxa"/>
          <w:bottom w:w="0" w:type="dxa"/>
          <w:right w:w="0" w:type="dxa"/>
        </w:tblCellMar>
      </w:tblPr>
      <w:tr>
        <w:trPr>
          <w:trHeight w:val="161"/>
        </w:trPr>
        <w:tc>
          <w:tcPr>
            <w:tcW w:w="13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5920" w:type="dxa"/>
            <w:vAlign w:val="bottom"/>
            <w:gridSpan w:val="14"/>
          </w:tcPr>
          <w:p>
            <w:pPr>
              <w:jc w:val="center"/>
              <w:ind w:right="5460"/>
              <w:spacing w:after="0"/>
              <w:rPr>
                <w:sz w:val="20"/>
                <w:szCs w:val="20"/>
                <w:color w:val="auto"/>
              </w:rPr>
            </w:pPr>
            <w:r>
              <w:rPr>
                <w:rFonts w:ascii="Arial" w:cs="Arial" w:eastAsia="Arial" w:hAnsi="Arial"/>
                <w:sz w:val="14"/>
                <w:szCs w:val="14"/>
                <w:color w:val="auto"/>
                <w:w w:val="93"/>
              </w:rPr>
              <w:t>PART II</w:t>
            </w:r>
          </w:p>
        </w:tc>
      </w:tr>
      <w:tr>
        <w:trPr>
          <w:trHeight w:val="174"/>
        </w:trPr>
        <w:tc>
          <w:tcPr>
            <w:tcW w:w="13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680" w:type="dxa"/>
            <w:vAlign w:val="bottom"/>
          </w:tcPr>
          <w:p>
            <w:pPr>
              <w:spacing w:after="0"/>
              <w:rPr>
                <w:sz w:val="15"/>
                <w:szCs w:val="15"/>
                <w:color w:val="auto"/>
              </w:rPr>
            </w:pPr>
          </w:p>
        </w:tc>
        <w:tc>
          <w:tcPr>
            <w:tcW w:w="460" w:type="dxa"/>
            <w:vAlign w:val="bottom"/>
            <w:tcBorders>
              <w:top w:val="single" w:sz="8" w:color="auto"/>
            </w:tcBorders>
            <w:gridSpan w:val="2"/>
          </w:tcPr>
          <w:p>
            <w:pPr>
              <w:jc w:val="center"/>
              <w:spacing w:after="0"/>
              <w:rPr>
                <w:sz w:val="20"/>
                <w:szCs w:val="20"/>
                <w:color w:val="auto"/>
              </w:rPr>
            </w:pPr>
            <w:r>
              <w:rPr>
                <w:rFonts w:ascii="Arial" w:cs="Arial" w:eastAsia="Arial" w:hAnsi="Arial"/>
                <w:sz w:val="14"/>
                <w:szCs w:val="14"/>
                <w:color w:val="auto"/>
                <w:w w:val="97"/>
              </w:rPr>
              <w:t>Item 6</w:t>
            </w:r>
          </w:p>
        </w:tc>
        <w:tc>
          <w:tcPr>
            <w:tcW w:w="25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399"/>
        </w:trPr>
        <w:tc>
          <w:tcPr>
            <w:tcW w:w="1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600" w:type="dxa"/>
            <w:vAlign w:val="bottom"/>
            <w:gridSpan w:val="15"/>
          </w:tcPr>
          <w:p>
            <w:pPr>
              <w:jc w:val="center"/>
              <w:ind w:right="1780"/>
              <w:spacing w:after="0"/>
              <w:rPr>
                <w:sz w:val="20"/>
                <w:szCs w:val="20"/>
                <w:color w:val="auto"/>
              </w:rPr>
            </w:pPr>
            <w:r>
              <w:rPr>
                <w:rFonts w:ascii="Arial" w:cs="Arial" w:eastAsia="Arial" w:hAnsi="Arial"/>
                <w:sz w:val="22"/>
                <w:szCs w:val="22"/>
                <w:b w:val="1"/>
                <w:bCs w:val="1"/>
                <w:color w:val="auto"/>
                <w:w w:val="98"/>
              </w:rPr>
              <w:t>ITEM 6. EXHIBITS</w:t>
            </w:r>
          </w:p>
        </w:tc>
      </w:tr>
      <w:tr>
        <w:trPr>
          <w:trHeight w:val="339"/>
        </w:trPr>
        <w:tc>
          <w:tcPr>
            <w:tcW w:w="1340" w:type="dxa"/>
            <w:vAlign w:val="bottom"/>
          </w:tcPr>
          <w:p>
            <w:pPr>
              <w:spacing w:after="0"/>
              <w:rPr>
                <w:sz w:val="20"/>
                <w:szCs w:val="20"/>
                <w:color w:val="auto"/>
              </w:rPr>
            </w:pPr>
            <w:r>
              <w:rPr>
                <w:rFonts w:ascii="Arial" w:cs="Arial" w:eastAsia="Arial" w:hAnsi="Arial"/>
                <w:sz w:val="18"/>
                <w:szCs w:val="18"/>
                <w:color w:val="auto"/>
              </w:rPr>
              <w:t>10.1*</w:t>
            </w:r>
          </w:p>
        </w:tc>
        <w:tc>
          <w:tcPr>
            <w:tcW w:w="10060" w:type="dxa"/>
            <w:vAlign w:val="bottom"/>
            <w:gridSpan w:val="16"/>
          </w:tcPr>
          <w:p>
            <w:pPr>
              <w:spacing w:after="0"/>
              <w:rPr>
                <w:rFonts w:ascii="Arial" w:cs="Arial" w:eastAsia="Arial" w:hAnsi="Arial"/>
                <w:sz w:val="18"/>
                <w:szCs w:val="18"/>
                <w:color w:val="0000EE"/>
              </w:rPr>
            </w:pPr>
            <w:hyperlink r:id="rId166">
              <w:r>
                <w:rPr>
                  <w:rFonts w:ascii="Arial" w:cs="Arial" w:eastAsia="Arial" w:hAnsi="Arial"/>
                  <w:sz w:val="18"/>
                  <w:szCs w:val="18"/>
                  <w:color w:val="0000EE"/>
                </w:rPr>
                <w:t>Microsoft Corporation 2001 Stock Plan (incorporated by reference to Form 10-Q for the quarter ended September 30, 2016)</w:t>
              </w:r>
            </w:hyperlink>
          </w:p>
        </w:tc>
      </w:tr>
      <w:tr>
        <w:trPr>
          <w:trHeight w:val="20"/>
        </w:trPr>
        <w:tc>
          <w:tcPr>
            <w:tcW w:w="134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880" w:type="dxa"/>
            <w:vAlign w:val="bottom"/>
            <w:gridSpan w:val="2"/>
            <w:shd w:val="clear" w:color="auto" w:fill="0000EE"/>
          </w:tcPr>
          <w:p>
            <w:pPr>
              <w:spacing w:after="0" w:line="20" w:lineRule="exact"/>
              <w:rPr>
                <w:sz w:val="1"/>
                <w:szCs w:val="1"/>
                <w:color w:val="auto"/>
              </w:rPr>
            </w:pPr>
          </w:p>
        </w:tc>
        <w:tc>
          <w:tcPr>
            <w:tcW w:w="2760" w:type="dxa"/>
            <w:vAlign w:val="bottom"/>
            <w:gridSpan w:val="2"/>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1340" w:type="dxa"/>
            <w:vAlign w:val="bottom"/>
          </w:tcPr>
          <w:p>
            <w:pPr>
              <w:jc w:val="right"/>
              <w:ind w:right="730"/>
              <w:spacing w:after="0"/>
              <w:rPr>
                <w:sz w:val="20"/>
                <w:szCs w:val="20"/>
                <w:color w:val="auto"/>
              </w:rPr>
            </w:pPr>
            <w:r>
              <w:rPr>
                <w:rFonts w:ascii="Arial" w:cs="Arial" w:eastAsia="Arial" w:hAnsi="Arial"/>
                <w:sz w:val="18"/>
                <w:szCs w:val="18"/>
                <w:color w:val="auto"/>
                <w:w w:val="95"/>
              </w:rPr>
              <w:t>10.17*</w:t>
            </w:r>
          </w:p>
        </w:tc>
        <w:tc>
          <w:tcPr>
            <w:tcW w:w="10060" w:type="dxa"/>
            <w:vAlign w:val="bottom"/>
            <w:gridSpan w:val="16"/>
          </w:tcPr>
          <w:p>
            <w:pPr>
              <w:spacing w:after="0"/>
              <w:rPr>
                <w:rFonts w:ascii="Arial" w:cs="Arial" w:eastAsia="Arial" w:hAnsi="Arial"/>
                <w:sz w:val="18"/>
                <w:szCs w:val="18"/>
                <w:color w:val="0000EE"/>
              </w:rPr>
            </w:pPr>
            <w:hyperlink r:id="rId167">
              <w:r>
                <w:rPr>
                  <w:rFonts w:ascii="Arial" w:cs="Arial" w:eastAsia="Arial" w:hAnsi="Arial"/>
                  <w:sz w:val="18"/>
                  <w:szCs w:val="18"/>
                  <w:color w:val="0000EE"/>
                </w:rPr>
                <w:t>Microsoft Corporation Executive Incentive Plan (incorporated by reference to Form 10-Q for the quarter ended September 30,</w:t>
              </w:r>
            </w:hyperlink>
          </w:p>
        </w:tc>
      </w:tr>
      <w:tr>
        <w:trPr>
          <w:trHeight w:val="183"/>
        </w:trPr>
        <w:tc>
          <w:tcPr>
            <w:tcW w:w="1340" w:type="dxa"/>
            <w:vAlign w:val="bottom"/>
          </w:tcPr>
          <w:p>
            <w:pPr>
              <w:spacing w:after="0"/>
              <w:rPr>
                <w:sz w:val="15"/>
                <w:szCs w:val="15"/>
                <w:color w:val="auto"/>
              </w:rPr>
            </w:pPr>
          </w:p>
        </w:tc>
        <w:tc>
          <w:tcPr>
            <w:tcW w:w="460" w:type="dxa"/>
            <w:vAlign w:val="bottom"/>
            <w:tcBorders>
              <w:top w:val="single" w:sz="8" w:color="0000EE"/>
              <w:bottom w:val="single" w:sz="8" w:color="0000EE"/>
            </w:tcBorders>
          </w:tcPr>
          <w:p>
            <w:pPr>
              <w:spacing w:after="0" w:line="182" w:lineRule="exact"/>
              <w:rPr>
                <w:rFonts w:ascii="Arial" w:cs="Arial" w:eastAsia="Arial" w:hAnsi="Arial"/>
                <w:sz w:val="18"/>
                <w:szCs w:val="18"/>
                <w:color w:val="0000EE"/>
                <w:w w:val="95"/>
              </w:rPr>
            </w:pPr>
            <w:hyperlink r:id="rId167">
              <w:r>
                <w:rPr>
                  <w:rFonts w:ascii="Arial" w:cs="Arial" w:eastAsia="Arial" w:hAnsi="Arial"/>
                  <w:sz w:val="18"/>
                  <w:szCs w:val="18"/>
                  <w:color w:val="0000EE"/>
                  <w:w w:val="95"/>
                </w:rPr>
                <w:t>2016)</w:t>
              </w:r>
            </w:hyperlink>
          </w:p>
        </w:tc>
        <w:tc>
          <w:tcPr>
            <w:tcW w:w="3680" w:type="dxa"/>
            <w:vAlign w:val="bottom"/>
            <w:tcBorders>
              <w:top w:val="single" w:sz="8" w:color="0000EE"/>
            </w:tcBorders>
          </w:tcPr>
          <w:p>
            <w:pPr>
              <w:spacing w:after="0"/>
              <w:rPr>
                <w:sz w:val="15"/>
                <w:szCs w:val="15"/>
                <w:color w:val="auto"/>
              </w:rPr>
            </w:pPr>
          </w:p>
        </w:tc>
        <w:tc>
          <w:tcPr>
            <w:tcW w:w="200" w:type="dxa"/>
            <w:vAlign w:val="bottom"/>
            <w:tcBorders>
              <w:top w:val="single" w:sz="8" w:color="0000EE"/>
            </w:tcBorders>
          </w:tcPr>
          <w:p>
            <w:pPr>
              <w:spacing w:after="0"/>
              <w:rPr>
                <w:sz w:val="15"/>
                <w:szCs w:val="15"/>
                <w:color w:val="auto"/>
              </w:rPr>
            </w:pPr>
          </w:p>
        </w:tc>
        <w:tc>
          <w:tcPr>
            <w:tcW w:w="260" w:type="dxa"/>
            <w:vAlign w:val="bottom"/>
            <w:tcBorders>
              <w:top w:val="single" w:sz="8" w:color="0000EE"/>
            </w:tcBorders>
          </w:tcPr>
          <w:p>
            <w:pPr>
              <w:spacing w:after="0"/>
              <w:rPr>
                <w:sz w:val="15"/>
                <w:szCs w:val="15"/>
                <w:color w:val="auto"/>
              </w:rPr>
            </w:pPr>
          </w:p>
        </w:tc>
        <w:tc>
          <w:tcPr>
            <w:tcW w:w="2500" w:type="dxa"/>
            <w:vAlign w:val="bottom"/>
            <w:tcBorders>
              <w:top w:val="single" w:sz="8" w:color="0000EE"/>
            </w:tcBorders>
          </w:tcPr>
          <w:p>
            <w:pPr>
              <w:spacing w:after="0"/>
              <w:rPr>
                <w:sz w:val="15"/>
                <w:szCs w:val="15"/>
                <w:color w:val="auto"/>
              </w:rPr>
            </w:pPr>
          </w:p>
        </w:tc>
        <w:tc>
          <w:tcPr>
            <w:tcW w:w="64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1160" w:type="dxa"/>
            <w:vAlign w:val="bottom"/>
            <w:tcBorders>
              <w:top w:val="single" w:sz="8" w:color="0000EE"/>
            </w:tcBorders>
          </w:tcPr>
          <w:p>
            <w:pPr>
              <w:spacing w:after="0"/>
              <w:rPr>
                <w:sz w:val="15"/>
                <w:szCs w:val="15"/>
                <w:color w:val="auto"/>
              </w:rPr>
            </w:pPr>
          </w:p>
        </w:tc>
        <w:tc>
          <w:tcPr>
            <w:tcW w:w="260" w:type="dxa"/>
            <w:vAlign w:val="bottom"/>
            <w:tcBorders>
              <w:top w:val="single" w:sz="8" w:color="0000EE"/>
            </w:tcBorders>
          </w:tcPr>
          <w:p>
            <w:pPr>
              <w:spacing w:after="0"/>
              <w:rPr>
                <w:sz w:val="15"/>
                <w:szCs w:val="15"/>
                <w:color w:val="auto"/>
              </w:rPr>
            </w:pPr>
          </w:p>
        </w:tc>
        <w:tc>
          <w:tcPr>
            <w:tcW w:w="520" w:type="dxa"/>
            <w:vAlign w:val="bottom"/>
            <w:tcBorders>
              <w:top w:val="single" w:sz="8" w:color="0000EE"/>
            </w:tcBorders>
          </w:tcPr>
          <w:p>
            <w:pPr>
              <w:spacing w:after="0"/>
              <w:rPr>
                <w:sz w:val="15"/>
                <w:szCs w:val="15"/>
                <w:color w:val="auto"/>
              </w:rPr>
            </w:pPr>
          </w:p>
        </w:tc>
        <w:tc>
          <w:tcPr>
            <w:tcW w:w="140" w:type="dxa"/>
            <w:vAlign w:val="bottom"/>
            <w:tcBorders>
              <w:top w:val="single" w:sz="8" w:color="0000EE"/>
            </w:tcBorders>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304"/>
        </w:trPr>
        <w:tc>
          <w:tcPr>
            <w:tcW w:w="1340" w:type="dxa"/>
            <w:vAlign w:val="bottom"/>
          </w:tcPr>
          <w:p>
            <w:pPr>
              <w:jc w:val="right"/>
              <w:ind w:right="730"/>
              <w:spacing w:after="0"/>
              <w:rPr>
                <w:sz w:val="20"/>
                <w:szCs w:val="20"/>
                <w:color w:val="auto"/>
              </w:rPr>
            </w:pPr>
            <w:r>
              <w:rPr>
                <w:rFonts w:ascii="Arial" w:cs="Arial" w:eastAsia="Arial" w:hAnsi="Arial"/>
                <w:sz w:val="18"/>
                <w:szCs w:val="18"/>
                <w:color w:val="auto"/>
                <w:w w:val="95"/>
              </w:rPr>
              <w:t>10.18*</w:t>
            </w:r>
          </w:p>
        </w:tc>
        <w:tc>
          <w:tcPr>
            <w:tcW w:w="10060" w:type="dxa"/>
            <w:vAlign w:val="bottom"/>
            <w:gridSpan w:val="16"/>
          </w:tcPr>
          <w:p>
            <w:pPr>
              <w:spacing w:after="0"/>
              <w:rPr>
                <w:rFonts w:ascii="Arial" w:cs="Arial" w:eastAsia="Arial" w:hAnsi="Arial"/>
                <w:sz w:val="18"/>
                <w:szCs w:val="18"/>
                <w:color w:val="0000EE"/>
                <w:w w:val="99"/>
              </w:rPr>
            </w:pPr>
            <w:hyperlink r:id="rId168">
              <w:r>
                <w:rPr>
                  <w:rFonts w:ascii="Arial" w:cs="Arial" w:eastAsia="Arial" w:hAnsi="Arial"/>
                  <w:sz w:val="18"/>
                  <w:szCs w:val="18"/>
                  <w:color w:val="0000EE"/>
                  <w:w w:val="99"/>
                </w:rPr>
                <w:t>Form of Executive Incentive Plan (Executive Officer SAs) Stock Award Agreement under the Microsoft Corporation 2001 Stock</w:t>
              </w:r>
            </w:hyperlink>
          </w:p>
        </w:tc>
      </w:tr>
      <w:tr>
        <w:trPr>
          <w:trHeight w:val="183"/>
        </w:trPr>
        <w:tc>
          <w:tcPr>
            <w:tcW w:w="1340" w:type="dxa"/>
            <w:vAlign w:val="bottom"/>
          </w:tcPr>
          <w:p>
            <w:pPr>
              <w:spacing w:after="0"/>
              <w:rPr>
                <w:sz w:val="15"/>
                <w:szCs w:val="15"/>
                <w:color w:val="auto"/>
              </w:rPr>
            </w:pPr>
          </w:p>
        </w:tc>
        <w:tc>
          <w:tcPr>
            <w:tcW w:w="10040" w:type="dxa"/>
            <w:vAlign w:val="bottom"/>
            <w:tcBorders>
              <w:top w:val="single" w:sz="8" w:color="0000EE"/>
            </w:tcBorders>
            <w:gridSpan w:val="15"/>
          </w:tcPr>
          <w:p>
            <w:pPr>
              <w:spacing w:after="0" w:line="182" w:lineRule="exact"/>
              <w:rPr>
                <w:rFonts w:ascii="Arial" w:cs="Arial" w:eastAsia="Arial" w:hAnsi="Arial"/>
                <w:sz w:val="18"/>
                <w:szCs w:val="18"/>
                <w:color w:val="0000EE"/>
              </w:rPr>
            </w:pPr>
            <w:hyperlink r:id="rId168">
              <w:r>
                <w:rPr>
                  <w:rFonts w:ascii="Arial" w:cs="Arial" w:eastAsia="Arial" w:hAnsi="Arial"/>
                  <w:sz w:val="18"/>
                  <w:szCs w:val="18"/>
                  <w:color w:val="0000EE"/>
                </w:rPr>
                <w:t>Plan (incorporated by reference to Form 10-Q for the quarter ended September 30, 2016)</w:t>
              </w:r>
            </w:hyperlink>
          </w:p>
        </w:tc>
        <w:tc>
          <w:tcPr>
            <w:tcW w:w="20" w:type="dxa"/>
            <w:vAlign w:val="bottom"/>
          </w:tcPr>
          <w:p>
            <w:pPr>
              <w:spacing w:after="0"/>
              <w:rPr>
                <w:sz w:val="15"/>
                <w:szCs w:val="15"/>
                <w:color w:val="auto"/>
              </w:rPr>
            </w:pPr>
          </w:p>
        </w:tc>
      </w:tr>
      <w:tr>
        <w:trPr>
          <w:trHeight w:val="20"/>
        </w:trPr>
        <w:tc>
          <w:tcPr>
            <w:tcW w:w="1340" w:type="dxa"/>
            <w:vAlign w:val="bottom"/>
          </w:tcPr>
          <w:p>
            <w:pPr>
              <w:spacing w:after="0" w:line="20" w:lineRule="exact"/>
              <w:rPr>
                <w:sz w:val="1"/>
                <w:szCs w:val="1"/>
                <w:color w:val="auto"/>
              </w:rPr>
            </w:pPr>
          </w:p>
        </w:tc>
        <w:tc>
          <w:tcPr>
            <w:tcW w:w="4340" w:type="dxa"/>
            <w:vAlign w:val="bottom"/>
            <w:gridSpan w:val="3"/>
            <w:shd w:val="clear" w:color="auto" w:fill="0000EE"/>
          </w:tcPr>
          <w:p>
            <w:pPr>
              <w:spacing w:after="0" w:line="20" w:lineRule="exact"/>
              <w:rPr>
                <w:sz w:val="1"/>
                <w:szCs w:val="1"/>
                <w:color w:val="auto"/>
              </w:rPr>
            </w:pPr>
          </w:p>
        </w:tc>
        <w:tc>
          <w:tcPr>
            <w:tcW w:w="2760" w:type="dxa"/>
            <w:vAlign w:val="bottom"/>
            <w:gridSpan w:val="2"/>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04"/>
        </w:trPr>
        <w:tc>
          <w:tcPr>
            <w:tcW w:w="1340" w:type="dxa"/>
            <w:vAlign w:val="bottom"/>
          </w:tcPr>
          <w:p>
            <w:pPr>
              <w:jc w:val="right"/>
              <w:ind w:right="730"/>
              <w:spacing w:after="0"/>
              <w:rPr>
                <w:sz w:val="20"/>
                <w:szCs w:val="20"/>
                <w:color w:val="auto"/>
              </w:rPr>
            </w:pPr>
            <w:r>
              <w:rPr>
                <w:rFonts w:ascii="Arial" w:cs="Arial" w:eastAsia="Arial" w:hAnsi="Arial"/>
                <w:sz w:val="18"/>
                <w:szCs w:val="18"/>
                <w:color w:val="auto"/>
                <w:w w:val="95"/>
              </w:rPr>
              <w:t>10.22*</w:t>
            </w:r>
          </w:p>
        </w:tc>
        <w:tc>
          <w:tcPr>
            <w:tcW w:w="10060" w:type="dxa"/>
            <w:vAlign w:val="bottom"/>
            <w:gridSpan w:val="16"/>
          </w:tcPr>
          <w:p>
            <w:pPr>
              <w:spacing w:after="0"/>
              <w:rPr>
                <w:rFonts w:ascii="Arial" w:cs="Arial" w:eastAsia="Arial" w:hAnsi="Arial"/>
                <w:sz w:val="18"/>
                <w:szCs w:val="18"/>
                <w:color w:val="0000EE"/>
              </w:rPr>
            </w:pPr>
            <w:hyperlink r:id="rId169">
              <w:r>
                <w:rPr>
                  <w:rFonts w:ascii="Arial" w:cs="Arial" w:eastAsia="Arial" w:hAnsi="Arial"/>
                  <w:sz w:val="18"/>
                  <w:szCs w:val="18"/>
                  <w:color w:val="0000EE"/>
                </w:rPr>
                <w:t>Senior Executive Severance Benefit Plan (incorporated by reference to Form 10-Q for the quarter ended September 30, 2016)</w:t>
              </w:r>
            </w:hyperlink>
          </w:p>
        </w:tc>
      </w:tr>
      <w:tr>
        <w:trPr>
          <w:trHeight w:val="304"/>
        </w:trPr>
        <w:tc>
          <w:tcPr>
            <w:tcW w:w="1340" w:type="dxa"/>
            <w:vAlign w:val="bottom"/>
          </w:tcPr>
          <w:p>
            <w:pPr>
              <w:jc w:val="right"/>
              <w:ind w:right="730"/>
              <w:spacing w:after="0"/>
              <w:rPr>
                <w:sz w:val="20"/>
                <w:szCs w:val="20"/>
                <w:color w:val="auto"/>
              </w:rPr>
            </w:pPr>
            <w:r>
              <w:rPr>
                <w:rFonts w:ascii="Arial" w:cs="Arial" w:eastAsia="Arial" w:hAnsi="Arial"/>
                <w:sz w:val="18"/>
                <w:szCs w:val="18"/>
                <w:color w:val="auto"/>
                <w:w w:val="95"/>
              </w:rPr>
              <w:t>10.25*</w:t>
            </w:r>
          </w:p>
        </w:tc>
        <w:tc>
          <w:tcPr>
            <w:tcW w:w="10020" w:type="dxa"/>
            <w:vAlign w:val="bottom"/>
            <w:tcBorders>
              <w:top w:val="single" w:sz="8" w:color="0000EE"/>
            </w:tcBorders>
            <w:gridSpan w:val="14"/>
          </w:tcPr>
          <w:p>
            <w:pPr>
              <w:spacing w:after="0"/>
              <w:rPr>
                <w:rFonts w:ascii="Arial" w:cs="Arial" w:eastAsia="Arial" w:hAnsi="Arial"/>
                <w:sz w:val="18"/>
                <w:szCs w:val="18"/>
                <w:color w:val="0000EE"/>
              </w:rPr>
            </w:pPr>
            <w:hyperlink r:id="rId170">
              <w:r>
                <w:rPr>
                  <w:rFonts w:ascii="Arial" w:cs="Arial" w:eastAsia="Arial" w:hAnsi="Arial"/>
                  <w:sz w:val="18"/>
                  <w:szCs w:val="18"/>
                  <w:color w:val="0000EE"/>
                </w:rPr>
                <w:t>Form of Executive Incentive Plan (Executive Officer PSAs) Performance Stock Award Agreement under the Microsoft</w:t>
              </w:r>
            </w:hyperlink>
          </w:p>
        </w:tc>
        <w:tc>
          <w:tcPr>
            <w:tcW w:w="40" w:type="dxa"/>
            <w:vAlign w:val="bottom"/>
            <w:gridSpan w:val="2"/>
          </w:tcPr>
          <w:p>
            <w:pPr>
              <w:spacing w:after="0"/>
              <w:rPr>
                <w:sz w:val="24"/>
                <w:szCs w:val="24"/>
                <w:color w:val="auto"/>
              </w:rPr>
            </w:pPr>
          </w:p>
        </w:tc>
      </w:tr>
      <w:tr>
        <w:trPr>
          <w:trHeight w:val="183"/>
        </w:trPr>
        <w:tc>
          <w:tcPr>
            <w:tcW w:w="1340" w:type="dxa"/>
            <w:vAlign w:val="bottom"/>
          </w:tcPr>
          <w:p>
            <w:pPr>
              <w:spacing w:after="0"/>
              <w:rPr>
                <w:sz w:val="15"/>
                <w:szCs w:val="15"/>
                <w:color w:val="auto"/>
              </w:rPr>
            </w:pPr>
          </w:p>
        </w:tc>
        <w:tc>
          <w:tcPr>
            <w:tcW w:w="9300" w:type="dxa"/>
            <w:vAlign w:val="bottom"/>
            <w:tcBorders>
              <w:top w:val="single" w:sz="8" w:color="0000EE"/>
            </w:tcBorders>
            <w:gridSpan w:val="11"/>
          </w:tcPr>
          <w:p>
            <w:pPr>
              <w:spacing w:after="0" w:line="182" w:lineRule="exact"/>
              <w:rPr>
                <w:rFonts w:ascii="Arial" w:cs="Arial" w:eastAsia="Arial" w:hAnsi="Arial"/>
                <w:sz w:val="18"/>
                <w:szCs w:val="18"/>
                <w:color w:val="0000EE"/>
              </w:rPr>
            </w:pPr>
            <w:hyperlink r:id="rId170">
              <w:r>
                <w:rPr>
                  <w:rFonts w:ascii="Arial" w:cs="Arial" w:eastAsia="Arial" w:hAnsi="Arial"/>
                  <w:sz w:val="18"/>
                  <w:szCs w:val="18"/>
                  <w:color w:val="0000EE"/>
                </w:rPr>
                <w:t>Corporation 2001 Stock Plan (incorporated by reference to Form 10-Q for the quarter ended September 30, 2016)</w:t>
              </w:r>
            </w:hyperlink>
          </w:p>
        </w:tc>
        <w:tc>
          <w:tcPr>
            <w:tcW w:w="760" w:type="dxa"/>
            <w:vAlign w:val="bottom"/>
            <w:gridSpan w:val="5"/>
          </w:tcPr>
          <w:p>
            <w:pPr>
              <w:spacing w:after="0"/>
              <w:rPr>
                <w:sz w:val="15"/>
                <w:szCs w:val="15"/>
                <w:color w:val="auto"/>
              </w:rPr>
            </w:pPr>
          </w:p>
        </w:tc>
      </w:tr>
      <w:tr>
        <w:trPr>
          <w:trHeight w:val="304"/>
        </w:trPr>
        <w:tc>
          <w:tcPr>
            <w:tcW w:w="1340" w:type="dxa"/>
            <w:vAlign w:val="bottom"/>
          </w:tcPr>
          <w:p>
            <w:pPr>
              <w:jc w:val="right"/>
              <w:ind w:right="790"/>
              <w:spacing w:after="0"/>
              <w:rPr>
                <w:sz w:val="20"/>
                <w:szCs w:val="20"/>
                <w:color w:val="auto"/>
              </w:rPr>
            </w:pPr>
            <w:r>
              <w:rPr>
                <w:rFonts w:ascii="Arial" w:cs="Arial" w:eastAsia="Arial" w:hAnsi="Arial"/>
                <w:sz w:val="18"/>
                <w:szCs w:val="18"/>
                <w:color w:val="auto"/>
              </w:rPr>
              <w:t>15.1</w:t>
            </w:r>
          </w:p>
        </w:tc>
        <w:tc>
          <w:tcPr>
            <w:tcW w:w="9040" w:type="dxa"/>
            <w:vAlign w:val="bottom"/>
            <w:tcBorders>
              <w:top w:val="single" w:sz="8" w:color="0000EE"/>
            </w:tcBorders>
            <w:gridSpan w:val="10"/>
          </w:tcPr>
          <w:p>
            <w:pPr>
              <w:spacing w:after="0"/>
              <w:rPr>
                <w:rFonts w:ascii="Arial" w:cs="Arial" w:eastAsia="Arial" w:hAnsi="Arial"/>
                <w:sz w:val="18"/>
                <w:szCs w:val="18"/>
                <w:color w:val="0000EE"/>
              </w:rPr>
            </w:pPr>
            <w:hyperlink w:anchor="page64">
              <w:r>
                <w:rPr>
                  <w:rFonts w:ascii="Arial" w:cs="Arial" w:eastAsia="Arial" w:hAnsi="Arial"/>
                  <w:sz w:val="18"/>
                  <w:szCs w:val="18"/>
                  <w:color w:val="0000EE"/>
                </w:rPr>
                <w:t>Letter regarding unaudited interim financial information</w:t>
              </w:r>
            </w:hyperlink>
          </w:p>
        </w:tc>
        <w:tc>
          <w:tcPr>
            <w:tcW w:w="1020" w:type="dxa"/>
            <w:vAlign w:val="bottom"/>
            <w:gridSpan w:val="6"/>
          </w:tcPr>
          <w:p>
            <w:pPr>
              <w:spacing w:after="0"/>
              <w:rPr>
                <w:sz w:val="24"/>
                <w:szCs w:val="24"/>
                <w:color w:val="auto"/>
              </w:rPr>
            </w:pPr>
          </w:p>
        </w:tc>
      </w:tr>
      <w:tr>
        <w:trPr>
          <w:trHeight w:val="20"/>
        </w:trPr>
        <w:tc>
          <w:tcPr>
            <w:tcW w:w="1340" w:type="dxa"/>
            <w:vAlign w:val="bottom"/>
          </w:tcPr>
          <w:p>
            <w:pPr>
              <w:spacing w:after="0" w:line="20" w:lineRule="exact"/>
              <w:rPr>
                <w:sz w:val="1"/>
                <w:szCs w:val="1"/>
                <w:color w:val="auto"/>
              </w:rPr>
            </w:pPr>
          </w:p>
        </w:tc>
        <w:tc>
          <w:tcPr>
            <w:tcW w:w="4340" w:type="dxa"/>
            <w:vAlign w:val="bottom"/>
            <w:gridSpan w:val="3"/>
            <w:shd w:val="clear" w:color="auto" w:fill="0000EE"/>
          </w:tcPr>
          <w:p>
            <w:pPr>
              <w:spacing w:after="0" w:line="20" w:lineRule="exact"/>
              <w:rPr>
                <w:sz w:val="1"/>
                <w:szCs w:val="1"/>
                <w:color w:val="auto"/>
              </w:rPr>
            </w:pPr>
          </w:p>
        </w:tc>
        <w:tc>
          <w:tcPr>
            <w:tcW w:w="34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180" w:type="dxa"/>
            <w:vAlign w:val="bottom"/>
            <w:gridSpan w:val="7"/>
          </w:tcPr>
          <w:p>
            <w:pPr>
              <w:spacing w:after="0" w:line="20" w:lineRule="exact"/>
              <w:rPr>
                <w:sz w:val="1"/>
                <w:szCs w:val="1"/>
                <w:color w:val="auto"/>
              </w:rPr>
            </w:pPr>
          </w:p>
        </w:tc>
      </w:tr>
      <w:tr>
        <w:trPr>
          <w:trHeight w:val="304"/>
        </w:trPr>
        <w:tc>
          <w:tcPr>
            <w:tcW w:w="1340" w:type="dxa"/>
            <w:vAlign w:val="bottom"/>
          </w:tcPr>
          <w:p>
            <w:pPr>
              <w:jc w:val="right"/>
              <w:ind w:right="790"/>
              <w:spacing w:after="0"/>
              <w:rPr>
                <w:sz w:val="20"/>
                <w:szCs w:val="20"/>
                <w:color w:val="auto"/>
              </w:rPr>
            </w:pPr>
            <w:r>
              <w:rPr>
                <w:rFonts w:ascii="Arial" w:cs="Arial" w:eastAsia="Arial" w:hAnsi="Arial"/>
                <w:sz w:val="18"/>
                <w:szCs w:val="18"/>
                <w:color w:val="auto"/>
              </w:rPr>
              <w:t>31.1</w:t>
            </w:r>
          </w:p>
        </w:tc>
        <w:tc>
          <w:tcPr>
            <w:tcW w:w="10060" w:type="dxa"/>
            <w:vAlign w:val="bottom"/>
            <w:gridSpan w:val="16"/>
          </w:tcPr>
          <w:p>
            <w:pPr>
              <w:spacing w:after="0"/>
              <w:rPr>
                <w:rFonts w:ascii="Arial" w:cs="Arial" w:eastAsia="Arial" w:hAnsi="Arial"/>
                <w:sz w:val="18"/>
                <w:szCs w:val="18"/>
                <w:color w:val="0000EE"/>
              </w:rPr>
            </w:pPr>
            <w:hyperlink w:anchor="page65">
              <w:r>
                <w:rPr>
                  <w:rFonts w:ascii="Arial" w:cs="Arial" w:eastAsia="Arial" w:hAnsi="Arial"/>
                  <w:sz w:val="18"/>
                  <w:szCs w:val="18"/>
                  <w:color w:val="0000EE"/>
                </w:rPr>
                <w:t>Certifications of Chief Executive Officer Pursuant to Section 302 of the Sarbanes-Oxley Act of 2002</w:t>
              </w:r>
            </w:hyperlink>
          </w:p>
        </w:tc>
      </w:tr>
      <w:tr>
        <w:trPr>
          <w:trHeight w:val="304"/>
        </w:trPr>
        <w:tc>
          <w:tcPr>
            <w:tcW w:w="1340" w:type="dxa"/>
            <w:vAlign w:val="bottom"/>
          </w:tcPr>
          <w:p>
            <w:pPr>
              <w:jc w:val="right"/>
              <w:ind w:right="790"/>
              <w:spacing w:after="0"/>
              <w:rPr>
                <w:sz w:val="20"/>
                <w:szCs w:val="20"/>
                <w:color w:val="auto"/>
              </w:rPr>
            </w:pPr>
            <w:r>
              <w:rPr>
                <w:rFonts w:ascii="Arial" w:cs="Arial" w:eastAsia="Arial" w:hAnsi="Arial"/>
                <w:sz w:val="18"/>
                <w:szCs w:val="18"/>
                <w:color w:val="auto"/>
              </w:rPr>
              <w:t>31.2</w:t>
            </w:r>
          </w:p>
        </w:tc>
        <w:tc>
          <w:tcPr>
            <w:tcW w:w="7880" w:type="dxa"/>
            <w:vAlign w:val="bottom"/>
            <w:tcBorders>
              <w:top w:val="single" w:sz="8" w:color="0000EE"/>
            </w:tcBorders>
            <w:gridSpan w:val="9"/>
          </w:tcPr>
          <w:p>
            <w:pPr>
              <w:spacing w:after="0"/>
              <w:rPr>
                <w:rFonts w:ascii="Arial" w:cs="Arial" w:eastAsia="Arial" w:hAnsi="Arial"/>
                <w:sz w:val="18"/>
                <w:szCs w:val="18"/>
                <w:color w:val="0000EE"/>
              </w:rPr>
            </w:pPr>
            <w:hyperlink w:anchor="page66">
              <w:r>
                <w:rPr>
                  <w:rFonts w:ascii="Arial" w:cs="Arial" w:eastAsia="Arial" w:hAnsi="Arial"/>
                  <w:sz w:val="18"/>
                  <w:szCs w:val="18"/>
                  <w:color w:val="0000EE"/>
                </w:rPr>
                <w:t>Certifications of Chief Financial Officer Pursuant to Section 302 of the Sarbanes-Oxley Act of 2002</w:t>
              </w:r>
            </w:hyperlink>
          </w:p>
        </w:tc>
        <w:tc>
          <w:tcPr>
            <w:tcW w:w="2180" w:type="dxa"/>
            <w:vAlign w:val="bottom"/>
            <w:gridSpan w:val="7"/>
          </w:tcPr>
          <w:p>
            <w:pPr>
              <w:spacing w:after="0"/>
              <w:rPr>
                <w:sz w:val="24"/>
                <w:szCs w:val="24"/>
                <w:color w:val="auto"/>
              </w:rPr>
            </w:pPr>
          </w:p>
        </w:tc>
      </w:tr>
      <w:tr>
        <w:trPr>
          <w:trHeight w:val="304"/>
        </w:trPr>
        <w:tc>
          <w:tcPr>
            <w:tcW w:w="1340" w:type="dxa"/>
            <w:vAlign w:val="bottom"/>
          </w:tcPr>
          <w:p>
            <w:pPr>
              <w:jc w:val="right"/>
              <w:ind w:right="650"/>
              <w:spacing w:after="0"/>
              <w:rPr>
                <w:sz w:val="20"/>
                <w:szCs w:val="20"/>
                <w:color w:val="auto"/>
              </w:rPr>
            </w:pPr>
            <w:r>
              <w:rPr>
                <w:rFonts w:ascii="Arial" w:cs="Arial" w:eastAsia="Arial" w:hAnsi="Arial"/>
                <w:sz w:val="18"/>
                <w:szCs w:val="18"/>
                <w:color w:val="auto"/>
              </w:rPr>
              <w:t>32.1**</w:t>
            </w:r>
          </w:p>
        </w:tc>
        <w:tc>
          <w:tcPr>
            <w:tcW w:w="780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99"/>
              </w:rPr>
            </w:pPr>
            <w:hyperlink w:anchor="page67">
              <w:r>
                <w:rPr>
                  <w:rFonts w:ascii="Arial" w:cs="Arial" w:eastAsia="Arial" w:hAnsi="Arial"/>
                  <w:sz w:val="18"/>
                  <w:szCs w:val="18"/>
                  <w:color w:val="0000EE"/>
                  <w:w w:val="99"/>
                </w:rPr>
                <w:t>Certification of Chief Executive Officer Pursuant to Section 906 of the Sarbanes-Oxley Act of 2002</w:t>
              </w:r>
            </w:hyperlink>
          </w:p>
        </w:tc>
        <w:tc>
          <w:tcPr>
            <w:tcW w:w="20" w:type="dxa"/>
            <w:vAlign w:val="bottom"/>
            <w:tcBorders>
              <w:top w:val="single" w:sz="8" w:color="0000EE"/>
            </w:tcBorders>
          </w:tcPr>
          <w:p>
            <w:pPr>
              <w:spacing w:after="0"/>
              <w:rPr>
                <w:sz w:val="24"/>
                <w:szCs w:val="24"/>
                <w:color w:val="auto"/>
              </w:rPr>
            </w:pPr>
          </w:p>
        </w:tc>
        <w:tc>
          <w:tcPr>
            <w:tcW w:w="2240" w:type="dxa"/>
            <w:vAlign w:val="bottom"/>
            <w:gridSpan w:val="8"/>
          </w:tcPr>
          <w:p>
            <w:pPr>
              <w:spacing w:after="0"/>
              <w:rPr>
                <w:sz w:val="24"/>
                <w:szCs w:val="24"/>
                <w:color w:val="auto"/>
              </w:rPr>
            </w:pPr>
          </w:p>
        </w:tc>
      </w:tr>
      <w:tr>
        <w:trPr>
          <w:trHeight w:val="304"/>
        </w:trPr>
        <w:tc>
          <w:tcPr>
            <w:tcW w:w="1340" w:type="dxa"/>
            <w:vAlign w:val="bottom"/>
          </w:tcPr>
          <w:p>
            <w:pPr>
              <w:jc w:val="right"/>
              <w:ind w:right="650"/>
              <w:spacing w:after="0"/>
              <w:rPr>
                <w:sz w:val="20"/>
                <w:szCs w:val="20"/>
                <w:color w:val="auto"/>
              </w:rPr>
            </w:pPr>
            <w:r>
              <w:rPr>
                <w:rFonts w:ascii="Arial" w:cs="Arial" w:eastAsia="Arial" w:hAnsi="Arial"/>
                <w:sz w:val="18"/>
                <w:szCs w:val="18"/>
                <w:color w:val="auto"/>
              </w:rPr>
              <w:t>32.2**</w:t>
            </w:r>
          </w:p>
        </w:tc>
        <w:tc>
          <w:tcPr>
            <w:tcW w:w="7740" w:type="dxa"/>
            <w:vAlign w:val="bottom"/>
            <w:tcBorders>
              <w:bottom w:val="single" w:sz="8" w:color="0000EE"/>
            </w:tcBorders>
            <w:gridSpan w:val="6"/>
          </w:tcPr>
          <w:p>
            <w:pPr>
              <w:spacing w:after="0"/>
              <w:rPr>
                <w:rFonts w:ascii="Arial" w:cs="Arial" w:eastAsia="Arial" w:hAnsi="Arial"/>
                <w:sz w:val="18"/>
                <w:szCs w:val="18"/>
                <w:color w:val="0000EE"/>
                <w:w w:val="99"/>
              </w:rPr>
            </w:pPr>
            <w:hyperlink w:anchor="page68">
              <w:r>
                <w:rPr>
                  <w:rFonts w:ascii="Arial" w:cs="Arial" w:eastAsia="Arial" w:hAnsi="Arial"/>
                  <w:sz w:val="18"/>
                  <w:szCs w:val="18"/>
                  <w:color w:val="0000EE"/>
                  <w:w w:val="99"/>
                </w:rPr>
                <w:t>Certification of Chief Financial Officer Pursuant to Section 906 of the Sarbanes-Oxley Act of 2002</w:t>
              </w:r>
            </w:hyperlink>
          </w:p>
        </w:tc>
        <w:tc>
          <w:tcPr>
            <w:tcW w:w="2320" w:type="dxa"/>
            <w:vAlign w:val="bottom"/>
            <w:gridSpan w:val="10"/>
          </w:tcPr>
          <w:p>
            <w:pPr>
              <w:spacing w:after="0"/>
              <w:rPr>
                <w:sz w:val="24"/>
                <w:szCs w:val="24"/>
                <w:color w:val="auto"/>
              </w:rPr>
            </w:pPr>
          </w:p>
        </w:tc>
      </w:tr>
      <w:tr>
        <w:trPr>
          <w:trHeight w:val="349"/>
        </w:trPr>
        <w:tc>
          <w:tcPr>
            <w:tcW w:w="1340" w:type="dxa"/>
            <w:vAlign w:val="bottom"/>
          </w:tcPr>
          <w:p>
            <w:pPr>
              <w:spacing w:after="0"/>
              <w:rPr>
                <w:sz w:val="20"/>
                <w:szCs w:val="20"/>
                <w:color w:val="auto"/>
              </w:rPr>
            </w:pPr>
            <w:r>
              <w:rPr>
                <w:rFonts w:ascii="Arial" w:cs="Arial" w:eastAsia="Arial" w:hAnsi="Arial"/>
                <w:sz w:val="18"/>
                <w:szCs w:val="18"/>
                <w:color w:val="auto"/>
              </w:rPr>
              <w:t>101.INS</w:t>
            </w:r>
          </w:p>
        </w:tc>
        <w:tc>
          <w:tcPr>
            <w:tcW w:w="10060" w:type="dxa"/>
            <w:vAlign w:val="bottom"/>
            <w:gridSpan w:val="16"/>
          </w:tcPr>
          <w:p>
            <w:pPr>
              <w:spacing w:after="0"/>
              <w:rPr>
                <w:sz w:val="20"/>
                <w:szCs w:val="20"/>
                <w:color w:val="auto"/>
              </w:rPr>
            </w:pPr>
            <w:r>
              <w:rPr>
                <w:rFonts w:ascii="Arial" w:cs="Arial" w:eastAsia="Arial" w:hAnsi="Arial"/>
                <w:sz w:val="18"/>
                <w:szCs w:val="18"/>
                <w:color w:val="auto"/>
              </w:rPr>
              <w:t>XBRL Instance Document</w:t>
            </w:r>
          </w:p>
        </w:tc>
      </w:tr>
      <w:tr>
        <w:trPr>
          <w:trHeight w:val="324"/>
        </w:trPr>
        <w:tc>
          <w:tcPr>
            <w:tcW w:w="1340" w:type="dxa"/>
            <w:vAlign w:val="bottom"/>
          </w:tcPr>
          <w:p>
            <w:pPr>
              <w:spacing w:after="0"/>
              <w:rPr>
                <w:sz w:val="20"/>
                <w:szCs w:val="20"/>
                <w:color w:val="auto"/>
              </w:rPr>
            </w:pPr>
            <w:r>
              <w:rPr>
                <w:rFonts w:ascii="Arial" w:cs="Arial" w:eastAsia="Arial" w:hAnsi="Arial"/>
                <w:sz w:val="18"/>
                <w:szCs w:val="18"/>
                <w:color w:val="auto"/>
              </w:rPr>
              <w:t>101.SCH</w:t>
            </w:r>
          </w:p>
        </w:tc>
        <w:tc>
          <w:tcPr>
            <w:tcW w:w="10060" w:type="dxa"/>
            <w:vAlign w:val="bottom"/>
            <w:gridSpan w:val="16"/>
          </w:tcPr>
          <w:p>
            <w:pPr>
              <w:spacing w:after="0"/>
              <w:rPr>
                <w:sz w:val="20"/>
                <w:szCs w:val="20"/>
                <w:color w:val="auto"/>
              </w:rPr>
            </w:pPr>
            <w:r>
              <w:rPr>
                <w:rFonts w:ascii="Arial" w:cs="Arial" w:eastAsia="Arial" w:hAnsi="Arial"/>
                <w:sz w:val="18"/>
                <w:szCs w:val="18"/>
                <w:color w:val="auto"/>
              </w:rPr>
              <w:t>XBRL Taxonomy Extension Schema</w:t>
            </w:r>
          </w:p>
        </w:tc>
      </w:tr>
      <w:tr>
        <w:trPr>
          <w:trHeight w:val="324"/>
        </w:trPr>
        <w:tc>
          <w:tcPr>
            <w:tcW w:w="1340" w:type="dxa"/>
            <w:vAlign w:val="bottom"/>
          </w:tcPr>
          <w:p>
            <w:pPr>
              <w:spacing w:after="0"/>
              <w:rPr>
                <w:sz w:val="20"/>
                <w:szCs w:val="20"/>
                <w:color w:val="auto"/>
              </w:rPr>
            </w:pPr>
            <w:r>
              <w:rPr>
                <w:rFonts w:ascii="Arial" w:cs="Arial" w:eastAsia="Arial" w:hAnsi="Arial"/>
                <w:sz w:val="18"/>
                <w:szCs w:val="18"/>
                <w:color w:val="auto"/>
              </w:rPr>
              <w:t>101.CAL</w:t>
            </w:r>
          </w:p>
        </w:tc>
        <w:tc>
          <w:tcPr>
            <w:tcW w:w="10060" w:type="dxa"/>
            <w:vAlign w:val="bottom"/>
            <w:gridSpan w:val="16"/>
          </w:tcPr>
          <w:p>
            <w:pPr>
              <w:spacing w:after="0"/>
              <w:rPr>
                <w:sz w:val="20"/>
                <w:szCs w:val="20"/>
                <w:color w:val="auto"/>
              </w:rPr>
            </w:pPr>
            <w:r>
              <w:rPr>
                <w:rFonts w:ascii="Arial" w:cs="Arial" w:eastAsia="Arial" w:hAnsi="Arial"/>
                <w:sz w:val="18"/>
                <w:szCs w:val="18"/>
                <w:color w:val="auto"/>
              </w:rPr>
              <w:t>XBRL Taxonomy Extension Calculation Linkbase</w:t>
            </w:r>
          </w:p>
        </w:tc>
      </w:tr>
      <w:tr>
        <w:trPr>
          <w:trHeight w:val="324"/>
        </w:trPr>
        <w:tc>
          <w:tcPr>
            <w:tcW w:w="1340" w:type="dxa"/>
            <w:vAlign w:val="bottom"/>
          </w:tcPr>
          <w:p>
            <w:pPr>
              <w:spacing w:after="0"/>
              <w:rPr>
                <w:sz w:val="20"/>
                <w:szCs w:val="20"/>
                <w:color w:val="auto"/>
              </w:rPr>
            </w:pPr>
            <w:r>
              <w:rPr>
                <w:rFonts w:ascii="Arial" w:cs="Arial" w:eastAsia="Arial" w:hAnsi="Arial"/>
                <w:sz w:val="18"/>
                <w:szCs w:val="18"/>
                <w:color w:val="auto"/>
              </w:rPr>
              <w:t>101.DEF</w:t>
            </w:r>
          </w:p>
        </w:tc>
        <w:tc>
          <w:tcPr>
            <w:tcW w:w="10060" w:type="dxa"/>
            <w:vAlign w:val="bottom"/>
            <w:gridSpan w:val="16"/>
          </w:tcPr>
          <w:p>
            <w:pPr>
              <w:spacing w:after="0"/>
              <w:rPr>
                <w:sz w:val="20"/>
                <w:szCs w:val="20"/>
                <w:color w:val="auto"/>
              </w:rPr>
            </w:pPr>
            <w:r>
              <w:rPr>
                <w:rFonts w:ascii="Arial" w:cs="Arial" w:eastAsia="Arial" w:hAnsi="Arial"/>
                <w:sz w:val="18"/>
                <w:szCs w:val="18"/>
                <w:color w:val="auto"/>
              </w:rPr>
              <w:t>XBRL Taxonomy Extension Definition Linkbase</w:t>
            </w:r>
          </w:p>
        </w:tc>
      </w:tr>
      <w:tr>
        <w:trPr>
          <w:trHeight w:val="324"/>
        </w:trPr>
        <w:tc>
          <w:tcPr>
            <w:tcW w:w="1340" w:type="dxa"/>
            <w:vAlign w:val="bottom"/>
          </w:tcPr>
          <w:p>
            <w:pPr>
              <w:spacing w:after="0"/>
              <w:rPr>
                <w:sz w:val="20"/>
                <w:szCs w:val="20"/>
                <w:color w:val="auto"/>
              </w:rPr>
            </w:pPr>
            <w:r>
              <w:rPr>
                <w:rFonts w:ascii="Arial" w:cs="Arial" w:eastAsia="Arial" w:hAnsi="Arial"/>
                <w:sz w:val="18"/>
                <w:szCs w:val="18"/>
                <w:color w:val="auto"/>
              </w:rPr>
              <w:t>101.LAB</w:t>
            </w:r>
          </w:p>
        </w:tc>
        <w:tc>
          <w:tcPr>
            <w:tcW w:w="10060" w:type="dxa"/>
            <w:vAlign w:val="bottom"/>
            <w:gridSpan w:val="16"/>
          </w:tcPr>
          <w:p>
            <w:pPr>
              <w:spacing w:after="0"/>
              <w:rPr>
                <w:sz w:val="20"/>
                <w:szCs w:val="20"/>
                <w:color w:val="auto"/>
              </w:rPr>
            </w:pPr>
            <w:r>
              <w:rPr>
                <w:rFonts w:ascii="Arial" w:cs="Arial" w:eastAsia="Arial" w:hAnsi="Arial"/>
                <w:sz w:val="18"/>
                <w:szCs w:val="18"/>
                <w:color w:val="auto"/>
              </w:rPr>
              <w:t>XBRL Taxonomy Extension Label Linkbase</w:t>
            </w:r>
          </w:p>
        </w:tc>
      </w:tr>
      <w:tr>
        <w:trPr>
          <w:trHeight w:val="324"/>
        </w:trPr>
        <w:tc>
          <w:tcPr>
            <w:tcW w:w="1340" w:type="dxa"/>
            <w:vAlign w:val="bottom"/>
          </w:tcPr>
          <w:p>
            <w:pPr>
              <w:spacing w:after="0"/>
              <w:rPr>
                <w:sz w:val="20"/>
                <w:szCs w:val="20"/>
                <w:color w:val="auto"/>
              </w:rPr>
            </w:pPr>
            <w:r>
              <w:rPr>
                <w:rFonts w:ascii="Arial" w:cs="Arial" w:eastAsia="Arial" w:hAnsi="Arial"/>
                <w:sz w:val="18"/>
                <w:szCs w:val="18"/>
                <w:color w:val="auto"/>
              </w:rPr>
              <w:t>101.PRE</w:t>
            </w:r>
          </w:p>
        </w:tc>
        <w:tc>
          <w:tcPr>
            <w:tcW w:w="10060" w:type="dxa"/>
            <w:vAlign w:val="bottom"/>
            <w:gridSpan w:val="16"/>
          </w:tcPr>
          <w:p>
            <w:pPr>
              <w:spacing w:after="0"/>
              <w:rPr>
                <w:sz w:val="20"/>
                <w:szCs w:val="20"/>
                <w:color w:val="auto"/>
              </w:rPr>
            </w:pPr>
            <w:r>
              <w:rPr>
                <w:rFonts w:ascii="Arial" w:cs="Arial" w:eastAsia="Arial" w:hAnsi="Arial"/>
                <w:sz w:val="18"/>
                <w:szCs w:val="18"/>
                <w:color w:val="auto"/>
              </w:rPr>
              <w:t>XBRL Taxonomy Extension Presentation Linkbase</w:t>
            </w:r>
          </w:p>
        </w:tc>
      </w:tr>
    </w:tbl>
    <w:p>
      <w:pPr>
        <w:spacing w:after="0" w:line="29" w:lineRule="exact"/>
        <w:rPr>
          <w:sz w:val="20"/>
          <w:szCs w:val="20"/>
          <w:color w:val="auto"/>
        </w:rPr>
      </w:pPr>
    </w:p>
    <w:p>
      <w:pPr>
        <w:ind w:left="540" w:hanging="532"/>
        <w:spacing w:after="0"/>
        <w:tabs>
          <w:tab w:leader="none" w:pos="540" w:val="left"/>
        </w:tabs>
        <w:numPr>
          <w:ilvl w:val="0"/>
          <w:numId w:val="35"/>
        </w:numPr>
        <w:rPr>
          <w:rFonts w:ascii="Arial" w:cs="Arial" w:eastAsia="Arial" w:hAnsi="Arial"/>
          <w:sz w:val="18"/>
          <w:szCs w:val="18"/>
          <w:color w:val="auto"/>
        </w:rPr>
      </w:pPr>
      <w:r>
        <w:rPr>
          <w:rFonts w:ascii="Arial" w:cs="Arial" w:eastAsia="Arial" w:hAnsi="Arial"/>
          <w:sz w:val="18"/>
          <w:szCs w:val="18"/>
          <w:i w:val="1"/>
          <w:iCs w:val="1"/>
          <w:color w:val="auto"/>
        </w:rPr>
        <w:t>Indicates a management contract or compensatory plan or arrangement</w:t>
      </w:r>
    </w:p>
    <w:p>
      <w:pPr>
        <w:spacing w:after="0" w:line="1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7"/>
          <w:szCs w:val="17"/>
          <w:i w:val="1"/>
          <w:iCs w:val="1"/>
          <w:color w:val="auto"/>
        </w:rPr>
        <w:t>Furnished, not filed</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Items 3, 4, and 5 are not applicable and have been omitted.</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289165"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7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14" w:right="279" w:bottom="1440" w:gutter="0" w:footer="0" w:header="0"/>
        </w:sectPr>
      </w:pPr>
    </w:p>
    <w:bookmarkStart w:id="62" w:name="page63"/>
    <w:bookmarkEnd w:id="62"/>
    <w:p>
      <w:pPr>
        <w:jc w:val="center"/>
        <w:ind w:right="-19"/>
        <w:spacing w:after="0"/>
        <w:rPr>
          <w:sz w:val="20"/>
          <w:szCs w:val="20"/>
          <w:color w:val="auto"/>
        </w:rPr>
      </w:pPr>
      <w:r>
        <w:rPr>
          <w:rFonts w:ascii="Arial" w:cs="Arial" w:eastAsia="Arial" w:hAnsi="Arial"/>
          <w:sz w:val="18"/>
          <w:szCs w:val="18"/>
          <w:b w:val="1"/>
          <w:bCs w:val="1"/>
          <w:color w:val="auto"/>
        </w:rPr>
        <w:t>SIGNATURE</w:t>
      </w:r>
    </w:p>
    <w:p>
      <w:pPr>
        <w:spacing w:after="0" w:line="160" w:lineRule="exact"/>
        <w:rPr>
          <w:sz w:val="20"/>
          <w:szCs w:val="20"/>
          <w:color w:val="auto"/>
        </w:rPr>
      </w:pPr>
    </w:p>
    <w:p>
      <w:pPr>
        <w:spacing w:after="0" w:line="276"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M</w:t>
      </w:r>
      <w:r>
        <w:rPr>
          <w:rFonts w:ascii="Arial" w:cs="Arial" w:eastAsia="Arial" w:hAnsi="Arial"/>
          <w:sz w:val="13"/>
          <w:szCs w:val="13"/>
          <w:color w:val="auto"/>
        </w:rPr>
        <w:t>ICROSOFT</w:t>
      </w:r>
      <w:r>
        <w:rPr>
          <w:rFonts w:ascii="Arial" w:cs="Arial" w:eastAsia="Arial" w:hAnsi="Arial"/>
          <w:sz w:val="18"/>
          <w:szCs w:val="18"/>
          <w:color w:val="auto"/>
        </w:rPr>
        <w:t xml:space="preserve"> C</w:t>
      </w:r>
      <w:r>
        <w:rPr>
          <w:rFonts w:ascii="Arial" w:cs="Arial" w:eastAsia="Arial" w:hAnsi="Arial"/>
          <w:sz w:val="13"/>
          <w:szCs w:val="13"/>
          <w:color w:val="auto"/>
        </w:rPr>
        <w:t>ORPORATION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3"/>
          <w:szCs w:val="13"/>
          <w:color w:val="auto"/>
        </w:rPr>
        <w:t>S</w:t>
      </w:r>
      <w:r>
        <w:rPr>
          <w:rFonts w:ascii="Arial" w:cs="Arial" w:eastAsia="Arial" w:hAnsi="Arial"/>
          <w:sz w:val="18"/>
          <w:szCs w:val="18"/>
          <w:color w:val="auto"/>
        </w:rPr>
        <w:t>/ F</w:t>
      </w:r>
      <w:r>
        <w:rPr>
          <w:rFonts w:ascii="Arial" w:cs="Arial" w:eastAsia="Arial" w:hAnsi="Arial"/>
          <w:sz w:val="13"/>
          <w:szCs w:val="13"/>
          <w:color w:val="auto"/>
        </w:rPr>
        <w:t>RANK</w:t>
      </w:r>
      <w:r>
        <w:rPr>
          <w:rFonts w:ascii="Arial" w:cs="Arial" w:eastAsia="Arial" w:hAnsi="Arial"/>
          <w:sz w:val="18"/>
          <w:szCs w:val="18"/>
          <w:color w:val="auto"/>
        </w:rPr>
        <w:t xml:space="preserve"> H. B</w:t>
      </w:r>
      <w:r>
        <w:rPr>
          <w:rFonts w:ascii="Arial" w:cs="Arial" w:eastAsia="Arial" w:hAnsi="Arial"/>
          <w:sz w:val="13"/>
          <w:szCs w:val="13"/>
          <w:color w:val="auto"/>
        </w:rPr>
        <w:t>ROD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280416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72">
                      <a:extLst>
                        <a:ext uri="{28A0092B-C50C-407E-A947-70E740481C1C}"/>
                      </a:extLst>
                    </a:blip>
                    <a:srcRect/>
                    <a:stretch>
                      <a:fillRect/>
                    </a:stretch>
                  </pic:blipFill>
                  <pic:spPr bwMode="auto">
                    <a:xfrm>
                      <a:off x="0" y="0"/>
                      <a:ext cx="2804160"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Frank H. Brod</w:t>
      </w:r>
    </w:p>
    <w:p>
      <w:pPr>
        <w:spacing w:after="0" w:line="234" w:lineRule="auto"/>
        <w:rPr>
          <w:sz w:val="20"/>
          <w:szCs w:val="20"/>
          <w:color w:val="auto"/>
        </w:rPr>
      </w:pPr>
      <w:r>
        <w:rPr>
          <w:rFonts w:ascii="Arial" w:cs="Arial" w:eastAsia="Arial" w:hAnsi="Arial"/>
          <w:sz w:val="18"/>
          <w:szCs w:val="18"/>
          <w:color w:val="auto"/>
        </w:rPr>
        <w:t>Corporate Vice President, Finance and Administration;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Chief Accounting Officer (Duly Authorized Officer)</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color w:val="auto"/>
        </w:rPr>
        <w:t>October 26, 2017</w:t>
      </w: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63</w:t>
      </w:r>
    </w:p>
    <w:p>
      <w:pPr>
        <w:sectPr>
          <w:pgSz w:w="11900" w:h="16838" w:orient="portrait"/>
          <w:cols w:equalWidth="0" w:num="1">
            <w:col w:w="11400"/>
          </w:cols>
          <w:pgMar w:left="240" w:top="331" w:right="259" w:bottom="1440" w:gutter="0" w:footer="0" w:header="0"/>
        </w:sectPr>
      </w:pPr>
    </w:p>
    <w:bookmarkStart w:id="63" w:name="page64"/>
    <w:bookmarkEnd w:id="63"/>
    <w:p>
      <w:pPr>
        <w:jc w:val="right"/>
        <w:spacing w:after="0"/>
        <w:rPr>
          <w:sz w:val="20"/>
          <w:szCs w:val="20"/>
          <w:color w:val="auto"/>
        </w:rPr>
      </w:pPr>
      <w:r>
        <w:rPr>
          <w:rFonts w:ascii="Arial" w:cs="Arial" w:eastAsia="Arial" w:hAnsi="Arial"/>
          <w:sz w:val="18"/>
          <w:szCs w:val="18"/>
          <w:color w:val="auto"/>
        </w:rPr>
        <w:t>Exhibit 15.1</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Microsoft Corporation</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One Microsoft Way</w:t>
      </w:r>
    </w:p>
    <w:p>
      <w:pPr>
        <w:spacing w:after="0"/>
        <w:rPr>
          <w:sz w:val="20"/>
          <w:szCs w:val="20"/>
          <w:color w:val="auto"/>
        </w:rPr>
      </w:pPr>
      <w:r>
        <w:rPr>
          <w:rFonts w:ascii="Arial" w:cs="Arial" w:eastAsia="Arial" w:hAnsi="Arial"/>
          <w:sz w:val="18"/>
          <w:szCs w:val="18"/>
          <w:color w:val="auto"/>
        </w:rPr>
        <w:t>Redmond, Washington</w:t>
      </w:r>
    </w:p>
    <w:p>
      <w:pPr>
        <w:spacing w:after="0" w:line="13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reviewed, in accordance with the standards of the Public Company Accounting Oversight Board (United States), the unaudited interim financial information of Microsoft Corporation and subsidiaries for the periods ended September 30, 2017, and 2016, and have issued our report dated October 26, 2017. As indicated in such report, because we did not perform an audit, we expressed no opinion on that information.</w:t>
      </w:r>
    </w:p>
    <w:p>
      <w:pPr>
        <w:spacing w:after="0" w:line="11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aware that our report referred to above, which is included in your Quarterly Report on Form 10-Q for the quarter ended September 30, 2017, is incorporated by reference in Registration Statement Nos. 333-109185, 333-118764, 333-91755, 333-52852, 333-132100, 333-161516, 333-75243, and 333-185757 on Form S-8 and Registration Statement No. 333-207652 on Form S-3.</w:t>
      </w:r>
    </w:p>
    <w:p>
      <w:pPr>
        <w:spacing w:after="0" w:line="11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also are aware that the aforementioned report, pursuant to Rule 436(c) under the Securities Act of 1933, is not considered a part of the Registration Statement prepared or certified by an accountant or a report prepared or certified by an accountant within the meaning of Sections 7 and 11 of that Act.</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3"/>
          <w:szCs w:val="13"/>
          <w:color w:val="auto"/>
        </w:rPr>
        <w:t>S</w:t>
      </w:r>
      <w:r>
        <w:rPr>
          <w:rFonts w:ascii="Arial" w:cs="Arial" w:eastAsia="Arial" w:hAnsi="Arial"/>
          <w:sz w:val="18"/>
          <w:szCs w:val="18"/>
          <w:color w:val="auto"/>
        </w:rPr>
        <w:t>/ D</w:t>
      </w:r>
      <w:r>
        <w:rPr>
          <w:rFonts w:ascii="Arial" w:cs="Arial" w:eastAsia="Arial" w:hAnsi="Arial"/>
          <w:sz w:val="13"/>
          <w:szCs w:val="13"/>
          <w:color w:val="auto"/>
        </w:rPr>
        <w:t>ELOITTE</w:t>
      </w:r>
      <w:r>
        <w:rPr>
          <w:rFonts w:ascii="Arial" w:cs="Arial" w:eastAsia="Arial" w:hAnsi="Arial"/>
          <w:sz w:val="18"/>
          <w:szCs w:val="18"/>
          <w:color w:val="auto"/>
        </w:rPr>
        <w:t xml:space="preserve"> &amp; T</w:t>
      </w:r>
      <w:r>
        <w:rPr>
          <w:rFonts w:ascii="Arial" w:cs="Arial" w:eastAsia="Arial" w:hAnsi="Arial"/>
          <w:sz w:val="13"/>
          <w:szCs w:val="13"/>
          <w:color w:val="auto"/>
        </w:rPr>
        <w:t>OUCHE</w:t>
      </w:r>
      <w:r>
        <w:rPr>
          <w:rFonts w:ascii="Arial" w:cs="Arial" w:eastAsia="Arial" w:hAnsi="Arial"/>
          <w:sz w:val="18"/>
          <w:szCs w:val="18"/>
          <w:color w:val="auto"/>
        </w:rPr>
        <w:t xml:space="preserve"> LLP</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Seattle, Washington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October 26, 2017</w:t>
      </w:r>
    </w:p>
    <w:p>
      <w:pPr>
        <w:sectPr>
          <w:pgSz w:w="11900" w:h="16838" w:orient="portrait"/>
          <w:cols w:equalWidth="0" w:num="1">
            <w:col w:w="11420"/>
          </w:cols>
          <w:pgMar w:left="240" w:top="346" w:right="239" w:bottom="1440" w:gutter="0" w:footer="0" w:header="0"/>
        </w:sectPr>
      </w:pPr>
    </w:p>
    <w:bookmarkStart w:id="64" w:name="page65"/>
    <w:bookmarkEnd w:id="64"/>
    <w:p>
      <w:pPr>
        <w:jc w:val="right"/>
        <w:spacing w:after="0"/>
        <w:rPr>
          <w:sz w:val="20"/>
          <w:szCs w:val="20"/>
          <w:color w:val="auto"/>
        </w:rPr>
      </w:pPr>
      <w:r>
        <w:rPr>
          <w:rFonts w:ascii="Arial" w:cs="Arial" w:eastAsia="Arial" w:hAnsi="Arial"/>
          <w:sz w:val="18"/>
          <w:szCs w:val="18"/>
          <w:color w:val="auto"/>
        </w:rPr>
        <w:t>Exhibit 31.1</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auto"/>
        </w:rPr>
        <w:t>I, Satya Nadella, certify that:</w:t>
      </w:r>
    </w:p>
    <w:p>
      <w:pPr>
        <w:spacing w:after="0" w:line="158" w:lineRule="exact"/>
        <w:rPr>
          <w:sz w:val="20"/>
          <w:szCs w:val="20"/>
          <w:color w:val="auto"/>
        </w:rPr>
      </w:pPr>
    </w:p>
    <w:p>
      <w:pPr>
        <w:ind w:left="200" w:hanging="192"/>
        <w:spacing w:after="0"/>
        <w:tabs>
          <w:tab w:leader="none" w:pos="2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Microsoft Corporation;</w:t>
      </w:r>
    </w:p>
    <w:p>
      <w:pPr>
        <w:spacing w:after="0" w:line="157" w:lineRule="exact"/>
        <w:rPr>
          <w:rFonts w:ascii="Arial" w:cs="Arial" w:eastAsia="Arial" w:hAnsi="Arial"/>
          <w:sz w:val="18"/>
          <w:szCs w:val="18"/>
          <w:color w:val="auto"/>
        </w:rPr>
      </w:pPr>
    </w:p>
    <w:p>
      <w:pPr>
        <w:jc w:val="both"/>
        <w:ind w:firstLine="8"/>
        <w:spacing w:after="0" w:line="255" w:lineRule="auto"/>
        <w:tabs>
          <w:tab w:leader="none" w:pos="215" w:val="left"/>
        </w:tabs>
        <w:numPr>
          <w:ilvl w:val="0"/>
          <w:numId w:val="3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0" w:lineRule="exact"/>
        <w:rPr>
          <w:rFonts w:ascii="Arial" w:cs="Arial" w:eastAsia="Arial" w:hAnsi="Arial"/>
          <w:sz w:val="18"/>
          <w:szCs w:val="18"/>
          <w:color w:val="auto"/>
        </w:rPr>
      </w:pPr>
    </w:p>
    <w:p>
      <w:pPr>
        <w:ind w:firstLine="8"/>
        <w:spacing w:after="0" w:line="276" w:lineRule="auto"/>
        <w:tabs>
          <w:tab w:leader="none" w:pos="201" w:val="left"/>
        </w:tabs>
        <w:numPr>
          <w:ilvl w:val="0"/>
          <w:numId w:val="3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1" w:lineRule="exact"/>
        <w:rPr>
          <w:rFonts w:ascii="Arial" w:cs="Arial" w:eastAsia="Arial" w:hAnsi="Arial"/>
          <w:sz w:val="18"/>
          <w:szCs w:val="18"/>
          <w:color w:val="auto"/>
        </w:rPr>
      </w:pPr>
    </w:p>
    <w:p>
      <w:pPr>
        <w:jc w:val="both"/>
        <w:ind w:firstLine="8"/>
        <w:spacing w:after="0" w:line="247" w:lineRule="auto"/>
        <w:tabs>
          <w:tab w:leader="none" w:pos="206"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spacing w:after="0" w:line="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15d-15(f)) for the registrant and have:</w:t>
      </w:r>
    </w:p>
    <w:p>
      <w:pPr>
        <w:spacing w:after="0" w:line="136" w:lineRule="exact"/>
        <w:rPr>
          <w:sz w:val="20"/>
          <w:szCs w:val="20"/>
          <w:color w:val="auto"/>
        </w:rPr>
      </w:pPr>
    </w:p>
    <w:p>
      <w:pPr>
        <w:jc w:val="both"/>
        <w:ind w:firstLine="8"/>
        <w:spacing w:after="0" w:line="255" w:lineRule="auto"/>
        <w:tabs>
          <w:tab w:leader="none" w:pos="263" w:val="left"/>
        </w:tabs>
        <w:numPr>
          <w:ilvl w:val="0"/>
          <w:numId w:val="3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0" w:lineRule="exact"/>
        <w:rPr>
          <w:rFonts w:ascii="Arial" w:cs="Arial" w:eastAsia="Arial" w:hAnsi="Arial"/>
          <w:sz w:val="18"/>
          <w:szCs w:val="18"/>
          <w:color w:val="auto"/>
        </w:rPr>
      </w:pPr>
    </w:p>
    <w:p>
      <w:pPr>
        <w:jc w:val="both"/>
        <w:ind w:firstLine="8"/>
        <w:spacing w:after="0" w:line="255" w:lineRule="auto"/>
        <w:tabs>
          <w:tab w:leader="none" w:pos="232" w:val="left"/>
        </w:tabs>
        <w:numPr>
          <w:ilvl w:val="0"/>
          <w:numId w:val="3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0" w:lineRule="exact"/>
        <w:rPr>
          <w:rFonts w:ascii="Arial" w:cs="Arial" w:eastAsia="Arial" w:hAnsi="Arial"/>
          <w:sz w:val="18"/>
          <w:szCs w:val="18"/>
          <w:color w:val="auto"/>
        </w:rPr>
      </w:pPr>
    </w:p>
    <w:p>
      <w:pPr>
        <w:ind w:right="20" w:firstLine="8"/>
        <w:spacing w:after="0" w:line="276" w:lineRule="auto"/>
        <w:tabs>
          <w:tab w:leader="none" w:pos="221" w:val="left"/>
        </w:tabs>
        <w:numPr>
          <w:ilvl w:val="0"/>
          <w:numId w:val="3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1" w:lineRule="exact"/>
        <w:rPr>
          <w:rFonts w:ascii="Arial" w:cs="Arial" w:eastAsia="Arial" w:hAnsi="Arial"/>
          <w:sz w:val="18"/>
          <w:szCs w:val="18"/>
          <w:color w:val="auto"/>
        </w:rPr>
      </w:pPr>
    </w:p>
    <w:p>
      <w:pPr>
        <w:jc w:val="both"/>
        <w:ind w:firstLine="8"/>
        <w:spacing w:after="0" w:line="255" w:lineRule="auto"/>
        <w:tabs>
          <w:tab w:leader="none" w:pos="21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0" w:lineRule="exact"/>
        <w:rPr>
          <w:sz w:val="20"/>
          <w:szCs w:val="20"/>
          <w:color w:val="auto"/>
        </w:rPr>
      </w:pPr>
    </w:p>
    <w:p>
      <w:pPr>
        <w:ind w:firstLine="8"/>
        <w:spacing w:after="0" w:line="276" w:lineRule="auto"/>
        <w:tabs>
          <w:tab w:leader="none" w:pos="207"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91" w:lineRule="exact"/>
        <w:rPr>
          <w:sz w:val="20"/>
          <w:szCs w:val="20"/>
          <w:color w:val="auto"/>
        </w:rPr>
      </w:pPr>
    </w:p>
    <w:p>
      <w:pPr>
        <w:ind w:right="20" w:firstLine="8"/>
        <w:spacing w:after="0" w:line="276" w:lineRule="auto"/>
        <w:tabs>
          <w:tab w:leader="none" w:pos="256" w:val="left"/>
        </w:tabs>
        <w:numPr>
          <w:ilvl w:val="0"/>
          <w:numId w:val="3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1" w:lineRule="exact"/>
        <w:rPr>
          <w:rFonts w:ascii="Arial" w:cs="Arial" w:eastAsia="Arial" w:hAnsi="Arial"/>
          <w:sz w:val="18"/>
          <w:szCs w:val="18"/>
          <w:color w:val="auto"/>
        </w:rPr>
      </w:pPr>
    </w:p>
    <w:p>
      <w:pPr>
        <w:ind w:right="20" w:firstLine="8"/>
        <w:spacing w:after="0" w:line="276" w:lineRule="auto"/>
        <w:tabs>
          <w:tab w:leader="none" w:pos="232"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/s/ S</w:t>
      </w:r>
      <w:r>
        <w:rPr>
          <w:rFonts w:ascii="Arial" w:cs="Arial" w:eastAsia="Arial" w:hAnsi="Arial"/>
          <w:sz w:val="13"/>
          <w:szCs w:val="13"/>
          <w:color w:val="auto"/>
        </w:rPr>
        <w:t>ATYA</w:t>
      </w:r>
      <w:r>
        <w:rPr>
          <w:rFonts w:ascii="Arial" w:cs="Arial" w:eastAsia="Arial" w:hAnsi="Arial"/>
          <w:sz w:val="18"/>
          <w:szCs w:val="18"/>
          <w:color w:val="auto"/>
        </w:rPr>
        <w:t xml:space="preserve"> N</w:t>
      </w:r>
      <w:r>
        <w:rPr>
          <w:rFonts w:ascii="Arial" w:cs="Arial" w:eastAsia="Arial" w:hAnsi="Arial"/>
          <w:sz w:val="13"/>
          <w:szCs w:val="13"/>
          <w:color w:val="auto"/>
        </w:rPr>
        <w:t>ADELLA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2898775"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Satya Nadella</w:t>
      </w:r>
    </w:p>
    <w:p>
      <w:pPr>
        <w:spacing w:after="0"/>
        <w:rPr>
          <w:sz w:val="20"/>
          <w:szCs w:val="20"/>
          <w:color w:val="auto"/>
        </w:rPr>
      </w:pPr>
      <w:r>
        <w:rPr>
          <w:rFonts w:ascii="Arial" w:cs="Arial" w:eastAsia="Arial" w:hAnsi="Arial"/>
          <w:sz w:val="18"/>
          <w:szCs w:val="18"/>
          <w:color w:val="auto"/>
        </w:rPr>
        <w:t>Chief Executive Officer</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color w:val="auto"/>
        </w:rPr>
        <w:t>October 26, 2017</w:t>
      </w:r>
    </w:p>
    <w:p>
      <w:pPr>
        <w:sectPr>
          <w:pgSz w:w="11900" w:h="16838" w:orient="portrait"/>
          <w:cols w:equalWidth="0" w:num="1">
            <w:col w:w="11420"/>
          </w:cols>
          <w:pgMar w:left="240" w:top="346" w:right="239" w:bottom="1440" w:gutter="0" w:footer="0" w:header="0"/>
        </w:sectPr>
      </w:pPr>
    </w:p>
    <w:bookmarkStart w:id="65" w:name="page66"/>
    <w:bookmarkEnd w:id="65"/>
    <w:p>
      <w:pPr>
        <w:jc w:val="right"/>
        <w:spacing w:after="0"/>
        <w:rPr>
          <w:sz w:val="20"/>
          <w:szCs w:val="20"/>
          <w:color w:val="auto"/>
        </w:rPr>
      </w:pPr>
      <w:r>
        <w:rPr>
          <w:rFonts w:ascii="Arial" w:cs="Arial" w:eastAsia="Arial" w:hAnsi="Arial"/>
          <w:sz w:val="18"/>
          <w:szCs w:val="18"/>
          <w:color w:val="auto"/>
        </w:rPr>
        <w:t>Exhibit 31.2</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auto"/>
        </w:rPr>
        <w:t>I, Amy E. Hood, certify that:</w:t>
      </w:r>
    </w:p>
    <w:p>
      <w:pPr>
        <w:spacing w:after="0" w:line="158" w:lineRule="exact"/>
        <w:rPr>
          <w:sz w:val="20"/>
          <w:szCs w:val="20"/>
          <w:color w:val="auto"/>
        </w:rPr>
      </w:pPr>
    </w:p>
    <w:p>
      <w:pPr>
        <w:ind w:left="200" w:hanging="192"/>
        <w:spacing w:after="0"/>
        <w:tabs>
          <w:tab w:leader="none" w:pos="2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Microsoft Corporation;</w:t>
      </w:r>
    </w:p>
    <w:p>
      <w:pPr>
        <w:spacing w:after="0" w:line="157" w:lineRule="exact"/>
        <w:rPr>
          <w:rFonts w:ascii="Arial" w:cs="Arial" w:eastAsia="Arial" w:hAnsi="Arial"/>
          <w:sz w:val="18"/>
          <w:szCs w:val="18"/>
          <w:color w:val="auto"/>
        </w:rPr>
      </w:pPr>
    </w:p>
    <w:p>
      <w:pPr>
        <w:jc w:val="both"/>
        <w:ind w:firstLine="8"/>
        <w:spacing w:after="0" w:line="255" w:lineRule="auto"/>
        <w:tabs>
          <w:tab w:leader="none" w:pos="215" w:val="left"/>
        </w:tabs>
        <w:numPr>
          <w:ilvl w:val="0"/>
          <w:numId w:val="4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0" w:lineRule="exact"/>
        <w:rPr>
          <w:rFonts w:ascii="Arial" w:cs="Arial" w:eastAsia="Arial" w:hAnsi="Arial"/>
          <w:sz w:val="18"/>
          <w:szCs w:val="18"/>
          <w:color w:val="auto"/>
        </w:rPr>
      </w:pPr>
    </w:p>
    <w:p>
      <w:pPr>
        <w:ind w:firstLine="8"/>
        <w:spacing w:after="0" w:line="276" w:lineRule="auto"/>
        <w:tabs>
          <w:tab w:leader="none" w:pos="201" w:val="left"/>
        </w:tabs>
        <w:numPr>
          <w:ilvl w:val="0"/>
          <w:numId w:val="4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1" w:lineRule="exact"/>
        <w:rPr>
          <w:rFonts w:ascii="Arial" w:cs="Arial" w:eastAsia="Arial" w:hAnsi="Arial"/>
          <w:sz w:val="18"/>
          <w:szCs w:val="18"/>
          <w:color w:val="auto"/>
        </w:rPr>
      </w:pPr>
    </w:p>
    <w:p>
      <w:pPr>
        <w:jc w:val="both"/>
        <w:ind w:firstLine="8"/>
        <w:spacing w:after="0" w:line="247" w:lineRule="auto"/>
        <w:tabs>
          <w:tab w:leader="none" w:pos="206"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spacing w:after="0" w:line="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15d-15(f)) for the registrant and have:</w:t>
      </w:r>
    </w:p>
    <w:p>
      <w:pPr>
        <w:spacing w:after="0" w:line="136" w:lineRule="exact"/>
        <w:rPr>
          <w:sz w:val="20"/>
          <w:szCs w:val="20"/>
          <w:color w:val="auto"/>
        </w:rPr>
      </w:pPr>
    </w:p>
    <w:p>
      <w:pPr>
        <w:jc w:val="both"/>
        <w:ind w:firstLine="8"/>
        <w:spacing w:after="0" w:line="255" w:lineRule="auto"/>
        <w:tabs>
          <w:tab w:leader="none" w:pos="263" w:val="left"/>
        </w:tabs>
        <w:numPr>
          <w:ilvl w:val="0"/>
          <w:numId w:val="4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0" w:lineRule="exact"/>
        <w:rPr>
          <w:rFonts w:ascii="Arial" w:cs="Arial" w:eastAsia="Arial" w:hAnsi="Arial"/>
          <w:sz w:val="18"/>
          <w:szCs w:val="18"/>
          <w:color w:val="auto"/>
        </w:rPr>
      </w:pPr>
    </w:p>
    <w:p>
      <w:pPr>
        <w:jc w:val="both"/>
        <w:ind w:firstLine="8"/>
        <w:spacing w:after="0" w:line="255" w:lineRule="auto"/>
        <w:tabs>
          <w:tab w:leader="none" w:pos="232" w:val="left"/>
        </w:tabs>
        <w:numPr>
          <w:ilvl w:val="0"/>
          <w:numId w:val="4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0" w:lineRule="exact"/>
        <w:rPr>
          <w:rFonts w:ascii="Arial" w:cs="Arial" w:eastAsia="Arial" w:hAnsi="Arial"/>
          <w:sz w:val="18"/>
          <w:szCs w:val="18"/>
          <w:color w:val="auto"/>
        </w:rPr>
      </w:pPr>
    </w:p>
    <w:p>
      <w:pPr>
        <w:ind w:right="20" w:firstLine="8"/>
        <w:spacing w:after="0" w:line="276" w:lineRule="auto"/>
        <w:tabs>
          <w:tab w:leader="none" w:pos="221" w:val="left"/>
        </w:tabs>
        <w:numPr>
          <w:ilvl w:val="0"/>
          <w:numId w:val="4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1" w:lineRule="exact"/>
        <w:rPr>
          <w:rFonts w:ascii="Arial" w:cs="Arial" w:eastAsia="Arial" w:hAnsi="Arial"/>
          <w:sz w:val="18"/>
          <w:szCs w:val="18"/>
          <w:color w:val="auto"/>
        </w:rPr>
      </w:pPr>
    </w:p>
    <w:p>
      <w:pPr>
        <w:jc w:val="both"/>
        <w:ind w:firstLine="8"/>
        <w:spacing w:after="0" w:line="255" w:lineRule="auto"/>
        <w:tabs>
          <w:tab w:leader="none" w:pos="210" w:val="left"/>
        </w:tabs>
        <w:numPr>
          <w:ilvl w:val="0"/>
          <w:numId w:val="4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0" w:lineRule="exact"/>
        <w:rPr>
          <w:sz w:val="20"/>
          <w:szCs w:val="20"/>
          <w:color w:val="auto"/>
        </w:rPr>
      </w:pPr>
    </w:p>
    <w:p>
      <w:pPr>
        <w:ind w:firstLine="8"/>
        <w:spacing w:after="0" w:line="276" w:lineRule="auto"/>
        <w:tabs>
          <w:tab w:leader="none" w:pos="207"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91" w:lineRule="exact"/>
        <w:rPr>
          <w:sz w:val="20"/>
          <w:szCs w:val="20"/>
          <w:color w:val="auto"/>
        </w:rPr>
      </w:pPr>
    </w:p>
    <w:p>
      <w:pPr>
        <w:ind w:right="20" w:firstLine="8"/>
        <w:spacing w:after="0" w:line="276" w:lineRule="auto"/>
        <w:tabs>
          <w:tab w:leader="none" w:pos="256" w:val="left"/>
        </w:tabs>
        <w:numPr>
          <w:ilvl w:val="0"/>
          <w:numId w:val="4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1" w:lineRule="exact"/>
        <w:rPr>
          <w:rFonts w:ascii="Arial" w:cs="Arial" w:eastAsia="Arial" w:hAnsi="Arial"/>
          <w:sz w:val="18"/>
          <w:szCs w:val="18"/>
          <w:color w:val="auto"/>
        </w:rPr>
      </w:pPr>
    </w:p>
    <w:p>
      <w:pPr>
        <w:ind w:right="20" w:firstLine="8"/>
        <w:spacing w:after="0" w:line="276" w:lineRule="auto"/>
        <w:tabs>
          <w:tab w:leader="none" w:pos="232"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/s/ A</w:t>
      </w:r>
      <w:r>
        <w:rPr>
          <w:rFonts w:ascii="Arial" w:cs="Arial" w:eastAsia="Arial" w:hAnsi="Arial"/>
          <w:sz w:val="13"/>
          <w:szCs w:val="13"/>
          <w:color w:val="auto"/>
        </w:rPr>
        <w:t>MY</w:t>
      </w:r>
      <w:r>
        <w:rPr>
          <w:rFonts w:ascii="Arial" w:cs="Arial" w:eastAsia="Arial" w:hAnsi="Arial"/>
          <w:sz w:val="18"/>
          <w:szCs w:val="18"/>
          <w:color w:val="auto"/>
        </w:rPr>
        <w:t xml:space="preserve"> E. H</w:t>
      </w:r>
      <w:r>
        <w:rPr>
          <w:rFonts w:ascii="Arial" w:cs="Arial" w:eastAsia="Arial" w:hAnsi="Arial"/>
          <w:sz w:val="13"/>
          <w:szCs w:val="13"/>
          <w:color w:val="auto"/>
        </w:rPr>
        <w:t>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2898775"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Amy E. Hood</w:t>
      </w:r>
    </w:p>
    <w:p>
      <w:pPr>
        <w:spacing w:after="0" w:line="234" w:lineRule="auto"/>
        <w:rPr>
          <w:sz w:val="20"/>
          <w:szCs w:val="20"/>
          <w:color w:val="auto"/>
        </w:rPr>
      </w:pPr>
      <w:r>
        <w:rPr>
          <w:rFonts w:ascii="Arial" w:cs="Arial" w:eastAsia="Arial" w:hAnsi="Arial"/>
          <w:sz w:val="18"/>
          <w:szCs w:val="18"/>
          <w:color w:val="auto"/>
        </w:rPr>
        <w:t>Executive Vice President and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color w:val="auto"/>
        </w:rPr>
        <w:t>October 26, 2017</w:t>
      </w:r>
    </w:p>
    <w:p>
      <w:pPr>
        <w:sectPr>
          <w:pgSz w:w="11900" w:h="16838" w:orient="portrait"/>
          <w:cols w:equalWidth="0" w:num="1">
            <w:col w:w="11420"/>
          </w:cols>
          <w:pgMar w:left="240" w:top="346" w:right="239" w:bottom="1440" w:gutter="0" w:footer="0" w:header="0"/>
        </w:sectPr>
      </w:pPr>
    </w:p>
    <w:bookmarkStart w:id="66" w:name="page67"/>
    <w:bookmarkEnd w:id="66"/>
    <w:p>
      <w:pPr>
        <w:jc w:val="right"/>
        <w:spacing w:after="0"/>
        <w:rPr>
          <w:sz w:val="20"/>
          <w:szCs w:val="20"/>
          <w:color w:val="auto"/>
        </w:rPr>
      </w:pPr>
      <w:r>
        <w:rPr>
          <w:rFonts w:ascii="Arial" w:cs="Arial" w:eastAsia="Arial" w:hAnsi="Arial"/>
          <w:sz w:val="18"/>
          <w:szCs w:val="18"/>
          <w:color w:val="auto"/>
        </w:rPr>
        <w:t>Exhibit 32.1</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PURSUANT TO</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13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connection with the Quarterly Report of Microsoft Corporation, a Washington corporation (the “Company”), on Form 10-Q for the quarter ended September 30, 2017, as filed with the Securities and Exchange Commission (the “Report”), Satya Nadella, Chief Executive Officer of the Company, does hereby certify, pursuant to § 906 of the Sarbanes-Oxley Act of 2002 (18 U.S.C. § 1350), that to his knowledge:</w:t>
      </w:r>
    </w:p>
    <w:p>
      <w:pPr>
        <w:spacing w:after="0" w:line="110" w:lineRule="exact"/>
        <w:rPr>
          <w:sz w:val="20"/>
          <w:szCs w:val="20"/>
          <w:color w:val="auto"/>
        </w:rPr>
      </w:pPr>
    </w:p>
    <w:p>
      <w:pPr>
        <w:ind w:left="280" w:hanging="272"/>
        <w:spacing w:after="0"/>
        <w:tabs>
          <w:tab w:leader="none" w:pos="2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57" w:lineRule="exact"/>
        <w:rPr>
          <w:rFonts w:ascii="Arial" w:cs="Arial" w:eastAsia="Arial" w:hAnsi="Arial"/>
          <w:sz w:val="18"/>
          <w:szCs w:val="18"/>
          <w:color w:val="auto"/>
        </w:rPr>
      </w:pPr>
    </w:p>
    <w:p>
      <w:pPr>
        <w:ind w:right="20" w:firstLine="8"/>
        <w:spacing w:after="0" w:line="276" w:lineRule="auto"/>
        <w:tabs>
          <w:tab w:leader="none" w:pos="296"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/s/ S</w:t>
      </w:r>
      <w:r>
        <w:rPr>
          <w:rFonts w:ascii="Arial" w:cs="Arial" w:eastAsia="Arial" w:hAnsi="Arial"/>
          <w:sz w:val="13"/>
          <w:szCs w:val="13"/>
          <w:color w:val="auto"/>
        </w:rPr>
        <w:t>ATYA</w:t>
      </w:r>
      <w:r>
        <w:rPr>
          <w:rFonts w:ascii="Arial" w:cs="Arial" w:eastAsia="Arial" w:hAnsi="Arial"/>
          <w:sz w:val="18"/>
          <w:szCs w:val="18"/>
          <w:color w:val="auto"/>
        </w:rPr>
        <w:t xml:space="preserve"> N</w:t>
      </w:r>
      <w:r>
        <w:rPr>
          <w:rFonts w:ascii="Arial" w:cs="Arial" w:eastAsia="Arial" w:hAnsi="Arial"/>
          <w:sz w:val="13"/>
          <w:szCs w:val="13"/>
          <w:color w:val="auto"/>
        </w:rPr>
        <w:t>ADELLA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2898775"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Satya Nadella</w:t>
      </w:r>
    </w:p>
    <w:p>
      <w:pPr>
        <w:spacing w:after="0"/>
        <w:rPr>
          <w:sz w:val="20"/>
          <w:szCs w:val="20"/>
          <w:color w:val="auto"/>
        </w:rPr>
      </w:pPr>
      <w:r>
        <w:rPr>
          <w:rFonts w:ascii="Arial" w:cs="Arial" w:eastAsia="Arial" w:hAnsi="Arial"/>
          <w:sz w:val="18"/>
          <w:szCs w:val="18"/>
          <w:color w:val="auto"/>
        </w:rPr>
        <w:t>Chief Executive Officer</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color w:val="auto"/>
        </w:rPr>
        <w:t>October 26, 2017</w:t>
      </w:r>
    </w:p>
    <w:p>
      <w:pPr>
        <w:spacing w:after="0" w:line="158" w:lineRule="exact"/>
        <w:rPr>
          <w:sz w:val="20"/>
          <w:szCs w:val="20"/>
          <w:color w:val="auto"/>
        </w:rPr>
      </w:pPr>
    </w:p>
    <w:p>
      <w:pPr>
        <w:spacing w:after="0" w:line="276" w:lineRule="auto"/>
        <w:rPr>
          <w:sz w:val="20"/>
          <w:szCs w:val="20"/>
          <w:color w:val="auto"/>
        </w:rPr>
      </w:pPr>
      <w:r>
        <w:rPr>
          <w:rFonts w:ascii="Arial" w:cs="Arial" w:eastAsia="Arial" w:hAnsi="Arial"/>
          <w:sz w:val="18"/>
          <w:szCs w:val="18"/>
          <w:color w:val="auto"/>
        </w:rPr>
        <w:t>[A signed original of this written statement required by Section 906 has been provided to Microsoft Corporation and will be retained by Microsoft Corporation and furnished to the Securities and Exchange Commission or its staff upon request.]</w:t>
      </w:r>
    </w:p>
    <w:p>
      <w:pPr>
        <w:sectPr>
          <w:pgSz w:w="11900" w:h="16838" w:orient="portrait"/>
          <w:cols w:equalWidth="0" w:num="1">
            <w:col w:w="11420"/>
          </w:cols>
          <w:pgMar w:left="240" w:top="346" w:right="239" w:bottom="1440" w:gutter="0" w:footer="0" w:header="0"/>
        </w:sectPr>
      </w:pPr>
    </w:p>
    <w:bookmarkStart w:id="67" w:name="page68"/>
    <w:bookmarkEnd w:id="67"/>
    <w:p>
      <w:pPr>
        <w:jc w:val="right"/>
        <w:spacing w:after="0"/>
        <w:rPr>
          <w:sz w:val="20"/>
          <w:szCs w:val="20"/>
          <w:color w:val="auto"/>
        </w:rPr>
      </w:pPr>
      <w:r>
        <w:rPr>
          <w:rFonts w:ascii="Arial" w:cs="Arial" w:eastAsia="Arial" w:hAnsi="Arial"/>
          <w:sz w:val="18"/>
          <w:szCs w:val="18"/>
          <w:color w:val="auto"/>
        </w:rPr>
        <w:t>Exhibit 32.2</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PURSUANT TO</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13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connection with the Quarterly Report of Microsoft Corporation, a Washington corporation (the “Company”), on Form 10-Q for the quarter ended September 30, 2017, as filed with the Securities and Exchange Commission (the “Report”), Amy E. Hood, Chief Financial Officer of the Company, does hereby certify, pursuant to § 906 of the Sarbanes-Oxley Act of 2002 (18 U.S.C. § 1350), that to her knowledge:</w:t>
      </w:r>
    </w:p>
    <w:p>
      <w:pPr>
        <w:spacing w:after="0" w:line="110" w:lineRule="exact"/>
        <w:rPr>
          <w:sz w:val="20"/>
          <w:szCs w:val="20"/>
          <w:color w:val="auto"/>
        </w:rPr>
      </w:pPr>
    </w:p>
    <w:p>
      <w:pPr>
        <w:ind w:left="280" w:hanging="272"/>
        <w:spacing w:after="0"/>
        <w:tabs>
          <w:tab w:leader="none" w:pos="2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57" w:lineRule="exact"/>
        <w:rPr>
          <w:rFonts w:ascii="Arial" w:cs="Arial" w:eastAsia="Arial" w:hAnsi="Arial"/>
          <w:sz w:val="18"/>
          <w:szCs w:val="18"/>
          <w:color w:val="auto"/>
        </w:rPr>
      </w:pPr>
    </w:p>
    <w:p>
      <w:pPr>
        <w:ind w:right="20" w:firstLine="8"/>
        <w:spacing w:after="0" w:line="276" w:lineRule="auto"/>
        <w:tabs>
          <w:tab w:leader="none" w:pos="296"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/s/ A</w:t>
      </w:r>
      <w:r>
        <w:rPr>
          <w:rFonts w:ascii="Arial" w:cs="Arial" w:eastAsia="Arial" w:hAnsi="Arial"/>
          <w:sz w:val="13"/>
          <w:szCs w:val="13"/>
          <w:color w:val="auto"/>
        </w:rPr>
        <w:t>MY</w:t>
      </w:r>
      <w:r>
        <w:rPr>
          <w:rFonts w:ascii="Arial" w:cs="Arial" w:eastAsia="Arial" w:hAnsi="Arial"/>
          <w:sz w:val="18"/>
          <w:szCs w:val="18"/>
          <w:color w:val="auto"/>
        </w:rPr>
        <w:t xml:space="preserve"> E. H</w:t>
      </w:r>
      <w:r>
        <w:rPr>
          <w:rFonts w:ascii="Arial" w:cs="Arial" w:eastAsia="Arial" w:hAnsi="Arial"/>
          <w:sz w:val="13"/>
          <w:szCs w:val="13"/>
          <w:color w:val="auto"/>
        </w:rPr>
        <w:t>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2898775"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Amy E. Hood</w:t>
      </w:r>
    </w:p>
    <w:p>
      <w:pPr>
        <w:spacing w:after="0" w:line="234" w:lineRule="auto"/>
        <w:rPr>
          <w:sz w:val="20"/>
          <w:szCs w:val="20"/>
          <w:color w:val="auto"/>
        </w:rPr>
      </w:pPr>
      <w:r>
        <w:rPr>
          <w:rFonts w:ascii="Arial" w:cs="Arial" w:eastAsia="Arial" w:hAnsi="Arial"/>
          <w:sz w:val="18"/>
          <w:szCs w:val="18"/>
          <w:color w:val="auto"/>
        </w:rPr>
        <w:t>Executive Vice President and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color w:val="auto"/>
        </w:rPr>
        <w:t>October 26, 2017</w:t>
      </w:r>
    </w:p>
    <w:p>
      <w:pPr>
        <w:spacing w:after="0" w:line="158" w:lineRule="exact"/>
        <w:rPr>
          <w:sz w:val="20"/>
          <w:szCs w:val="20"/>
          <w:color w:val="auto"/>
        </w:rPr>
      </w:pPr>
    </w:p>
    <w:p>
      <w:pPr>
        <w:spacing w:after="0" w:line="276" w:lineRule="auto"/>
        <w:rPr>
          <w:sz w:val="20"/>
          <w:szCs w:val="20"/>
          <w:color w:val="auto"/>
        </w:rPr>
      </w:pPr>
      <w:r>
        <w:rPr>
          <w:rFonts w:ascii="Arial" w:cs="Arial" w:eastAsia="Arial" w:hAnsi="Arial"/>
          <w:sz w:val="18"/>
          <w:szCs w:val="18"/>
          <w:color w:val="auto"/>
        </w:rPr>
        <w:t>[A signed original of this written statement required by Section 906 has been provided to Microsoft Corporation and will be retained by Microsoft Corporation and furnished to the Securities and Exchange Commission or its staff upon request.]</w:t>
      </w:r>
    </w:p>
    <w:sectPr>
      <w:pgSz w:w="11900" w:h="16838" w:orient="portrait"/>
      <w:cols w:equalWidth="0" w:num="1">
        <w:col w:w="11420"/>
      </w:cols>
      <w:pgMar w:left="240" w:top="34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D1D5AE9"/>
    <w:multiLevelType w:val="hybridMultilevel"/>
    <w:lvl w:ilvl="0">
      <w:lvlJc w:val="left"/>
      <w:lvlText w:val="☒"/>
      <w:numFmt w:val="bullet"/>
      <w:start w:val="1"/>
    </w:lvl>
  </w:abstractNum>
  <w:abstractNum w:abstractNumId="1">
    <w:nsid w:val="6763845E"/>
    <w:multiLevelType w:val="hybridMultilevel"/>
    <w:lvl w:ilvl="0">
      <w:lvlJc w:val="left"/>
      <w:lvlText w:val="☐"/>
      <w:numFmt w:val="bullet"/>
      <w:start w:val="1"/>
    </w:lvl>
  </w:abstractNum>
  <w:abstractNum w:abstractNumId="2">
    <w:nsid w:val="75A2A8D4"/>
    <w:multiLevelType w:val="hybridMultilevel"/>
    <w:lvl w:ilvl="0">
      <w:lvlJc w:val="left"/>
      <w:lvlText w:val="%1)"/>
      <w:numFmt w:val="lowerLetter"/>
      <w:start w:val="1"/>
    </w:lvl>
  </w:abstractNum>
  <w:abstractNum w:abstractNumId="3">
    <w:nsid w:val="8EDBDAB"/>
    <w:multiLevelType w:val="hybridMultilevel"/>
    <w:lvl w:ilvl="0">
      <w:lvlJc w:val="left"/>
      <w:lvlText w:val="$"/>
      <w:numFmt w:val="bullet"/>
      <w:start w:val="1"/>
    </w:lvl>
  </w:abstractNum>
  <w:abstractNum w:abstractNumId="4">
    <w:nsid w:val="79838CB2"/>
    <w:multiLevelType w:val="hybridMultilevel"/>
    <w:lvl w:ilvl="0">
      <w:lvlJc w:val="left"/>
      <w:lvlText w:val="$"/>
      <w:numFmt w:val="bullet"/>
      <w:start w:val="1"/>
    </w:lvl>
  </w:abstractNum>
  <w:abstractNum w:abstractNumId="5">
    <w:nsid w:val="4353D0CD"/>
    <w:multiLevelType w:val="hybridMultilevel"/>
    <w:lvl w:ilvl="0">
      <w:lvlJc w:val="left"/>
      <w:lvlText w:val="$"/>
      <w:numFmt w:val="bullet"/>
      <w:start w:val="1"/>
    </w:lvl>
  </w:abstractNum>
  <w:abstractNum w:abstractNumId="6">
    <w:nsid w:val="B03E0C6"/>
    <w:multiLevelType w:val="hybridMultilevel"/>
    <w:lvl w:ilvl="0">
      <w:lvlJc w:val="left"/>
      <w:lvlText w:val="$"/>
      <w:numFmt w:val="bullet"/>
      <w:start w:val="1"/>
    </w:lvl>
  </w:abstractNum>
  <w:abstractNum w:abstractNumId="7">
    <w:nsid w:val="189A769B"/>
    <w:multiLevelType w:val="hybridMultilevel"/>
    <w:lvl w:ilvl="0">
      <w:lvlJc w:val="left"/>
      <w:lvlText w:val="$"/>
      <w:numFmt w:val="bullet"/>
      <w:start w:val="1"/>
    </w:lvl>
  </w:abstractNum>
  <w:abstractNum w:abstractNumId="8">
    <w:nsid w:val="54E49EB4"/>
    <w:multiLevelType w:val="hybridMultilevel"/>
    <w:lvl w:ilvl="0">
      <w:lvlJc w:val="left"/>
      <w:lvlText w:val="$"/>
      <w:numFmt w:val="bullet"/>
      <w:start w:val="1"/>
    </w:lvl>
  </w:abstractNum>
  <w:abstractNum w:abstractNumId="9">
    <w:nsid w:val="71F32454"/>
    <w:multiLevelType w:val="hybridMultilevel"/>
    <w:lvl w:ilvl="0">
      <w:lvlJc w:val="left"/>
      <w:lvlText w:val="$"/>
      <w:numFmt w:val="bullet"/>
      <w:start w:val="1"/>
    </w:lvl>
  </w:abstractNum>
  <w:abstractNum w:abstractNumId="10">
    <w:nsid w:val="2CA88611"/>
    <w:multiLevelType w:val="hybridMultilevel"/>
    <w:lvl w:ilvl="0">
      <w:lvlJc w:val="left"/>
      <w:lvlText w:val="$"/>
      <w:numFmt w:val="bullet"/>
      <w:start w:val="1"/>
    </w:lvl>
  </w:abstractNum>
  <w:abstractNum w:abstractNumId="11">
    <w:nsid w:val="836C40E"/>
    <w:multiLevelType w:val="hybridMultilevel"/>
    <w:lvl w:ilvl="0">
      <w:lvlJc w:val="left"/>
      <w:lvlText w:val="•"/>
      <w:numFmt w:val="bullet"/>
      <w:start w:val="1"/>
    </w:lvl>
  </w:abstractNum>
  <w:abstractNum w:abstractNumId="12">
    <w:nsid w:val="2901D82"/>
    <w:multiLevelType w:val="hybridMultilevel"/>
    <w:lvl w:ilvl="0">
      <w:lvlJc w:val="left"/>
      <w:lvlText w:val="(%1)"/>
      <w:numFmt w:val="lowerLetter"/>
      <w:start w:val="1"/>
    </w:lvl>
  </w:abstractNum>
  <w:abstractNum w:abstractNumId="13">
    <w:nsid w:val="3A95F874"/>
    <w:multiLevelType w:val="hybridMultilevel"/>
    <w:lvl w:ilvl="0">
      <w:lvlJc w:val="left"/>
      <w:lvlText w:val="(%1)"/>
      <w:numFmt w:val="lowerLetter"/>
      <w:start w:val="1"/>
    </w:lvl>
  </w:abstractNum>
  <w:abstractNum w:abstractNumId="14">
    <w:nsid w:val="8138641"/>
    <w:multiLevelType w:val="hybridMultilevel"/>
    <w:lvl w:ilvl="0">
      <w:lvlJc w:val="left"/>
      <w:lvlText w:val="(%1)"/>
      <w:numFmt w:val="lowerLetter"/>
      <w:start w:val="1"/>
    </w:lvl>
  </w:abstractNum>
  <w:abstractNum w:abstractNumId="15">
    <w:nsid w:val="1E7FF521"/>
    <w:multiLevelType w:val="hybridMultilevel"/>
    <w:lvl w:ilvl="0">
      <w:lvlJc w:val="left"/>
      <w:lvlText w:val="(%1)"/>
      <w:numFmt w:val="lowerLetter"/>
      <w:start w:val="1"/>
    </w:lvl>
  </w:abstractNum>
  <w:abstractNum w:abstractNumId="16">
    <w:nsid w:val="7C3DBD3D"/>
    <w:multiLevelType w:val="hybridMultilevel"/>
    <w:lvl w:ilvl="0">
      <w:lvlJc w:val="left"/>
      <w:lvlText w:val="•"/>
      <w:numFmt w:val="bullet"/>
      <w:start w:val="1"/>
    </w:lvl>
  </w:abstractNum>
  <w:abstractNum w:abstractNumId="17">
    <w:nsid w:val="737B8DDC"/>
    <w:multiLevelType w:val="hybridMultilevel"/>
    <w:lvl w:ilvl="0">
      <w:lvlJc w:val="left"/>
      <w:lvlText w:val="•"/>
      <w:numFmt w:val="bullet"/>
      <w:start w:val="1"/>
    </w:lvl>
  </w:abstractNum>
  <w:abstractNum w:abstractNumId="18">
    <w:nsid w:val="6CEAF087"/>
    <w:multiLevelType w:val="hybridMultilevel"/>
    <w:lvl w:ilvl="0">
      <w:lvlJc w:val="left"/>
      <w:lvlText w:val="•"/>
      <w:numFmt w:val="bullet"/>
      <w:start w:val="1"/>
    </w:lvl>
  </w:abstractNum>
  <w:abstractNum w:abstractNumId="19">
    <w:nsid w:val="22221A70"/>
    <w:multiLevelType w:val="hybridMultilevel"/>
    <w:lvl w:ilvl="0">
      <w:lvlJc w:val="left"/>
      <w:lvlText w:val="(%1)"/>
      <w:numFmt w:val="lowerLetter"/>
      <w:start w:val="1"/>
    </w:lvl>
  </w:abstractNum>
  <w:abstractNum w:abstractNumId="20">
    <w:nsid w:val="4516DDE9"/>
    <w:multiLevelType w:val="hybridMultilevel"/>
    <w:lvl w:ilvl="0">
      <w:lvlJc w:val="left"/>
      <w:lvlText w:val="•"/>
      <w:numFmt w:val="bullet"/>
      <w:start w:val="1"/>
    </w:lvl>
  </w:abstractNum>
  <w:abstractNum w:abstractNumId="21">
    <w:nsid w:val="3006C83E"/>
    <w:multiLevelType w:val="hybridMultilevel"/>
    <w:lvl w:ilvl="0">
      <w:lvlJc w:val="left"/>
      <w:lvlText w:val="*"/>
      <w:numFmt w:val="bullet"/>
      <w:start w:val="1"/>
    </w:lvl>
    <w:lvl w:ilvl="1">
      <w:lvlJc w:val="left"/>
      <w:lvlText w:val="•"/>
      <w:numFmt w:val="bullet"/>
      <w:start w:val="1"/>
    </w:lvl>
  </w:abstractNum>
  <w:abstractNum w:abstractNumId="22">
    <w:nsid w:val="614FD4A1"/>
    <w:multiLevelType w:val="hybridMultilevel"/>
    <w:lvl w:ilvl="0">
      <w:lvlJc w:val="left"/>
      <w:lvlText w:val="•"/>
      <w:numFmt w:val="bullet"/>
      <w:start w:val="1"/>
    </w:lvl>
  </w:abstractNum>
  <w:abstractNum w:abstractNumId="23">
    <w:nsid w:val="419AC241"/>
    <w:multiLevelType w:val="hybridMultilevel"/>
    <w:lvl w:ilvl="0">
      <w:lvlJc w:val="left"/>
      <w:lvlText w:val="•"/>
      <w:numFmt w:val="bullet"/>
      <w:start w:val="1"/>
    </w:lvl>
  </w:abstractNum>
  <w:abstractNum w:abstractNumId="24">
    <w:nsid w:val="5577F8E1"/>
    <w:multiLevelType w:val="hybridMultilevel"/>
    <w:lvl w:ilvl="0">
      <w:lvlJc w:val="left"/>
      <w:lvlText w:val="•"/>
      <w:numFmt w:val="bullet"/>
      <w:start w:val="1"/>
    </w:lvl>
  </w:abstractNum>
  <w:abstractNum w:abstractNumId="25">
    <w:nsid w:val="440BADFC"/>
    <w:multiLevelType w:val="hybridMultilevel"/>
    <w:lvl w:ilvl="0">
      <w:lvlJc w:val="left"/>
      <w:lvlText w:val="•"/>
      <w:numFmt w:val="bullet"/>
      <w:start w:val="1"/>
    </w:lvl>
  </w:abstractNum>
  <w:abstractNum w:abstractNumId="26">
    <w:nsid w:val="5072367"/>
    <w:multiLevelType w:val="hybridMultilevel"/>
    <w:lvl w:ilvl="0">
      <w:lvlJc w:val="left"/>
      <w:lvlText w:val="•"/>
      <w:numFmt w:val="bullet"/>
      <w:start w:val="1"/>
    </w:lvl>
  </w:abstractNum>
  <w:abstractNum w:abstractNumId="27">
    <w:nsid w:val="3804823E"/>
    <w:multiLevelType w:val="hybridMultilevel"/>
    <w:lvl w:ilvl="0">
      <w:lvlJc w:val="left"/>
      <w:lvlText w:val="•"/>
      <w:numFmt w:val="bullet"/>
      <w:start w:val="1"/>
    </w:lvl>
  </w:abstractNum>
  <w:abstractNum w:abstractNumId="28">
    <w:nsid w:val="77465F01"/>
    <w:multiLevelType w:val="hybridMultilevel"/>
    <w:lvl w:ilvl="0">
      <w:lvlJc w:val="left"/>
      <w:lvlText w:val="•"/>
      <w:numFmt w:val="bullet"/>
      <w:start w:val="1"/>
    </w:lvl>
  </w:abstractNum>
  <w:abstractNum w:abstractNumId="29">
    <w:nsid w:val="7724C67E"/>
    <w:multiLevelType w:val="hybridMultilevel"/>
    <w:lvl w:ilvl="0">
      <w:lvlJc w:val="left"/>
      <w:lvlText w:val="•"/>
      <w:numFmt w:val="bullet"/>
      <w:start w:val="1"/>
    </w:lvl>
    <w:lvl w:ilvl="1">
      <w:lvlJc w:val="left"/>
      <w:lvlText w:val="•"/>
      <w:numFmt w:val="bullet"/>
      <w:start w:val="1"/>
    </w:lvl>
  </w:abstractNum>
  <w:abstractNum w:abstractNumId="30">
    <w:nsid w:val="5C482A97"/>
    <w:multiLevelType w:val="hybridMultilevel"/>
    <w:lvl w:ilvl="0">
      <w:lvlJc w:val="left"/>
      <w:lvlText w:val="•"/>
      <w:numFmt w:val="bullet"/>
      <w:start w:val="1"/>
    </w:lvl>
  </w:abstractNum>
  <w:abstractNum w:abstractNumId="31">
    <w:nsid w:val="2463B9EA"/>
    <w:multiLevelType w:val="hybridMultilevel"/>
    <w:lvl w:ilvl="0">
      <w:lvlJc w:val="left"/>
      <w:lvlText w:val="•"/>
      <w:numFmt w:val="bullet"/>
      <w:start w:val="1"/>
    </w:lvl>
  </w:abstractNum>
  <w:abstractNum w:abstractNumId="32">
    <w:nsid w:val="5E884ADC"/>
    <w:multiLevelType w:val="hybridMultilevel"/>
    <w:lvl w:ilvl="0">
      <w:lvlJc w:val="left"/>
      <w:lvlText w:val="•"/>
      <w:numFmt w:val="bullet"/>
      <w:start w:val="1"/>
    </w:lvl>
  </w:abstractNum>
  <w:abstractNum w:abstractNumId="33">
    <w:nsid w:val="51EAD36B"/>
    <w:multiLevelType w:val="hybridMultilevel"/>
    <w:lvl w:ilvl="0">
      <w:lvlJc w:val="left"/>
      <w:lvlText w:val="•"/>
      <w:numFmt w:val="bullet"/>
      <w:start w:val="1"/>
    </w:lvl>
  </w:abstractNum>
  <w:abstractNum w:abstractNumId="34">
    <w:nsid w:val="2D517796"/>
    <w:multiLevelType w:val="hybridMultilevel"/>
    <w:lvl w:ilvl="0">
      <w:lvlJc w:val="left"/>
      <w:lvlText w:val="*"/>
      <w:numFmt w:val="bullet"/>
      <w:start w:val="1"/>
    </w:lvl>
  </w:abstractNum>
  <w:abstractNum w:abstractNumId="35">
    <w:nsid w:val="580BD78F"/>
    <w:multiLevelType w:val="hybridMultilevel"/>
    <w:lvl w:ilvl="0">
      <w:lvlJc w:val="left"/>
      <w:lvlText w:val="%1."/>
      <w:numFmt w:val="decimal"/>
      <w:start w:val="1"/>
    </w:lvl>
  </w:abstractNum>
  <w:abstractNum w:abstractNumId="36">
    <w:nsid w:val="153EA438"/>
    <w:multiLevelType w:val="hybridMultilevel"/>
    <w:lvl w:ilvl="0">
      <w:lvlJc w:val="left"/>
      <w:lvlText w:val="%1)"/>
      <w:numFmt w:val="lowerLetter"/>
      <w:start w:val="1"/>
    </w:lvl>
  </w:abstractNum>
  <w:abstractNum w:abstractNumId="37">
    <w:nsid w:val="3855585C"/>
    <w:multiLevelType w:val="hybridMultilevel"/>
    <w:lvl w:ilvl="0">
      <w:lvlJc w:val="left"/>
      <w:lvlText w:val="%1."/>
      <w:numFmt w:val="decimal"/>
      <w:start w:val="5"/>
    </w:lvl>
  </w:abstractNum>
  <w:abstractNum w:abstractNumId="38">
    <w:nsid w:val="70A64E2A"/>
    <w:multiLevelType w:val="hybridMultilevel"/>
    <w:lvl w:ilvl="0">
      <w:lvlJc w:val="left"/>
      <w:lvlText w:val="%1)"/>
      <w:numFmt w:val="lowerLetter"/>
      <w:start w:val="1"/>
    </w:lvl>
  </w:abstractNum>
  <w:abstractNum w:abstractNumId="39">
    <w:nsid w:val="6A2342EC"/>
    <w:multiLevelType w:val="hybridMultilevel"/>
    <w:lvl w:ilvl="0">
      <w:lvlJc w:val="left"/>
      <w:lvlText w:val="%1."/>
      <w:numFmt w:val="decimal"/>
      <w:start w:val="1"/>
    </w:lvl>
  </w:abstractNum>
  <w:abstractNum w:abstractNumId="40">
    <w:nsid w:val="2A487CB0"/>
    <w:multiLevelType w:val="hybridMultilevel"/>
    <w:lvl w:ilvl="0">
      <w:lvlJc w:val="left"/>
      <w:lvlText w:val="%1)"/>
      <w:numFmt w:val="lowerLetter"/>
      <w:start w:val="1"/>
    </w:lvl>
  </w:abstractNum>
  <w:abstractNum w:abstractNumId="41">
    <w:nsid w:val="1D4ED43B"/>
    <w:multiLevelType w:val="hybridMultilevel"/>
    <w:lvl w:ilvl="0">
      <w:lvlJc w:val="left"/>
      <w:lvlText w:val="%1."/>
      <w:numFmt w:val="decimal"/>
      <w:start w:val="5"/>
    </w:lvl>
  </w:abstractNum>
  <w:abstractNum w:abstractNumId="42">
    <w:nsid w:val="725A06FB"/>
    <w:multiLevelType w:val="hybridMultilevel"/>
    <w:lvl w:ilvl="0">
      <w:lvlJc w:val="left"/>
      <w:lvlText w:val="%1)"/>
      <w:numFmt w:val="lowerLetter"/>
      <w:start w:val="1"/>
    </w:lvl>
  </w:abstractNum>
  <w:abstractNum w:abstractNumId="43">
    <w:nsid w:val="2CD89A32"/>
    <w:multiLevelType w:val="hybridMultilevel"/>
    <w:lvl w:ilvl="0">
      <w:lvlJc w:val="left"/>
      <w:lvlText w:val="(%1)"/>
      <w:numFmt w:val="decimal"/>
      <w:start w:val="1"/>
    </w:lvl>
  </w:abstractNum>
  <w:abstractNum w:abstractNumId="44">
    <w:nsid w:val="57E4CCA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71" Type="http://schemas.openxmlformats.org/officeDocument/2006/relationships/image" Target="media/image159.png"/><Relationship Id="rId172" Type="http://schemas.openxmlformats.org/officeDocument/2006/relationships/image" Target="media/image160.png"/><Relationship Id="rId173" Type="http://schemas.openxmlformats.org/officeDocument/2006/relationships/image" Target="media/image161.png"/><Relationship Id="rId174" Type="http://schemas.openxmlformats.org/officeDocument/2006/relationships/image" Target="media/image162.png"/><Relationship Id="rId175" Type="http://schemas.openxmlformats.org/officeDocument/2006/relationships/image" Target="media/image163.png"/><Relationship Id="rId176" Type="http://schemas.openxmlformats.org/officeDocument/2006/relationships/image" Target="media/image164.png"/><Relationship Id="rId166" Type="http://schemas.openxmlformats.org/officeDocument/2006/relationships/hyperlink" Target="http://www.sec.gov/Archives/edgar/data/789019/000119312516742796/d245252dex101.htm" TargetMode="External"/><Relationship Id="rId167" Type="http://schemas.openxmlformats.org/officeDocument/2006/relationships/hyperlink" Target="http://www.sec.gov/Archives/edgar/data/789019/000119312516742796/d245252dex1017.htm" TargetMode="External"/><Relationship Id="rId168" Type="http://schemas.openxmlformats.org/officeDocument/2006/relationships/hyperlink" Target="http://www.sec.gov/Archives/edgar/data/789019/000119312516742796/d245252dex1018.htm" TargetMode="External"/><Relationship Id="rId169" Type="http://schemas.openxmlformats.org/officeDocument/2006/relationships/hyperlink" Target="http://www.sec.gov/Archives/edgar/data/789019/000119312516742796/d245252dex1022.htm" TargetMode="External"/><Relationship Id="rId170" Type="http://schemas.openxmlformats.org/officeDocument/2006/relationships/hyperlink" Target="http://www.sec.gov/Archives/edgar/data/789019/000119312516742796/d245252dex1025.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2019-12-29T04:01:44Z</dcterms:created>
  <dcterms:modified xsi:type="dcterms:W3CDTF">2019-12-29T04:01:44Z</dcterms:modified>
</cp:coreProperties>
</file>