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December 30, 2025</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3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219075</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5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MICROSOFT CORPORATION</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220345</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91-1144442</w:t>
      </w:r>
    </w:p>
    <w:p>
      <w:pPr>
        <w:spacing w:after="0" w:line="18" w:lineRule="exact"/>
        <w:rPr>
          <w:sz w:val="24"/>
          <w:szCs w:val="24"/>
          <w:color w:val="auto"/>
        </w:rPr>
      </w:pPr>
    </w:p>
    <w:p>
      <w:pPr>
        <w:sectPr>
          <w:pgSz w:w="11900" w:h="16838" w:orient="portrait"/>
          <w:cols w:equalWidth="0" w:num="2">
            <w:col w:w="6880" w:space="720"/>
            <w:col w:w="2920"/>
          </w:cols>
          <w:pgMar w:left="660" w:top="223" w:right="719" w:bottom="1440" w:gutter="0" w:footer="0" w:header="0"/>
          <w:type w:val="continuous"/>
        </w:sectPr>
      </w:pPr>
    </w:p>
    <w:p>
      <w:pPr>
        <w:spacing w:after="0" w:line="12"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7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99" w:lineRule="exact"/>
        <w:rPr>
          <w:sz w:val="24"/>
          <w:szCs w:val="24"/>
          <w:color w:val="auto"/>
        </w:rPr>
      </w:pPr>
    </w:p>
    <w:p>
      <w:pPr>
        <w:sectPr>
          <w:pgSz w:w="11900" w:h="16838" w:orient="portrait"/>
          <w:cols w:equalWidth="0" w:num="2">
            <w:col w:w="6740" w:space="720"/>
            <w:col w:w="3060"/>
          </w:cols>
          <w:pgMar w:left="660" w:top="223" w:right="7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One Microsoft Way</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Redmond, Washington 98052-6399</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1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Microsoft Corporation 2026 Stock Plan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ectPr>
          <w:pgSz w:w="11900" w:h="16838" w:orient="portrait"/>
          <w:cols w:equalWidth="0" w:num="1">
            <w:col w:w="10520"/>
          </w:cols>
          <w:pgMar w:left="660" w:top="223" w:right="719" w:bottom="1440" w:gutter="0" w:footer="0" w:header="0"/>
          <w:type w:val="continuous"/>
        </w:sectPr>
      </w:pP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Keith R. Dolliver, Esq.</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Deputy General Counsel and Corporate Secretary</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Microsoft 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One Microsoft Way</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Redmond, Washington 98052-6399</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(425) 882-8080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206375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71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173355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1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color w:val="auto"/>
        </w:rPr>
        <w:t>The following documents filed by Microsoft with the Securities and Exchange Commission (the “Commission”) are hereby incorporated by reference in this registration statement:</w:t>
      </w:r>
    </w:p>
    <w:p>
      <w:pPr>
        <w:spacing w:after="0" w:line="44" w:lineRule="exact"/>
        <w:rPr>
          <w:sz w:val="20"/>
          <w:szCs w:val="20"/>
          <w:color w:val="auto"/>
        </w:rPr>
      </w:pPr>
    </w:p>
    <w:p>
      <w:pPr>
        <w:ind w:right="600"/>
        <w:spacing w:after="0" w:line="291" w:lineRule="auto"/>
        <w:tabs>
          <w:tab w:leader="none" w:pos="2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Microsoft’s Annual Report on Form 10-K for the fiscal year ended June 30, 2025, filed on </w:t>
      </w:r>
      <w:hyperlink r:id="rId17">
        <w:r>
          <w:rPr>
            <w:rFonts w:ascii="Times New Roman" w:cs="Times New Roman" w:eastAsia="Times New Roman" w:hAnsi="Times New Roman"/>
            <w:sz w:val="17"/>
            <w:szCs w:val="17"/>
            <w:u w:val="single" w:color="auto"/>
            <w:color w:val="0000EE"/>
          </w:rPr>
          <w:t>July 30,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which contains Microsoft’s audited financial statements for the latest fiscal year for which such statements have been filed;</w:t>
      </w:r>
    </w:p>
    <w:p>
      <w:pPr>
        <w:spacing w:after="0" w:line="43" w:lineRule="exact"/>
        <w:rPr>
          <w:rFonts w:ascii="Times New Roman" w:cs="Times New Roman" w:eastAsia="Times New Roman" w:hAnsi="Times New Roman"/>
          <w:sz w:val="17"/>
          <w:szCs w:val="17"/>
          <w:color w:val="auto"/>
        </w:rPr>
      </w:pPr>
    </w:p>
    <w:p>
      <w:pPr>
        <w:ind w:right="300"/>
        <w:spacing w:after="0" w:line="291" w:lineRule="auto"/>
        <w:tabs>
          <w:tab w:leader="none" w:pos="2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reports of Microsoft filed with the Commission, pursuant to Section 13(a) or 15(d) of the Securities Exchange Act of 1934, as amended (the “Exchange Act”) since the end of the fiscal year covered by Microsoft’s Annual Report referred to in (a) above; and</w:t>
      </w:r>
    </w:p>
    <w:p>
      <w:pPr>
        <w:spacing w:after="0" w:line="43" w:lineRule="exact"/>
        <w:rPr>
          <w:rFonts w:ascii="Times New Roman" w:cs="Times New Roman" w:eastAsia="Times New Roman" w:hAnsi="Times New Roman"/>
          <w:sz w:val="17"/>
          <w:szCs w:val="17"/>
          <w:color w:val="auto"/>
        </w:rPr>
      </w:pPr>
    </w:p>
    <w:p>
      <w:pPr>
        <w:ind w:right="580"/>
        <w:spacing w:after="0" w:line="291" w:lineRule="auto"/>
        <w:tabs>
          <w:tab w:leader="none" w:pos="2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Microsoft’s common stock, included in Exhibit 4.26 to Microsoft’s Annual Report on Form 10-K for the fiscal year ended June 30, 2024, filed on </w:t>
      </w:r>
      <w:hyperlink r:id="rId18">
        <w:r>
          <w:rPr>
            <w:rFonts w:ascii="Times New Roman" w:cs="Times New Roman" w:eastAsia="Times New Roman" w:hAnsi="Times New Roman"/>
            <w:sz w:val="17"/>
            <w:szCs w:val="17"/>
            <w:u w:val="single" w:color="auto"/>
            <w:color w:val="0000EE"/>
          </w:rPr>
          <w:t>July 30,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2024, and all amendments and reports filed for the purpose of updating such description.</w:t>
      </w:r>
    </w:p>
    <w:p>
      <w:pPr>
        <w:spacing w:after="0" w:line="148" w:lineRule="exact"/>
        <w:rPr>
          <w:rFonts w:ascii="Times New Roman" w:cs="Times New Roman" w:eastAsia="Times New Roman" w:hAnsi="Times New Roman"/>
          <w:sz w:val="17"/>
          <w:szCs w:val="17"/>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All documents filed by Microsoft pursuant to Section 13(a), 13(c), 14 or 15(d) of the Exchange Act, after the date hereof (excluding any documents or portions of such documents that are furnished under Item 2.02 or Item 7.01 of a current report on Form 8-K and any exhibits included with such Items), and prior to the filing of a post-effective amendment that indicates that all the securities offered hereby have been sold or that deregisters the securities offered hereby then remaining unsold, shall also be deemed to be incorporated by reference into this registration statement and to be a part hereof from the date of filing of such documents.</w:t>
      </w:r>
    </w:p>
    <w:p>
      <w:pPr>
        <w:spacing w:after="0" w:line="172" w:lineRule="exact"/>
        <w:rPr>
          <w:rFonts w:ascii="Times New Roman" w:cs="Times New Roman" w:eastAsia="Times New Roman" w:hAnsi="Times New Roman"/>
          <w:sz w:val="17"/>
          <w:szCs w:val="17"/>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7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2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17" w:lineRule="exact"/>
        <w:rPr>
          <w:rFonts w:ascii="Times New Roman" w:cs="Times New Roman" w:eastAsia="Times New Roman" w:hAnsi="Times New Roman"/>
          <w:sz w:val="17"/>
          <w:szCs w:val="17"/>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Sections 23B.08.510 and 23B.08.570 of the Washington Business Corporation Act (“WBCA”) authorize Washington corporations to indemnify their officers and directors under certain circumstances against expenses and liabilities incurred in legal proceedings involving them as a result of their service as an officer or director. Section 23B.08.560 of the WBCA authorizes a corporation by provision in its articles of incorporation to indemnify or agree to indemnify a director made a party to a proceeding, or obligate itself to advance or reimburse expenses incurred in a proceeding, without regard to the limitations imposed by Sections 23B.08.510 through .550 of the WBCA; provided, however, that no such indemnity shall be made for or on account of</w:t>
      </w:r>
    </w:p>
    <w:p>
      <w:pPr>
        <w:spacing w:after="0" w:line="4" w:lineRule="exact"/>
        <w:rPr>
          <w:rFonts w:ascii="Times New Roman" w:cs="Times New Roman" w:eastAsia="Times New Roman" w:hAnsi="Times New Roman"/>
          <w:sz w:val="17"/>
          <w:szCs w:val="17"/>
          <w:color w:val="auto"/>
        </w:rPr>
      </w:pPr>
    </w:p>
    <w:p>
      <w:pPr>
        <w:ind w:right="200"/>
        <w:spacing w:after="0" w:line="261" w:lineRule="auto"/>
        <w:tabs>
          <w:tab w:leader="none" w:pos="2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or omissions of the director finally adjudged to be intentional misconduct or a knowing violation of law, (b) conduct of the director finally adjudged to be in violation of Section 23B.08.310 of the WBCA (relating to unlawful distributions) or (c) any transaction with respect to which it was finally adjudged that the director personally received a benefit in money, property, or services to which the director is not legally entitled.</w:t>
      </w:r>
    </w:p>
    <w:p>
      <w:pPr>
        <w:spacing w:after="0" w:line="1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560"/>
          </w:cols>
          <w:pgMar w:left="660" w:top="262" w:right="679" w:bottom="1440" w:gutter="0" w:footer="0" w:header="0"/>
        </w:sectPr>
      </w:pPr>
    </w:p>
    <w:bookmarkStart w:id="2" w:name="page3"/>
    <w:bookmarkEnd w:id="2"/>
    <w:p>
      <w:pPr>
        <w:ind w:right="20"/>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Microsoft’s Amended and Restated Articles of Incorporation require indemnification of Microsoft’s officers and directors and advancement of expenses to the fullest extent not prohibited by applicable law. Microsoft’s Amended and Restated Articles of Incorporation provide for procedures for those seeking indemnification and/or advancement of expenses. In addition, as authorized by Section 23B.08.320 of the WBCA, Microsoft’s Amended and Restated Articles of Incorporation contain a provision eliminating the personal liability of directors to Microsoft or its shareholders for monetary damages for conduct as a director, except for (a) omissions involving intentional misconduct by the director or a knowing violation of law by the director, (b) conduct violating Section 23B.08.310 of the WBCA or (c) any transaction from which the director will personally receive a benefit in money, property or services to which the director is not legally entitled.</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Microsoft has established an indemnification trust (“2025 Directors’ Trust”) to fund Microsoft’s obligations to indemnify and/or advance expenses to directors arising from their board service in the event Microsoft does not or is financially unable to provide the indemnification and/or advancement. As required by the 2025 Directors’ Trust agreement, Microsoft has funded a minimum balance of principal assets of no less than $50 million in the trust. Microsoft also has an indemnification trust (“2025 Officers’ Trust”) that funds Microsoft’s indemnification obligations to certain past and present officers arising from their activities as such. As required by the 2025 Officers’ Trust agreement, Microsoft has funded a minimum balance of principal assets of no less than $50 million in the trust. The 2025 Directors’ Trust and 2025 Officers’ Trust are successors to certain trusts originally established in 1993, and amended from time to time, to fund Microsoft’s indemnification obligations to directors and officers.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636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0" w:type="dxa"/>
            <w:vAlign w:val="bottom"/>
            <w:tcBorders>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400" w:type="dxa"/>
            <w:vAlign w:val="bottom"/>
          </w:tcPr>
          <w:p>
            <w:pPr>
              <w:spacing w:after="0"/>
              <w:rPr>
                <w:sz w:val="13"/>
                <w:szCs w:val="13"/>
                <w:color w:val="auto"/>
              </w:rPr>
            </w:pPr>
          </w:p>
        </w:tc>
        <w:tc>
          <w:tcPr>
            <w:tcW w:w="2700" w:type="dxa"/>
            <w:vAlign w:val="bottom"/>
            <w:tcBorders>
              <w:bottom w:val="single" w:sz="8" w:color="auto"/>
            </w:tcBorders>
            <w:gridSpan w:val="3"/>
            <w:vMerge w:val="continue"/>
          </w:tcPr>
          <w:p>
            <w:pPr>
              <w:spacing w:after="0"/>
              <w:rPr>
                <w:sz w:val="13"/>
                <w:szCs w:val="13"/>
                <w:color w:val="auto"/>
              </w:rPr>
            </w:pPr>
          </w:p>
        </w:tc>
        <w:tc>
          <w:tcPr>
            <w:tcW w:w="63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400" w:type="dxa"/>
            <w:vAlign w:val="bottom"/>
          </w:tcPr>
          <w:p>
            <w:pPr>
              <w:spacing w:after="0"/>
              <w:rPr>
                <w:sz w:val="22"/>
                <w:szCs w:val="22"/>
                <w:color w:val="auto"/>
              </w:rPr>
            </w:pPr>
          </w:p>
        </w:tc>
        <w:tc>
          <w:tcPr>
            <w:tcW w:w="90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Opinion of Counsel regarding legality of the common stock being registered</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15+</w:t>
            </w:r>
          </w:p>
        </w:tc>
        <w:tc>
          <w:tcPr>
            <w:tcW w:w="40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Letter re unaudited interim financial information</w:t>
            </w:r>
          </w:p>
        </w:tc>
        <w:tc>
          <w:tcPr>
            <w:tcW w:w="1900" w:type="dxa"/>
            <w:vAlign w:val="bottom"/>
            <w:tcBorders>
              <w:top w:val="single" w:sz="8" w:color="0000EE"/>
            </w:tcBorders>
            <w:gridSpan w:val="4"/>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00" w:type="dxa"/>
            <w:vAlign w:val="bottom"/>
          </w:tcPr>
          <w:p>
            <w:pPr>
              <w:spacing w:after="0"/>
              <w:rPr>
                <w:sz w:val="24"/>
                <w:szCs w:val="24"/>
                <w:color w:val="auto"/>
              </w:rPr>
            </w:pPr>
          </w:p>
        </w:tc>
        <w:tc>
          <w:tcPr>
            <w:tcW w:w="4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Consent of Independent Registered Public Accounting Firm</w:t>
            </w:r>
          </w:p>
        </w:tc>
        <w:tc>
          <w:tcPr>
            <w:tcW w:w="49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400" w:type="dxa"/>
            <w:vAlign w:val="bottom"/>
          </w:tcPr>
          <w:p>
            <w:pPr>
              <w:spacing w:after="0"/>
              <w:rPr>
                <w:sz w:val="24"/>
                <w:szCs w:val="24"/>
                <w:color w:val="auto"/>
              </w:rPr>
            </w:pPr>
          </w:p>
        </w:tc>
        <w:tc>
          <w:tcPr>
            <w:tcW w:w="4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Consent of Counsel (included in opinion filed as Exhibit 5.1)</w:t>
            </w:r>
          </w:p>
        </w:tc>
        <w:tc>
          <w:tcPr>
            <w:tcW w:w="4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400" w:type="dxa"/>
            <w:vAlign w:val="bottom"/>
          </w:tcPr>
          <w:p>
            <w:pPr>
              <w:spacing w:after="0"/>
              <w:rPr>
                <w:sz w:val="24"/>
                <w:szCs w:val="24"/>
                <w:color w:val="auto"/>
              </w:rPr>
            </w:pPr>
          </w:p>
        </w:tc>
        <w:tc>
          <w:tcPr>
            <w:tcW w:w="90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Power of Attorney (see signature page)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400" w:type="dxa"/>
            <w:vAlign w:val="bottom"/>
          </w:tcPr>
          <w:p>
            <w:pPr>
              <w:spacing w:after="0"/>
              <w:rPr>
                <w:sz w:val="24"/>
                <w:szCs w:val="24"/>
                <w:color w:val="auto"/>
              </w:rPr>
            </w:pPr>
          </w:p>
        </w:tc>
        <w:tc>
          <w:tcPr>
            <w:tcW w:w="906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Microsoft Corporation 2026 Stock Plan (incorporated by reference to Annex A of Microsoft’s Proxy Statement for its 2025 Annual</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tcBorders>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Shareholders Meeting, filed with the Commission on October 21, 2025)</w:t>
              </w:r>
            </w:hyperlink>
          </w:p>
        </w:tc>
        <w:tc>
          <w:tcPr>
            <w:tcW w:w="4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400" w:type="dxa"/>
            <w:vAlign w:val="bottom"/>
          </w:tcPr>
          <w:p>
            <w:pPr>
              <w:spacing w:after="0"/>
              <w:rPr>
                <w:sz w:val="24"/>
                <w:szCs w:val="24"/>
                <w:color w:val="auto"/>
              </w:rPr>
            </w:pPr>
          </w:p>
        </w:tc>
        <w:tc>
          <w:tcPr>
            <w:tcW w:w="90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404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27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auto"/>
        </w:rPr>
        <w:t xml:space="preserve">+ </w:t>
        <w:tab/>
        <w:t>  Filed herewith.</w:t>
      </w:r>
    </w:p>
    <w:p>
      <w:pPr>
        <w:spacing w:after="0" w:line="3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6"/>
          <w:szCs w:val="16"/>
          <w:color w:val="auto"/>
        </w:rPr>
        <w:t>  Incorporated herein by reference.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A.The undersigned registrant hereby undertakes: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(1)To file, during any period in which offers or sales are being made, a post-effective amendment to this registration statement: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(a)To include any prospectus required by Section 10(a)(3) of the Securities Act of 1933, as amended (the “Securities Act”);</w:t>
      </w:r>
    </w:p>
    <w:p>
      <w:pPr>
        <w:spacing w:after="0" w:line="1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0520"/>
          </w:cols>
          <w:pgMar w:left="660" w:top="264" w:right="719" w:bottom="1440" w:gutter="0" w:footer="0" w:header="0"/>
        </w:sectPr>
      </w:pPr>
    </w:p>
    <w:bookmarkStart w:id="3" w:name="page4"/>
    <w:bookmarkEnd w:id="3"/>
    <w:p>
      <w:pPr>
        <w:ind w:right="18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(b)To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5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7"/>
          <w:szCs w:val="17"/>
          <w:color w:val="auto"/>
        </w:rPr>
        <w:t xml:space="preserve">(c)To include any material information with respect to the plan of distribution not previously disclosed in this registration statement or any material change to such information in this registration statement;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paragraphs (1)(a) and (1)(b)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6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(3)To remove from registration by means of a post-effective amendment any of the securities being registered which remain unsold at the termination of the offering.</w:t>
      </w:r>
    </w:p>
    <w:p>
      <w:pPr>
        <w:spacing w:after="0" w:line="44"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B.The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C.Insofar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520"/>
          </w:cols>
          <w:pgMar w:left="660" w:top="264" w:right="7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Redmond, State of Washington, on December 30, 2025.</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MICROSOFT CORPORATION</w:t>
      </w:r>
    </w:p>
    <w:p>
      <w:pPr>
        <w:spacing w:after="0" w:line="221" w:lineRule="exact"/>
        <w:rPr>
          <w:sz w:val="20"/>
          <w:szCs w:val="20"/>
          <w:color w:val="auto"/>
        </w:rPr>
      </w:pPr>
    </w:p>
    <w:p>
      <w:pPr>
        <w:ind w:left="6340"/>
        <w:spacing w:after="0"/>
        <w:tabs>
          <w:tab w:leader="none" w:pos="68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Amy E.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19050</wp:posOffset>
            </wp:positionV>
            <wp:extent cx="2327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327275"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Name: Amy E. Hood</w:t>
      </w:r>
    </w:p>
    <w:p>
      <w:pPr>
        <w:spacing w:after="0" w:line="30" w:lineRule="exact"/>
        <w:rPr>
          <w:sz w:val="20"/>
          <w:szCs w:val="20"/>
          <w:color w:val="auto"/>
        </w:rPr>
      </w:pPr>
    </w:p>
    <w:p>
      <w:pPr>
        <w:ind w:left="6340"/>
        <w:spacing w:after="0"/>
        <w:tabs>
          <w:tab w:leader="none" w:pos="6880" w:val="left"/>
        </w:tabs>
        <w:rPr>
          <w:sz w:val="20"/>
          <w:szCs w:val="20"/>
          <w:color w:val="auto"/>
        </w:rPr>
      </w:pPr>
      <w:r>
        <w:rPr>
          <w:rFonts w:ascii="Times New Roman" w:cs="Times New Roman" w:eastAsia="Times New Roman" w:hAnsi="Times New Roman"/>
          <w:sz w:val="17"/>
          <w:szCs w:val="17"/>
          <w:color w:val="auto"/>
        </w:rPr>
        <w:t>Title:</w:t>
        <w:tab/>
        <w:t>Executive Vice President and Chief Financial</w:t>
      </w:r>
    </w:p>
    <w:p>
      <w:pPr>
        <w:spacing w:after="0" w:line="1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Amy E. Hood, Alice L. Jolla, and Keith R. Dolliver, Esq., each of them with power to act alone, as his or her true and lawful attorney-in-fact and agent, with full power of substitution and re-substitution, for him or her and in his or her name, place and stead, in any and all capacities, to sign any and all amendments of this registration statement, including post-effective amendments, and to file the same, together with exhibits thereto, and other documents in connection therewith, with the Commission, granting unto such attorney-in-fact full power and authority to do and perform each and every act and thing requisite and necessary to be done in and about the premises hereof, as fully to all intents and purposes as he or she might do or could do in person, thereby ratifying and confirming all that said attorney-in-fact or his or her substitutes may lawfully do or cause to be done by virtue hereof.</w:t>
      </w:r>
    </w:p>
    <w:p>
      <w:pPr>
        <w:spacing w:after="0" w:line="17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indicated below on December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636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94"/>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Satya Nadella</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Satya Nadella</w:t>
            </w:r>
          </w:p>
        </w:tc>
        <w:tc>
          <w:tcPr>
            <w:tcW w:w="1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Amy E. Hood</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Amy E. Hood</w:t>
            </w:r>
          </w:p>
        </w:tc>
        <w:tc>
          <w:tcPr>
            <w:tcW w:w="1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Alice L. Jolla</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Corporate Vice President and Chief Accounting Officer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Alice L. Jolla</w:t>
            </w:r>
          </w:p>
        </w:tc>
        <w:tc>
          <w:tcPr>
            <w:tcW w:w="1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Sandra E. Peterson</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Lead Independent 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Sandra E. Peterson</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Reid G. Hoffman</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Reid G. Hoffman</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Hugh F. Johnston</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Hugh F. Johnston</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4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Teri L. List</w:t>
            </w:r>
          </w:p>
        </w:tc>
        <w:tc>
          <w:tcPr>
            <w:tcW w:w="10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Teri L. List</w:t>
            </w: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r>
      <w:tr>
        <w:trPr>
          <w:trHeight w:val="344"/>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II-4</w:t>
            </w:r>
          </w:p>
        </w:tc>
      </w:tr>
    </w:tbl>
    <w:p>
      <w:pPr>
        <w:sectPr>
          <w:pgSz w:w="11900" w:h="16838" w:orient="portrait"/>
          <w:cols w:equalWidth="0" w:num="1">
            <w:col w:w="10560"/>
          </w:cols>
          <w:pgMar w:left="660" w:top="262" w:right="6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6"/>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Catherine MacGregor</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9"/>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Catherine MacGregor</w:t>
            </w:r>
          </w:p>
        </w:tc>
        <w:tc>
          <w:tcPr>
            <w:tcW w:w="620" w:type="dxa"/>
            <w:vAlign w:val="bottom"/>
          </w:tcPr>
          <w:p>
            <w:pPr>
              <w:spacing w:after="0"/>
              <w:rPr>
                <w:sz w:val="19"/>
                <w:szCs w:val="19"/>
                <w:color w:val="auto"/>
              </w:rPr>
            </w:pPr>
          </w:p>
        </w:tc>
      </w:tr>
      <w:tr>
        <w:trPr>
          <w:trHeight w:val="4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Mark A. L. Mason</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9"/>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Mark A. L. Mason</w:t>
            </w:r>
          </w:p>
        </w:tc>
        <w:tc>
          <w:tcPr>
            <w:tcW w:w="620" w:type="dxa"/>
            <w:vAlign w:val="bottom"/>
          </w:tcPr>
          <w:p>
            <w:pPr>
              <w:spacing w:after="0"/>
              <w:rPr>
                <w:sz w:val="19"/>
                <w:szCs w:val="19"/>
                <w:color w:val="auto"/>
              </w:rPr>
            </w:pPr>
          </w:p>
        </w:tc>
      </w:tr>
      <w:tr>
        <w:trPr>
          <w:trHeight w:val="4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Penny S. Pritzker</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9"/>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Penny S. Pritzker</w:t>
            </w:r>
          </w:p>
        </w:tc>
        <w:tc>
          <w:tcPr>
            <w:tcW w:w="620" w:type="dxa"/>
            <w:vAlign w:val="bottom"/>
          </w:tcPr>
          <w:p>
            <w:pPr>
              <w:spacing w:after="0"/>
              <w:rPr>
                <w:sz w:val="19"/>
                <w:szCs w:val="19"/>
                <w:color w:val="auto"/>
              </w:rPr>
            </w:pPr>
          </w:p>
        </w:tc>
      </w:tr>
      <w:tr>
        <w:trPr>
          <w:trHeight w:val="4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David Rainey</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9"/>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John David Rainey</w:t>
            </w:r>
          </w:p>
        </w:tc>
        <w:tc>
          <w:tcPr>
            <w:tcW w:w="620" w:type="dxa"/>
            <w:vAlign w:val="bottom"/>
          </w:tcPr>
          <w:p>
            <w:pPr>
              <w:spacing w:after="0"/>
              <w:rPr>
                <w:sz w:val="19"/>
                <w:szCs w:val="19"/>
                <w:color w:val="auto"/>
              </w:rPr>
            </w:pPr>
          </w:p>
        </w:tc>
      </w:tr>
      <w:tr>
        <w:trPr>
          <w:trHeight w:val="4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Charles W. Scharf</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9"/>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Charles W. Scharf</w:t>
            </w:r>
          </w:p>
        </w:tc>
        <w:tc>
          <w:tcPr>
            <w:tcW w:w="620" w:type="dxa"/>
            <w:vAlign w:val="bottom"/>
          </w:tcPr>
          <w:p>
            <w:pPr>
              <w:spacing w:after="0"/>
              <w:rPr>
                <w:sz w:val="19"/>
                <w:szCs w:val="19"/>
                <w:color w:val="auto"/>
              </w:rPr>
            </w:pPr>
          </w:p>
        </w:tc>
      </w:tr>
      <w:tr>
        <w:trPr>
          <w:trHeight w:val="4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John W. Stanton</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9"/>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John W. Stanton</w:t>
            </w:r>
          </w:p>
        </w:tc>
        <w:tc>
          <w:tcPr>
            <w:tcW w:w="620" w:type="dxa"/>
            <w:vAlign w:val="bottom"/>
          </w:tcPr>
          <w:p>
            <w:pPr>
              <w:spacing w:after="0"/>
              <w:rPr>
                <w:sz w:val="19"/>
                <w:szCs w:val="19"/>
                <w:color w:val="auto"/>
              </w:rPr>
            </w:pPr>
          </w:p>
        </w:tc>
      </w:tr>
      <w:tr>
        <w:trPr>
          <w:trHeight w:val="4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Emma N. Walmsley</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219"/>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Emma N. Walmsley</w:t>
            </w:r>
          </w:p>
        </w:tc>
        <w:tc>
          <w:tcPr>
            <w:tcW w:w="620" w:type="dxa"/>
            <w:vAlign w:val="bottom"/>
          </w:tcPr>
          <w:p>
            <w:pPr>
              <w:spacing w:after="0"/>
              <w:rPr>
                <w:sz w:val="19"/>
                <w:szCs w:val="19"/>
                <w:color w:val="auto"/>
              </w:rPr>
            </w:pPr>
          </w:p>
        </w:tc>
      </w:tr>
    </w:tbl>
    <w:p>
      <w:pPr>
        <w:spacing w:after="0" w:line="11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9799"/>
          </w:cols>
          <w:pgMar w:left="660" w:top="264"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168275</wp:posOffset>
            </wp:positionV>
            <wp:extent cx="1044575" cy="616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044575"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b w:val="1"/>
          <w:bCs w:val="1"/>
          <w:color w:val="auto"/>
        </w:rPr>
        <w:t>Orrick, Herrington &amp; Sutcliffe LLP</w:t>
      </w:r>
    </w:p>
    <w:p>
      <w:pPr>
        <w:spacing w:after="0" w:line="3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401 UNION STREET - SUITE 3300</w:t>
      </w:r>
    </w:p>
    <w:p>
      <w:pPr>
        <w:spacing w:after="0" w:line="1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SEATTLE, WA 98101</w:t>
      </w:r>
    </w:p>
    <w:p>
      <w:pPr>
        <w:spacing w:after="0" w:line="1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+1 206 839 4300</w:t>
      </w:r>
    </w:p>
    <w:p>
      <w:pPr>
        <w:spacing w:after="0" w:line="1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b w:val="1"/>
          <w:bCs w:val="1"/>
          <w:color w:val="auto"/>
        </w:rPr>
        <w:t>orrick.com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30,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Microsoft Corporation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Microsoft Way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Redmond, Washington 98052-6399</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w:t>
        <w:tab/>
        <w:t>Microsoft Corporation Registration Statement on Form S-8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We have acted as counsel for Microsoft Corporation, a Washington corporation (“Microsoft”), in connection with the preparation and filing with the Securities and Exchange Commission (the “Commission”) of Microsoft’s Registration Statement on Form S-8 (the “Registration Statement”) under the Securities Act of 1933, as amended (the “Securities Act”), relating to the registration of an aggregate of 226,000,000 shares of Microsoft’s common stock, $0.00000625 par value per share (the “Shares”), reserved for issuance pursuant to the Microsoft Corporation 2026 Stock Plan (the “Plan”).</w:t>
      </w:r>
    </w:p>
    <w:p>
      <w:pPr>
        <w:spacing w:after="0" w:line="169"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7"/>
          <w:szCs w:val="17"/>
          <w:color w:val="auto"/>
        </w:rPr>
        <w:t>As your legal counsel, we have reviewed the actions proposed to be taken by you in connection with the issuance and sale of the Shares to be issued under the Plan.</w:t>
      </w:r>
    </w:p>
    <w:p>
      <w:pPr>
        <w:spacing w:after="0" w:line="14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In connection with this opinion, we have examined and relied upon originals or copies, certified or otherwise identified to our satisfaction, of (i) the Amended and Restated Articles of Incorporation of Microsoft Corporation, (ii) the Bylaws of Microsoft Corporation, (iii) the Registration Statement,</w:t>
      </w:r>
    </w:p>
    <w:p>
      <w:pPr>
        <w:spacing w:after="0" w:line="1" w:lineRule="exact"/>
        <w:rPr>
          <w:sz w:val="20"/>
          <w:szCs w:val="20"/>
          <w:color w:val="auto"/>
        </w:rPr>
      </w:pPr>
    </w:p>
    <w:p>
      <w:pPr>
        <w:ind w:right="40"/>
        <w:spacing w:after="0" w:line="261" w:lineRule="auto"/>
        <w:tabs>
          <w:tab w:leader="none" w:pos="29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and (v) such corporate records, agreements, documents and other instruments, and such certificates or comparable documents of public officials and of officers and representatives of Microsoft, and have made such inquiries of such officers and representatives, as we have deemed relevant and necessary or appropriate as a basis for the opinion set forth below.</w:t>
      </w:r>
    </w:p>
    <w:p>
      <w:pPr>
        <w:spacing w:after="0" w:line="17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documents executed or to be executed, we have assumed that the parties thereto, other than Microsoft,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Microsoft and others and of public officials.</w:t>
      </w:r>
    </w:p>
    <w:p>
      <w:pPr>
        <w:spacing w:after="0" w:line="17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Based on the foregoing and subject to the limitations, qualifications and assumptions set forth herein, we are of the opinion that the Shares to be issued pursuant to the terms of the Plan have been duly authorized and, when issued, delivered and paid for in accordance with the terms of the Plan, will be validly issued, fully paid and non-assessable.</w:t>
      </w:r>
    </w:p>
    <w:p>
      <w:pPr>
        <w:sectPr>
          <w:pgSz w:w="11900" w:h="16838" w:orient="portrait"/>
          <w:cols w:equalWidth="0" w:num="1">
            <w:col w:w="10560"/>
          </w:cols>
          <w:pgMar w:left="660" w:top="119" w:right="679" w:bottom="1440" w:gutter="0" w:footer="0" w:header="0"/>
        </w:sectPr>
      </w:pPr>
    </w:p>
    <w:bookmarkStart w:id="7" w:name="page8"/>
    <w:bookmarkEnd w:id="7"/>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707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9945" cy="7073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December 30, 2025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34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opinion expressed herein is limited to the corporate laws of the State of Washington and the federal laws of the United States of America, and we express no opinion as to the effect on the matters covered by this letter of the laws of any other jurisdictions.</w:t>
      </w:r>
    </w:p>
    <w:p>
      <w:pPr>
        <w:spacing w:after="0" w:line="1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In giving such consent, we do not hereby admit that we are included in the category of persons whose consent is required under Section 7 of the Securities Act or the rules and regulations of the Commission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Orrick, Herrington &amp; Sutcliffe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ORRICK, HERRINGTON &amp; SUTCLIFFE LLP</w:t>
      </w:r>
    </w:p>
    <w:p>
      <w:pPr>
        <w:sectPr>
          <w:pgSz w:w="11900" w:h="16838" w:orient="portrait"/>
          <w:cols w:equalWidth="0" w:num="1">
            <w:col w:w="10340"/>
          </w:cols>
          <w:pgMar w:left="660" w:top="1440" w:right="8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30,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and Stockholders of Microsoft Corporation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Microsoft Way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Redmond, Washington 98052-6399</w:t>
      </w:r>
    </w:p>
    <w:p>
      <w:pPr>
        <w:spacing w:after="0" w:line="200"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We are aware that our reports dated October 29, 2025, on our review of interim financial information of Microsoft Corporation appearing in Microsoft Corporation’s Quarterly Report on Form 10-Q for the quarter ended September 30, 2025 are incorporated by reference in this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Seattle, Washington</w:t>
      </w:r>
    </w:p>
    <w:p>
      <w:pPr>
        <w:sectPr>
          <w:pgSz w:w="11900" w:h="16838" w:orient="portrait"/>
          <w:cols w:equalWidth="0" w:num="1">
            <w:col w:w="10560"/>
          </w:cols>
          <w:pgMar w:left="660" w:top="119" w:right="6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reports dated July 30, 2025, relating to the consolidated financial statements of Microsoft Corporation and subsidiaries (the “Company”), and the effectiveness of the Company’s internal control over financial reporting, appearing in the Annual Report on Form 10-K of Microsoft Corporation for the year ended June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Seattle, Washington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30, 2025</w:t>
      </w:r>
    </w:p>
    <w:p>
      <w:pPr>
        <w:sectPr>
          <w:pgSz w:w="11900" w:h="16838" w:orient="portrait"/>
          <w:cols w:equalWidth="0" w:num="1">
            <w:col w:w="10560"/>
          </w:cols>
          <w:pgMar w:left="660" w:top="119" w:right="679" w:bottom="1440" w:gutter="0" w:footer="0" w:header="0"/>
        </w:sectPr>
      </w:pPr>
    </w:p>
    <w:bookmarkStart w:id="10" w:name="page11"/>
    <w:bookmarkEnd w:id="10"/>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MICROSOFT CORP</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240" w:type="dxa"/>
            <w:vAlign w:val="bottom"/>
            <w:vMerge w:val="restart"/>
            <w:shd w:val="clear" w:color="auto" w:fill="9ADAF6"/>
          </w:tcPr>
          <w:p>
            <w:pPr>
              <w:ind w:left="20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960" w:type="dxa"/>
            <w:vAlign w:val="bottom"/>
            <w:shd w:val="clear" w:color="auto" w:fill="9ADAF6"/>
          </w:tcPr>
          <w:p>
            <w:pPr>
              <w:jc w:val="center"/>
              <w:ind w:left="56"/>
              <w:spacing w:after="0" w:line="233" w:lineRule="exact"/>
              <w:rPr>
                <w:sz w:val="20"/>
                <w:szCs w:val="20"/>
                <w:color w:val="auto"/>
              </w:rPr>
            </w:pPr>
            <w:r>
              <w:rPr>
                <w:rFonts w:ascii="Arial" w:cs="Arial" w:eastAsia="Arial" w:hAnsi="Arial"/>
                <w:sz w:val="21"/>
                <w:szCs w:val="21"/>
                <w:b w:val="1"/>
                <w:bCs w:val="1"/>
                <w:color w:val="auto"/>
                <w:w w:val="99"/>
              </w:rPr>
              <w:t>Fee</w:t>
            </w: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vMerge w:val="restart"/>
            <w:shd w:val="clear" w:color="auto" w:fill="9ADAF6"/>
          </w:tcPr>
          <w:p>
            <w:pPr>
              <w:jc w:val="right"/>
              <w:ind w:right="96"/>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0"/>
                <w:szCs w:val="20"/>
                <w:color w:val="auto"/>
              </w:rPr>
            </w:pPr>
          </w:p>
        </w:tc>
        <w:tc>
          <w:tcPr>
            <w:tcW w:w="10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8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restart"/>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0"/>
                <w:szCs w:val="10"/>
                <w:color w:val="auto"/>
              </w:rPr>
            </w:pPr>
          </w:p>
        </w:tc>
        <w:tc>
          <w:tcPr>
            <w:tcW w:w="118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10"/>
                <w:szCs w:val="10"/>
                <w:color w:val="auto"/>
              </w:rPr>
            </w:pPr>
          </w:p>
        </w:tc>
        <w:tc>
          <w:tcPr>
            <w:tcW w:w="1880" w:type="dxa"/>
            <w:vAlign w:val="bottom"/>
            <w:vMerge w:val="restart"/>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0"/>
                <w:szCs w:val="10"/>
                <w:color w:val="auto"/>
              </w:rPr>
            </w:pPr>
          </w:p>
        </w:tc>
        <w:tc>
          <w:tcPr>
            <w:tcW w:w="1360" w:type="dxa"/>
            <w:vAlign w:val="bottom"/>
            <w:vMerge w:val="restart"/>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9ADAF6"/>
          </w:tcPr>
          <w:p>
            <w:pPr>
              <w:ind w:left="18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10"/>
                <w:szCs w:val="10"/>
                <w:color w:val="auto"/>
              </w:rPr>
            </w:pPr>
          </w:p>
        </w:tc>
        <w:tc>
          <w:tcPr>
            <w:tcW w:w="1240" w:type="dxa"/>
            <w:vAlign w:val="bottom"/>
            <w:vMerge w:val="restart"/>
            <w:shd w:val="clear" w:color="auto" w:fill="9ADAF6"/>
          </w:tcPr>
          <w:p>
            <w:pPr>
              <w:ind w:left="100"/>
              <w:spacing w:after="0"/>
              <w:rPr>
                <w:sz w:val="20"/>
                <w:szCs w:val="20"/>
                <w:color w:val="auto"/>
              </w:rPr>
            </w:pPr>
            <w:r>
              <w:rPr>
                <w:rFonts w:ascii="Arial" w:cs="Arial" w:eastAsia="Arial" w:hAnsi="Arial"/>
                <w:sz w:val="21"/>
                <w:szCs w:val="21"/>
                <w:b w:val="1"/>
                <w:bCs w:val="1"/>
                <w:color w:val="auto"/>
              </w:rPr>
              <w:t>Class Title</w:t>
            </w:r>
          </w:p>
        </w:tc>
        <w:tc>
          <w:tcPr>
            <w:tcW w:w="40" w:type="dxa"/>
            <w:vAlign w:val="bottom"/>
          </w:tcPr>
          <w:p>
            <w:pPr>
              <w:spacing w:after="0"/>
              <w:rPr>
                <w:sz w:val="10"/>
                <w:szCs w:val="10"/>
                <w:color w:val="auto"/>
              </w:rPr>
            </w:pPr>
          </w:p>
        </w:tc>
        <w:tc>
          <w:tcPr>
            <w:tcW w:w="1140" w:type="dxa"/>
            <w:vAlign w:val="bottom"/>
            <w:gridSpan w:val="2"/>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4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vMerge w:val="continue"/>
            <w:shd w:val="clear" w:color="auto" w:fill="9ADAF6"/>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vMerge w:val="continue"/>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continue"/>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9ADAF6"/>
          </w:tcPr>
          <w:p>
            <w:pPr>
              <w:jc w:val="center"/>
              <w:ind w:left="56"/>
              <w:spacing w:after="0" w:line="233" w:lineRule="exact"/>
              <w:rPr>
                <w:sz w:val="20"/>
                <w:szCs w:val="20"/>
                <w:color w:val="auto"/>
              </w:rPr>
            </w:pPr>
            <w:r>
              <w:rPr>
                <w:rFonts w:ascii="Arial" w:cs="Arial" w:eastAsia="Arial" w:hAnsi="Arial"/>
                <w:sz w:val="21"/>
                <w:szCs w:val="21"/>
                <w:b w:val="1"/>
                <w:bCs w:val="1"/>
                <w:color w:val="auto"/>
                <w:w w:val="96"/>
              </w:rPr>
              <w:t>Rule</w:t>
            </w: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vMerge w:val="continue"/>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8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shd w:val="clear" w:color="auto" w:fill="9ADAF6"/>
          </w:tcPr>
          <w:p>
            <w:pPr>
              <w:spacing w:after="0"/>
              <w:rPr>
                <w:sz w:val="23"/>
                <w:szCs w:val="23"/>
                <w:color w:val="auto"/>
              </w:rPr>
            </w:pPr>
          </w:p>
        </w:tc>
        <w:tc>
          <w:tcPr>
            <w:tcW w:w="1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8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10"/>
                <w:szCs w:val="10"/>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12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w w:val="99"/>
              </w:rPr>
              <w:t>$0.00000625</w:t>
            </w:r>
          </w:p>
        </w:tc>
        <w:tc>
          <w:tcPr>
            <w:tcW w:w="40" w:type="dxa"/>
            <w:vAlign w:val="bottom"/>
          </w:tcPr>
          <w:p>
            <w:pPr>
              <w:spacing w:after="0"/>
              <w:rPr>
                <w:sz w:val="10"/>
                <w:szCs w:val="10"/>
                <w:color w:val="auto"/>
              </w:rPr>
            </w:pPr>
          </w:p>
        </w:tc>
        <w:tc>
          <w:tcPr>
            <w:tcW w:w="960" w:type="dxa"/>
            <w:vAlign w:val="bottom"/>
            <w:vMerge w:val="restart"/>
            <w:shd w:val="clear" w:color="auto" w:fill="E7E7E2"/>
          </w:tcPr>
          <w:p>
            <w:pPr>
              <w:jc w:val="center"/>
              <w:ind w:left="56"/>
              <w:spacing w:after="0"/>
              <w:rPr>
                <w:sz w:val="20"/>
                <w:szCs w:val="20"/>
                <w:color w:val="auto"/>
              </w:rPr>
            </w:pPr>
            <w:r>
              <w:rPr>
                <w:rFonts w:ascii="Arial" w:cs="Arial" w:eastAsia="Arial" w:hAnsi="Arial"/>
                <w:sz w:val="21"/>
                <w:szCs w:val="21"/>
                <w:color w:val="auto"/>
                <w:w w:val="98"/>
              </w:rPr>
              <w:t>Other</w:t>
            </w:r>
          </w:p>
        </w:tc>
        <w:tc>
          <w:tcPr>
            <w:tcW w:w="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7"/>
              </w:rPr>
              <w:t>226,000,000</w:t>
            </w:r>
          </w:p>
        </w:tc>
        <w:tc>
          <w:tcPr>
            <w:tcW w:w="40" w:type="dxa"/>
            <w:vAlign w:val="bottom"/>
          </w:tcPr>
          <w:p>
            <w:pPr>
              <w:spacing w:after="0"/>
              <w:rPr>
                <w:sz w:val="10"/>
                <w:szCs w:val="10"/>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$ 486.29</w:t>
            </w:r>
          </w:p>
        </w:tc>
        <w:tc>
          <w:tcPr>
            <w:tcW w:w="20" w:type="dxa"/>
            <w:vAlign w:val="bottom"/>
          </w:tcPr>
          <w:p>
            <w:pPr>
              <w:spacing w:after="0"/>
              <w:rPr>
                <w:sz w:val="10"/>
                <w:szCs w:val="10"/>
                <w:color w:val="auto"/>
              </w:rPr>
            </w:pPr>
          </w:p>
        </w:tc>
        <w:tc>
          <w:tcPr>
            <w:tcW w:w="1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10"/>
                <w:szCs w:val="10"/>
                <w:color w:val="auto"/>
              </w:rPr>
            </w:pPr>
          </w:p>
        </w:tc>
        <w:tc>
          <w:tcPr>
            <w:tcW w:w="13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w w:val="98"/>
              </w:rPr>
              <w:t>109,901,540,000.00</w:t>
            </w:r>
          </w:p>
        </w:tc>
        <w:tc>
          <w:tcPr>
            <w:tcW w:w="20" w:type="dxa"/>
            <w:vAlign w:val="bottom"/>
          </w:tcPr>
          <w:p>
            <w:pPr>
              <w:spacing w:after="0"/>
              <w:rPr>
                <w:sz w:val="18"/>
                <w:szCs w:val="18"/>
                <w:color w:val="auto"/>
              </w:rPr>
            </w:pPr>
          </w:p>
        </w:tc>
        <w:tc>
          <w:tcPr>
            <w:tcW w:w="10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E7E7E2"/>
          </w:tcPr>
          <w:p>
            <w:pPr>
              <w:jc w:val="right"/>
              <w:spacing w:after="0" w:line="208" w:lineRule="exact"/>
              <w:rPr>
                <w:sz w:val="20"/>
                <w:szCs w:val="20"/>
                <w:color w:val="auto"/>
              </w:rPr>
            </w:pPr>
            <w:r>
              <w:rPr>
                <w:rFonts w:ascii="Arial" w:cs="Arial" w:eastAsia="Arial" w:hAnsi="Arial"/>
                <w:sz w:val="21"/>
                <w:szCs w:val="21"/>
                <w:color w:val="auto"/>
                <w:w w:val="98"/>
              </w:rPr>
              <w:t>15,177,402.68</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par value per</w:t>
            </w:r>
          </w:p>
        </w:tc>
        <w:tc>
          <w:tcPr>
            <w:tcW w:w="4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8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4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00" w:type="dxa"/>
            <w:vAlign w:val="bottom"/>
            <w:gridSpan w:val="2"/>
          </w:tcPr>
          <w:p>
            <w:pPr>
              <w:jc w:val="right"/>
              <w:spacing w:after="0"/>
              <w:rPr>
                <w:sz w:val="20"/>
                <w:szCs w:val="20"/>
                <w:color w:val="auto"/>
              </w:rPr>
            </w:pPr>
            <w:r>
              <w:rPr>
                <w:rFonts w:ascii="Arial" w:cs="Arial" w:eastAsia="Arial" w:hAnsi="Arial"/>
                <w:sz w:val="21"/>
                <w:szCs w:val="21"/>
                <w:color w:val="auto"/>
                <w:w w:val="99"/>
              </w:rPr>
              <w:t>109,901,540,000.00</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w w:val="99"/>
              </w:rPr>
              <w:t>15,177,402.68</w:t>
            </w: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w w:val="99"/>
              </w:rPr>
              <w:t>15,177,402.68</w:t>
            </w: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20" w:hanging="214"/>
        <w:spacing w:after="0" w:line="230" w:lineRule="auto"/>
        <w:tabs>
          <w:tab w:leader="none" w:pos="820" w:val="left"/>
        </w:tabs>
        <w:numPr>
          <w:ilvl w:val="0"/>
          <w:numId w:val="4"/>
        </w:numPr>
        <w:rPr>
          <w:rFonts w:ascii="Arial" w:cs="Arial" w:eastAsia="Arial" w:hAnsi="Arial"/>
          <w:sz w:val="26"/>
          <w:szCs w:val="26"/>
          <w:color w:val="auto"/>
          <w:vertAlign w:val="superscript"/>
        </w:rPr>
      </w:pPr>
      <w:r>
        <w:rPr>
          <w:rFonts w:ascii="Arial" w:cs="Arial" w:eastAsia="Arial" w:hAnsi="Arial"/>
          <w:sz w:val="21"/>
          <w:szCs w:val="21"/>
          <w:color w:val="auto"/>
        </w:rPr>
        <w:t>Note 1.A.: Pursuant to Rule 416(a) under the Securities Act of 1933, as amended (the "Securities Act"), the Registration Statement on Form S-8 to which this exhibit relates shall also cover any additional shares of the common stock, $0.00000625 par value per share (the "Common Stock"), of Microsoft Corporation (the "Registrant") that become issuable with respect to the securities identified in the above table, by reason of any stock dividend, stock splits, reverse stock splits, recapitalizations, reclassifications, mergers, split-ups, reorganizations, consolidations and other capital adjustments effected without receipt of consideration that increases the number of outstanding shares of Common Stock. Note 1.B.: The Amount Registered represents 226,000,000 shares of Common Stock reserved for issuance under the Microsoft Corporation 2026 Stock Plan, which was approved by the Registrant's shareholders on December 5, 2025 and will become effective on March 1, 2026. Note 1.C.: The Proposed Maximum Offering Price Per Unit and the Maximum Aggregate Offering Price have been estimated solely for the purpose of calculating the amount of the registration fee pursuant to Rules 457(c) and (h) of the Securities Act, on the basis of the average of the high and low prices of the Common Stock as reported on The Nasdaq Stock Market on December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82550</wp:posOffset>
            </wp:positionV>
            <wp:extent cx="6398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Roman"/>
      <w:start w:val="4"/>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17" Type="http://schemas.openxmlformats.org/officeDocument/2006/relationships/hyperlink" Target="http://www.sec.gov/Archives/edgar/data/789019/000095017025100235/msft-20250630.htm" TargetMode="External"/><Relationship Id="rId18" Type="http://schemas.openxmlformats.org/officeDocument/2006/relationships/hyperlink" Target="http://www.sec.gov/Archives/edgar/data/789019/000095017024087843/msft-ex4_26.htm" TargetMode="External"/><Relationship Id="rId20" Type="http://schemas.openxmlformats.org/officeDocument/2006/relationships/hyperlink" Target="http://www.sec.gov/ix?doc=/Archives/edgar/data/789019/000119312525245150/d908201ddef14a.htm#toc908201_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2025-12-30T15:37:28Z</dcterms:created>
  <dcterms:modified xsi:type="dcterms:W3CDTF">2025-12-30T15:37:28Z</dcterms:modified>
</cp:coreProperties>
</file>