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36195</wp:posOffset>
            </wp:positionV>
            <wp:extent cx="1817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64135</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25" w:lineRule="exact"/>
        <w:rPr>
          <w:sz w:val="24"/>
          <w:szCs w:val="24"/>
          <w:color w:val="auto"/>
        </w:rPr>
      </w:pPr>
    </w:p>
    <w:p>
      <w:pPr>
        <w:ind w:left="540" w:hanging="519"/>
        <w:spacing w:after="0"/>
        <w:tabs>
          <w:tab w:leader="none" w:pos="5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ANNUAL REPORT PURSUANT TO SECTION 13 OR 15(d) OF THE SECURITIES EXCHANGE ACT OF 1934</w:t>
      </w:r>
    </w:p>
    <w:p>
      <w:pPr>
        <w:spacing w:after="0" w:line="77" w:lineRule="exact"/>
        <w:rPr>
          <w:sz w:val="24"/>
          <w:szCs w:val="24"/>
          <w:color w:val="auto"/>
        </w:rPr>
      </w:pPr>
    </w:p>
    <w:p>
      <w:pPr>
        <w:ind w:left="540"/>
        <w:spacing w:after="0"/>
        <w:rPr>
          <w:sz w:val="20"/>
          <w:szCs w:val="20"/>
          <w:color w:val="auto"/>
        </w:rPr>
      </w:pPr>
      <w:r>
        <w:rPr>
          <w:rFonts w:ascii="Arial" w:cs="Arial" w:eastAsia="Arial" w:hAnsi="Arial"/>
          <w:sz w:val="16"/>
          <w:szCs w:val="16"/>
          <w:b w:val="1"/>
          <w:bCs w:val="1"/>
          <w:color w:val="auto"/>
        </w:rPr>
        <w:t>For the Fiscal Year Ended June 30, 2024</w:t>
      </w:r>
    </w:p>
    <w:p>
      <w:pPr>
        <w:spacing w:after="0" w:line="90" w:lineRule="exact"/>
        <w:rPr>
          <w:sz w:val="24"/>
          <w:szCs w:val="24"/>
          <w:color w:val="auto"/>
        </w:rPr>
      </w:pPr>
    </w:p>
    <w:p>
      <w:pPr>
        <w:jc w:val="center"/>
        <w:ind w:left="520"/>
        <w:spacing w:after="0"/>
        <w:rPr>
          <w:sz w:val="20"/>
          <w:szCs w:val="20"/>
          <w:color w:val="auto"/>
        </w:rPr>
      </w:pPr>
      <w:r>
        <w:rPr>
          <w:rFonts w:ascii="Arial" w:cs="Arial" w:eastAsia="Arial" w:hAnsi="Arial"/>
          <w:sz w:val="20"/>
          <w:szCs w:val="20"/>
          <w:b w:val="1"/>
          <w:bCs w:val="1"/>
          <w:color w:val="auto"/>
        </w:rPr>
        <w:t>OR</w:t>
      </w:r>
    </w:p>
    <w:p>
      <w:pPr>
        <w:spacing w:after="0" w:line="94" w:lineRule="exact"/>
        <w:rPr>
          <w:sz w:val="24"/>
          <w:szCs w:val="24"/>
          <w:color w:val="auto"/>
        </w:rPr>
      </w:pPr>
    </w:p>
    <w:p>
      <w:pPr>
        <w:ind w:left="540" w:hanging="519"/>
        <w:spacing w:after="0"/>
        <w:tabs>
          <w:tab w:leader="none" w:pos="540"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pacing w:after="0" w:line="102" w:lineRule="exact"/>
        <w:rPr>
          <w:sz w:val="24"/>
          <w:szCs w:val="24"/>
          <w:color w:val="auto"/>
        </w:rPr>
      </w:pPr>
    </w:p>
    <w:tbl>
      <w:tblPr>
        <w:tblLayout w:type="fixed"/>
        <w:tblInd w:w="540" w:type="dxa"/>
        <w:tblCellMar>
          <w:top w:w="0" w:type="dxa"/>
          <w:left w:w="0" w:type="dxa"/>
          <w:bottom w:w="0" w:type="dxa"/>
          <w:right w:w="0" w:type="dxa"/>
        </w:tblCellMar>
      </w:tblPr>
      <w:tr>
        <w:trPr>
          <w:trHeight w:val="223"/>
        </w:trPr>
        <w:tc>
          <w:tcPr>
            <w:tcW w:w="3180" w:type="dxa"/>
            <w:vAlign w:val="bottom"/>
          </w:tcPr>
          <w:p>
            <w:pPr>
              <w:spacing w:after="0"/>
              <w:rPr>
                <w:sz w:val="20"/>
                <w:szCs w:val="20"/>
                <w:color w:val="auto"/>
              </w:rPr>
            </w:pPr>
            <w:r>
              <w:rPr>
                <w:rFonts w:ascii="Arial" w:cs="Arial" w:eastAsia="Arial" w:hAnsi="Arial"/>
                <w:sz w:val="16"/>
                <w:szCs w:val="16"/>
                <w:b w:val="1"/>
                <w:bCs w:val="1"/>
                <w:color w:val="auto"/>
              </w:rPr>
              <w:t>For the Transition Period From</w:t>
            </w:r>
          </w:p>
        </w:tc>
        <w:tc>
          <w:tcPr>
            <w:tcW w:w="5160" w:type="dxa"/>
            <w:vAlign w:val="bottom"/>
            <w:gridSpan w:val="3"/>
          </w:tcPr>
          <w:p>
            <w:pPr>
              <w:spacing w:after="0"/>
              <w:rPr>
                <w:sz w:val="20"/>
                <w:szCs w:val="20"/>
                <w:color w:val="auto"/>
              </w:rPr>
            </w:pPr>
            <w:r>
              <w:rPr>
                <w:rFonts w:ascii="Arial" w:cs="Arial" w:eastAsia="Arial" w:hAnsi="Arial"/>
                <w:sz w:val="16"/>
                <w:szCs w:val="16"/>
                <w:b w:val="1"/>
                <w:bCs w:val="1"/>
                <w:color w:val="auto"/>
              </w:rPr>
              <w:t>to</w:t>
            </w:r>
          </w:p>
        </w:tc>
      </w:tr>
      <w:tr>
        <w:trPr>
          <w:trHeight w:val="229"/>
        </w:trPr>
        <w:tc>
          <w:tcPr>
            <w:tcW w:w="3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80" w:type="dxa"/>
            <w:vAlign w:val="bottom"/>
            <w:gridSpan w:val="2"/>
          </w:tcPr>
          <w:p>
            <w:pPr>
              <w:jc w:val="center"/>
              <w:ind w:right="1810"/>
              <w:spacing w:after="0"/>
              <w:rPr>
                <w:sz w:val="20"/>
                <w:szCs w:val="20"/>
                <w:color w:val="auto"/>
              </w:rPr>
            </w:pPr>
            <w:r>
              <w:rPr>
                <w:rFonts w:ascii="Arial" w:cs="Arial" w:eastAsia="Arial" w:hAnsi="Arial"/>
                <w:sz w:val="16"/>
                <w:szCs w:val="16"/>
                <w:b w:val="1"/>
                <w:bCs w:val="1"/>
                <w:color w:val="auto"/>
              </w:rPr>
              <w:t>Commission File Number 001-37845</w:t>
            </w:r>
          </w:p>
        </w:tc>
      </w:tr>
      <w:tr>
        <w:trPr>
          <w:trHeight w:val="48"/>
        </w:trPr>
        <w:tc>
          <w:tcPr>
            <w:tcW w:w="3660" w:type="dxa"/>
            <w:vAlign w:val="bottom"/>
            <w:gridSpan w:val="2"/>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1820" w:type="dxa"/>
            <w:vAlign w:val="bottom"/>
          </w:tcPr>
          <w:p>
            <w:pPr>
              <w:spacing w:after="0"/>
              <w:rPr>
                <w:sz w:val="4"/>
                <w:szCs w:val="4"/>
                <w:color w:val="auto"/>
              </w:rPr>
            </w:pPr>
          </w:p>
        </w:tc>
      </w:tr>
      <w:tr>
        <w:trPr>
          <w:trHeight w:val="543"/>
        </w:trPr>
        <w:tc>
          <w:tcPr>
            <w:tcW w:w="8340" w:type="dxa"/>
            <w:vAlign w:val="bottom"/>
            <w:gridSpan w:val="4"/>
          </w:tcPr>
          <w:p>
            <w:pPr>
              <w:jc w:val="center"/>
              <w:ind w:left="1735"/>
              <w:spacing w:after="0"/>
              <w:rPr>
                <w:sz w:val="20"/>
                <w:szCs w:val="20"/>
                <w:color w:val="auto"/>
              </w:rPr>
            </w:pPr>
            <w:r>
              <w:rPr>
                <w:rFonts w:ascii="Arial" w:cs="Arial" w:eastAsia="Arial" w:hAnsi="Arial"/>
                <w:sz w:val="40"/>
                <w:szCs w:val="40"/>
                <w:b w:val="1"/>
                <w:bCs w:val="1"/>
                <w:color w:val="auto"/>
                <w:w w:val="98"/>
              </w:rPr>
              <w:t>MICROSOFT CORPORATION</w:t>
            </w:r>
          </w:p>
        </w:tc>
      </w:tr>
      <w:tr>
        <w:trPr>
          <w:trHeight w:val="252"/>
        </w:trPr>
        <w:tc>
          <w:tcPr>
            <w:tcW w:w="3180" w:type="dxa"/>
            <w:vAlign w:val="bottom"/>
          </w:tcPr>
          <w:p>
            <w:pPr>
              <w:jc w:val="center"/>
              <w:ind w:left="1155"/>
              <w:spacing w:after="0"/>
              <w:rPr>
                <w:sz w:val="20"/>
                <w:szCs w:val="20"/>
                <w:color w:val="auto"/>
              </w:rPr>
            </w:pPr>
            <w:r>
              <w:rPr>
                <w:rFonts w:ascii="Arial" w:cs="Arial" w:eastAsia="Arial" w:hAnsi="Arial"/>
                <w:sz w:val="14"/>
                <w:szCs w:val="14"/>
                <w:b w:val="1"/>
                <w:bCs w:val="1"/>
                <w:color w:val="auto"/>
              </w:rPr>
              <w:t>WASHINGTON</w:t>
            </w:r>
          </w:p>
        </w:tc>
        <w:tc>
          <w:tcPr>
            <w:tcW w:w="480" w:type="dxa"/>
            <w:vAlign w:val="bottom"/>
          </w:tcPr>
          <w:p>
            <w:pPr>
              <w:spacing w:after="0"/>
              <w:rPr>
                <w:sz w:val="21"/>
                <w:szCs w:val="21"/>
                <w:color w:val="auto"/>
              </w:rPr>
            </w:pPr>
          </w:p>
        </w:tc>
        <w:tc>
          <w:tcPr>
            <w:tcW w:w="2860" w:type="dxa"/>
            <w:vAlign w:val="bottom"/>
            <w:tcBorders>
              <w:top w:val="single" w:sz="8" w:color="auto"/>
            </w:tcBorders>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91-1144442</w:t>
            </w:r>
          </w:p>
        </w:tc>
      </w:tr>
      <w:tr>
        <w:trPr>
          <w:trHeight w:val="186"/>
        </w:trPr>
        <w:tc>
          <w:tcPr>
            <w:tcW w:w="3180" w:type="dxa"/>
            <w:vAlign w:val="bottom"/>
          </w:tcPr>
          <w:p>
            <w:pPr>
              <w:jc w:val="center"/>
              <w:ind w:left="1155"/>
              <w:spacing w:after="0"/>
              <w:rPr>
                <w:sz w:val="20"/>
                <w:szCs w:val="20"/>
                <w:color w:val="auto"/>
              </w:rPr>
            </w:pPr>
            <w:r>
              <w:rPr>
                <w:rFonts w:ascii="Arial" w:cs="Arial" w:eastAsia="Arial" w:hAnsi="Arial"/>
                <w:sz w:val="13"/>
                <w:szCs w:val="13"/>
                <w:b w:val="1"/>
                <w:bCs w:val="1"/>
                <w:color w:val="auto"/>
              </w:rPr>
              <w:t>(STATE OF INCORPORATION)</w:t>
            </w:r>
          </w:p>
        </w:tc>
        <w:tc>
          <w:tcPr>
            <w:tcW w:w="4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820" w:type="dxa"/>
            <w:vAlign w:val="bottom"/>
          </w:tcPr>
          <w:p>
            <w:pPr>
              <w:jc w:val="center"/>
              <w:ind w:left="990"/>
              <w:spacing w:after="0"/>
              <w:rPr>
                <w:sz w:val="20"/>
                <w:szCs w:val="20"/>
                <w:color w:val="auto"/>
              </w:rPr>
            </w:pPr>
            <w:r>
              <w:rPr>
                <w:rFonts w:ascii="Arial" w:cs="Arial" w:eastAsia="Arial" w:hAnsi="Arial"/>
                <w:sz w:val="13"/>
                <w:szCs w:val="13"/>
                <w:b w:val="1"/>
                <w:bCs w:val="1"/>
                <w:color w:val="auto"/>
              </w:rPr>
              <w:t>(I.R.S. ID)</w:t>
            </w:r>
          </w:p>
        </w:tc>
      </w:tr>
    </w:tbl>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ONE MICROSOFT WAY, REDMOND, WASHINGTON 98052-6399</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(425) 882-8080</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www.microsoft.com/investor</w:t>
      </w:r>
    </w:p>
    <w:p>
      <w:pPr>
        <w:spacing w:after="0" w:line="77" w:lineRule="exact"/>
        <w:rPr>
          <w:sz w:val="24"/>
          <w:szCs w:val="24"/>
          <w:color w:val="auto"/>
        </w:rPr>
      </w:pPr>
    </w:p>
    <w:p>
      <w:pPr>
        <w:ind w:left="20"/>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118" w:right="339" w:bottom="1440" w:gutter="0" w:footer="0" w:header="0"/>
        </w:sectPr>
      </w:pPr>
    </w:p>
    <w:p>
      <w:pPr>
        <w:spacing w:after="0" w:line="100" w:lineRule="exact"/>
        <w:rPr>
          <w:sz w:val="24"/>
          <w:szCs w:val="24"/>
          <w:color w:val="auto"/>
        </w:rPr>
      </w:pPr>
    </w:p>
    <w:p>
      <w:pPr>
        <w:ind w:left="1900"/>
        <w:spacing w:after="0"/>
        <w:rPr>
          <w:sz w:val="20"/>
          <w:szCs w:val="20"/>
          <w:color w:val="auto"/>
        </w:rPr>
      </w:pPr>
      <w:r>
        <w:rPr>
          <w:rFonts w:ascii="Arial" w:cs="Arial" w:eastAsia="Arial" w:hAnsi="Arial"/>
          <w:sz w:val="16"/>
          <w:szCs w:val="16"/>
          <w:color w:val="auto"/>
        </w:rPr>
        <w:t>Title of each class</w:t>
      </w:r>
    </w:p>
    <w:p>
      <w:pPr>
        <w:spacing w:after="0" w:line="100"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Common stock, $0.00000625 par value per share</w:t>
      </w:r>
    </w:p>
    <w:p>
      <w:pPr>
        <w:spacing w:after="0" w:line="39"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3.125% Notes due 2028</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2.625% Notes due 2033</w:t>
      </w:r>
    </w:p>
    <w:p>
      <w:pPr>
        <w:spacing w:after="0" w:line="93" w:lineRule="exact"/>
        <w:rPr>
          <w:sz w:val="24"/>
          <w:szCs w:val="24"/>
          <w:color w:val="auto"/>
        </w:rPr>
      </w:pPr>
    </w:p>
    <w:p>
      <w:pPr>
        <w:ind w:left="20"/>
        <w:spacing w:after="0"/>
        <w:rPr>
          <w:sz w:val="20"/>
          <w:szCs w:val="20"/>
          <w:color w:val="auto"/>
        </w:rPr>
      </w:pPr>
      <w:r>
        <w:rPr>
          <w:rFonts w:ascii="Arial" w:cs="Arial" w:eastAsia="Arial" w:hAnsi="Arial"/>
          <w:sz w:val="16"/>
          <w:szCs w:val="16"/>
          <w:color w:val="auto"/>
        </w:rPr>
        <w:t>Securities registered pursuant to Section 12(g) of the Act: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680" w:type="dxa"/>
            <w:vAlign w:val="bottom"/>
          </w:tcPr>
          <w:p>
            <w:pPr>
              <w:jc w:val="center"/>
              <w:ind w:right="482"/>
              <w:spacing w:after="0"/>
              <w:rPr>
                <w:sz w:val="20"/>
                <w:szCs w:val="20"/>
                <w:color w:val="auto"/>
              </w:rPr>
            </w:pPr>
            <w:r>
              <w:rPr>
                <w:rFonts w:ascii="Arial" w:cs="Arial" w:eastAsia="Arial" w:hAnsi="Arial"/>
                <w:sz w:val="16"/>
                <w:szCs w:val="16"/>
                <w:color w:val="auto"/>
                <w:w w:val="99"/>
              </w:rPr>
              <w:t>Trading Symbol</w:t>
            </w:r>
          </w:p>
        </w:tc>
        <w:tc>
          <w:tcPr>
            <w:tcW w:w="3360" w:type="dxa"/>
            <w:vAlign w:val="bottom"/>
          </w:tcPr>
          <w:p>
            <w:pPr>
              <w:jc w:val="center"/>
              <w:ind w:left="459"/>
              <w:spacing w:after="0"/>
              <w:rPr>
                <w:sz w:val="20"/>
                <w:szCs w:val="20"/>
                <w:color w:val="auto"/>
              </w:rPr>
            </w:pPr>
            <w:r>
              <w:rPr>
                <w:rFonts w:ascii="Arial" w:cs="Arial" w:eastAsia="Arial" w:hAnsi="Arial"/>
                <w:sz w:val="16"/>
                <w:szCs w:val="16"/>
                <w:color w:val="auto"/>
              </w:rPr>
              <w:t>Name of exchange on which registered</w:t>
            </w:r>
          </w:p>
        </w:tc>
      </w:tr>
      <w:tr>
        <w:trPr>
          <w:trHeight w:val="285"/>
        </w:trPr>
        <w:tc>
          <w:tcPr>
            <w:tcW w:w="1680" w:type="dxa"/>
            <w:vAlign w:val="bottom"/>
          </w:tcPr>
          <w:p>
            <w:pPr>
              <w:jc w:val="center"/>
              <w:ind w:right="462"/>
              <w:spacing w:after="0"/>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459"/>
              <w:spacing w:after="0"/>
              <w:rPr>
                <w:sz w:val="20"/>
                <w:szCs w:val="20"/>
                <w:color w:val="auto"/>
              </w:rPr>
            </w:pPr>
            <w:r>
              <w:rPr>
                <w:rFonts w:ascii="Arial" w:cs="Arial" w:eastAsia="Arial" w:hAnsi="Arial"/>
                <w:sz w:val="16"/>
                <w:szCs w:val="16"/>
                <w:b w:val="1"/>
                <w:bCs w:val="1"/>
                <w:color w:val="auto"/>
              </w:rPr>
              <w:t>NASDAQ</w:t>
            </w:r>
          </w:p>
        </w:tc>
      </w:tr>
      <w:tr>
        <w:trPr>
          <w:trHeight w:val="216"/>
        </w:trPr>
        <w:tc>
          <w:tcPr>
            <w:tcW w:w="1680" w:type="dxa"/>
            <w:vAlign w:val="bottom"/>
          </w:tcPr>
          <w:p>
            <w:pPr>
              <w:jc w:val="center"/>
              <w:ind w:right="462"/>
              <w:spacing w:after="0"/>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459"/>
              <w:spacing w:after="0"/>
              <w:rPr>
                <w:sz w:val="20"/>
                <w:szCs w:val="20"/>
                <w:color w:val="auto"/>
              </w:rPr>
            </w:pPr>
            <w:r>
              <w:rPr>
                <w:rFonts w:ascii="Arial" w:cs="Arial" w:eastAsia="Arial" w:hAnsi="Arial"/>
                <w:sz w:val="16"/>
                <w:szCs w:val="16"/>
                <w:b w:val="1"/>
                <w:bCs w:val="1"/>
                <w:color w:val="auto"/>
              </w:rPr>
              <w:t>NASDAQ</w:t>
            </w:r>
          </w:p>
        </w:tc>
      </w:tr>
      <w:tr>
        <w:trPr>
          <w:trHeight w:val="232"/>
        </w:trPr>
        <w:tc>
          <w:tcPr>
            <w:tcW w:w="1680" w:type="dxa"/>
            <w:vAlign w:val="bottom"/>
          </w:tcPr>
          <w:p>
            <w:pPr>
              <w:jc w:val="center"/>
              <w:ind w:right="462"/>
              <w:spacing w:after="0"/>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459"/>
              <w:spacing w:after="0"/>
              <w:rPr>
                <w:sz w:val="20"/>
                <w:szCs w:val="20"/>
                <w:color w:val="auto"/>
              </w:rPr>
            </w:pPr>
            <w:r>
              <w:rPr>
                <w:rFonts w:ascii="Arial" w:cs="Arial" w:eastAsia="Arial" w:hAnsi="Arial"/>
                <w:sz w:val="16"/>
                <w:szCs w:val="16"/>
                <w:b w:val="1"/>
                <w:bCs w:val="1"/>
                <w:color w:val="auto"/>
              </w:rPr>
              <w:t>NASDAQ</w:t>
            </w:r>
          </w:p>
        </w:tc>
      </w:tr>
    </w:tbl>
    <w:p>
      <w:pPr>
        <w:spacing w:after="0" w:line="366" w:lineRule="exact"/>
        <w:rPr>
          <w:sz w:val="24"/>
          <w:szCs w:val="24"/>
          <w:color w:val="auto"/>
        </w:rPr>
      </w:pPr>
    </w:p>
    <w:p>
      <w:pPr>
        <w:sectPr>
          <w:pgSz w:w="11900" w:h="16838" w:orient="portrait"/>
          <w:cols w:equalWidth="0" w:num="2">
            <w:col w:w="4720" w:space="720"/>
            <w:col w:w="5800"/>
          </w:cols>
          <w:pgMar w:left="320" w:top="111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None</w:t>
            </w:r>
          </w:p>
        </w:tc>
        <w:tc>
          <w:tcPr>
            <w:tcW w:w="600" w:type="dxa"/>
            <w:vAlign w:val="bottom"/>
            <w:vMerge w:val="restart"/>
          </w:tcPr>
          <w:p>
            <w:pPr>
              <w:ind w:left="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520" w:type="dxa"/>
            <w:vAlign w:val="bottom"/>
            <w:vMerge w:val="restart"/>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1"/>
        </w:trPr>
        <w:tc>
          <w:tcPr>
            <w:tcW w:w="7560" w:type="dxa"/>
            <w:vAlign w:val="bottom"/>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60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560" w:type="dxa"/>
            <w:vAlign w:val="bottom"/>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600" w:type="dxa"/>
            <w:vAlign w:val="bottom"/>
          </w:tcPr>
          <w:p>
            <w:pPr>
              <w:ind w:left="1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52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0"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 w:lineRule="exact"/>
        <w:rPr>
          <w:sz w:val="24"/>
          <w:szCs w:val="24"/>
          <w:color w:val="auto"/>
        </w:rPr>
      </w:pPr>
    </w:p>
    <w:p>
      <w:pPr>
        <w:ind w:right="20"/>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161" w:lineRule="exact"/>
        <w:tabs>
          <w:tab w:leader="none" w:pos="73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75" w:lineRule="exact"/>
        <w:rPr>
          <w:sz w:val="24"/>
          <w:szCs w:val="24"/>
          <w:color w:val="auto"/>
        </w:rPr>
      </w:pPr>
    </w:p>
    <w:p>
      <w:pPr>
        <w:ind w:left="20"/>
        <w:spacing w:after="0" w:line="161" w:lineRule="exact"/>
        <w:tabs>
          <w:tab w:leader="none" w:pos="732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ind w:left="73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61"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2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1"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As of December 31, 2023, the aggregate market value of the registrant’s common stock held by non-affiliates of the registrant was $2.8 trillion based on the closing sale price as reported on the NASDAQ National Market System. As of July 25, 2024, there were 7,433,038,381 shares of common stock outstanding.</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35" w:lineRule="exact"/>
        <w:rPr>
          <w:sz w:val="24"/>
          <w:szCs w:val="24"/>
          <w:color w:val="auto"/>
        </w:rPr>
      </w:pPr>
    </w:p>
    <w:p>
      <w:pPr>
        <w:spacing w:after="0" w:line="274" w:lineRule="auto"/>
        <w:rPr>
          <w:sz w:val="20"/>
          <w:szCs w:val="20"/>
          <w:color w:val="auto"/>
        </w:rPr>
      </w:pPr>
      <w:r>
        <w:rPr>
          <w:rFonts w:ascii="Arial" w:cs="Arial" w:eastAsia="Arial" w:hAnsi="Arial"/>
          <w:sz w:val="14"/>
          <w:szCs w:val="14"/>
          <w:color w:val="auto"/>
        </w:rPr>
        <w:t>Portions of the definitive Proxy Statement to be delivered to shareholders in connection with the Annual Meeting of Shareholders to be held on December 10, 2024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852170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MICROSOFT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10-K</w:t>
      </w:r>
    </w:p>
    <w:p>
      <w:pPr>
        <w:jc w:val="center"/>
        <w:spacing w:after="0" w:line="234" w:lineRule="auto"/>
        <w:rPr>
          <w:sz w:val="20"/>
          <w:szCs w:val="20"/>
          <w:color w:val="auto"/>
        </w:rPr>
      </w:pPr>
      <w:r>
        <w:rPr>
          <w:rFonts w:ascii="Arial" w:cs="Arial" w:eastAsia="Arial" w:hAnsi="Arial"/>
          <w:sz w:val="18"/>
          <w:szCs w:val="18"/>
          <w:b w:val="1"/>
          <w:bCs w:val="1"/>
          <w:color w:val="auto"/>
        </w:rPr>
        <w:t>For the Fiscal Year Ended June 30, 2024</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397"/>
        </w:trPr>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100" w:type="dxa"/>
            <w:vAlign w:val="bottom"/>
          </w:tcPr>
          <w:p>
            <w:pPr>
              <w:ind w:left="960"/>
              <w:spacing w:after="0"/>
              <w:rPr>
                <w:sz w:val="20"/>
                <w:szCs w:val="20"/>
                <w:color w:val="auto"/>
              </w:rPr>
            </w:pPr>
            <w:r>
              <w:rPr>
                <w:rFonts w:ascii="Arial" w:cs="Arial" w:eastAsia="Arial" w:hAnsi="Arial"/>
                <w:sz w:val="18"/>
                <w:szCs w:val="18"/>
                <w:color w:val="auto"/>
              </w:rPr>
              <w:t>Item 1.</w:t>
            </w:r>
          </w:p>
        </w:tc>
        <w:tc>
          <w:tcPr>
            <w:tcW w:w="74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w w:val="98"/>
              </w:rPr>
              <w:t>Business</w:t>
            </w:r>
          </w:p>
        </w:tc>
        <w:tc>
          <w:tcPr>
            <w:tcW w:w="7960" w:type="dxa"/>
            <w:vAlign w:val="bottom"/>
            <w:gridSpan w:val="26"/>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58"/>
        </w:trPr>
        <w:tc>
          <w:tcPr>
            <w:tcW w:w="2100" w:type="dxa"/>
            <w:vAlign w:val="bottom"/>
          </w:tcPr>
          <w:p>
            <w:pPr>
              <w:spacing w:after="0"/>
              <w:rPr>
                <w:sz w:val="24"/>
                <w:szCs w:val="24"/>
                <w:color w:val="auto"/>
              </w:rPr>
            </w:pPr>
          </w:p>
        </w:tc>
        <w:tc>
          <w:tcPr>
            <w:tcW w:w="8700" w:type="dxa"/>
            <w:vAlign w:val="bottom"/>
            <w:gridSpan w:val="27"/>
          </w:tcPr>
          <w:p>
            <w:pPr>
              <w:spacing w:after="0"/>
              <w:rPr>
                <w:sz w:val="20"/>
                <w:szCs w:val="20"/>
                <w:color w:val="auto"/>
              </w:rPr>
            </w:pPr>
            <w:r>
              <w:rPr>
                <w:rFonts w:ascii="Arial" w:cs="Arial" w:eastAsia="Arial" w:hAnsi="Arial"/>
                <w:sz w:val="18"/>
                <w:szCs w:val="18"/>
                <w:color w:val="auto"/>
              </w:rPr>
              <w:t>Information about our Executive Officers</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58"/>
        </w:trPr>
        <w:tc>
          <w:tcPr>
            <w:tcW w:w="2100" w:type="dxa"/>
            <w:vAlign w:val="bottom"/>
          </w:tcPr>
          <w:p>
            <w:pPr>
              <w:ind w:left="960"/>
              <w:spacing w:after="0"/>
              <w:rPr>
                <w:sz w:val="20"/>
                <w:szCs w:val="20"/>
                <w:color w:val="auto"/>
              </w:rPr>
            </w:pPr>
            <w:r>
              <w:rPr>
                <w:rFonts w:ascii="Arial" w:cs="Arial" w:eastAsia="Arial" w:hAnsi="Arial"/>
                <w:sz w:val="18"/>
                <w:szCs w:val="18"/>
                <w:color w:val="auto"/>
              </w:rPr>
              <w:t>Item 1A.</w:t>
            </w:r>
          </w:p>
        </w:tc>
        <w:tc>
          <w:tcPr>
            <w:tcW w:w="320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auto"/>
              </w:rPr>
              <w:t>Risk Factors</w:t>
            </w:r>
          </w:p>
        </w:tc>
        <w:tc>
          <w:tcPr>
            <w:tcW w:w="5500" w:type="dxa"/>
            <w:vAlign w:val="bottom"/>
            <w:gridSpan w:val="13"/>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100" w:type="dxa"/>
            <w:vAlign w:val="bottom"/>
          </w:tcPr>
          <w:p>
            <w:pPr>
              <w:ind w:left="960"/>
              <w:spacing w:after="0"/>
              <w:rPr>
                <w:sz w:val="20"/>
                <w:szCs w:val="20"/>
                <w:color w:val="auto"/>
              </w:rPr>
            </w:pPr>
            <w:r>
              <w:rPr>
                <w:rFonts w:ascii="Arial" w:cs="Arial" w:eastAsia="Arial" w:hAnsi="Arial"/>
                <w:sz w:val="18"/>
                <w:szCs w:val="18"/>
                <w:color w:val="auto"/>
              </w:rPr>
              <w:t>Item 1B.</w:t>
            </w:r>
          </w:p>
        </w:tc>
        <w:tc>
          <w:tcPr>
            <w:tcW w:w="8700" w:type="dxa"/>
            <w:vAlign w:val="bottom"/>
            <w:gridSpan w:val="27"/>
          </w:tcPr>
          <w:p>
            <w:pPr>
              <w:spacing w:after="0"/>
              <w:rPr>
                <w:sz w:val="20"/>
                <w:szCs w:val="20"/>
                <w:color w:val="auto"/>
              </w:rPr>
            </w:pPr>
            <w:r>
              <w:rPr>
                <w:rFonts w:ascii="Arial" w:cs="Arial" w:eastAsia="Arial" w:hAnsi="Arial"/>
                <w:sz w:val="18"/>
                <w:szCs w:val="18"/>
                <w:color w:val="auto"/>
              </w:rPr>
              <w:t>Unresolved Staff Comments</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58"/>
        </w:trPr>
        <w:tc>
          <w:tcPr>
            <w:tcW w:w="2100" w:type="dxa"/>
            <w:vAlign w:val="bottom"/>
          </w:tcPr>
          <w:p>
            <w:pPr>
              <w:ind w:left="960"/>
              <w:spacing w:after="0"/>
              <w:rPr>
                <w:sz w:val="20"/>
                <w:szCs w:val="20"/>
                <w:color w:val="auto"/>
              </w:rPr>
            </w:pPr>
            <w:r>
              <w:rPr>
                <w:rFonts w:ascii="Arial" w:cs="Arial" w:eastAsia="Arial" w:hAnsi="Arial"/>
                <w:sz w:val="18"/>
                <w:szCs w:val="18"/>
                <w:color w:val="auto"/>
              </w:rPr>
              <w:t>Item 1C.</w:t>
            </w:r>
          </w:p>
        </w:tc>
        <w:tc>
          <w:tcPr>
            <w:tcW w:w="224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auto"/>
              </w:rPr>
              <w:t>Cybersecurity</w:t>
            </w:r>
          </w:p>
        </w:tc>
        <w:tc>
          <w:tcPr>
            <w:tcW w:w="6460" w:type="dxa"/>
            <w:vAlign w:val="bottom"/>
            <w:gridSpan w:val="15"/>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58"/>
        </w:trPr>
        <w:tc>
          <w:tcPr>
            <w:tcW w:w="2100" w:type="dxa"/>
            <w:vAlign w:val="bottom"/>
          </w:tcPr>
          <w:p>
            <w:pPr>
              <w:ind w:left="960"/>
              <w:spacing w:after="0"/>
              <w:rPr>
                <w:sz w:val="20"/>
                <w:szCs w:val="20"/>
                <w:color w:val="auto"/>
              </w:rPr>
            </w:pPr>
            <w:r>
              <w:rPr>
                <w:rFonts w:ascii="Arial" w:cs="Arial" w:eastAsia="Arial" w:hAnsi="Arial"/>
                <w:sz w:val="18"/>
                <w:szCs w:val="18"/>
                <w:color w:val="auto"/>
              </w:rPr>
              <w:t>Item 2.</w:t>
            </w:r>
          </w:p>
        </w:tc>
        <w:tc>
          <w:tcPr>
            <w:tcW w:w="11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Properties</w:t>
            </w:r>
          </w:p>
        </w:tc>
        <w:tc>
          <w:tcPr>
            <w:tcW w:w="7600" w:type="dxa"/>
            <w:vAlign w:val="bottom"/>
            <w:gridSpan w:val="21"/>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100" w:type="dxa"/>
            <w:vAlign w:val="bottom"/>
          </w:tcPr>
          <w:p>
            <w:pPr>
              <w:ind w:left="960"/>
              <w:spacing w:after="0"/>
              <w:rPr>
                <w:sz w:val="20"/>
                <w:szCs w:val="20"/>
                <w:color w:val="auto"/>
              </w:rPr>
            </w:pPr>
            <w:r>
              <w:rPr>
                <w:rFonts w:ascii="Arial" w:cs="Arial" w:eastAsia="Arial" w:hAnsi="Arial"/>
                <w:sz w:val="18"/>
                <w:szCs w:val="18"/>
                <w:color w:val="auto"/>
              </w:rPr>
              <w:t>Item 3.</w:t>
            </w:r>
          </w:p>
        </w:tc>
        <w:tc>
          <w:tcPr>
            <w:tcW w:w="15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auto"/>
                <w:w w:val="99"/>
              </w:rPr>
              <w:t>Legal Proceedings</w:t>
            </w:r>
          </w:p>
        </w:tc>
        <w:tc>
          <w:tcPr>
            <w:tcW w:w="7200" w:type="dxa"/>
            <w:vAlign w:val="bottom"/>
            <w:gridSpan w:val="19"/>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58"/>
        </w:trPr>
        <w:tc>
          <w:tcPr>
            <w:tcW w:w="2100" w:type="dxa"/>
            <w:vAlign w:val="bottom"/>
          </w:tcPr>
          <w:p>
            <w:pPr>
              <w:ind w:left="960"/>
              <w:spacing w:after="0"/>
              <w:rPr>
                <w:sz w:val="20"/>
                <w:szCs w:val="20"/>
                <w:color w:val="auto"/>
              </w:rPr>
            </w:pPr>
            <w:r>
              <w:rPr>
                <w:rFonts w:ascii="Arial" w:cs="Arial" w:eastAsia="Arial" w:hAnsi="Arial"/>
                <w:sz w:val="18"/>
                <w:szCs w:val="18"/>
                <w:color w:val="auto"/>
              </w:rPr>
              <w:t>Item 4.</w:t>
            </w:r>
          </w:p>
        </w:tc>
        <w:tc>
          <w:tcPr>
            <w:tcW w:w="8700" w:type="dxa"/>
            <w:vAlign w:val="bottom"/>
            <w:gridSpan w:val="27"/>
          </w:tcPr>
          <w:p>
            <w:pPr>
              <w:spacing w:after="0"/>
              <w:rPr>
                <w:sz w:val="20"/>
                <w:szCs w:val="20"/>
                <w:color w:val="auto"/>
              </w:rPr>
            </w:pPr>
            <w:r>
              <w:rPr>
                <w:rFonts w:ascii="Arial" w:cs="Arial" w:eastAsia="Arial" w:hAnsi="Arial"/>
                <w:sz w:val="18"/>
                <w:szCs w:val="18"/>
                <w:color w:val="auto"/>
              </w:rPr>
              <w:t>Mine Safety Disclosures</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0"/>
        </w:trPr>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100" w:type="dxa"/>
            <w:vAlign w:val="bottom"/>
          </w:tcPr>
          <w:p>
            <w:pPr>
              <w:ind w:left="960"/>
              <w:spacing w:after="0"/>
              <w:rPr>
                <w:sz w:val="20"/>
                <w:szCs w:val="20"/>
                <w:color w:val="auto"/>
              </w:rPr>
            </w:pPr>
            <w:r>
              <w:rPr>
                <w:rFonts w:ascii="Arial" w:cs="Arial" w:eastAsia="Arial" w:hAnsi="Arial"/>
                <w:sz w:val="18"/>
                <w:szCs w:val="18"/>
                <w:color w:val="auto"/>
              </w:rPr>
              <w:t>Item 5.</w:t>
            </w:r>
          </w:p>
        </w:tc>
        <w:tc>
          <w:tcPr>
            <w:tcW w:w="8700" w:type="dxa"/>
            <w:vAlign w:val="bottom"/>
            <w:gridSpan w:val="27"/>
          </w:tcPr>
          <w:p>
            <w:pPr>
              <w:spacing w:after="0"/>
              <w:rPr>
                <w:sz w:val="20"/>
                <w:szCs w:val="20"/>
                <w:color w:val="auto"/>
              </w:rPr>
            </w:pPr>
            <w:r>
              <w:rPr>
                <w:rFonts w:ascii="Arial" w:cs="Arial" w:eastAsia="Arial" w:hAnsi="Arial"/>
                <w:sz w:val="18"/>
                <w:szCs w:val="18"/>
                <w:color w:val="auto"/>
              </w:rPr>
              <w:t>Market for Registrant’s Common Equity, Related Stockholder Matters, and Issuer Purchases of Equity</w:t>
            </w: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82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auto"/>
                <w:w w:val="98"/>
              </w:rPr>
              <w:t>Securities</w:t>
            </w:r>
          </w:p>
        </w:tc>
        <w:tc>
          <w:tcPr>
            <w:tcW w:w="7560" w:type="dxa"/>
            <w:vAlign w:val="bottom"/>
            <w:tcBorders>
              <w:top w:val="single" w:sz="8" w:color="0000EE"/>
            </w:tcBorders>
            <w:gridSpan w:val="24"/>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2100" w:type="dxa"/>
            <w:vAlign w:val="bottom"/>
          </w:tcPr>
          <w:p>
            <w:pPr>
              <w:ind w:left="960"/>
              <w:spacing w:after="0"/>
              <w:rPr>
                <w:sz w:val="20"/>
                <w:szCs w:val="20"/>
                <w:color w:val="auto"/>
              </w:rPr>
            </w:pPr>
            <w:r>
              <w:rPr>
                <w:rFonts w:ascii="Arial" w:cs="Arial" w:eastAsia="Arial" w:hAnsi="Arial"/>
                <w:sz w:val="18"/>
                <w:szCs w:val="18"/>
                <w:color w:val="auto"/>
              </w:rPr>
              <w:t>Item 6.</w:t>
            </w:r>
          </w:p>
        </w:tc>
        <w:tc>
          <w:tcPr>
            <w:tcW w:w="8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auto"/>
                <w:w w:val="98"/>
              </w:rPr>
              <w:t>[Reserved]</w:t>
            </w:r>
          </w:p>
        </w:tc>
        <w:tc>
          <w:tcPr>
            <w:tcW w:w="7820" w:type="dxa"/>
            <w:vAlign w:val="bottom"/>
            <w:gridSpan w:val="23"/>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58"/>
        </w:trPr>
        <w:tc>
          <w:tcPr>
            <w:tcW w:w="2100" w:type="dxa"/>
            <w:vAlign w:val="bottom"/>
          </w:tcPr>
          <w:p>
            <w:pPr>
              <w:ind w:left="960"/>
              <w:spacing w:after="0"/>
              <w:rPr>
                <w:sz w:val="20"/>
                <w:szCs w:val="20"/>
                <w:color w:val="auto"/>
              </w:rPr>
            </w:pPr>
            <w:r>
              <w:rPr>
                <w:rFonts w:ascii="Arial" w:cs="Arial" w:eastAsia="Arial" w:hAnsi="Arial"/>
                <w:sz w:val="18"/>
                <w:szCs w:val="18"/>
                <w:color w:val="auto"/>
              </w:rPr>
              <w:t>Item 7.</w:t>
            </w:r>
          </w:p>
        </w:tc>
        <w:tc>
          <w:tcPr>
            <w:tcW w:w="708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auto"/>
                <w:w w:val="99"/>
              </w:rPr>
              <w:t>Management’s Discussion and Analysis of Financial Condition and Results of Operations</w:t>
            </w:r>
          </w:p>
        </w:tc>
        <w:tc>
          <w:tcPr>
            <w:tcW w:w="1620" w:type="dxa"/>
            <w:vAlign w:val="bottom"/>
            <w:gridSpan w:val="4"/>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58"/>
        </w:trPr>
        <w:tc>
          <w:tcPr>
            <w:tcW w:w="2100" w:type="dxa"/>
            <w:vAlign w:val="bottom"/>
          </w:tcPr>
          <w:p>
            <w:pPr>
              <w:ind w:left="960"/>
              <w:spacing w:after="0"/>
              <w:rPr>
                <w:sz w:val="20"/>
                <w:szCs w:val="20"/>
                <w:color w:val="auto"/>
              </w:rPr>
            </w:pPr>
            <w:r>
              <w:rPr>
                <w:rFonts w:ascii="Arial" w:cs="Arial" w:eastAsia="Arial" w:hAnsi="Arial"/>
                <w:sz w:val="18"/>
                <w:szCs w:val="18"/>
                <w:color w:val="auto"/>
              </w:rPr>
              <w:t>Item 7A.</w:t>
            </w:r>
          </w:p>
        </w:tc>
        <w:tc>
          <w:tcPr>
            <w:tcW w:w="47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auto"/>
                <w:w w:val="99"/>
              </w:rPr>
              <w:t>Quantitative and Qualitative Disclosures About Market Risk</w:t>
            </w:r>
          </w:p>
        </w:tc>
        <w:tc>
          <w:tcPr>
            <w:tcW w:w="3980" w:type="dxa"/>
            <w:vAlign w:val="bottom"/>
            <w:gridSpan w:val="8"/>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58"/>
        </w:trPr>
        <w:tc>
          <w:tcPr>
            <w:tcW w:w="2100" w:type="dxa"/>
            <w:vAlign w:val="bottom"/>
          </w:tcPr>
          <w:p>
            <w:pPr>
              <w:ind w:left="960"/>
              <w:spacing w:after="0"/>
              <w:rPr>
                <w:sz w:val="20"/>
                <w:szCs w:val="20"/>
                <w:color w:val="auto"/>
              </w:rPr>
            </w:pPr>
            <w:r>
              <w:rPr>
                <w:rFonts w:ascii="Arial" w:cs="Arial" w:eastAsia="Arial" w:hAnsi="Arial"/>
                <w:sz w:val="18"/>
                <w:szCs w:val="18"/>
                <w:color w:val="auto"/>
              </w:rPr>
              <w:t>Item 8.</w:t>
            </w:r>
          </w:p>
        </w:tc>
        <w:tc>
          <w:tcPr>
            <w:tcW w:w="8700" w:type="dxa"/>
            <w:vAlign w:val="bottom"/>
            <w:gridSpan w:val="27"/>
          </w:tcPr>
          <w:p>
            <w:pPr>
              <w:spacing w:after="0"/>
              <w:rPr>
                <w:sz w:val="20"/>
                <w:szCs w:val="20"/>
                <w:color w:val="auto"/>
              </w:rPr>
            </w:pPr>
            <w:r>
              <w:rPr>
                <w:rFonts w:ascii="Arial" w:cs="Arial" w:eastAsia="Arial" w:hAnsi="Arial"/>
                <w:sz w:val="18"/>
                <w:szCs w:val="18"/>
                <w:color w:val="auto"/>
              </w:rPr>
              <w:t>Financial Statements and Supplementary Data</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100" w:type="dxa"/>
            <w:vAlign w:val="bottom"/>
          </w:tcPr>
          <w:p>
            <w:pPr>
              <w:ind w:left="960"/>
              <w:spacing w:after="0"/>
              <w:rPr>
                <w:sz w:val="20"/>
                <w:szCs w:val="20"/>
                <w:color w:val="auto"/>
              </w:rPr>
            </w:pPr>
            <w:r>
              <w:rPr>
                <w:rFonts w:ascii="Arial" w:cs="Arial" w:eastAsia="Arial" w:hAnsi="Arial"/>
                <w:sz w:val="18"/>
                <w:szCs w:val="18"/>
                <w:color w:val="auto"/>
              </w:rPr>
              <w:t>Item 9.</w:t>
            </w:r>
          </w:p>
        </w:tc>
        <w:tc>
          <w:tcPr>
            <w:tcW w:w="714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auto"/>
                <w:w w:val="99"/>
              </w:rPr>
              <w:t>Changes in and Disagreements with Accountants on Accounting and Financial Disclosure</w:t>
            </w:r>
          </w:p>
        </w:tc>
        <w:tc>
          <w:tcPr>
            <w:tcW w:w="1560" w:type="dxa"/>
            <w:vAlign w:val="bottom"/>
            <w:gridSpan w:val="3"/>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358"/>
        </w:trPr>
        <w:tc>
          <w:tcPr>
            <w:tcW w:w="2100" w:type="dxa"/>
            <w:vAlign w:val="bottom"/>
          </w:tcPr>
          <w:p>
            <w:pPr>
              <w:ind w:left="960"/>
              <w:spacing w:after="0"/>
              <w:rPr>
                <w:sz w:val="20"/>
                <w:szCs w:val="20"/>
                <w:color w:val="auto"/>
              </w:rPr>
            </w:pPr>
            <w:r>
              <w:rPr>
                <w:rFonts w:ascii="Arial" w:cs="Arial" w:eastAsia="Arial" w:hAnsi="Arial"/>
                <w:sz w:val="18"/>
                <w:szCs w:val="18"/>
                <w:color w:val="auto"/>
              </w:rPr>
              <w:t>Item 9A.</w:t>
            </w:r>
          </w:p>
        </w:tc>
        <w:tc>
          <w:tcPr>
            <w:tcW w:w="20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auto"/>
                <w:w w:val="99"/>
              </w:rPr>
              <w:t>Controls and Procedures</w:t>
            </w:r>
          </w:p>
        </w:tc>
        <w:tc>
          <w:tcPr>
            <w:tcW w:w="6700" w:type="dxa"/>
            <w:vAlign w:val="bottom"/>
            <w:gridSpan w:val="16"/>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358"/>
        </w:trPr>
        <w:tc>
          <w:tcPr>
            <w:tcW w:w="2100" w:type="dxa"/>
            <w:vAlign w:val="bottom"/>
          </w:tcPr>
          <w:p>
            <w:pPr>
              <w:spacing w:after="0"/>
              <w:rPr>
                <w:sz w:val="24"/>
                <w:szCs w:val="24"/>
                <w:color w:val="auto"/>
              </w:rPr>
            </w:pPr>
          </w:p>
        </w:tc>
        <w:tc>
          <w:tcPr>
            <w:tcW w:w="538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auto"/>
                <w:w w:val="99"/>
              </w:rPr>
              <w:t>Report of Management on Internal Control over Financial Reporting</w:t>
            </w:r>
          </w:p>
        </w:tc>
        <w:tc>
          <w:tcPr>
            <w:tcW w:w="3320" w:type="dxa"/>
            <w:vAlign w:val="bottom"/>
            <w:gridSpan w:val="7"/>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358"/>
        </w:trPr>
        <w:tc>
          <w:tcPr>
            <w:tcW w:w="2100" w:type="dxa"/>
            <w:vAlign w:val="bottom"/>
          </w:tcPr>
          <w:p>
            <w:pPr>
              <w:spacing w:after="0"/>
              <w:rPr>
                <w:sz w:val="24"/>
                <w:szCs w:val="24"/>
                <w:color w:val="auto"/>
              </w:rPr>
            </w:pPr>
          </w:p>
        </w:tc>
        <w:tc>
          <w:tcPr>
            <w:tcW w:w="8700" w:type="dxa"/>
            <w:vAlign w:val="bottom"/>
            <w:gridSpan w:val="27"/>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358"/>
        </w:trPr>
        <w:tc>
          <w:tcPr>
            <w:tcW w:w="2100" w:type="dxa"/>
            <w:vAlign w:val="bottom"/>
          </w:tcPr>
          <w:p>
            <w:pPr>
              <w:ind w:left="960"/>
              <w:spacing w:after="0"/>
              <w:rPr>
                <w:sz w:val="20"/>
                <w:szCs w:val="20"/>
                <w:color w:val="auto"/>
              </w:rPr>
            </w:pPr>
            <w:r>
              <w:rPr>
                <w:rFonts w:ascii="Arial" w:cs="Arial" w:eastAsia="Arial" w:hAnsi="Arial"/>
                <w:sz w:val="18"/>
                <w:szCs w:val="18"/>
                <w:color w:val="auto"/>
              </w:rPr>
              <w:t>Item 9B.</w:t>
            </w:r>
          </w:p>
        </w:tc>
        <w:tc>
          <w:tcPr>
            <w:tcW w:w="460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auto"/>
              </w:rPr>
              <w:t>Other Information</w:t>
            </w:r>
          </w:p>
        </w:tc>
        <w:tc>
          <w:tcPr>
            <w:tcW w:w="4100" w:type="dxa"/>
            <w:vAlign w:val="bottom"/>
            <w:gridSpan w:val="9"/>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100" w:type="dxa"/>
            <w:vAlign w:val="bottom"/>
          </w:tcPr>
          <w:p>
            <w:pPr>
              <w:ind w:left="960"/>
              <w:spacing w:after="0"/>
              <w:rPr>
                <w:sz w:val="20"/>
                <w:szCs w:val="20"/>
                <w:color w:val="auto"/>
              </w:rPr>
            </w:pPr>
            <w:r>
              <w:rPr>
                <w:rFonts w:ascii="Arial" w:cs="Arial" w:eastAsia="Arial" w:hAnsi="Arial"/>
                <w:sz w:val="18"/>
                <w:szCs w:val="18"/>
                <w:color w:val="auto"/>
              </w:rPr>
              <w:t>Item 9C.</w:t>
            </w:r>
          </w:p>
        </w:tc>
        <w:tc>
          <w:tcPr>
            <w:tcW w:w="8700" w:type="dxa"/>
            <w:vAlign w:val="bottom"/>
            <w:gridSpan w:val="27"/>
          </w:tcPr>
          <w:p>
            <w:pPr>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410"/>
        </w:trPr>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100" w:type="dxa"/>
            <w:vAlign w:val="bottom"/>
          </w:tcPr>
          <w:p>
            <w:pPr>
              <w:ind w:left="960"/>
              <w:spacing w:after="0"/>
              <w:rPr>
                <w:sz w:val="20"/>
                <w:szCs w:val="20"/>
                <w:color w:val="auto"/>
              </w:rPr>
            </w:pPr>
            <w:r>
              <w:rPr>
                <w:rFonts w:ascii="Arial" w:cs="Arial" w:eastAsia="Arial" w:hAnsi="Arial"/>
                <w:sz w:val="18"/>
                <w:szCs w:val="18"/>
                <w:color w:val="auto"/>
              </w:rPr>
              <w:t>Item 10.</w:t>
            </w:r>
          </w:p>
        </w:tc>
        <w:tc>
          <w:tcPr>
            <w:tcW w:w="8700" w:type="dxa"/>
            <w:vAlign w:val="bottom"/>
            <w:gridSpan w:val="27"/>
          </w:tcPr>
          <w:p>
            <w:pPr>
              <w:spacing w:after="0"/>
              <w:rPr>
                <w:sz w:val="20"/>
                <w:szCs w:val="20"/>
                <w:color w:val="auto"/>
              </w:rPr>
            </w:pPr>
            <w:r>
              <w:rPr>
                <w:rFonts w:ascii="Arial" w:cs="Arial" w:eastAsia="Arial" w:hAnsi="Arial"/>
                <w:sz w:val="18"/>
                <w:szCs w:val="18"/>
                <w:color w:val="auto"/>
              </w:rPr>
              <w:t>Directors, Executive Officers, and Corporate Governance</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358"/>
        </w:trPr>
        <w:tc>
          <w:tcPr>
            <w:tcW w:w="2100" w:type="dxa"/>
            <w:vAlign w:val="bottom"/>
          </w:tcPr>
          <w:p>
            <w:pPr>
              <w:ind w:left="960"/>
              <w:spacing w:after="0"/>
              <w:rPr>
                <w:sz w:val="20"/>
                <w:szCs w:val="20"/>
                <w:color w:val="auto"/>
              </w:rPr>
            </w:pPr>
            <w:r>
              <w:rPr>
                <w:rFonts w:ascii="Arial" w:cs="Arial" w:eastAsia="Arial" w:hAnsi="Arial"/>
                <w:sz w:val="18"/>
                <w:szCs w:val="18"/>
                <w:color w:val="auto"/>
              </w:rPr>
              <w:t>Item 11.</w:t>
            </w:r>
          </w:p>
        </w:tc>
        <w:tc>
          <w:tcPr>
            <w:tcW w:w="200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8"/>
                <w:szCs w:val="18"/>
                <w:color w:val="auto"/>
                <w:w w:val="99"/>
              </w:rPr>
              <w:t>Executive Compensation</w:t>
            </w:r>
          </w:p>
        </w:tc>
        <w:tc>
          <w:tcPr>
            <w:tcW w:w="2540" w:type="dxa"/>
            <w:vAlign w:val="bottom"/>
            <w:tcBorders>
              <w:top w:val="single" w:sz="8" w:color="0000EE"/>
            </w:tcBorders>
            <w:gridSpan w:val="6"/>
          </w:tcPr>
          <w:p>
            <w:pPr>
              <w:spacing w:after="0"/>
              <w:rPr>
                <w:sz w:val="24"/>
                <w:szCs w:val="24"/>
                <w:color w:val="auto"/>
              </w:rPr>
            </w:pPr>
          </w:p>
        </w:tc>
        <w:tc>
          <w:tcPr>
            <w:tcW w:w="4160" w:type="dxa"/>
            <w:vAlign w:val="bottom"/>
            <w:gridSpan w:val="10"/>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358"/>
        </w:trPr>
        <w:tc>
          <w:tcPr>
            <w:tcW w:w="2100" w:type="dxa"/>
            <w:vAlign w:val="bottom"/>
          </w:tcPr>
          <w:p>
            <w:pPr>
              <w:ind w:left="960"/>
              <w:spacing w:after="0"/>
              <w:rPr>
                <w:sz w:val="20"/>
                <w:szCs w:val="20"/>
                <w:color w:val="auto"/>
              </w:rPr>
            </w:pPr>
            <w:r>
              <w:rPr>
                <w:rFonts w:ascii="Arial" w:cs="Arial" w:eastAsia="Arial" w:hAnsi="Arial"/>
                <w:sz w:val="18"/>
                <w:szCs w:val="18"/>
                <w:color w:val="auto"/>
              </w:rPr>
              <w:t>Item 12.</w:t>
            </w:r>
          </w:p>
        </w:tc>
        <w:tc>
          <w:tcPr>
            <w:tcW w:w="802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auto"/>
                <w:w w:val="99"/>
              </w:rPr>
              <w:t>Security Ownership of Certain Beneficial Owners and Management and Related Stockholder Matters</w:t>
            </w:r>
          </w:p>
        </w:tc>
        <w:tc>
          <w:tcPr>
            <w:tcW w:w="680" w:type="dxa"/>
            <w:vAlign w:val="bottom"/>
            <w:gridSpan w:val="2"/>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358"/>
        </w:trPr>
        <w:tc>
          <w:tcPr>
            <w:tcW w:w="2100" w:type="dxa"/>
            <w:vAlign w:val="bottom"/>
          </w:tcPr>
          <w:p>
            <w:pPr>
              <w:ind w:left="960"/>
              <w:spacing w:after="0"/>
              <w:rPr>
                <w:sz w:val="20"/>
                <w:szCs w:val="20"/>
                <w:color w:val="auto"/>
              </w:rPr>
            </w:pPr>
            <w:r>
              <w:rPr>
                <w:rFonts w:ascii="Arial" w:cs="Arial" w:eastAsia="Arial" w:hAnsi="Arial"/>
                <w:sz w:val="18"/>
                <w:szCs w:val="18"/>
                <w:color w:val="auto"/>
              </w:rPr>
              <w:t>Item 13.</w:t>
            </w:r>
          </w:p>
        </w:tc>
        <w:tc>
          <w:tcPr>
            <w:tcW w:w="608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auto"/>
                <w:w w:val="99"/>
              </w:rPr>
              <w:t>Certain Relationships and Related Transactions, and Director Independence</w:t>
            </w:r>
          </w:p>
        </w:tc>
        <w:tc>
          <w:tcPr>
            <w:tcW w:w="2620" w:type="dxa"/>
            <w:vAlign w:val="bottom"/>
            <w:gridSpan w:val="5"/>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358"/>
        </w:trPr>
        <w:tc>
          <w:tcPr>
            <w:tcW w:w="2100" w:type="dxa"/>
            <w:vAlign w:val="bottom"/>
          </w:tcPr>
          <w:p>
            <w:pPr>
              <w:ind w:left="960"/>
              <w:spacing w:after="0"/>
              <w:rPr>
                <w:sz w:val="20"/>
                <w:szCs w:val="20"/>
                <w:color w:val="auto"/>
              </w:rPr>
            </w:pPr>
            <w:r>
              <w:rPr>
                <w:rFonts w:ascii="Arial" w:cs="Arial" w:eastAsia="Arial" w:hAnsi="Arial"/>
                <w:sz w:val="18"/>
                <w:szCs w:val="18"/>
                <w:color w:val="auto"/>
              </w:rPr>
              <w:t>Item 14.</w:t>
            </w:r>
          </w:p>
        </w:tc>
        <w:tc>
          <w:tcPr>
            <w:tcW w:w="8700" w:type="dxa"/>
            <w:vAlign w:val="bottom"/>
            <w:gridSpan w:val="27"/>
          </w:tcPr>
          <w:p>
            <w:pPr>
              <w:spacing w:after="0"/>
              <w:rPr>
                <w:sz w:val="20"/>
                <w:szCs w:val="20"/>
                <w:color w:val="auto"/>
              </w:rPr>
            </w:pPr>
            <w:r>
              <w:rPr>
                <w:rFonts w:ascii="Arial" w:cs="Arial" w:eastAsia="Arial" w:hAnsi="Arial"/>
                <w:sz w:val="18"/>
                <w:szCs w:val="18"/>
                <w:color w:val="auto"/>
              </w:rPr>
              <w:t>Principal Accountant Fees and Services</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411"/>
        </w:trPr>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100" w:type="dxa"/>
            <w:vAlign w:val="bottom"/>
          </w:tcPr>
          <w:p>
            <w:pPr>
              <w:ind w:left="960"/>
              <w:spacing w:after="0"/>
              <w:rPr>
                <w:sz w:val="20"/>
                <w:szCs w:val="20"/>
                <w:color w:val="auto"/>
              </w:rPr>
            </w:pPr>
            <w:r>
              <w:rPr>
                <w:rFonts w:ascii="Arial" w:cs="Arial" w:eastAsia="Arial" w:hAnsi="Arial"/>
                <w:sz w:val="18"/>
                <w:szCs w:val="18"/>
                <w:color w:val="auto"/>
              </w:rPr>
              <w:t>Item 15.</w:t>
            </w:r>
          </w:p>
        </w:tc>
        <w:tc>
          <w:tcPr>
            <w:tcW w:w="8700" w:type="dxa"/>
            <w:vAlign w:val="bottom"/>
            <w:gridSpan w:val="27"/>
          </w:tcPr>
          <w:p>
            <w:pPr>
              <w:spacing w:after="0"/>
              <w:rPr>
                <w:sz w:val="20"/>
                <w:szCs w:val="20"/>
                <w:color w:val="auto"/>
              </w:rPr>
            </w:pPr>
            <w:r>
              <w:rPr>
                <w:rFonts w:ascii="Arial" w:cs="Arial" w:eastAsia="Arial" w:hAnsi="Arial"/>
                <w:sz w:val="18"/>
                <w:szCs w:val="18"/>
                <w:color w:val="auto"/>
              </w:rPr>
              <w:t>Exhibit and Financial Statement Schedules</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358"/>
        </w:trPr>
        <w:tc>
          <w:tcPr>
            <w:tcW w:w="2100" w:type="dxa"/>
            <w:vAlign w:val="bottom"/>
          </w:tcPr>
          <w:p>
            <w:pPr>
              <w:ind w:left="960"/>
              <w:spacing w:after="0"/>
              <w:rPr>
                <w:sz w:val="20"/>
                <w:szCs w:val="20"/>
                <w:color w:val="auto"/>
              </w:rPr>
            </w:pPr>
            <w:r>
              <w:rPr>
                <w:rFonts w:ascii="Arial" w:cs="Arial" w:eastAsia="Arial" w:hAnsi="Arial"/>
                <w:sz w:val="18"/>
                <w:szCs w:val="18"/>
                <w:color w:val="auto"/>
              </w:rPr>
              <w:t>Item 16.</w:t>
            </w:r>
          </w:p>
        </w:tc>
        <w:tc>
          <w:tcPr>
            <w:tcW w:w="168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auto"/>
                <w:w w:val="99"/>
              </w:rPr>
              <w:t>Form 10-K Summary</w:t>
            </w:r>
          </w:p>
        </w:tc>
        <w:tc>
          <w:tcPr>
            <w:tcW w:w="1740" w:type="dxa"/>
            <w:vAlign w:val="bottom"/>
            <w:tcBorders>
              <w:top w:val="single" w:sz="8" w:color="0000EE"/>
            </w:tcBorders>
            <w:gridSpan w:val="6"/>
          </w:tcPr>
          <w:p>
            <w:pPr>
              <w:spacing w:after="0"/>
              <w:rPr>
                <w:sz w:val="24"/>
                <w:szCs w:val="24"/>
                <w:color w:val="auto"/>
              </w:rPr>
            </w:pPr>
          </w:p>
        </w:tc>
        <w:tc>
          <w:tcPr>
            <w:tcW w:w="5280" w:type="dxa"/>
            <w:vAlign w:val="bottom"/>
            <w:gridSpan w:val="12"/>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358"/>
        </w:trPr>
        <w:tc>
          <w:tcPr>
            <w:tcW w:w="2100" w:type="dxa"/>
            <w:vAlign w:val="bottom"/>
          </w:tcPr>
          <w:p>
            <w:pPr>
              <w:spacing w:after="0"/>
              <w:rPr>
                <w:sz w:val="24"/>
                <w:szCs w:val="24"/>
                <w:color w:val="auto"/>
              </w:rPr>
            </w:pPr>
          </w:p>
        </w:tc>
        <w:tc>
          <w:tcPr>
            <w:tcW w:w="8700" w:type="dxa"/>
            <w:vAlign w:val="bottom"/>
            <w:gridSpan w:val="27"/>
          </w:tcPr>
          <w:p>
            <w:pPr>
              <w:spacing w:after="0"/>
              <w:rPr>
                <w:sz w:val="20"/>
                <w:szCs w:val="20"/>
                <w:color w:val="auto"/>
              </w:rPr>
            </w:pPr>
            <w:r>
              <w:rPr>
                <w:rFonts w:ascii="Arial" w:cs="Arial" w:eastAsia="Arial" w:hAnsi="Arial"/>
                <w:sz w:val="18"/>
                <w:szCs w:val="18"/>
                <w:color w:val="auto"/>
              </w:rPr>
              <w:t>Signatures</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111</w:t>
            </w:r>
          </w:p>
        </w:tc>
        <w:tc>
          <w:tcPr>
            <w:tcW w:w="0" w:type="dxa"/>
            <w:vAlign w:val="bottom"/>
          </w:tcPr>
          <w:p>
            <w:pPr>
              <w:spacing w:after="0"/>
              <w:rPr>
                <w:sz w:val="1"/>
                <w:szCs w:val="1"/>
                <w:color w:val="auto"/>
              </w:rPr>
            </w:pPr>
          </w:p>
        </w:tc>
      </w:tr>
      <w:tr>
        <w:trPr>
          <w:trHeight w:val="634"/>
        </w:trPr>
        <w:tc>
          <w:tcPr>
            <w:tcW w:w="2100" w:type="dxa"/>
            <w:vAlign w:val="bottom"/>
          </w:tcPr>
          <w:p>
            <w:pPr>
              <w:spacing w:after="0"/>
              <w:rPr>
                <w:sz w:val="24"/>
                <w:szCs w:val="24"/>
                <w:color w:val="auto"/>
              </w:rPr>
            </w:pPr>
          </w:p>
        </w:tc>
        <w:tc>
          <w:tcPr>
            <w:tcW w:w="860" w:type="dxa"/>
            <w:vAlign w:val="bottom"/>
            <w:tcBorders>
              <w:top w:val="single" w:sz="8" w:color="0000EE"/>
            </w:tcBorders>
            <w:gridSpan w:val="3"/>
          </w:tcPr>
          <w:p>
            <w:pPr>
              <w:spacing w:after="0"/>
              <w:rPr>
                <w:sz w:val="24"/>
                <w:szCs w:val="24"/>
                <w:color w:val="auto"/>
              </w:rPr>
            </w:pPr>
          </w:p>
        </w:tc>
        <w:tc>
          <w:tcPr>
            <w:tcW w:w="2860" w:type="dxa"/>
            <w:vAlign w:val="bottom"/>
            <w:gridSpan w:val="13"/>
          </w:tcPr>
          <w:p>
            <w:pPr>
              <w:jc w:val="right"/>
              <w:ind w:right="160"/>
              <w:spacing w:after="0"/>
              <w:rPr>
                <w:sz w:val="20"/>
                <w:szCs w:val="20"/>
                <w:color w:val="auto"/>
              </w:rPr>
            </w:pPr>
            <w:r>
              <w:rPr>
                <w:rFonts w:ascii="Arial" w:cs="Arial" w:eastAsia="Arial" w:hAnsi="Arial"/>
                <w:sz w:val="14"/>
                <w:szCs w:val="14"/>
                <w:color w:val="auto"/>
              </w:rPr>
              <w:t>2</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2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1" w:right="339" w:bottom="811" w:gutter="0" w:footer="0" w:header="0"/>
        </w:sectPr>
      </w:pPr>
    </w:p>
    <w:bookmarkStart w:id="2" w:name="page3"/>
    <w:bookmarkEnd w:id="2"/>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“Business” (Part I, Item 1 of this Form 10-K), “Risk Factors” (Part I, Item 1A of this Form 10-K), and “Management’s Discussion and Analysis of Financial Condition and Results of Operations” (Part II, Item 7 of this Form 10-K).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“Management’s Discussion and Analysis of Financial Condition and Results of Operations,” and “Quantitative and Qualitative Disclosures About Market Risk” (Part II, Item 7A of this Form 10-K).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BUSINESS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Embracing Our Future</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Microsoft is a technology company committed to making digital technology and artificial intelligence (“AI”) available broadly and doing so responsibly, with a mission to empower every person and every organization on the planet to achieve more. We create platforms and tools, powered by AI, that deliver innovative solutions that meet the evolving needs of our customers. From infrastructure and data, to business applications and collaboration, we provide unique, differentiated value to customers. We strive to create local opportunity, growth, and impact in every country around the world.</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entered a new age of AI that will fundamentally transform productivity for every individual, organization, and industry on earth, while helping us address some of our most pressing challenges. Microsoft's AI offerings, including Copilot and our Copilot stack, are already orchestrating a new era of AI transformation, driving better business outcomes across every role and industry. As a company, we believe we can be the democratizing force for this new generation of technology and the opportunity it will help unlock for every country, community, and individual.</w:t>
      </w:r>
    </w:p>
    <w:p>
      <w:pPr>
        <w:spacing w:after="0" w:line="12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believe AI should be as empowering across communities as it is powerful, and we’re committed to ensuring it is responsibly designed and built with safety and security from the outset.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Offer</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Founded in 1975, we develop and support software, services, devices, and solutions that deliver new value for customers and help people and businesses realize their full potential.</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offer an array of services, including cloud-based solutions that provide customers with software, services, platforms, and content, and we provide solution support and consulting services. We also deliver relevant online advertising to a global audience.</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products include operating systems, cross-device productivity and collaboration applications, server applications, business solution applications, desktop and server management tools, software development tools, and video games. We also design and sell devices, including PCs, tablets, gaming and entertainment consoles, other intelligent devices, and related accessories.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 w:name="page4"/>
    <w:bookmarkEnd w:id="3"/>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Ambitions That Drive 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 achieve our vision, our research and development efforts focus on three interconnected ambitions:</w:t>
      </w:r>
    </w:p>
    <w:p>
      <w:pPr>
        <w:spacing w:after="0" w:line="77" w:lineRule="exact"/>
        <w:rPr>
          <w:sz w:val="20"/>
          <w:szCs w:val="20"/>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Reinvent productivity and business processes.</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Build the intelligent cloud and intelligent edge platform.</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Create more personal computing.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Reinvent Productivity and Business Processes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Microsoft, we provide technology and resources to help our customers create a secure, productive work environment. Our family of products plays a key role in the ways the world works, learns, and connects.</w:t>
      </w:r>
    </w:p>
    <w:p>
      <w:pPr>
        <w:spacing w:after="0" w:line="1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growth depends on securely delivering continuous innovation and advancing our leading productivity and collaboration tools and services, including Microsoft 365, LinkedIn, and Dynamics 365. Microsoft 365 is an AI first platform that brings together Office, Windows, Copilot, and Enterprise Mobility + Security to help organizations empower their employees. Copilot for Microsoft 365 combines AI with business data in the Microsoft Graph and Microsoft 365 applications. Microsoft Teams is a comprehensive platform for communication and collaboration, with meetings, calling, chat, file collaboration, and the ability to bring all of the applications teams use into a single place. Microsoft Viva is an employee experience platform that brings together communications, knowledge, learning, resources, and insights.</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Together, the Microsoft Cloud, Dynamics 365, Microsoft Teams, and our AI offerings bring a new era of collaborative applications for every role and business function to get insights and business impact faster. Dynamics 365 is a portfolio of intelligent business applications that delivers operational efficiency and breakthrough customer experiences. Our role-based extensions of Microsoft Copilot – Copilot for Sales, Copilot for Service, and Copilot for Finance – bring together the power of Copilot for Microsoft 365 with role-specific insights and workflow assistance to streamline business processes. Copilot Studio allows customers to customize Copilot for Microsoft 365 or build their own Copilot. Microsoft Power Platform helps domain experts drive productivity gains with low-code/no-code tools, robotic process automation, virtual agents, and business intelligence. Copilot Pro is a consumer subscription service that offers faster and more powerful AI assistance in Microsoft 365 apps and on the web. LinkedIn combines our unique data with this new generation of AI to transform the way professionals learn, sell, market, and get hired.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Build the Intelligent Cloud and Intelligent Edge Platform</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Digital transformation and adoption of AI continues to revolutionize more business workstreams for organizations in every sector across the globe. For enterprises, digital technology empowers employees, optimizes operations, engages customers, and in some cases, changes the very core of products and services. We continue to invest in high performance and sustainable computing to meet the growing demand for fast access to Microsoft services provided by our network of cloud computing and AI infrastructure and datacenters.</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cloud business benefits from three economies of scale: datacenters that deploy computational resources at significantly lower cost per unit than smaller ones; datacenters that coordinate and aggregate diverse customer, geographic, and application demand patterns, improving the utilization of computing, storage, and network resources; and multi-tenancy locations that lower application maintenance labor costs.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Microsoft Cloud provides the best integration across the technology stack while offering openness, improving time to value, reducing costs, and increasing agility. As the foundation of the Microsoft Cloud, Azure uniquely offers hybrid consistency, developer productivity, data and AI capabilities, and trusted security and compliance.</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offer supercomputing power for AI at scale to run large workloads, complemented by our rapidly expanding portfolio of AI cloud services and hardware, which includes custom-built silicon and strong partnerships with chip manufacturers. We have introduced purpose-built cloud infrastructure for AI workloads including a custom AI accelerator, Azure Maia, and a custom in-house central processing unit, Azure Cobalt.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 w:name="page5"/>
    <w:bookmarkEnd w:id="4"/>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AI platform, Azure AI, is helping organizations transform, bringing intelligence and insights to the hands of their employees and customers to solve their most pressing challenges. We offer a wide selection of industry-leading frontier and open models, including from partners, as well as state-of-the-art tooling, and AI-optimized infrastructure, delivering the Copilot stack for Microsoft, enterprises, and developers. Organizations large and small are deploying Azure AI solutions to achieve more at scale, more easily, with the proper enterprise-level responsible AI and safety and security protections. Azure AI Studio provides a full lifecycle toolchain customers can use to ground these models on their own data, create prompt workflows, and help ensure they are deployed and used safely.</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GitHub Copilot is at the forefront of AI-powered software development, giving developers a tool to write code easier and faster. From GitHub to Visual Studio, we provide a developer tool chain for everyone, no matter the technical experience, across all platforms.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 long-term partnership with OpenAI, a leading AI research and deployment company. We deploy OpenAI’s models across our consumer and enterprise products. As OpenAI’s exclusive cloud provider, Azure powers all of OpenAI's workloads. We have also increased our investments in the development and deployment of specialized supercomputing systems to accelerate OpenAI’s research.</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hybrid infrastructure offers integrated, end-to-end security, compliance, identity, and management capabilities to support the real-world needs and evolving regulatory requirements of commercial customers and enterprises. Our industry clouds bring together capabilities across the entire Microsoft Cloud, along with industry-specific customizations. Azure Arc simplifies governance and management by delivering a consistent multi-cloud and on-premises management platform.</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Microsoft Intelligent Data Platform fully integrates databases, analytics, and governance. Microsoft Fabric is an end-to-end, unified analytics platform that brings together all the data and analytics tools that organizations need.</w:t>
      </w:r>
    </w:p>
    <w:p>
      <w:pPr>
        <w:spacing w:after="0" w:line="10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Nuance is a leader in conversational AI and ambient intelligence across industries, including healthcare, financial services, retail, and telecommunications. Microsoft and Nuance enable organizations to accelerate their business goals with security-focused, cloud-based solutions infused with AI.</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the rate and pace of cyberthreats continue to accelerate, security is a top priority for every organization. Microsoft offers customers integrated products addressing security, compliance, identity, management, and privacy across customers’ multi-cloud, application, and device assets. With Copilot for Security, Microsoft offers an AI cybersecurity product that enables security professionals to respond to cyberthreats quickly.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Windows 365 enables users to stream a full Windows experience from the Microsoft Cloud to any device.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Create More Personal Computing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strive to make computing more personal, enabling users to interact with technology in more intuitive, engaging, and dynamic ways.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Windows 11 offers innovations focused on performance, productivity, and creativity, including Copilot in Windows. Windows 11 security and privacy features include operating system security, application security, and user and identity security. Dev Home is an open-source experience in Windows to help developer productivity. We are committed to designing and marketing first-party devices to help drive innovation, create new device categories, and stimulate demand in the Windows ecosystem. The Surface family includes Surface Pro, Surface Laptop, and other Surface products. Copilot+ PCs are a new class of Windows 11 PCs that are powered by a neural processing unit. These PCs use on-device AI for enhanced performance and features.</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Copilot is an AI assistant that helps users navigate the web, answer questions, and create content. Microsoft Edge is our fast and secure browser that helps protect users’ data and offers enhanced browsing capabilities including quick access to AI-powered tools, apps, and more. The AI-powered Bing search engine with Copilot delivers better search, more complete answers, and the ability to generate content.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 w:name="page6"/>
    <w:bookmarkEnd w:id="5"/>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Microsoft is expanding how billions of people globally access and play video games on PC, console, mobile, and cloud. We put game development front and center, backed by innovative hardware, experiences, and a subscription service, Xbox Game Pass, that allows those games to reach more players across more devices. Activision Blizzard, Inc. (“Activision Blizzard”), a leader in game development and an interactive entertainment content publisher, joined Microsoft in October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Opportunity</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focused on helping customers use the breadth and depth of the Microsoft Cloud to get the most value out of their digital spend while leading the AI platform wave across our solution areas. We continue to develop complete, intelligent solutions for our customers that empower people to be productive and collaborate, while safeguarding businesses and simplifying IT management. Our goal is to lead the industry in several distinct areas of technology over the long term, which we expect will translate to sustained growth. We are investing significant resources in:</w:t>
      </w:r>
    </w:p>
    <w:p>
      <w:pPr>
        <w:spacing w:after="0" w:line="41" w:lineRule="exact"/>
        <w:rPr>
          <w:sz w:val="20"/>
          <w:szCs w:val="20"/>
          <w:color w:val="auto"/>
        </w:rPr>
      </w:pPr>
    </w:p>
    <w:p>
      <w:pPr>
        <w:ind w:left="1020" w:hanging="368"/>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Transforming the workplace to deliver new modern, modular business applications, drive deeper insights, and improve how people communicate, collaborate, learn, work, and interact with one another.</w:t>
      </w:r>
    </w:p>
    <w:p>
      <w:pPr>
        <w:spacing w:after="0" w:line="19"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Building and running cloud-based services in ways that utilize ubiquitous computing to unleash new experiences and opportunities for businesses and individuals.</w:t>
      </w:r>
    </w:p>
    <w:p>
      <w:pPr>
        <w:spacing w:after="0" w:line="19"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Applying AI and ambient intelligence to drive insights, revolutionize many types of work and business processes, and provide substantive productivity gains using natural methods of communication.</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Tackling security from all angles with our integrated, end-to-end solutions spanning security, compliance, identity, and management, across all clouds and platforms.</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Inventing new gaming experiences that bring people together around their shared love for games on any devices and pushing the boundaries of innovation with console and PC gaming.</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Using Windows to fuel our cloud business, grow our share of the PC market, and drive increased engagement with our services like Microsoft Edge, Bing, Microsoft Teams, Microsoft 365 Consumer, Xbox Game Pass, and more.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Our future growth depends on our ability to transcend current product category definitions, business models, and sales motions.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to Sustainability</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Microsoft’s approach to addressing climate change starts with the sustainability of our own business. In 2020, we committed to being a carbon negative, water positive, and zero waste company by 2030.</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Since announcing that commitment, we have seen major changes both in the technology sector and in our understanding of what it will take to meet our climate goals. New technologies, including generative AI, hold promise for new innovations that can help address the climate crisis. At the same time, the infrastructure and electricity needed for these technologies create new challenges for meeting sustainability commitments across the tech sector.</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2024, we released our Environmental Sustainability Report which looked back at our progress in several areas during fiscal year 2023. In four areas we are on track, and in each of these we see progress that has the potential to have global impact beyond our own sustainability work. These are:</w:t>
      </w:r>
    </w:p>
    <w:p>
      <w:pPr>
        <w:spacing w:after="0" w:line="34" w:lineRule="exact"/>
        <w:rPr>
          <w:sz w:val="20"/>
          <w:szCs w:val="20"/>
          <w:color w:val="auto"/>
        </w:rPr>
      </w:pPr>
    </w:p>
    <w:p>
      <w:pPr>
        <w:ind w:left="1020" w:hanging="368"/>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Reducing our direct operational emissions (Scope 1 and 2).</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Accelerating carbon removal.</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Designing for circularity to minimize waste and reusing cloud hardware.</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Improving biodiversity and protecting more land than we use.</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At the same time, there are two areas where we’re not yet on track, and in each of these we are intensively engaged in work to identify and pursue additional breakthroughs. These are:</w:t>
      </w:r>
    </w:p>
    <w:p>
      <w:pPr>
        <w:spacing w:after="0" w:line="19" w:lineRule="exact"/>
        <w:rPr>
          <w:sz w:val="20"/>
          <w:szCs w:val="20"/>
          <w:color w:val="auto"/>
        </w:rPr>
      </w:pP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Reducing our indirect emissions (Scope 3).</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Reducing our water use and replenishing more water than we consume in our datacenter operations.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 w:name="page7"/>
    <w:bookmarkEnd w:id="6"/>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Even amid the challenges, we remain optimistic. We’re encouraged by ongoing progress across our campuses and datacenters, and throughout our value chain.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Addressing Racial Injustice and Inequity</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2020, we outlined a series of multi-year commitments designed to address the racial injustice and inequity experienced by racial and ethnic minorities in the United States, including Black and African American communities. We remain committed to addressing racial injustice and inequity and helping improve lived experiences at Microsoft, in employees’ communities, and beyond.</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fiscal year 2024, we continued to collaborate with partners and worked within neighborhoods and communities to advance projects and programs. We grew our Nonprofit Tech Acceleration for Black and African American Communities program, to help more than 3,000 local organizations in nearly 1,900 Black and African American communities use technical solutions to modernize and streamline operations. We also expanded our Technology Education and Learning Support (“TEALS”) program to reach nearly 550 high schools across 21 racial equity expansion regions with the support of nearly 1,500 volunteers, 12% of whom identify as Black or African American.</w:t>
      </w:r>
    </w:p>
    <w:p>
      <w:pPr>
        <w:spacing w:after="0" w:line="12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committed $150 million in Minority Depository Institutions and funds supporting Black and African American-owned small businesses. These commitments drive sustained impact by directly enabling an increase of funds into local communities, improving diverse, small-business access to capital, and increasing skill development. We continue to partner with diverse-owned banking partners and asset managers to catalyze growth and industry participation. Additionally, we enriched our supplier pipeline, achieving our goal to spend $ 500 million with double the number of Black- and African American-owned suppliers. We have also provided 162 low- or no-interest loans to our small to medium-sized partners through our Partner Capital Fund.</w:t>
      </w:r>
    </w:p>
    <w:p>
      <w:pPr>
        <w:spacing w:after="0" w:line="12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also continue to make progress toward our overall commitment to double the number of Black and African American and Hispanic and Latinx leaders in the U.S. by 2025.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Digital Skills</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Microsoft’s Skills for Jobs initiative aims to support a more skills-based labor market, with greater flexibility and accessible learning paths to develop the right skills needed for the most in-demand jobs. This initiative brings together classes, Career Essentials Certificates, and other resources from LinkedIn, GitHub, and Microsoft Learn, and is built on data insights drawn from LinkedIn’s Economic Graph. Our goal was to train and certify 10 million learners by 2025. As of May 2024, we have surpassed that goal, training and certifying 12.6 million learners. We also launched a campaign in the United States in 2021 to help skill and recruit 250,000 people into the nation’s cybersecurity workforce by 2025, representing half of the country’s workforce shortage. To that end, we are making curriculum available free of charge to all of the nation’s higher education institutions, providing training for new and existing faculty, and providing scholarships and supplemental resources to 25,000 students. The cyber skills initiative has expanded to 27 additional countries that show elevated cyberthreat risks coupled with significant gaps in their cybersecurity workforces, where we’ve partnered with nonprofits and other educational institutions to train the next generation of cybersecurity workers.</w:t>
      </w:r>
    </w:p>
    <w:p>
      <w:pPr>
        <w:spacing w:after="0" w:line="12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Generative AI is creating unparalleled opportunities to empower workers globally, but only if everyone has the skills to use it. In June 2023, we launched an AI Skills initiative to help everyone learn how to harness the power of AI. This includes a new LinkedIn learning pathway offering new coursework on learning the foundations of generative AI. We also launched a new global grant challenge to uncover new ways of training workers on generative AI and provide greater access to digital learning events and resources. Additionally, we extended our reach in rural communities, including through our TechSpark initiative in the United States. As of June 2024, we’ve helped more than 2.5 million people in 92% of the world’s countries learn how to use AI.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HUMAN CAPITAL RESOURCES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Microsoft aims to recruit, develop, and retain world-changing talent from a diversity of backgrounds. To foster their and our success, we seek to create an environment where people can thrive and do their best work. We strive to maximize the potential of our human capital resources by creating a respectful, rewarding, and inclusive work environment that enables our global employees to create products and services that further our mission. Microsoft’s culture is grounded in growth mindset. This means everyone is on a continuous journey to learn and grow, operating as one company instead of multiple siloed businesses. Our culture also embeds the security of customers and Microsoft as a priority for every employee and across all of our organizations.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 w:name="page8"/>
    <w:bookmarkEnd w:id="7"/>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June 30, 2024, we employed approximately 228,000 people on a full-time basis, 126,000 in the U.S. and 102,000 internationally. Of the total employed people, 86,000 were in operations, including product support and consulting services, datacenter operations, and manufacturing and distribution; 81,000 were in product research and development; 45,000 were in sales and marketing; and 16,000 were in general and administration. Certain employees are subject to collective bargaining agreements.</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design our programs to attract, reward, and retain top talent, enable our employees’ continual growth, and reinforce our culture and values. Our total compensation opportunity is highly differentiated and market competitive. Our intended result is a global performance and development approach that fosters our culture, drives company performance, and competitive compensation that ensures equitable pay by role while supporting pay for performance.</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Diversity and inclusion are core to our business. As reported in our Global Diversity and Inclusion Reports, we monitor pay equity and career progress across multiple dimensions. We encourage every person at Microsoft to play an active role in creating an inclusive environment.</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invested significantly in employee wellbeing and offer a differentiated benefits package which includes many physical, emotional, and financial wellness programs. Our Occupational Health and Safety program helps to protect employees’ safety while they are working. We also have introduced Hybrid Workplace Flexibility guidance to better support leaders, managers, and employees in hybrid work scenarios.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providing employees with access to continual learning enables them to drive impact for the company. We provide individuals and teams with access to first and third-party content resources across professions, disciplines, and roles, and offer skilling opportunities to support employees’ growth while driving organizations’ needs.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employee listening systems enable us to gather feedback directly from our workforce to inform our programs and employee needs globally, giving us real-time insights into ways we can support our employees. As a company, we will continue to leverage data and research to inform decision making, balancing the needs of the business, team, and individual.</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OPERATING SEGMENTS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operate our business and report our financial performance using three segments: Productivity and Business Processes, Intelligent Cloud, and More Personal Computing. Our segments provide management with a comprehensive financial view of our key businesses. The segments enable the alignment of strategies and objectives across the development, sales, marketing, and services organizations, and they provide a framework for timely and rational allocation of resources within businesses.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Additional information on our operating segments and geographic and product information is contained in Note 19 – Segment Information and Geographic Data of the Notes to Financial Statements (Part II, Item 8 of this Form 10-K).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19" w:lineRule="exact"/>
        <w:rPr>
          <w:sz w:val="20"/>
          <w:szCs w:val="20"/>
          <w:color w:val="auto"/>
        </w:rPr>
      </w:pPr>
    </w:p>
    <w:p>
      <w:pPr>
        <w:jc w:val="both"/>
        <w:ind w:left="1020" w:hanging="368"/>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Office Commercial (Office 365 subscriptions, the Office 365 portion of Microsoft 365 Commercial subscriptions, and Office licensed on-premises), comprising Office, Exchange, SharePoint, Microsoft Teams, Office 365 Security and Compliance, Microsoft Viva, and Copilot for Microsoft 365.</w:t>
      </w:r>
    </w:p>
    <w:p>
      <w:pPr>
        <w:spacing w:after="0" w:line="35"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Office Consumer, including Microsoft 365 Consumer and Copilot Pro subscriptions, Office licensed on-premises, and other Office services.</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LinkedIn, including Talent Solutions, Marketing Solutions, Premium Subscriptions, and Sales Solutions.</w:t>
      </w:r>
    </w:p>
    <w:p>
      <w:pPr>
        <w:spacing w:after="0" w:line="89"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Dynamics business solutions, including Dynamics 365, comprising a set of intelligent, cloud-based applications across ERP, CRM, Power Apps, and Power Automate; and on-premises ERP and CRM applications.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 w:name="page9"/>
    <w:bookmarkEnd w:id="8"/>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Commercial</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Office Commercial is designed to increase personal, team, and organizational productivity through a range of products and services. Growth depends on our ability to reach new users in new markets such as frontline workers, small and medium businesses, and growth markets, as well as add value to our core product and service offerings to span AI and productivity categories such as communication, collaboration, analytics, security, and compliance. Office Commercial revenue is mainly affected by a combination of continued installed base growth and average revenue per user expansion, as well as the continued shift from Office licensed on-premises to Office 365.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Consumer</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Office Consumer is designed to increase personal productivity and creativity through a range of products and services. Growth depends on our ability to reach new users, add value to our core product set with new features including AI tools, and continue to expand our product and service offerings into new markets. Office Consumer revenue is mainly affected by the percentage of customers that buy Office with their new devices and the continued shift from Office licensed on-premises to Microsoft 365 Consumer subscriptions. Office Consumer Services revenue is mainly affected by the demand for communication and storage through Skype, Outlook.com, and OneDrive, which is largely driven by subscriptions, advertising, and the sale of minutes.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LinkedIn</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LinkedIn connects the world’s professionals to make them more productive and successful and transforms the way companies hire, market, sell, and learn. Our vision is to create economic opportunity for every member of the global workforce through the ongoing development of the world’s first Economic Graph, a digital representation of the global economy. In addition to LinkedIn’s free services, LinkedIn offers monetized solutions designed to offer AI-enabled insights and productivity: Talent Solutions, Marketing Solutions, Premium Subscriptions, and Sales Solutions. Talent Solutions provide insights for workforce planning and tools to hire, nurture, and develop talent. Talent Solutions also includes Learning Solutions, which help businesses close critical skills gaps in times where companies are having to do more with existing talent. Marketing Solutions help companies reach, engage, and convert their audiences at scale. Premium Subscriptions enable professionals to manage their professional identity, grow their network, find jobs, access knowledge, and connect with talent through additional services like premium search. Sales Solutions help companies strengthen customer relationships, empower teams with digital selling tools, and acquire new opportunities. Growth will depend on our ability to increase the number of LinkedIn members and our ability to continue offering insight and AI-enabled services that provide value for our members and increase their engagement. LinkedIn revenue is mainly affected by demand from enterprises and professionals for subscriptions to Talent Solutions, Sales Solutions, and Premium Subscriptions offerings, as well as member engagement and the quality of the sponsored content delivered to those members to drive Marketing Solutions.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Dynamics provides cloud-based and on-premises business solutions for financial management, enterprise resource planning (“ERP”), customer relationship management (“CRM”), and supply chain management, as well as other low code application development platforms and AI offerings, for small and medium businesses, large organizations, and divisions of global enterprises. Dynamics revenue is driven by the number of users licensed and applications consumed, expansion of average revenue per user, and the continued shift to Dynamics 365, a unified set of cloud-based intelligent business applications, including our low code development platforms, such as Power Apps and Power Automate.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9" w:name="page10"/>
    <w:bookmarkEnd w:id="9"/>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Competitors to Office include software and global application vendors, such as Apple, Cisco Systems, Google, Meta, Proofpoint, Slack, Symantec, Zoom, and numerous web-based and mobile application competitors as well as local application developers. Apple distributes versions of its pre-installed application software, such as email and calendar products, through its PCs, tablets, and phones. Cisco Systems is using its position in enterprise communications equipment to grow its unified communications business. Google provides a hosted messaging and productivity suite. Meta offers communication tools to enable productivity and engagement within organizations. Proofpoint and Symantec provide security solutions across email security, information protection, and governance. Slack provides teamwork and collaboration software. Zoom offers videoconferencing and cloud phone solutions. Web-based offerings competing with individual applications have also positioned themselves as alternatives to our products and services. We compete by providing powerful, flexible, secure, integrated industry-specific, and easy-to-use productivity and collaboration tools and services that create comprehensive solutions and work well with technologies our customers already have both on-premises or in the cloud.</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LinkedIn faces competition from online professional networks, recruiting companies, talent management companies, and larger companies that are focusing on talent management and human resource services; job boards; traditional recruiting firms; and companies that provide learning and development products and services. Marketing Solutions competes with online and offline outlets that generate revenue from advertisers and marketers, and Sales Solutions competes with online and offline outlets for companies with lead generation and customer intelligence and insights.</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Dynamics competes with cloud-based and on-premises business solution providers such as Oracle, Salesforce, SAP, Service Now, UI Path, and WorkDay.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 and developers. This segment primarily comprises:</w:t>
      </w:r>
    </w:p>
    <w:p>
      <w:pPr>
        <w:spacing w:after="0" w:line="19" w:lineRule="exact"/>
        <w:rPr>
          <w:sz w:val="20"/>
          <w:szCs w:val="20"/>
          <w:color w:val="auto"/>
        </w:rPr>
      </w:pPr>
    </w:p>
    <w:p>
      <w:pPr>
        <w:ind w:left="1020" w:hanging="368"/>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Server products and cloud services, including Azure and other cloud services; SQL Server, Windows Server, Visual Studio, System Center, and related Client Access Licenses (“CALs”); and Nuance and GitHub.</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Enterprise and partner services, including Enterprise Support Services, Industry Solutions, Nuance professional services, Microsoft Partner Network, and Learning Experience.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Server Products and Cloud Services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Azure is a comprehensive set of cloud services that offer developers, IT professionals, and enterprises freedom to build, deploy, and manage applications on any platform or device. Customers can use Azure through our global network of datacenters for computing, networking, storage, mobile and web application services, AI, Internet of Things (“IoT”), cognitive services, and machine learning. Azure enables customers to devote more resources to development and use of applications that benefit their organizations, rather than managing on-premises hardware and software. Azure revenue is mainly affected by infrastructure-as-a-service and platform-as-a-service consumption-based services, and per user-based services such as Enterprise Mobility + Security.</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Azure AI offerings provide a competitive advantage as companies seek ways to optimize and scale their business with machine learning. With Azure’s purpose-built, AI-optimized infrastructure, customers can use a variety of large language models and developer tools to create the next generation of AI apps and services.</w:t>
      </w:r>
    </w:p>
    <w:p>
      <w:pPr>
        <w:spacing w:after="0" w:line="1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server products are designed to make IT professionals, developers, and their systems more productive and efficient. Server software is integrated server infrastructure and middleware designed to support software applications built on the Windows Server operating system. This includes the server platform, database, business intelligence, storage, management and operations, virtualization, service-oriented architecture platform, security, and identity software. We also license standalone and software development lifecycle tools for software architects, developers, testers, and project managers. Server products revenue is mainly affected by purchases through volume licensing programs, licenses sold to original equipment manufacturers (“OEM”), and retail packaged products. CALs provide access rights to certain server products, including SQL Server and Windows Server, and revenue is reported along with the associated server product.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0" w:name="page11"/>
    <w:bookmarkEnd w:id="10"/>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Nuance and GitHub include both cloud and on-premises offerings. Nuance provides healthcare and enterprise AI solutions. GitHub provides a collaboration platform and code hosting service for developers.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and Partner Services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Enterprise and Partner Services, including Enterprise Support Services, Industry Solutions, Nuance professional services, Microsoft Partner Network, and Learning Experience, assist customers in developing, deploying, and managing Microsoft server solutions, Microsoft desktop solutions, and Nuance conversational AI and ambient intelligent solutions, along with providing training and certification to developers and IT professionals on various Microsoft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Azure faces diverse competition from companies such as Amazon, Broadcom, Google, IBM, Oracle, and open source offerings. Azure’s competitive advantage includes enabling a hybrid cloud, allowing deployment of existing datacenters with our public cloud into a single, cohesive infrastructure, and the ability to run at a scale that meets the needs of businesses of all sizes and complexities. Our AI offerings compete with AI products from hyperscalers such as Amazon and Google, as well as products from other emerging competitors, including Anthropic, OpenAI, Meta, and other open source offerings, many of which are also current or potential partners. Our Azure Security offerings include our cloud security solution and security information and event management solution, which compete with companies such as Palo Alto Networks and Cisco. Our Enterprise Mobility + Security offerings also compete with products from a range of competitors including identity vendors, security solution vendors, and numerous other security point solution vendors. We believe our cloud’s global scale, coupled with our broad portfolio of identity and security solutions, allows us to effectively solve complex cybersecurity challenges for our customers and differentiates us from the competition.</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server products face competition from a wide variety of server operating systems and applications offered by companies with a range of market approaches. Vertically integrated computer manufacturers such as Hewlett-Packard, IBM, and Oracle offer their own versions of the Unix operating system preinstalled on server hardware and nearly all computer manufacturers offer server hardware for the Linux operating system.</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compete to provide enterprise-wide computing and point solutions with numerous commercial software vendors that offer solutions and middleware technology platforms, software applications for connectivity, security, hosting, database, and e-business servers. IBM and Oracle lead a group of companies that compete with our enterprise-wide computing solutions. Commercial competitors for our server applications for PC-based distributed client-server environments include Broadcom, IBM, and Oracle. Our web application platform software competes with open source software such as Apache, Linux, MySQL, and PHP. In middleware, we compete against Java vendors.</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database, business intelligence, and data warehousing solutions offerings compete with products from Databricks, IBM, Oracle, SAP, Snowflake, and other companies. Our system management solutions compete with server management and server virtualization platform providers, such as BMC, Broadcom, Hewlett-Packard, and IBM. Our products for software developers compete against offerings from Adobe, IBM, Oracle, and other companies, and also against open source projects, including Eclipse (sponsored by IBM, Oracle, and SAP), PHP, and Ruby on Rails.</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believe our server products provide customers with advantages in performance, total costs of ownership, and productivity by delivering superior applications, development tools, compatibility with a broad base of hardware and software applications, security, and manageability.</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Enterprise and Partner Services business competes with a wide range of companies that provide strategy and business planning, application development, and infrastructure services, including multinational consulting firms and small niche businesses focused on specific technologies.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1" w:name="page12"/>
    <w:bookmarkEnd w:id="11"/>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More Personal Computing segment consists of products and services that put customers at the center of the experience with our technology. This segment primarily comprises:</w:t>
      </w:r>
    </w:p>
    <w:p>
      <w:pPr>
        <w:spacing w:after="0" w:line="19" w:lineRule="exact"/>
        <w:rPr>
          <w:sz w:val="20"/>
          <w:szCs w:val="20"/>
          <w:color w:val="auto"/>
        </w:rPr>
      </w:pPr>
    </w:p>
    <w:p>
      <w:pPr>
        <w:jc w:val="both"/>
        <w:ind w:left="1020" w:hanging="368"/>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Windows, including Windows OEM licensing and other non-volume licensing of the Windows operating system; Windows Commercial, comprising volume licensing of the Windows operating system, Windows cloud services, and other Windows commercial offerings; patent licensing; and Windows Internet of Things.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Devices, including Surface, HoloLens, and PC accessories.</w:t>
      </w:r>
    </w:p>
    <w:p>
      <w:pPr>
        <w:spacing w:after="0" w:line="89"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Gaming, including Xbox hardware and Xbox content and services, comprising first-party content (such as Activision Blizzard) and third-party content, including games and in-game content; Xbox Game Pass and other subscriptions; Xbox Cloud Gaming; advertising; third-party disc royalties; and other cloud services.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Search and news advertising, comprising Bing (including Copilot), Microsoft News, Microsoft Edge, and third-party affiliates.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Windows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Windows operating system is designed to deliver a more personal computing experience for users by enabling consistency of experience, applications, and information across their devices. Windows OEM revenue is impacted significantly by the number of Windows operating system licenses purchased by OEMs, which they pre-install on the devices they sell. In addition to computing device market volume, Windows OEM revenue is impacted by:</w:t>
      </w:r>
    </w:p>
    <w:p>
      <w:pPr>
        <w:spacing w:after="0" w:line="39" w:lineRule="exact"/>
        <w:rPr>
          <w:sz w:val="20"/>
          <w:szCs w:val="20"/>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mix of computing devices based on form factor and screen size.</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Differences in device market demand between developed markets and growth markets.</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Growth of the AI PC category</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Attachment of Windows to devices shipped.</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Customer mix between consumer, small and medium businesses, and large enterprises.</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inventory levels in the OEM channel.</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Pricing changes and promotions, pricing variation that occurs when the mix of devices manufactured shifts from local and regional system builders to large multinational OEMs, and different pricing of Windows versions licensed.</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Constraints in the supply chain of device components.</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Piracy.</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Windows Commercial revenue, which includes volume licensing of the Windows operating system and Windows cloud services such as Microsoft Defender for Endpoint, is affected mainly by the demand from commercial customers for Microsoft 365 and our advanced security offerings. Windows Commercial revenue often reflects the number of information workers in a licensed enterprise and is relatively independent of the number of PCs sold in a given year.</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Patent licensing includes our programs to license patents we own for use across a broad array of technology areas, including mobile devices and cloud offerings.</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Windows IoT extends the power of Windows and the cloud to intelligent systems by delivering specialized operating systems, tools, and services for use in embedded devices.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Devices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design and sell devices, such as Surface (including Copilot+ PCs), HoloLens, and PC accessories. Our devices are designed to enable people and organizations to connect to the people and content that matter most using Windows and integrated Microsoft products and services. Surface is designed to help organizations, students, and consumers be more productive. Growth in Devices is dependent on total PC shipments, the ability to attract new customers, our product roadmap, and expanding into new categories.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2" w:name="page13"/>
    <w:bookmarkEnd w:id="12"/>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gaming platform is designed to provide a variety of entertainment through a unique combination of content, community, and cloud services. Our game content is developed through a collection of first-party studios creating iconic and differentiated gaming experiences. We continue to invest in new gaming studios and content to expand our intellectual property roadmap and leverage new content creators. These unique gaming experiences are the cornerstone of Xbox Game Pass, a subscription service and gaming community with access to a curated library of over 400 first- and third-party console and PC titles.</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gamer remains at the heart of the Xbox ecosystem. We are identifying new opportunities to attract gamers across a variety of different end points through our first- and third-party content and business diversification across subscriptions, ads, and digital stores. We’ve seen new devices from third-party manufacturers along with key PC and mobile end points that help us empower gamers to play in a way that is most convenient to them. We are focused on growing the platform and expanding to new ecosystems to engage as many gamers as possible.</w:t>
      </w:r>
    </w:p>
    <w:p>
      <w:pPr>
        <w:spacing w:after="0" w:line="12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Xbox enables people to connect and share online gaming experiences that are accessible on Xbox consoles, Windows-enabled devices, and other devices. Xbox is designed to benefit users by providing access to a network of certified applications and services and to benefit our developer and partner ecosystems by providing access to a large customer base. Xbox revenue is mainly affected by subscriptions and sales of first- and third-party content, as well as advertising. Growth of our Gaming business is determined by the overall active user base through Xbox enabled content, availability of games, providing exclusive game content that gamers seek, the computational power and reliability of the devices used to access our content and services, and the ability to create new experiences.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 and News Advertising</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Search and news advertising business is designed to deliver relevant search, native, and display advertising to a global audience. Our Microsoft Edge browser and Bing search engine with Copilot are key tools to enable user acquisition and engagement, while our technology platform enables accelerated delivery of digital advertising solutions. In addition to first-party tools, we have several partnerships with companies, such as Yahoo, through which we provide and monetize search offerings. Growth depends on our ability to attract new users, understand intent, and match intent with relevant content on advertising offerings.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Windows faces competition from various software products and from alternative platforms and devices, mainly from Apple and Google, and Microsoft Defender for Endpoint competes with CrowdStrike on endpoint security solutions. We believe Windows competes effectively by giving customers choice, value, flexibility, security, an easy-to-use interface, and compatibility with a broad range of hardware and software applications, including those that enable productivity.</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Devices face competition from various computer, tablet, and hardware manufacturers who offer a unique combination of high-quality industrial design and innovative technologies across various price points. These manufacturers, many of which are also current or potential partners and customers, include Apple and our Windows OEMs.</w:t>
      </w:r>
    </w:p>
    <w:p>
      <w:pPr>
        <w:spacing w:after="0" w:line="11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Xbox and our cloud gaming services face competition from various online gaming ecosystems and game streaming services, including those operated by Amazon, Apple, Meta, and Tencent. We also compete with other providers of entertainment services such as video streaming platforms. Our gaming platform competes with console platforms from Nintendo and Sony, both of which have a large, established base of customers. We believe our gaming platform is effectively positioned against, and uniquely differentiated from, competitive products and services based on significant innovation in hardware architecture, user interface, developer tools, online gaming and entertainment services, and continued strong content from our own first-party game franchises as well as other digital content offerings.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Search and news advertising business competes with Google, OpenAI, and a wide array of websites, social platforms like Meta, and portals that provide content and online offerings to end users.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3" w:name="page14"/>
    <w:bookmarkEnd w:id="13"/>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OPERATIONS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regional operations service centers that support our operations, including customer contract and order processing, billing, credit and collections, customer lifecycle operations, information processing, and vendor management and logistics. The centers in Ireland and Romania support the African, European, and Middle East regions; the centers in India and Ireland support the Asia-Pacific region; and the centers in Arlington, Virginia, Atlanta, Georgia, Charlotte, North Carolina, Fargo, North Dakota, Fort Lauderdale, Florida, Redmond, Washington, Reno, Nevada, and San Jose, Costa Rica support the Americas regions.</w:t>
      </w:r>
    </w:p>
    <w:p>
      <w:pPr>
        <w:spacing w:after="0" w:line="1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to our operations centers, we also operate datacenters throughout each of these regions. We continue to identify and evaluate opportunities to expand our datacenter locations and increase our server capacity to meet the evolving needs of our customers, particularly given the growing demand for AI services. Our datacenters depend on the availability of permitted and buildable land, predictable energy, networking supplies, and servers, including graphics processing units (“GPUs”) and other components.</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devices are primarily manufactured by third-party contract manufacturers. For the majority of our products, we have the ability to use other manufacturers if a current vendor becomes unavailable or unable to meet our requirements. However, some of our products contain certain components for which there are very few qualified suppliers. Extended disruptions at these suppliers could impact our ability to manufacture devices on time to meet consumer demand.</w:t>
      </w:r>
    </w:p>
    <w:p>
      <w:pPr>
        <w:spacing w:after="0" w:line="201"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RESEARCH AND DEVELOPMENT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Service Development, and Intellectual Property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develop most of our products and services internally through the following engineering groups.</w:t>
      </w:r>
    </w:p>
    <w:p>
      <w:pPr>
        <w:spacing w:after="0" w:line="77" w:lineRule="exact"/>
        <w:rPr>
          <w:sz w:val="20"/>
          <w:szCs w:val="20"/>
          <w:color w:val="auto"/>
        </w:rPr>
      </w:pPr>
    </w:p>
    <w:p>
      <w:pPr>
        <w:jc w:val="both"/>
        <w:ind w:left="1020" w:hanging="368"/>
        <w:spacing w:after="0" w:line="246"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Cloud and AI </w:t>
      </w:r>
      <w:r>
        <w:rPr>
          <w:rFonts w:ascii="Arial" w:cs="Arial" w:eastAsia="Arial" w:hAnsi="Arial"/>
          <w:sz w:val="18"/>
          <w:szCs w:val="18"/>
          <w:color w:val="auto"/>
        </w:rPr>
        <w:t>– focuses on making IT professionals, developers, partners, independent software vendors, and their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more productive and efficient through development of Azure AI platform and cloud infrastructure, server, database, CRM, ERP, software development tools and services, AI cognitive services, and other business process applications and services for enterprises.</w:t>
      </w:r>
    </w:p>
    <w:p>
      <w:pPr>
        <w:spacing w:after="0" w:line="41"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Strategic Missions and Technologies </w:t>
      </w:r>
      <w:r>
        <w:rPr>
          <w:rFonts w:ascii="Arial" w:cs="Arial" w:eastAsia="Arial" w:hAnsi="Arial"/>
          <w:sz w:val="18"/>
          <w:szCs w:val="18"/>
          <w:color w:val="auto"/>
        </w:rPr>
        <w:t>– focuses on incubating technical products and support solutions with transformative</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for the future of cloud computing and continued company growth, such as quantum computing and advanced AI for science.</w:t>
      </w:r>
    </w:p>
    <w:p>
      <w:pPr>
        <w:spacing w:after="0" w:line="35"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Experiences and Devices </w:t>
      </w:r>
      <w:r>
        <w:rPr>
          <w:rFonts w:ascii="Arial" w:cs="Arial" w:eastAsia="Arial" w:hAnsi="Arial"/>
          <w:sz w:val="18"/>
          <w:szCs w:val="18"/>
          <w:color w:val="auto"/>
        </w:rPr>
        <w:t>– focuses on delivering high value end-user experiences across our products, services, and devices,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Microsoft 365, Windows, Microsoft Teams, and the Surface line of devices.</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Microsoft AI </w:t>
      </w:r>
      <w:r>
        <w:rPr>
          <w:rFonts w:ascii="Arial" w:cs="Arial" w:eastAsia="Arial" w:hAnsi="Arial"/>
          <w:sz w:val="18"/>
          <w:szCs w:val="18"/>
          <w:color w:val="auto"/>
        </w:rPr>
        <w:t>– focuses on delivering online experiences targeted at consumers (including Bing, Copilot, Start/MSN,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advertising-based services) and developing advanced AI models.</w:t>
      </w:r>
    </w:p>
    <w:p>
      <w:pPr>
        <w:spacing w:after="0" w:line="19"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Microsoft Security </w:t>
      </w:r>
      <w:r>
        <w:rPr>
          <w:rFonts w:ascii="Arial" w:cs="Arial" w:eastAsia="Arial" w:hAnsi="Arial"/>
          <w:sz w:val="18"/>
          <w:szCs w:val="18"/>
          <w:color w:val="auto"/>
        </w:rPr>
        <w:t>– focuses on delivering a comprehensive portfolio of services that protect our customers’ digital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cloud platform and application security, data protection and governance, identity and network access, and device management.</w:t>
      </w:r>
    </w:p>
    <w:p>
      <w:pPr>
        <w:spacing w:after="0" w:line="35" w:lineRule="exact"/>
        <w:rPr>
          <w:rFonts w:ascii="Times New Roman" w:cs="Times New Roman" w:eastAsia="Times New Roman" w:hAnsi="Times New Roman"/>
          <w:sz w:val="18"/>
          <w:szCs w:val="18"/>
          <w:color w:val="auto"/>
        </w:rPr>
      </w:pPr>
    </w:p>
    <w:p>
      <w:pPr>
        <w:jc w:val="both"/>
        <w:ind w:left="1020" w:hanging="368"/>
        <w:spacing w:after="0" w:line="246"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Technology and Research </w:t>
      </w:r>
      <w:r>
        <w:rPr>
          <w:rFonts w:ascii="Arial" w:cs="Arial" w:eastAsia="Arial" w:hAnsi="Arial"/>
          <w:sz w:val="18"/>
          <w:szCs w:val="18"/>
          <w:color w:val="auto"/>
        </w:rPr>
        <w:t>– focuses on fundamental research, product and business incubations, and forward-looking AI</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innovations that span infrastructure, services, and applications. This engineering group includes Microsoft Research, one of the world’s largest corporate research organizations, which focuses on fundamental research in AI, computer science, and a broad range of other disciplines.</w:t>
      </w:r>
    </w:p>
    <w:p>
      <w:pPr>
        <w:spacing w:after="0" w:line="41"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LinkedIn </w:t>
      </w:r>
      <w:r>
        <w:rPr>
          <w:rFonts w:ascii="Arial" w:cs="Arial" w:eastAsia="Arial" w:hAnsi="Arial"/>
          <w:sz w:val="18"/>
          <w:szCs w:val="18"/>
          <w:color w:val="auto"/>
        </w:rPr>
        <w:t>– focuses on our services that transform the way professionals grow their network and find jobs and the way</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hire, market, sell, and learn.</w:t>
      </w:r>
    </w:p>
    <w:p>
      <w:pPr>
        <w:spacing w:after="0" w:line="19"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Gaming </w:t>
      </w:r>
      <w:r>
        <w:rPr>
          <w:rFonts w:ascii="Arial" w:cs="Arial" w:eastAsia="Arial" w:hAnsi="Arial"/>
          <w:sz w:val="18"/>
          <w:szCs w:val="18"/>
          <w:color w:val="auto"/>
        </w:rPr>
        <w:t>– focuses on developing hardware, content, and services across a large range of platforms to help grow our user base</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game experiences and social interaction.</w:t>
      </w:r>
    </w:p>
    <w:p>
      <w:pPr>
        <w:spacing w:after="0" w:line="1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Internal development allows us to maintain competitive advantages that come from product differentiation and closer technical control over our products and services. It also gives us the freedom to decide which modifications and enhancements are most important and when they should be implemented. We strive to obtain information as early as possible about changing usage patterns and hardware advances that may affect software and hardware design. Before releasing new software platforms, and as we make significant modifications to existing platforms, we provide application vendors with a range of resources and guidelines for development, training, and testing. Generally, we also create product documentation internally.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4" w:name="page15"/>
    <w:bookmarkEnd w:id="14"/>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protect our intellectual property investments in a variety of ways. We work actively in the U.S. and internationally to ensure the enforcement of copyright, trademark, trade secret, and other protections that apply to our software and hardware products, services, business plans, and branding. We are a leader among technology companies in pursuing patents and currently have a portfolio of over 63,000 U.S. and international patents issued and over 23,000 pending worldwide. While we employ much of our internally-developed intellectual property in our products and services, we also engage in outbound licensing of specific patented technologies that are incorporated into licensees’ products. From time to time, we enter into broader cross-license agreements with other technology companies covering entire groups of patents. We may also purchase or license technology that we incorporate into our products and services. At times, we make select intellectual property broadly available at no or low cost to achieve a strategic objective, such as promoting industry standards, advancing interoperability, supporting societal and/or environmental efforts, or attracting and enabling our external development community. Our engagement with open source software also causes us to license our intellectual property rights broadly in certain situations.</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While it may be necessary in the future to seek or renew licenses relating to various aspects of our products and services, we believe, based upon past experience and industry practice, such licenses generally can be obtained on commercially reasonable terms. We believe our continuing research and product development are not materially dependent on any single license or other agreement with a third party relating to the development of our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the Future</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success is based on our ability to create new and compelling products, services, and experiences for our users, to initiate and embrace disruptive technology trends, to enter new geographic and product markets, and to drive broad adoption of our products and services. We invest in a range of emerging technology trends and breakthroughs that we believe offer significant opportunities to deliver value to our customers and growth for the company. Based on our assessment of key technology trends, we maintain our long-term commitment to research and development across a wide spectrum of technologies, tools, and platforms spanning digital work and life experiences, cloud computing, AI, devices, and operating systems.</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our main product research and development facilities are located in Redmond, Washington, we also operate research and development facilities in other parts of the U.S. and around the world. This global approach helps us remain competitive in local markets and enables us to continue to attract top talent from across the world.</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plan to continue to make significant investments in a broad range of product research and development activities, and as appropriate we will coordinate our research and development across operating segments and leverage the results across the company. This includes continuing to support fundamental research, which provides us with a unique perspective on future trends and contributes to our innovation.</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DISTRIBUTION, SALES, AND MARKETING</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market and distribute our products and services through the following channels: OEMs, direct, and distributors and resellers. Our sales organization performs a variety of functions, including working directly with commercial enterprises and public-sector organizations worldwide to identify and meet their technology and digital transformation requirements; managing OEM relationships; and supporting system integrators, independent software vendors, and other partners who engage directly with our customers to perform sales, consulting, and fulfillment functions for our products and services.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OEMs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distribute our products and services through OEMs that pre-install our software on new devices and servers they sell. The largest component of the OEM business is the Windows operating system pre-installed on devices. OEMs also sell devices pre-installed with other Microsoft products and services, including applications such as Office and the capability to subscribe to Microsoft 365 Consumer.</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There are two broad categories of OEMs. The largest category of OEMs are direct OEMs as our relationship with them is managed through a direct agreement between Microsoft and the OEM. We have distribution agreements covering one or more of our products with virtually all the multinational OEMs, including Dell, Hewlett-Packard, Lenovo, and with many regional and local OEMs. The second broad category of OEMs are system builders consisting of lower-volume PC manufacturers, which source Microsoft software for pre-installation and local redistribution primarily through the Microsoft distributor channel rather than through a direct agreement or relationship with Microsoft.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5" w:name="page16"/>
    <w:bookmarkEnd w:id="15"/>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Many organizations that license our products and services transact directly with us through Enterprise Agreements and Enterprise Services contracts, with sales support from system integrators, independent software vendors, web agencies, and partners that advise organizations on licensing our products and services (“Enterprise Agreement Software Advisors” or “ESA”). Microsoft offers direct sales programs targeted to reach small, medium, and corporate customers, in addition to those offered through the reseller channel. A large network of partner advisors support many of these sales.</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sell commercial and consumer products and services directly to customers, such as cloud services, search, and gaming, through our digital marketplaces and online stores. Additionally, our Microsoft Experience Centers are designed to facilitate deeper engagement with our partners and customers across industries.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Distributors and Resellers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Organizations also license our products and services indirectly, primarily through licensing solution partners (“LSP”), distributors, value-added resellers (“VAR”), and retailers. Although each type of reselling partner may reach organizations of all sizes, LSPs are primarily engaged with large organizations, distributors resell primarily to VARs, and VARs typically reach small and medium organizations. ESAs are also typically authorized as LSPs and operate as resellers for our other volume licensing programs. Microsoft Cloud Solution Provider is our main partner program for reselling cloud services.</w:t>
      </w:r>
    </w:p>
    <w:p>
      <w:pPr>
        <w:spacing w:after="0" w:line="1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distribute our retail packaged products primarily through independent non-exclusive distributors, authorized replicators, resellers, and retail outlets. Individual consumers obtain these products primarily through retail outlets. We distribute our devices through third-party retailers. We have a network of field sales representatives and field support personnel that solicit orders from distributors and resellers and provide product training and sales support.</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Dynamics business solutions are also licensed to enterprises through a global network of channel partners providing vertical solutions and specialized services.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LICENSING OPTIONS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offer options for organizations of varying sizes that want to purchase our cloud services and on-premise software. We license these organizations under volume licensing agreements to allow the customer to acquire multiple licenses of products and services instead of having to acquire separate licenses through retail channels. These volume licensing programs have varying programmatic requirements and benefits to best meet the needs of our customers.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Software Assurance (“SA”) conveys rights to new software and upgrades for perpetual licenses released over the contract period. It also provides support, tools, training, and other licensing benefits to help customers deploy and use software efficiently. SA is required to be purchased with certain volume licensing agreements and is an optional purchase with others.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6" w:name="page17"/>
    <w:bookmarkEnd w:id="16"/>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Volume Licensing Programs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Agreement</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Enterprise Agreements offer large organizations a manageable volume licensing program that gives them the flexibility to buy cloud services and software licenses under one agreement. Enterprise Agreements are designed for medium or large organizations that want to license Microsoft products and services organization-wide over a three-year period. Organizations can elect to purchase perpetual licenses (covered with SA) and/or subscribe to cloud services.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Microsoft Customer Agreement</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Microsoft Customer Agreements are simplified purchase agreements presented, accepted, and stored through a digital experience. Microsoft Customer Agreements are non-expiring agreements that are designed to support all customers over time, whether purchasing through a partner or directly from Microsoft.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Microsoft Online Subscription Agreement</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Microsoft Online Subscription Agreements are designed for small and medium organizations that want to subscribe to, activate, provision, and maintain cloud services seamlessly and directly via the web. These agreements allow customers to acquire monthly or annual subscriptions for cloud-based services.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Microsoft Products and Services Agreement</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Microsoft Products and Services Agreements are designed for medium and large organizations that want to license cloud services and on-premises software as needed, with no organization-wide commitment, under a single, non-expiring agreement. Organizations purchase perpetual licenses or subscribe to licenses. SA is optional for customers that purchase perpetual licenses.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Value</w:t>
      </w:r>
    </w:p>
    <w:p>
      <w:pPr>
        <w:spacing w:after="0" w:line="15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Open Value agreements are a simple, cost-effective way to acquire the latest Microsoft technology. These agreements are designed for small and medium organizations that want to license cloud services and on-premises software over a three-year period. Under Open Value agreements, organizations can elect to purchase perpetual licenses or subscribe to licenses and SA is included.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 Plus</w:t>
      </w:r>
    </w:p>
    <w:p>
      <w:pPr>
        <w:spacing w:after="0" w:line="15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 Select Plus agreement is designed for government and academic organizations to acquire on-premises licenses at any affiliate or department level, while realizing advantages as one organization. Organizations purchase perpetual licenses and SA is optional.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Programs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Microsoft Cloud Solution Provider Program offers customers an easy way to license the cloud services they need in combination with the value-added services offered by their systems integrator, managed services provider, or cloud reseller partner. Partners in this program can easily package their own products and services to directly provision, manage, and support their customer subscriptions.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Microsoft Services Provider License Agreement allows hosting service providers and independent software vendors who want to license eligible Microsoft software products to provide hosted applications and software services to their end customers. Partners license software over a three-year period and are billed monthly based on units licensed.</w:t>
      </w:r>
    </w:p>
    <w:p>
      <w:pPr>
        <w:spacing w:after="0" w:line="11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Independent Software Vendor Royalty Program enables partners to integrate Microsoft products into other applications and then license the unified business solution to their end users.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7" w:name="page18"/>
    <w:bookmarkEnd w:id="17"/>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CUSTOMERS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customers include individual consumers, small and medium organizations, large global enterprises, public-sector institutions, Internet service providers, application developers, and OEMs. Our practice is to ship our products promptly upon receipt of purchase orders from customers; consequently, backlog is not significant.</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GOVERNMENT REGULATION</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subject to a wide range of laws, regulations, and legal requirements in the U.S. and globally, including those that may apply to our products and online services offerings, and those that impose requirements related to user privacy, telecommunications, data storage and protection, advertising, and online content. How these laws and regulations apply to our business is often unclear, subject to change over time, and sometimes may be inconsistent from jurisdiction to jurisdiction. To comply with the accelerating global regulatory obligations, we established a regulatory governance framework and to create a repeatable system-focused approach to regulatory governance with an initial focus on four domains: Responsible AI, Privacy, Digital Safety, and Cybersecurity. The framework is designed to help us maintain customer trust and confidence in our products, remain in compliance with regulators around the globe, and effectively scale our capability to address the growing number of complex regulations. Through the framework, our legal and regulatory subject matter experts ingest regulations, develop standards and implementation guidance, and, when appropriate, work with our engineers to develop and implement products to monitor compliance. Our business teams, with legal support, manage the compliance programs and prepare external regulatory and commercial reporting, and our internal audit teams conduct reviews of our programs and processes. While we intended to create a unified approach to regulatory compliance, some of the programs and processes established pursuant to the framework are tailored to meet specific regulatory obligations, such as with the creation of independent compliance functions required by the European Union (“EU”) Digital Markets Act and the EU Digital Services Act, which oversee, monitor, and assess the company’s compliance with these acts.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risks we face related to regulatory matters, refer to Risk Factors (Part I, Item 1A of this Form 10-K).</w:t>
      </w:r>
    </w:p>
    <w:p>
      <w:pPr>
        <w:spacing w:after="0" w:line="239" w:lineRule="exact"/>
        <w:rPr>
          <w:sz w:val="20"/>
          <w:szCs w:val="20"/>
          <w:color w:val="auto"/>
        </w:rPr>
      </w:pPr>
    </w:p>
    <w:p>
      <w:pPr>
        <w:ind w:right="3420" w:firstLine="3418"/>
        <w:spacing w:after="0" w:line="448" w:lineRule="auto"/>
        <w:rPr>
          <w:sz w:val="20"/>
          <w:szCs w:val="20"/>
          <w:color w:val="auto"/>
        </w:rPr>
      </w:pPr>
      <w:r>
        <w:rPr>
          <w:rFonts w:ascii="Arial" w:cs="Arial" w:eastAsia="Arial" w:hAnsi="Arial"/>
          <w:sz w:val="18"/>
          <w:szCs w:val="18"/>
          <w:u w:val="single" w:color="auto"/>
          <w:color w:val="auto"/>
        </w:rPr>
        <w:t xml:space="preserve">INFORMATION ABOUT OUR EXECUTIVE OFFICERS </w:t>
      </w:r>
      <w:r>
        <w:rPr>
          <w:rFonts w:ascii="Arial" w:cs="Arial" w:eastAsia="Arial" w:hAnsi="Arial"/>
          <w:sz w:val="18"/>
          <w:szCs w:val="18"/>
          <w:color w:val="auto"/>
        </w:rPr>
        <w:t>Our executive officers as of July 30, 2024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4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1060" w:type="dxa"/>
            <w:vAlign w:val="bottom"/>
          </w:tcPr>
          <w:p>
            <w:pPr>
              <w:jc w:val="right"/>
              <w:ind w:right="33"/>
              <w:spacing w:after="0"/>
              <w:rPr>
                <w:sz w:val="20"/>
                <w:szCs w:val="20"/>
                <w:color w:val="auto"/>
              </w:rPr>
            </w:pPr>
            <w:r>
              <w:rPr>
                <w:rFonts w:ascii="Arial" w:cs="Arial" w:eastAsia="Arial" w:hAnsi="Arial"/>
                <w:sz w:val="13"/>
                <w:szCs w:val="13"/>
                <w:b w:val="1"/>
                <w:bCs w:val="1"/>
                <w:color w:val="auto"/>
              </w:rPr>
              <w:t>Age</w:t>
            </w:r>
          </w:p>
        </w:tc>
        <w:tc>
          <w:tcPr>
            <w:tcW w:w="7740" w:type="dxa"/>
            <w:vAlign w:val="bottom"/>
          </w:tcPr>
          <w:p>
            <w:pPr>
              <w:ind w:left="120"/>
              <w:spacing w:after="0"/>
              <w:rPr>
                <w:sz w:val="20"/>
                <w:szCs w:val="20"/>
                <w:color w:val="auto"/>
              </w:rPr>
            </w:pPr>
            <w:r>
              <w:rPr>
                <w:rFonts w:ascii="Arial" w:cs="Arial" w:eastAsia="Arial" w:hAnsi="Arial"/>
                <w:sz w:val="13"/>
                <w:szCs w:val="13"/>
                <w:b w:val="1"/>
                <w:bCs w:val="1"/>
                <w:color w:val="auto"/>
              </w:rPr>
              <w:t>Position with the Company</w:t>
            </w:r>
          </w:p>
        </w:tc>
      </w:tr>
      <w:tr>
        <w:trPr>
          <w:trHeight w:val="58"/>
        </w:trPr>
        <w:tc>
          <w:tcPr>
            <w:tcW w:w="24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7740" w:type="dxa"/>
            <w:vAlign w:val="bottom"/>
            <w:tcBorders>
              <w:bottom w:val="single" w:sz="8" w:color="auto"/>
            </w:tcBorders>
          </w:tcPr>
          <w:p>
            <w:pPr>
              <w:spacing w:after="0"/>
              <w:rPr>
                <w:sz w:val="5"/>
                <w:szCs w:val="5"/>
                <w:color w:val="auto"/>
              </w:rPr>
            </w:pPr>
          </w:p>
        </w:tc>
      </w:tr>
      <w:tr>
        <w:trPr>
          <w:trHeight w:val="285"/>
        </w:trPr>
        <w:tc>
          <w:tcPr>
            <w:tcW w:w="2440" w:type="dxa"/>
            <w:vAlign w:val="bottom"/>
          </w:tcPr>
          <w:p>
            <w:pPr>
              <w:ind w:left="20"/>
              <w:spacing w:after="0"/>
              <w:rPr>
                <w:sz w:val="20"/>
                <w:szCs w:val="20"/>
                <w:color w:val="auto"/>
              </w:rPr>
            </w:pPr>
            <w:r>
              <w:rPr>
                <w:rFonts w:ascii="Arial" w:cs="Arial" w:eastAsia="Arial" w:hAnsi="Arial"/>
                <w:sz w:val="18"/>
                <w:szCs w:val="18"/>
                <w:color w:val="auto"/>
              </w:rPr>
              <w:t>Satya Nadella</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7740" w:type="dxa"/>
            <w:vAlign w:val="bottom"/>
          </w:tcPr>
          <w:p>
            <w:pPr>
              <w:ind w:left="120"/>
              <w:spacing w:after="0"/>
              <w:rPr>
                <w:sz w:val="20"/>
                <w:szCs w:val="20"/>
                <w:color w:val="auto"/>
              </w:rPr>
            </w:pPr>
            <w:r>
              <w:rPr>
                <w:rFonts w:ascii="Arial" w:cs="Arial" w:eastAsia="Arial" w:hAnsi="Arial"/>
                <w:sz w:val="18"/>
                <w:szCs w:val="18"/>
                <w:color w:val="auto"/>
              </w:rPr>
              <w:t>Chairman and Chief Executive Officer</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Judson B. Althoff</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51</w:t>
            </w:r>
          </w:p>
        </w:tc>
        <w:tc>
          <w:tcPr>
            <w:tcW w:w="7740" w:type="dxa"/>
            <w:vAlign w:val="bottom"/>
          </w:tcPr>
          <w:p>
            <w:pPr>
              <w:ind w:left="120"/>
              <w:spacing w:after="0"/>
              <w:rPr>
                <w:sz w:val="20"/>
                <w:szCs w:val="20"/>
                <w:color w:val="auto"/>
              </w:rPr>
            </w:pPr>
            <w:r>
              <w:rPr>
                <w:rFonts w:ascii="Arial" w:cs="Arial" w:eastAsia="Arial" w:hAnsi="Arial"/>
                <w:sz w:val="18"/>
                <w:szCs w:val="18"/>
                <w:color w:val="auto"/>
              </w:rPr>
              <w:t>Executive Vice President and Chief Commercial Officer</w:t>
            </w: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Kathleen T. Hogan</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58</w:t>
            </w:r>
          </w:p>
        </w:tc>
        <w:tc>
          <w:tcPr>
            <w:tcW w:w="7740" w:type="dxa"/>
            <w:vAlign w:val="bottom"/>
          </w:tcPr>
          <w:p>
            <w:pPr>
              <w:ind w:left="120"/>
              <w:spacing w:after="0"/>
              <w:rPr>
                <w:sz w:val="20"/>
                <w:szCs w:val="20"/>
                <w:color w:val="auto"/>
              </w:rPr>
            </w:pPr>
            <w:r>
              <w:rPr>
                <w:rFonts w:ascii="Arial" w:cs="Arial" w:eastAsia="Arial" w:hAnsi="Arial"/>
                <w:sz w:val="18"/>
                <w:szCs w:val="18"/>
                <w:color w:val="auto"/>
              </w:rPr>
              <w:t>Executive Vice President and Chief Human Resources Officer</w:t>
            </w: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Amy E. Hood</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7740" w:type="dxa"/>
            <w:vAlign w:val="bottom"/>
          </w:tcPr>
          <w:p>
            <w:pPr>
              <w:ind w:left="1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Takeshi Numoto</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53</w:t>
            </w:r>
          </w:p>
        </w:tc>
        <w:tc>
          <w:tcPr>
            <w:tcW w:w="7740" w:type="dxa"/>
            <w:vAlign w:val="bottom"/>
          </w:tcPr>
          <w:p>
            <w:pPr>
              <w:ind w:left="120"/>
              <w:spacing w:after="0"/>
              <w:rPr>
                <w:sz w:val="20"/>
                <w:szCs w:val="20"/>
                <w:color w:val="auto"/>
              </w:rPr>
            </w:pPr>
            <w:r>
              <w:rPr>
                <w:rFonts w:ascii="Arial" w:cs="Arial" w:eastAsia="Arial" w:hAnsi="Arial"/>
                <w:sz w:val="18"/>
                <w:szCs w:val="18"/>
                <w:color w:val="auto"/>
              </w:rPr>
              <w:t>Executive Vice President and Chief Marketing Officer</w:t>
            </w: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Bradford L. Smith</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65</w:t>
            </w:r>
          </w:p>
        </w:tc>
        <w:tc>
          <w:tcPr>
            <w:tcW w:w="7740" w:type="dxa"/>
            <w:vAlign w:val="bottom"/>
          </w:tcPr>
          <w:p>
            <w:pPr>
              <w:ind w:left="120"/>
              <w:spacing w:after="0"/>
              <w:rPr>
                <w:sz w:val="20"/>
                <w:szCs w:val="20"/>
                <w:color w:val="auto"/>
              </w:rPr>
            </w:pPr>
            <w:r>
              <w:rPr>
                <w:rFonts w:ascii="Arial" w:cs="Arial" w:eastAsia="Arial" w:hAnsi="Arial"/>
                <w:sz w:val="18"/>
                <w:szCs w:val="18"/>
                <w:color w:val="auto"/>
              </w:rPr>
              <w:t>Vice Chair and President</w:t>
            </w:r>
          </w:p>
        </w:tc>
      </w:tr>
      <w:tr>
        <w:trPr>
          <w:trHeight w:val="239"/>
        </w:trPr>
        <w:tc>
          <w:tcPr>
            <w:tcW w:w="2440" w:type="dxa"/>
            <w:vAlign w:val="bottom"/>
          </w:tcPr>
          <w:p>
            <w:pPr>
              <w:ind w:left="20"/>
              <w:spacing w:after="0"/>
              <w:rPr>
                <w:sz w:val="20"/>
                <w:szCs w:val="20"/>
                <w:color w:val="auto"/>
              </w:rPr>
            </w:pPr>
            <w:r>
              <w:rPr>
                <w:rFonts w:ascii="Arial" w:cs="Arial" w:eastAsia="Arial" w:hAnsi="Arial"/>
                <w:sz w:val="18"/>
                <w:szCs w:val="18"/>
                <w:color w:val="auto"/>
              </w:rPr>
              <w:t>Christopher D. Young</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7740" w:type="dxa"/>
            <w:vAlign w:val="bottom"/>
          </w:tcPr>
          <w:p>
            <w:pPr>
              <w:ind w:left="120"/>
              <w:spacing w:after="0"/>
              <w:rPr>
                <w:sz w:val="20"/>
                <w:szCs w:val="20"/>
                <w:color w:val="auto"/>
              </w:rPr>
            </w:pPr>
            <w:r>
              <w:rPr>
                <w:rFonts w:ascii="Arial" w:cs="Arial" w:eastAsia="Arial" w:hAnsi="Arial"/>
                <w:sz w:val="18"/>
                <w:szCs w:val="18"/>
                <w:color w:val="auto"/>
              </w:rPr>
              <w:t>Executive Vice President, Business Development, Strategy, and Ventures</w:t>
            </w:r>
          </w:p>
        </w:tc>
      </w:tr>
      <w:tr>
        <w:trPr>
          <w:trHeight w:val="64"/>
        </w:trPr>
        <w:tc>
          <w:tcPr>
            <w:tcW w:w="24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7740" w:type="dxa"/>
            <w:vAlign w:val="bottom"/>
            <w:tcBorders>
              <w:bottom w:val="single" w:sz="8" w:color="auto"/>
            </w:tcBorders>
          </w:tcPr>
          <w:p>
            <w:pPr>
              <w:spacing w:after="0"/>
              <w:rPr>
                <w:sz w:val="5"/>
                <w:szCs w:val="5"/>
                <w:color w:val="auto"/>
              </w:rPr>
            </w:pPr>
          </w:p>
        </w:tc>
      </w:tr>
    </w:tbl>
    <w:p>
      <w:pPr>
        <w:spacing w:after="0" w:line="14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Mr. Nadella was appointed Chairman of the Board in June 2021 and Chief Executive Officer in February 2014. He served as Executive Vice President, Cloud and Enterprise from July 2013 until that time. From 2011 to 2013, Mr. Nadella served as President, Server and Tools. From 2009 to 2011, he was Senior Vice President, Online Services Division. From 2008 to 2009, he was Senior Vice President, Search, Portal, and Advertising. Since joining Microsoft in 1992, Mr. Nadella’s roles also included Vice President of the Business Division.</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Mr. Althoff was appointed Executive Vice President and Chief Commercial Officer in July 2021. He served as Executive Vice President, Worldwide Commercial Business from July 2017 until that time. Prior to that, Mr. Althoff served as the President of Microsoft North America. Mr. Althoff joined Microsoft in March 2013 as President of Microsoft North America. Mr. Althoff also serves on the Board of Directors of Ecolab Inc.</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Ms. Hogan was appointed Executive Vice President and Chief Human Resources Officer in June 2023. Ms. Hogan had been Executive Vice President, Human Resources since November 2014. Prior to that Ms. Hogan was Corporate Vice President of Microsoft Services. She also served as Corporate Vice President of Customer Service and Support. Ms. Hogan joined Microsoft in 2003. Ms. Hogan also serves on the Board of Directors of Alaska Air Group, Inc.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8" w:name="page19"/>
    <w:bookmarkEnd w:id="18"/>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Ms. Hood was appointed Executive Vice President and Chief Financial Officer in July 2013, subsequent to her appointment as Chief Financial Officer in May 2013. From 2010 to 2013, Ms. Hood was Chief Financial Officer of the Microsoft Business Division. Since joining Microsoft in 2002, Ms. Hood has also held finance-related positions in the Server and Tools Business and the corporate finance organization. Ms. Hood also serves on the Board of Directors of 3M Corporation.</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Mr. Numoto was appointed Executive Vice President and Chief Marketing Officer in October 2023. He served as Executive Vice President and Commercial Chief Marketing Officer from March 2020. Mr. Numoto served as a Corporate Vice President, Cloud Marketing from January 2012. Prior to that, Mr. Numoto served as a Corporate Vice President for Office 365 Marketing from 2004, where he led the transformation from traditional on-premises packaged software to the introduction of Office 365. Since joining Microsoft in 1997, Mr. Numoto has held multiple roles in Windows Program Management and Office Marketing.</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Mr. Smith was appointed Vice Chair and President in September 2021. Prior to that, he served as President and Chief Legal Officer since September 2015. He served as Executive Vice President, General Counsel, and Secretary from 2011 to 2015, and served as Senior Vice President, General Counsel, and Secretary from 2001 to 2011. Mr. Smith was also named Chief Compliance Officer in 2002. Since joining Microsoft in 1993, he was Deputy General Counsel for Worldwide Sales and previously was responsible for managing the European Law and Corporate Affairs Group, based in Paris. Mr. Smith also serves on the Board of Directors of Netflix, Inc.</w:t>
      </w:r>
    </w:p>
    <w:p>
      <w:pPr>
        <w:spacing w:after="0" w:line="1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Mr. Young has served as Executive Vice President, Business Development, Strategy, and Ventures since joining Microsoft in November 2020. Prior to Microsoft, he served as the Chief Executive Officer of McAfee, LLC from 2017 to 2020, and served as a Senior Vice President and General Manager of Intel Security Group from 2014 until 2017, when he led the initiative to spin out McAfee into a standalone company. Mr. Young also serves on the Board of Directors of American Express Company.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AVAILABLE INFORMATION</w:t>
      </w:r>
    </w:p>
    <w:p>
      <w:pPr>
        <w:spacing w:after="0" w:line="15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Our Internet address is www.microsoft.com. At our Investor Relations website, www.microsoft.com/investor, we make available free of charge a variety of information for investors. Our goal is to maintain the Investor Relations website as a portal through which investors can easily find or navigate to pertinent information about us, including:</w:t>
      </w:r>
    </w:p>
    <w:p>
      <w:pPr>
        <w:spacing w:after="0" w:line="34" w:lineRule="exact"/>
        <w:rPr>
          <w:sz w:val="20"/>
          <w:szCs w:val="20"/>
          <w:color w:val="auto"/>
        </w:rPr>
      </w:pPr>
    </w:p>
    <w:p>
      <w:pPr>
        <w:jc w:val="both"/>
        <w:ind w:left="1020" w:hanging="368"/>
        <w:spacing w:after="0" w:line="252"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annual report on Form 10-K, quarterly reports on Form 10-Q, current reports on Form 8-K, and any amendments to those reports, as soon as reasonably practicable after we electronically file that material with or furnish it to the Securities and Exchange Commission (“SEC”) at www.sec.gov.</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Information on our business strategies, financial results, and metrics for investors.</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of investor conferences, speeches, and events at which our executives talk about our product, service, and competitive strategies. Archives of these events are also available.</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Press releases on quarterly earnings, product and service announcements, legal developments, and international news.</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Corporate governance information including our articles of incorporation, bylaws, governance guidelines, committee charters, codes of conduct and ethics, global corporate social responsibility initiatives, and other governance-related policies.</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Other news and announcements that we may post from time to time that investors might find useful or interesting.</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Opportunities to sign up for email alerts to have information pushed in real time.</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publish a variety of reports and resources related to our Corporate Social Responsibility programs and progress on our Reports Hub website, www.microsoft.com/corporate-responsibility/reports-hub, including reports on sustainability, responsible sourcing, accessibility, digital trust, and public policy engagement.</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information found on these websites is not part of, or incorporated by reference into, this or any other report we file with, or furnish to, the SEC. In addition to these channels, we use social media to communicate to the public. It is possible that the information we post on social media could be deemed to be material to investors. We encourage investors, the media, and others interested in Microsoft to review the information we post on the social media channels listed on our Investor Relations website.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9" w:name="page20"/>
    <w:bookmarkEnd w:id="19"/>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1A. RISK FACTORS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below, that could adversely affect our business, operations, financial condition, results of operations, liquidity, and the trading price of our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STRATEGIC AND COMPETITIVE RISKS</w:t>
      </w:r>
    </w:p>
    <w:p>
      <w:pPr>
        <w:spacing w:after="0" w:line="158" w:lineRule="exact"/>
        <w:rPr>
          <w:sz w:val="20"/>
          <w:szCs w:val="20"/>
          <w:color w:val="auto"/>
        </w:rPr>
      </w:pPr>
    </w:p>
    <w:p>
      <w:pPr>
        <w:ind w:right="960"/>
        <w:spacing w:after="0" w:line="281" w:lineRule="auto"/>
        <w:rPr>
          <w:sz w:val="20"/>
          <w:szCs w:val="20"/>
          <w:color w:val="auto"/>
        </w:rPr>
      </w:pPr>
      <w:r>
        <w:rPr>
          <w:rFonts w:ascii="Arial" w:cs="Arial" w:eastAsia="Arial" w:hAnsi="Arial"/>
          <w:sz w:val="18"/>
          <w:szCs w:val="18"/>
          <w:b w:val="1"/>
          <w:bCs w:val="1"/>
          <w:color w:val="auto"/>
        </w:rPr>
        <w:t>We face intense competition across all markets for our products and services, which may adversely affect our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technology sector</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If we do not continue to innovate and provide products, devices, and services that appeal to businesses and consumers, we may not remain competitive, which may adversely affect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platform-based ecosystems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achieve and maintain attractive margins. We face significant competition from firms that provide competing platforms.</w:t>
      </w:r>
    </w:p>
    <w:p>
      <w:pPr>
        <w:spacing w:after="0" w:line="39" w:lineRule="exact"/>
        <w:rPr>
          <w:sz w:val="20"/>
          <w:szCs w:val="20"/>
          <w:color w:val="auto"/>
        </w:rPr>
      </w:pPr>
    </w:p>
    <w:p>
      <w:pPr>
        <w:jc w:val="both"/>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 competing vertically-integrated model, in which a single firm controls the software and hardware elements of a product and related services, has succeeded with some consumer products such as PCs, tablets, smartphones,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 integrated offer. We also offer some vertically-integrated hardware and software products and services. Shifting a portion of our business to a vertically integrated model may increase our cost of revenue and reduce our operating margins.</w:t>
      </w:r>
    </w:p>
    <w:p>
      <w:pPr>
        <w:spacing w:after="0" w:line="48" w:lineRule="exact"/>
        <w:rPr>
          <w:rFonts w:ascii="Times New Roman" w:cs="Times New Roman" w:eastAsia="Times New Roman" w:hAnsi="Times New Roman"/>
          <w:sz w:val="18"/>
          <w:szCs w:val="18"/>
          <w:color w:val="auto"/>
        </w:rPr>
      </w:pPr>
    </w:p>
    <w:p>
      <w:pPr>
        <w:jc w:val="both"/>
        <w:ind w:left="1020" w:hanging="368"/>
        <w:spacing w:after="0" w:line="239"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We derive substantial revenue from licenses of Windows operating systems on PCs. We face significant competition from competing platforms developed for new devices and form factors such as smartphones and tablets. These devices compete on multiple bases including price and the perceived utility of the device and its platform. Users continue to turn to these devices to perform functions that in the past were performed by PCs. Even if many users view these devices as complementary to a PC,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original equipment manufacturer (“OEM”) partners, which may affect their commitment to our platform.</w:t>
      </w:r>
    </w:p>
    <w:p>
      <w:pPr>
        <w:spacing w:after="0" w:line="47" w:lineRule="exact"/>
        <w:rPr>
          <w:rFonts w:ascii="Times New Roman" w:cs="Times New Roman" w:eastAsia="Times New Roman" w:hAnsi="Times New Roman"/>
          <w:sz w:val="18"/>
          <w:szCs w:val="18"/>
          <w:color w:val="auto"/>
        </w:rPr>
      </w:pPr>
    </w:p>
    <w:p>
      <w:pPr>
        <w:jc w:val="both"/>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0" w:name="page21"/>
    <w:bookmarkEnd w:id="20"/>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all of these reasons, we may not be able to compete successfully against our current and future competitors, which may adversely affect our business, operations,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 competition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Companies compete with us based on a growing variety of business models.</w:t>
      </w:r>
    </w:p>
    <w:p>
      <w:pPr>
        <w:spacing w:after="0" w:line="77" w:lineRule="exact"/>
        <w:rPr>
          <w:sz w:val="20"/>
          <w:szCs w:val="20"/>
          <w:color w:val="auto"/>
        </w:rPr>
      </w:pPr>
    </w:p>
    <w:p>
      <w:pPr>
        <w:jc w:val="both"/>
        <w:ind w:left="1020" w:hanging="368"/>
        <w:spacing w:after="0" w:line="246"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 material part of our business involves cloud-based services available across the spectrum of computing devices. Our competitors continue to develop and deploy cloud-based services for consumers and business customers, and pricing and delivery models are evolving. We and our competitors are devoting significant resources to develop and deploy our cloud-based strategies.</w:t>
      </w:r>
    </w:p>
    <w:p>
      <w:pPr>
        <w:spacing w:after="0" w:line="41" w:lineRule="exact"/>
        <w:rPr>
          <w:rFonts w:ascii="Times New Roman" w:cs="Times New Roman" w:eastAsia="Times New Roman" w:hAnsi="Times New Roman"/>
          <w:sz w:val="18"/>
          <w:szCs w:val="18"/>
          <w:color w:val="auto"/>
        </w:rPr>
      </w:pPr>
    </w:p>
    <w:p>
      <w:pPr>
        <w:jc w:val="both"/>
        <w:ind w:left="1020" w:hanging="368"/>
        <w:spacing w:after="0" w:line="243"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We are investing in artificial intelligence (“AI”) across the entire company and infusing generative AI capabilities into our consumer and commercial offerings. We expect AI technology and services to be a highly competitive and rapidly evolving market, and new competitors continue to enter the market. We will bear significant development and operational costs to build and support the AI models, services, platforms, and infrastructure necessary to meet the needs of our customers. To compete effectively we must also be responsive to technological change, new and potential regulatory developments, and public scrutiny.</w:t>
      </w:r>
    </w:p>
    <w:p>
      <w:pPr>
        <w:spacing w:after="0" w:line="44" w:lineRule="exact"/>
        <w:rPr>
          <w:rFonts w:ascii="Times New Roman" w:cs="Times New Roman" w:eastAsia="Times New Roman" w:hAnsi="Times New Roman"/>
          <w:sz w:val="18"/>
          <w:szCs w:val="18"/>
          <w:color w:val="auto"/>
        </w:rPr>
      </w:pPr>
    </w:p>
    <w:p>
      <w:pPr>
        <w:jc w:val="both"/>
        <w:ind w:left="1020" w:hanging="368"/>
        <w:spacing w:after="0" w:line="243"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Even as we transition more of our business to infrastructure-, platform-, and software-as-a-service business model,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spacing w:after="0" w:line="44"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Other competitors develop and offer free applications, online services, and content, and make money by selling third-party advertising. Advertising revenue funds development of products and services these competitors provide to users at little or no cost, competing directly with our revenue-generating products.</w:t>
      </w:r>
    </w:p>
    <w:p>
      <w:pPr>
        <w:spacing w:after="0" w:line="35"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Some companies compete with us by modifying and then distributing open source software at little or no cost to end users, using open source AI models, and earning revenue on advertising or integrated products and services. These firms do not bear the full costs of research and development for the open source products. Some open source products mimic the features and functionality of our products.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competitive pressures described above may cause decreased sales volumes, price reductions, and/or increased operating costs, such as for research and development, marketing, and sales incentives, which may adversely affect our financial condition and results of operations.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Our focus on cloud-based and AI services presents execution and competitive risks. </w:t>
      </w:r>
      <w:r>
        <w:rPr>
          <w:rFonts w:ascii="Arial" w:cs="Arial" w:eastAsia="Arial" w:hAnsi="Arial"/>
          <w:sz w:val="18"/>
          <w:szCs w:val="18"/>
          <w:color w:val="auto"/>
        </w:rPr>
        <w:t>We are incurring significant costs to build and</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infrastructure to support cloud computing and AI services. These costs will reduce the operating margins. Whether we succeed in cloud-based and AI services depends on our execution in several areas, including:</w:t>
      </w:r>
    </w:p>
    <w:p>
      <w:pPr>
        <w:spacing w:after="0" w:line="34" w:lineRule="exact"/>
        <w:rPr>
          <w:sz w:val="20"/>
          <w:szCs w:val="20"/>
          <w:color w:val="auto"/>
        </w:rPr>
      </w:pPr>
    </w:p>
    <w:p>
      <w:pPr>
        <w:ind w:left="1020" w:hanging="368"/>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to bring to market compelling cloud-based and AI experiences and products that generate increasing traffic and market share.</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the utility, compatibility, and performance of our cloud-based and AI services on the growing array of computing devices, including PCs, smartphones, tablets, gaming consoles, and other devices.</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to enhance the attractiveness of our cloud platforms to third-party developers.</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Ensuring our cloud-based services meet the reliability expectations and specific requirements of our customers and maintain the security of their data as well as help them meet their own compliance needs.</w:t>
      </w:r>
    </w:p>
    <w:p>
      <w:pPr>
        <w:spacing w:after="0" w:line="19"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Making our suite of cloud-based services platform-agnostic, available on a wide range of devices and ecosystems, including those of our competitors.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It is uncertain whether our strategies will continue to attract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may adversely affect our operations, financial condition, and results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1" w:name="page22"/>
    <w:bookmarkEnd w:id="21"/>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AI systems offer users powerful tools and capabilities. However, there may be instances where these systems are used in ways that are unintended or inappropriate. In addition, some users may also engage in fraudulent or abusive activities through our cloud-based services, such as unauthorized account access, payment fraud, or terms of service violations including cryptocurrency mining or launching cyberattacks. While are committed to detecting and controlling such misuse of our cloud-based and AI services, our efforts may not be effective, and we may incur reputational damage or experience adverse impacts to our business and results of operations.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 RELATING TO THE EVOLUTION OF OUR BUSINESS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We make significant investments in products and services that may not achieve expected returns. </w:t>
      </w:r>
      <w:r>
        <w:rPr>
          <w:rFonts w:ascii="Arial" w:cs="Arial" w:eastAsia="Arial" w:hAnsi="Arial"/>
          <w:sz w:val="18"/>
          <w:szCs w:val="18"/>
          <w:color w:val="auto"/>
        </w:rPr>
        <w:t>We will continue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investments in research, development, and marketing for existing products, services, and technologies. In addition, we are focused on developing new AI platform services and incorporating AI into existing products and services. We also invest in the development and acquisition of a variety of hardware for productivity, communication, and entertainment, including PCs, tablets, and gaming devices. Investments in new technology are speculative. Commercial success depends on many factors, including innovation,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or may not achieve operating margins as high as we have experienced historically. We may not get engagement in certain features that drive post-sale monetization opportunities. Our data-handling practices across our products and services will continue to be under scrutiny. Perceptions of mismanagement, driven by regulatory activity or negative public reaction to our practices or product experiences, could negatively impact product and feature adoption. Developing new technologies is complex. It can require long development and testing periods. We could experience significant delays in new releases or significant problems in creating new products or services. These factors could adversely affect our business, financial condition, and results of operations.</w:t>
      </w:r>
    </w:p>
    <w:p>
      <w:pPr>
        <w:spacing w:after="0" w:line="13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Acquisitions, joint ventures, and strategic alliances may have an adverse effect on our business. </w:t>
      </w:r>
      <w:r>
        <w:rPr>
          <w:rFonts w:ascii="Arial" w:cs="Arial" w:eastAsia="Arial" w:hAnsi="Arial"/>
          <w:sz w:val="18"/>
          <w:szCs w:val="18"/>
          <w:color w:val="auto"/>
        </w:rPr>
        <w:t>We expect to continue making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acquisitions and entering into joint ventures and strategic alliances as part of our long-term business strategy. For example, in March </w:t>
      </w:r>
      <w:r>
        <w:rPr>
          <w:rFonts w:ascii="Arial" w:cs="Arial" w:eastAsia="Arial" w:hAnsi="Arial"/>
          <w:sz w:val="18"/>
          <w:szCs w:val="18"/>
          <w:color w:val="212529"/>
        </w:rPr>
        <w:t>2022</w:t>
      </w:r>
      <w:r>
        <w:rPr>
          <w:rFonts w:ascii="Arial" w:cs="Arial" w:eastAsia="Arial" w:hAnsi="Arial"/>
          <w:sz w:val="18"/>
          <w:szCs w:val="18"/>
          <w:color w:val="auto"/>
        </w:rPr>
        <w:t xml:space="preserve"> </w:t>
      </w:r>
      <w:r>
        <w:rPr>
          <w:rFonts w:ascii="Arial" w:cs="Arial" w:eastAsia="Arial" w:hAnsi="Arial"/>
          <w:sz w:val="18"/>
          <w:szCs w:val="18"/>
          <w:color w:val="212529"/>
        </w:rPr>
        <w:t>we completed our acquisition of Nuance Communications, Inc., and in October 2023 we completed our acquisition of Activision Blizzard</w:t>
      </w:r>
      <w:r>
        <w:rPr>
          <w:rFonts w:ascii="Arial" w:cs="Arial" w:eastAsia="Arial" w:hAnsi="Arial"/>
          <w:sz w:val="18"/>
          <w:szCs w:val="18"/>
          <w:color w:val="000000"/>
        </w:rPr>
        <w:t>, Inc.</w:t>
      </w:r>
      <w:r>
        <w:rPr>
          <w:rFonts w:ascii="Arial" w:cs="Arial" w:eastAsia="Arial" w:hAnsi="Arial"/>
          <w:sz w:val="18"/>
          <w:szCs w:val="18"/>
          <w:color w:val="212529"/>
        </w:rPr>
        <w:t xml:space="preserve"> </w:t>
      </w:r>
      <w:r>
        <w:rPr>
          <w:rFonts w:ascii="Arial" w:cs="Arial" w:eastAsia="Arial" w:hAnsi="Arial"/>
          <w:sz w:val="18"/>
          <w:szCs w:val="18"/>
          <w:color w:val="000000"/>
        </w:rPr>
        <w:t>(“Activision Blizzard”). In January 2023 we announced the third phase of our OpenAI strategic partnership. Acquisitions and other transactions and arrangements involve significant challenges and risks, including that they do not advance our business strategy, that we get an unsatisfactory return on our investment, that they raise new compliance-related obligations and challenges, that we have difficulty integrating and retaining new employees, business systems, and technology, that they distract management from our other businesses, or that announced transactions may not be completed. If an arrangement fails to adequately anticipate changing circumstances and interests of a party, it may result in early termination or renegotiation of the arrangement. We also have limited ability to control or influence third parties with whom we have arrangements, which may impact our ability to realize the anticipated benefits. The success of these transactions and arrangements depend in part on our ability to leverage them to enhance our existing products and services or develop compelling new ones, as well as the acquired companies’ ability to meet our policies and processes in areas such as data governance, privacy, and cybersecurity. It may take longer than expected to realize the full benefits from these transactions and arrangements, such as increased revenue or enhanced efficiencies, or the benefits may ultimately be smaller than we expected. In addition, an acquisition may be subject to challenge even after it has been completed. For example, the Federal Trade Commission continues to challenge our Activision Blizzard acquisition and could, if successful, alter or unwind the transaction. These events could adversely affect our business, operations, financial condition, and results of operations.</w:t>
      </w:r>
    </w:p>
    <w:p>
      <w:pPr>
        <w:spacing w:after="0" w:line="1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If our goodwill or amortizable intangible assets become impaired, we may be required to record a significant charge to earnings. </w:t>
      </w:r>
      <w:r>
        <w:rPr>
          <w:rFonts w:ascii="Arial" w:cs="Arial" w:eastAsia="Arial" w:hAnsi="Arial"/>
          <w:sz w:val="18"/>
          <w:szCs w:val="18"/>
          <w:color w:val="auto"/>
        </w:rPr>
        <w:t>We acquire other companies and intangible assets and may not realize all the economic benefit from those acquisitions, which could cause an impairment of goodwill or intangibles.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have in the past recorded, and may in the future be required to record, a significant charge in our consolidated financial statements during the period in which any impairment of our goodwill or amortizable intangible assets is determined, negatively affecting our results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2" w:name="page23"/>
    <w:bookmarkEnd w:id="22"/>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CYBERSECURITY, DATA PRIVACY, AND PLATFORM ABUSE RISKS</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Cyberattacks and security vulnerabilities could lead to reduced revenue, increased costs, liability claims, or harm to our reputation or competitive position.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information technology</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Threats to IT security can take a variety of forms. Individual and groups of hackers and sophisticated organizations, including state-sponsored organizations or nation-states, continuously undertake attacks that pose threats to our customers and our IT, and we have experienced cybersecurity incidents in which such actors have gained unauthorized access to our IT systems and data, including customer systems and data. These actors use a wide variety of methods, which include developing and deploying malicious software; exploiting known and potential vulnerabilities or intentionally designed processes in hardware, software, or other infrastructure to attack our products and services or gain access to our networks and datacenters; using social engineering techniques to induce our employees, users, partners, or customers to disclose sensitive information, such as passwords, or take other actions to gain access to our data or our users’ or customers’ data; or acting in a coordinated manner or conducting coordinated attacks. For example, as previously disclosed in our Form 8-K filed with the Securities and Exchange Commission on January 19, 2024 and amended on March 8, 2024, beginning in late November 2023, a nation-state associated threat actor used a password spray attack to compromise a legacy test account and, in turn, gain access to Microsoft email accounts. The threat actor used and may continue to use information it obtained to gain, or attempt to gain, unauthorized access to some of our source code repositories and internal systems, and the threat actor may utilize this information to otherwise adversely affect our business and results of operations. This incident has and may continue to result in harm to our reputation and customer relationships. Additionally, we may discover additional impacts of this or other incidents as part of our ongoing examination of this incident. Nation-state and state-sponsored actors can sustain malicious activities for extended periods and deploy significant resources to plan and carry out attacks. Nation-state attacks against us, our customers, or our partners have and may continue to intensify during periods of intense diplomatic or armed conflict, such as the ongoing conflict in Ukraine. Cyber incidents and attacks, individually or in the aggregate, could adversely affect our financial condition, results of operations, competitive position, and reputation, or expose us to legal or regulatory risk.</w:t>
      </w:r>
    </w:p>
    <w:p>
      <w:pPr>
        <w:spacing w:after="0" w:line="12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Inadequate account security or organizational security practices, including those of companies we have acquired or those of the third parties we utilize, have resulted and may result in unauthorized access to our IT systems and data, including customer systems and data, in the future. For example, system administrators may fail to timely remove employee account access when no longer appropriate. Employees or third parties may intentionally compromise our or our users’ security or systems or reveal confidential information. Malicious actors may employ the IT supply chain to introduce malware through software updates or compromised supplier accounts or hardware.</w:t>
      </w:r>
    </w:p>
    <w:p>
      <w:pPr>
        <w:spacing w:after="0" w:line="12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Cyberthreats are constantly evolving and becoming increasingly sophisticated and complex, increasing the difficulty of detecting and successfully defending against them. Threat actors may also utilize emerging technologies, such as AI and machine learning. We may have no current capability to detect certain vulnerabilities or new attack methods, which may allow them to persist in the environment over long periods of time. It may be difficult to determine the best way to investigate, mitigate, contain, and remediate the harm caused by a cyber incident. Such efforts may not be successful, and we may make errors or fail to take necessary actions. It is possible that threat actors may gain undetected access to other networks and systems after establishing a foothold on an internal system. Cyber incidents and attacks can have cascading impacts that unfold with increasing speed across our internal networks and systems, as well as those of our partners and customers. In addition, it may take considerable time for us to investigate and evaluate the full impact of incidents, particularly for sophisticated attacks. These factors may inhibit our ability to provide prompt, full, and reliable information about the incident to our customers, partners, regulators, and the public. Breaches of our facilities, network, or data security can disrupt the security of our systems and business applications, impair our ability to provide services to our customers and protect the privacy of their data, result in product development delays, compromise confidential or technical business information, result in theft or misuse of our intellectual property or other assets, subject us to ransomware attacks, require us to allocate more resources to improve technologies or remediate the impacts of attacks, or otherwise adversely affect our business. In addition, actions taken to remediate an incident could result in outages, data losses, and disruptions of our services.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3" w:name="page24"/>
    <w:bookmarkEnd w:id="23"/>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internal IT environment continues to evolve. Often, we are early adopters of new devices and technologies. We embrace new ways of sharing data and communicating internally and with partners and customers using methods such as social networking and other consumer-oriented technologies. Increasing use of generative AI models in our internal systems may create new attack methods for adversaries. Our business policies and internal security controls may not keep pace with these changes as new threats emerge or the emerging cybersecurity regulations in jurisdictions worldwide.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products, services, devices, and customers’ data</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security of our products and services is important in our customers’ decisions to purchase or use our products or services across cloud and on-premises environments. Security threats are a significant challenge to companies like us, whose business is providing technology products and services to others. Threats to or attacks on our own IT infrastructure, such as the nation-state attack described in the prior risk factor, have also affected our customers and may do so in the future. Customers using our cloud-based services rely on the security of our infrastructure, including hardware and other elements provided by third parties, to ensure the reliability of our services and the protection of their data. Adversaries tend to focus their efforts on the most popular operating systems, programs, and services, including many of ours, and we expect that to continue. In addition, adversaries can attack our customers’ on-premises or cloud environments, sometimes exploiting previously unknown (“zero-day”) vulnerabilities, such as the attack in early calendar year 2021 with several of our Exchange Server on-premises products. Vulnerabilities in these or any product can persist even after we have issued security patches if customers have not installed the most recent updates, or if the attackers exploited the vulnerabilities before patching to install additional malware to further compromise customers’ systems. Adversaries will continue to attack customers using our cloud services as customers embrace digital transformation. Adversaries that acquire user account information can use that information to compromise our users’ accounts, including where accounts share the same attributes such as passwords. Inadequate account security practices may also result in unauthorized access, and user activity may result in ransomware or other malicious software impacting a customer’s use of our products or services. There may be vulnerabilities in open source software that may make our products susceptible to cyberattacks as we increasingly incorporate open source software into our products. Additionally, features that rely on generative AI may be susceptible to unanticipated security threats from adversaries as we add new generative AI features to our services while continuously developing our understanding of security risks and protection methods in the new field of generative AI.</w:t>
      </w:r>
    </w:p>
    <w:p>
      <w:pPr>
        <w:spacing w:after="0" w:line="12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customers operate complex IT systems with third-party hardware and software from multiple vendors that may include systems acquired over many years. They expect our products and services to support all these systems and products, including those that no longer incorporate the strongest current security advances or standards. As a result, we may not be able to discontinue support in our services for a product, service, standard, or feature solely because a more secure alternative is available. Failure to utilize the most current security advances and standards can increase our customers’ vulnerability to attack. Further, customers of widely varied sizes and technical sophistication use our technology, and consequently may still have limited capabilities and resources to help them adopt and implement state-of-the-art cybersecurity practices and technologies. In addition, we must account for this wide variation of technical sophistication when defining default settings for our products and services, including security default settings, as these settings may limit or otherwise impact other aspects of IT operations and some customers may have limited capability to review and reset these defaults.</w:t>
      </w:r>
    </w:p>
    <w:p>
      <w:pPr>
        <w:spacing w:after="0" w:line="12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Cyberattacks may adversely impact our customers even if our production services are not directly compromised. We are committed to notifying our customers whose systems have been impacted as we become aware and have actionable information for customers to help protect themselves. We are also committed to providing guidance and support on detection, tracking, and remediation. We may not be able to detect the existence or extent of these attacks for all of our customers or have information on how to detect or track an attack, especially where an attack involves on-premises software such as Exchange Server where we may have no or limited visibility into our customers’ computing environments.</w:t>
      </w:r>
    </w:p>
    <w:p>
      <w:pPr>
        <w:spacing w:after="0" w:line="12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Any of the foregoing events could result in reputational harm, loss of revenue, increased costs, or otherwise adversely affect our business, financial condition, and results of operations.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4" w:name="page25"/>
    <w:bookmarkEnd w:id="24"/>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deployment of defensive measures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To defend against security threats to our internal IT systems, our cloud-based services, and our customers’ systems, we must continuously engineer more secure products and services, enhance security, threat detection, and reliability features, escalate and improve the deployment of software updates to address security vulnerabilities in our own products as well as those provided by others in a timely manner, develop mitigation technologies that help to secure customers from attacks even when software updates are not deployed, maintain the digital security infrastructure that protects the integrity of our network, products, and services, and provide security tools such as firewalls, anti-virus software, and advanced security and information about the need to deploy security measures and the impact of doing so.</w:t>
      </w:r>
    </w:p>
    <w:p>
      <w:pPr>
        <w:spacing w:after="0" w:line="1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cost of measures to protect products and customer-facing services could reduce our operating margins. If we fail to do these things well, actual or perceived security vulnerabilities in our products and services, data corruption issues, or reduced performance could harm our reputation and lead customers to reduce or delay future purchases of products or subscriptions to services, or to use competing products or services. Customers may also spend more on protecting their existing computer systems from attack, which could delay adoption of additional products or services. Customers in certain industries such as financial services, health care, and government may have enhanced or specialized expectations and requirements to which we must engineer our products and services. Customers and third parties granted access to their systems may fail to update their systems, continue to run software or operating systems we no longer support, or may fail timely to install or enable security patches, or may otherwise fail to adopt adequate security practices Any of these could adversely affect our reputation and results of operations.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products operate in conjunction with and are dependent on products and components across a broad ecosystem of third parties. If there is a security vulnerability in one of these components, and if there is a security exploit targeting it, we may experience adverse impacts to our results of operations, reputation, or competitive position.</w:t>
      </w:r>
    </w:p>
    <w:p>
      <w:pPr>
        <w:spacing w:after="0" w:line="11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Disclosure and misuse of personal data could result in liability and harm our reputation. </w:t>
      </w:r>
      <w:r>
        <w:rPr>
          <w:rFonts w:ascii="Arial" w:cs="Arial" w:eastAsia="Arial" w:hAnsi="Arial"/>
          <w:sz w:val="18"/>
          <w:szCs w:val="18"/>
          <w:color w:val="auto"/>
        </w:rPr>
        <w:t>As we continue to grow the number, breadth,</w:t>
      </w:r>
      <w:r>
        <w:rPr>
          <w:rFonts w:ascii="Arial" w:cs="Arial" w:eastAsia="Arial" w:hAnsi="Arial"/>
          <w:sz w:val="18"/>
          <w:szCs w:val="18"/>
          <w:b w:val="1"/>
          <w:bCs w:val="1"/>
          <w:color w:val="auto"/>
        </w:rPr>
        <w:t xml:space="preserve"> </w:t>
      </w:r>
      <w:r>
        <w:rPr>
          <w:rFonts w:ascii="Arial" w:cs="Arial" w:eastAsia="Arial" w:hAnsi="Arial"/>
          <w:sz w:val="18"/>
          <w:szCs w:val="18"/>
          <w:color w:val="auto"/>
        </w:rPr>
        <w:t>and scale of our cloud-based offerings, we store and process increasingly large amounts of personal data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third parties on data security, and other practices we follow may not prevent the improper disclosure or misuse of customer or user data we or our vendors store and manage. Relatedly, despite our efforts to continuously improve security controls, it is possible that we may fail to identify or mitigate insider threat activities that could lead to the misuse of our systems or customer and user data.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may take to address customer or user concerns, or constraints on our flexibility to determine where and how to operate datacenters in response to customer or user expectations or governmental rules or actions, may increase costs or hinder sales of our products and services.</w:t>
      </w:r>
    </w:p>
    <w:p>
      <w:pPr>
        <w:spacing w:after="0" w:line="12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We may not be able to protect information in our products and services from use by others</w:t>
      </w:r>
      <w:r>
        <w:rPr>
          <w:rFonts w:ascii="Arial" w:cs="Arial" w:eastAsia="Arial" w:hAnsi="Arial"/>
          <w:sz w:val="18"/>
          <w:szCs w:val="18"/>
          <w:color w:val="auto"/>
        </w:rPr>
        <w:t>. LinkedIn and other Microsoft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which could adversely affect our business, financial condition, and results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5" w:name="page26"/>
    <w:bookmarkEnd w:id="25"/>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our platforms may harm our reputation or user engagement.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professional, marketplace, and gaming platform abuses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platform products and services that provide content or host ads that come from or can be influenced by third parties, our reputation or user engagement may be negatively affected by activity that is hostile or inappropriate. This activity may come from users impersonating other people or organizations, including through the use of AI technologies, dissemination of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digital safety abuses</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hosted consumer services as well as our enterprise services may be used to generate or disseminate harmful or illegal content in violation of our terms or applicable law. We may not proactively discover such content due to scale, the limitations of existing technologies, and conflicting legal frameworks. When discovered by users and others, such content may negatively affect our reputation, our brands, and user engagement. Regulations and other initiatives to make platforms responsible for preventing or eliminating harmful content online have been enacted, and we expect this to continue. We may be subject to enhanced regulatory oversight, civil or criminal liability, or reputational damage if we fail to comply with content moderation regulations, adversely affecting our business, financial condition, and results of operations.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products and services, how they are used by customers, and how third-party products and services interact with them, may present security, privacy, and execution risks. </w:t>
      </w:r>
      <w:r>
        <w:rPr>
          <w:rFonts w:ascii="Arial" w:cs="Arial" w:eastAsia="Arial" w:hAnsi="Arial"/>
          <w:sz w:val="18"/>
          <w:szCs w:val="18"/>
          <w:color w:val="auto"/>
        </w:rPr>
        <w:t>Our products and services may contain defects in design, manufacture, or operation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make them insecure or ineffective for their intended purposes. For example, an Internet of Things solution may have multiple layers of hardware, sensors, processors, software, and firmware, several of which we may not develop or control, and may have limited ability to be updated or patched. Further, customers control our products and services, including our AI products, within their environments, and may deploy them in high-risk scenarios or utilize them inappropriately. As a result, our products and services may increasingly affect personal health and safety. Our products may also collect large amounts of data in manners which may not satisfy customers or regulatory requirements. Our customers also operate complex IT systems with third-party hardware and software from multiple vendors whose products or personnel may take or fail to take actions which impact the reliability or security of our products and services. If our products and services do not work as intended, are utilized in methods not intended, violate the law, or harm individuals or businesses, we may be subject to legal claims or enforcement actions. These risks, if realized, may increase our costs, damage our reputation, or adversely affect our results of operations.</w:t>
      </w:r>
    </w:p>
    <w:p>
      <w:pPr>
        <w:spacing w:after="0" w:line="1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Issues in the development and use of AI may result in reputational or competitive harm or liability</w:t>
      </w:r>
      <w:r>
        <w:rPr>
          <w:rFonts w:ascii="Arial" w:cs="Arial" w:eastAsia="Arial" w:hAnsi="Arial"/>
          <w:sz w:val="18"/>
          <w:szCs w:val="18"/>
          <w:color w:val="auto"/>
        </w:rPr>
        <w:t>. We are building AI into many of</w:t>
      </w:r>
      <w:r>
        <w:rPr>
          <w:rFonts w:ascii="Arial" w:cs="Arial" w:eastAsia="Arial" w:hAnsi="Arial"/>
          <w:sz w:val="18"/>
          <w:szCs w:val="18"/>
          <w:b w:val="1"/>
          <w:bCs w:val="1"/>
          <w:color w:val="auto"/>
        </w:rPr>
        <w:t xml:space="preserve"> </w:t>
      </w:r>
      <w:r>
        <w:rPr>
          <w:rFonts w:ascii="Arial" w:cs="Arial" w:eastAsia="Arial" w:hAnsi="Arial"/>
          <w:sz w:val="18"/>
          <w:szCs w:val="18"/>
          <w:color w:val="auto"/>
        </w:rPr>
        <w:t>our offerings, including our productivity services, and we are also making AI available for our customers to use in solutions that they build. This AI may be developed by Microsoft or others, including our strategic partner, OpenAI. We expect these elements of our business to grow. We envision a future in which AI operating in devices, applications, and the cloud helps our customers be more productive in their work and personal lives. As with many innovations, AI presents risks and challenges that could affect its adoption, and therefore our business. AI algorithms or training methodologies may be flawed. Datasets may be overbroad, insufficient, or contain biased information. Content generated by AI systems may be offensive, illegal, inaccurate, or otherwise harmful. Ineffective or inadequate AI development or deployment practices by Microsoft or others could result in incidents that impair the acceptance of AI solutions, cause harm to individuals, customers, or society, or result in our products and services not working as intended. Human review of certain outputs may be required. Our implementation of AI systems could result in legal liability, regulatory action, brand, reputational, or competitive harm, or other adverse impacts. These risks may arise from current copyright infringement and other claims related to AI training and output, new and proposed legislation and regulations, such as the European Union’s (“EU”) AI Act and the U.S.’s AI Executive Order, and new applications of data protection, privacy, consumer protection, intellectual property, and other laws. Some AI scenarios present ethical issues or may have broad impacts on society. If we enable or offer AI solutions that have unintended consequences, unintended usage or customization by our customers and partners, are contrary to our responsible AI policies and practices, or are otherwise controversial because of their impact on human rights, privacy, employment, or other social, economic, or political issues, our reputation, competitive position, business, financial condition, and results of operations may be adversely affected.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6" w:name="page27"/>
    <w:bookmarkEnd w:id="26"/>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OPERATIONAL RISKS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We may have excessive outages, data losses, and disruptions of our online services if we fail to maintain an adequate operations infrastructure. </w:t>
      </w:r>
      <w:r>
        <w:rPr>
          <w:rFonts w:ascii="Arial" w:cs="Arial" w:eastAsia="Arial" w:hAnsi="Arial"/>
          <w:sz w:val="18"/>
          <w:szCs w:val="18"/>
          <w:color w:val="auto"/>
        </w:rPr>
        <w:t>Our increasing user traffic, growth in services, and the complexity of our products and services demand more computing</w:t>
      </w:r>
      <w:r>
        <w:rPr>
          <w:rFonts w:ascii="Arial" w:cs="Arial" w:eastAsia="Arial" w:hAnsi="Arial"/>
          <w:sz w:val="18"/>
          <w:szCs w:val="18"/>
          <w:b w:val="1"/>
          <w:bCs w:val="1"/>
          <w:color w:val="auto"/>
        </w:rPr>
        <w:t xml:space="preserve"> </w:t>
      </w:r>
      <w:r>
        <w:rPr>
          <w:rFonts w:ascii="Arial" w:cs="Arial" w:eastAsia="Arial" w:hAnsi="Arial"/>
          <w:sz w:val="18"/>
          <w:szCs w:val="18"/>
          <w:color w:val="auto"/>
        </w:rPr>
        <w:t>power. We spend substantial amounts to build, purchase, or lease datacenters and equipment and to upgrade our technology and network infrastructure to handle more traffic on our websites and in our datacenters. Our datacenters depend on the availability of permitted and buildable land, predictable energy, networking supplies, and servers, including graphics processing units and other components. The cost or availability of these dependencies could be adversely affected by a variety of factors, including the transition to a clean energy economy, local and regional environmental regulations, and geopolitical disruptions. These demands continue to increase as we introduce new products and services and support the growth and the augmentation of existing services, including through the incorporation of AI features and/or functionality. We are rapidly growing our business of providing a platform and back-end hosting for services provided by third parties to their end users. Maintaining, securing, and expanding this infrastructure is expensive and complex, and requires development of principles for datacenter builds in geographies with higher safety and reliability risks. It requires that we maintain an Internet connectivity infrastructure and storage and compute capacity that is robust and reliable within competitive and regulatory constraints that continue to evolve. Inefficiencies or operational failures, including temporary or permanent loss of customer data, outages, insufficient Internet connectivity, insufficient or unavailable power or water supply, or inadequate storage and compute capacity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may adversely affect our business, operations, financial condition, and results of operations.</w:t>
      </w:r>
    </w:p>
    <w:p>
      <w:pPr>
        <w:spacing w:after="0" w:line="1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We may experience quality or supply problems. </w:t>
      </w:r>
      <w:r>
        <w:rPr>
          <w:rFonts w:ascii="Arial" w:cs="Arial" w:eastAsia="Arial" w:hAnsi="Arial"/>
          <w:sz w:val="18"/>
          <w:szCs w:val="18"/>
          <w:color w:val="auto"/>
        </w:rPr>
        <w:t>There are limited suppliers for certain device and datacenter components. We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to identify and evaluate opportunities to expand our datacenter locations and increase our server capacity to meet the evolving needs of our customers, particularly given the growing demand for AI services. Capacity available to us may be affected as competitors use some of the same suppliers and materials for hardware components. If components are delayed or become unavailable, whether because of supplier capacity constraint, industry shortages, legal or regulatory changes that restrict supply sources, or other reasons, we may not obtain timely replacement supplies, resulting in reduced sales or inadequate datacenter capacity to support the delivery and continued development of our products and services. Component shortages, excess or obsolete inventory, or price reductions resulting in inventory adjustments may increase our cost of revenue. Datacenter servers, Xbox consoles, Surface devices, and other hardware are assembled in Asia and other geographies that may be subject to disruptions in the supply chain, resulting in shortages which may adversely affect our business, operations, financial condition, and results of operations.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software products and services also may experience quality or reliability problems. The highly sophisticated software we develop may contain bugs and other defects that interfere with their intended operation. Our customers increasingly rely on us for critical business functions and multiple workloads. Many of our products and services are interdependent on one another. Our products and services may be impacted by interaction with third-party products and services. Our customers may also utilize their own or third-party products and services whose reliability is dependent on interaction with our products and services. Each of these circumstances potentially magnifies the impact of quality or reliability issues. Any defects we do not detect and fix in pre-release testing could cause reduced sales, damage to our reputation, repair or remediation costs, delays in the release of new products or versions, or legal liability, which could adversely affect our business, financial condition, and results of operations. Although our license agreements typically contain provisions that eliminate or limit our exposure to liability, there is no assurance these provisions will withstand legal challenge.</w:t>
      </w:r>
    </w:p>
    <w:p>
      <w:pPr>
        <w:spacing w:after="0" w:line="12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Our hardware products such as Xbox consoles, Surface devices, and other devices we design and market are highly complex. Failure to prevent, detect, or address defects in design, manufacture, or associated software could result in recalls, safety alerts, or product liability claims, which could adversely affect our business and results of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7" w:name="page28"/>
    <w:bookmarkEnd w:id="27"/>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LEGAL, REGULATORY, AND LITIGATION RISKS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Government enforcement under competition laws and new market regulation may limit how we design and market our products. </w:t>
      </w:r>
      <w:r>
        <w:rPr>
          <w:rFonts w:ascii="Arial" w:cs="Arial" w:eastAsia="Arial" w:hAnsi="Arial"/>
          <w:sz w:val="18"/>
          <w:szCs w:val="18"/>
          <w:color w:val="auto"/>
        </w:rPr>
        <w:t>Government agencies closely scrutinize us under U.S. and foreign competition laws. Governments are actively enforcing competition laws and regulations and enacting new regulations to intervene in digital markets, and this includes markets such as the EU, the United Kingdom, the U.S., and China. Some jurisdictions also allow competitors or consumers to assert claims of anti-competitive conduct. U.S. and foreign antitrust authorities have previously brought enforcement actions and continue to scrutinize our business.</w:t>
      </w:r>
    </w:p>
    <w:p>
      <w:pPr>
        <w:spacing w:after="0" w:line="12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example, the European Commission (“the Commission”) has designated Windows and LinkedIn as core platform services subject to obligations under the EU Digital Markets Act, which prohibits certain self-preferencing behaviors and places limitations on certain data use among other obligations. The Commission also continues to closely scrutinize the design of high-volume Microsoft products and the terms on which we make certain technologies used in these products, such as file formats, programming interfaces, and protocols, available to other companies. Flagship product releases such as Microsoft 365 and Windows can receive significant scrutiny under EU or other competition laws.</w:t>
      </w:r>
    </w:p>
    <w:p>
      <w:pPr>
        <w:spacing w:after="0" w:line="1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portfolio of first-party devices continues to grow; at the same time, our OEM partners offer a large variety of devices for our platforms. As a result, we increasingly both cooperate and compete with our OEM partners, creating a risk that we fail to do so in compliance with competition rules. Regulatory scrutiny in this area may increase. Certain foreign governments, particularly in China and other countries in Asia, have advanced arguments under their competition laws that exert downward pressure on royalties for our intellectual property.</w:t>
      </w:r>
    </w:p>
    <w:p>
      <w:pPr>
        <w:spacing w:after="0" w:line="12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Competition law enforcement actions and court decisions along with new market regulations may result in fines or hinder our ability to provide the benefits of our software to consumers and businesses, reducing the attractiveness of our products and the revenue that comes from them. New competition law actions or obligations under market regulation schemes could be initiated, potentially using previous actions as precedent. The outcome of such actions, or steps taken to avoid them, could adversely affect us in a variety of ways, including causing us to withdraw products from or modify products for certain markets, decreasing the value of our assets, adversely affecting our ability to monetize our products, or inhibiting our ability to consummate acquisition or impose conditions on acquisitions that may reduce their value, which may adversely affect our business, financial condition, and results of operations.</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Laws and regulations relating to anti-corruption and trade could result in increased costs, fines, criminal penalties, or reputational damage. </w:t>
      </w:r>
      <w:r>
        <w:rPr>
          <w:rFonts w:ascii="Arial" w:cs="Arial" w:eastAsia="Arial" w:hAnsi="Arial"/>
          <w:sz w:val="18"/>
          <w:szCs w:val="18"/>
          <w:color w:val="auto"/>
        </w:rPr>
        <w:t>The Foreign Corrupt Practices Act (“FCPA”) and other anti-corruption laws and regulations (“Anti-Corruption Laws”) prohibit corrupt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outside the U.S. and our compliance with Anti-Corruption Laws. Periodically, we receive such reports directly and investigate them, and also cooperate with investigations by U.S. and foreign law enforcement authorities. An example of increasing international regulatory complexity is the EU Whistleblower Directive, initiated in 2021, which presents compliance challenges as it is implemented in different forms by EU member states. Most countries in which we operate also have competition laws that prohibit competitors from colluding or otherwise attempting to reduce competition between themselves. While we devote substantial resources to our U.S. and international compliance programs and have implemented policies, training, and internal controls designed to reduce the risk of corrupt payments and collusive activity, our employees, partners, vendors, or agents may violate our policies. Our failure to comply with Anti-Corruption Laws or competition laws could result in significant fines and penalties, criminal sanctions against us, our officers, or our employees, prohibitions on the conduct of our business, and damage to our reputation, which could adversely affect our business, financial condition, and results of operations.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8" w:name="page29"/>
    <w:bookmarkEnd w:id="28"/>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Increasing trade laws, policies, sanctions, and other regulatory requirements also affect our operations in and outside the U.S. relating to trade and investment. Economic sanctions in the U.S., the EU, and other countries prohibit most business with restricted entities or countries. U.S. export controls restrict Microsoft from offering many of its products and services to, or making investments in, certain entities in specified countries. U.S. import controls restrict us from integrating certain information and communication technologies into our supply chain and allow for government review of transactions involving information and communications technology from countries determined to be foreign adversaries. Supply chain regulations may impact the availability of goods or result in additional regulatory scrutiny. Periods of intense diplomatic or armed conflict, such as the ongoing conflict in Ukraine, may result in (1) new and rapidly evolving sanctions and trade restrictions, which may impair trade with sanctioned individuals and countries, and (2) negative impacts to regional trade ecosystems among our customers, partners, and us. Non-compliance with sanctions as well as general ecosystem disruptions could result in reputational harm, operational delays, monetary fines, loss of revenue, increased costs, loss of export privileges, or criminal sanctions, which could adversely affect our business, financial condition, and results of operations.</w:t>
      </w:r>
    </w:p>
    <w:p>
      <w:pPr>
        <w:spacing w:after="0" w:line="13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 xml:space="preserve">Laws and regulations relating to the handling of personal data may impede the adoption of our services or result in increased costs, legal claims, fines against us, or reputational damage. </w:t>
      </w:r>
      <w:r>
        <w:rPr>
          <w:rFonts w:ascii="Arial" w:cs="Arial" w:eastAsia="Arial" w:hAnsi="Arial"/>
          <w:sz w:val="18"/>
          <w:szCs w:val="18"/>
          <w:color w:val="auto"/>
        </w:rPr>
        <w:t>The growth of our Internet- and cloud-based services internationally relies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increasingly on the movement of data across national boundaries. Legal requirements relating to the collection, storage, handling, and transfer of personal data continue to evolve. For example, while the EU-U.S. Data Privacy Framework (“DPF”) has been recognized as adequate under EU law to allow transfers of personal data from the EU to certified companies in the U.S., the DPF is subject to further legal challenge which could cause the legal requirements for data transfers from the EU to be uncertain. EU data protection authorities have and may again block the use of certain U.S.-based services that involve the transfer of data to the U.S. In the EU and other markets, potential new rules and restrictions on the flow of data across borders could increase the cost and complexity of delivering our products and services. In addition, the EU General Data Protection Regulation (“GDPR”), which applies to all of our activities conducted from an establishment in the EU or related to products and services offered in the EU, imposes a range of compliance obligations regarding the handling of personal data. More recently, the EU has been developing new requirements related to the use of data, including in the Digital Markets Act, the Digital Services Act, and the Data Act, that add additional rules and restriction on the use of data in our products and services. Engineering efforts to build and maintain capabilities to facilitate compliance with these laws involve substantial expense and the diversion of engineering resources from other projects. We might experience reduced demand for our offerings if we are unable to engineer products that meet our legal duties or help our customers meet their obligations under these and other data regulations, or if our implementation to comply makes our offerings less attractive. Compliance with these obligations depends in part on how particular regulators interpret and apply them. If we fail to comply, or if regulators assert we have failed to comply (including in response to complaints made by customers), it may lead to regulatory enforcement actions, which can result in significant monetary penalties, private lawsuits, reputational damage, blockage of product offerings or of international data transfers, and loss of customers. The highest fines assessed under GDPR have recently been increasing, especially against large technology companies, and European data protection authorities have taken action to block or remove services from their markets. Jurisdictions around the world, such as China, India, and states in the U.S. have adopted, or are considering adopting or expanding, laws and regulations imposing obligations regarding the collection, handling, and transfer of personal data.</w:t>
      </w:r>
    </w:p>
    <w:p>
      <w:pPr>
        <w:spacing w:after="0" w:line="1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investment in gaining insights from data is becoming central to the value of the services we deliver to customers, including AI services, to operational efficiency and key opportunities in monetization, and to customer perceptions of quality. Our ability to use data in this way may be constrained by regulatory developments that impede realizing the expected return from this investment. Ongoing legal analyses, reviews, and inquiries by regulators of Microsoft practices, or relevant practices of other organizations, may result in burdensome or inconsistent requirements, including data sovereignty and localization requirements, affecting the location, movement, collection, and use of our customer and internal employee data as well as the management of that data. Compliance with applicable laws and regulations regarding personal data may require changes in services, business practices, or internal systems that result in increased costs, lower revenue, reduced efficiency, or greater difficulty in competing with foreign-based firms.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negative publicity, and diversion of management time and effort.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9" w:name="page30"/>
    <w:bookmarkEnd w:id="29"/>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Existing and increasing legal and regulatory requirements could adversely affect our results of operations. </w:t>
      </w:r>
      <w:r>
        <w:rPr>
          <w:rFonts w:ascii="Arial" w:cs="Arial" w:eastAsia="Arial" w:hAnsi="Arial"/>
          <w:sz w:val="18"/>
          <w:szCs w:val="18"/>
          <w:color w:val="auto"/>
        </w:rPr>
        <w:t>We are subject to a wide</w:t>
      </w:r>
      <w:r>
        <w:rPr>
          <w:rFonts w:ascii="Arial" w:cs="Arial" w:eastAsia="Arial" w:hAnsi="Arial"/>
          <w:sz w:val="18"/>
          <w:szCs w:val="18"/>
          <w:b w:val="1"/>
          <w:bCs w:val="1"/>
          <w:color w:val="auto"/>
        </w:rPr>
        <w:t xml:space="preserve"> </w:t>
      </w:r>
      <w:r>
        <w:rPr>
          <w:rFonts w:ascii="Arial" w:cs="Arial" w:eastAsia="Arial" w:hAnsi="Arial"/>
          <w:sz w:val="18"/>
          <w:szCs w:val="18"/>
          <w:color w:val="auto"/>
        </w:rPr>
        <w:t>range of laws, regulations, and legal requirements in the U.S. and globally, including those that may apply to our products and online services offerings, and those that impose requirements related to user privacy, telecommunications, data storage and protection, digital accessibility, advertising, and online content. Laws in several jurisdictions, including EU Member State laws under the European Electronic Communications Code, increasingly define certain of our services as regulated telecommunications services. This trend may continue and will result in these offerings being subject to additional data protection, security, law enforcement surveillance, and other obligations. Regulators and private litigants may assert that our collection, use, and management of customer data and other information is inconsistent with their laws and regulations, including laws that apply to the tracking of users via technology such as cookies. In addition, laws requiring us to retrieve and produce customer data in response to compulsory legal demands from law enforcement and governmental authorities are expanding and the requests we are experiencing are increasing in volume and complexity. New environmental, social, and governance laws and regulations are expanding mandatory disclosure, reporting, and diligence requirements. Legislative or regulatory action relating to cybersecurity requirements may increase the costs to develop, implement, or secure our products and services. Legislative and regulatory action is emerging in the areas of AI and content moderation, which could increase costs or restrict opportunity. For example, the EU’s AI Act may increase costs or impact the provision or operation of our AI models and services in the European market.</w:t>
      </w:r>
    </w:p>
    <w:p>
      <w:pPr>
        <w:spacing w:after="0" w:line="1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How these laws and regulations apply to our business is often unclear, subject to change over time, and sometimes may be inconsistent from jurisdiction to jurisdiction. In addition, governments’ approach to enforcement, and our products and services, are continuing to evolve. Compliance with existing, expanding, or new laws and regulations may involve significant costs or require changes in products or business practices that could adversely affect our results of operations. Noncompliance could result in the imposition of penalties, criminal sanctions, or orders we cease the alleged noncompliant activity. In addition, there is increasing pressure from advocacy groups, regulators, competitors, customers, and other stakeholders across many of these areas. If our products do not meet customer expectations or legal requirements, we could face regulatory or legal actions, and our business, operations, financial condition, and results of operations could be adversely affected.</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have claims and lawsuits against us that may result in adverse outcomes. </w:t>
      </w:r>
      <w:r>
        <w:rPr>
          <w:rFonts w:ascii="Arial" w:cs="Arial" w:eastAsia="Arial" w:hAnsi="Arial"/>
          <w:sz w:val="18"/>
          <w:szCs w:val="18"/>
          <w:color w:val="auto"/>
        </w:rPr>
        <w:t>We are subject to a variety of claims and lawsuits.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claims may arise from a wide variety of business practices and initiatives, including major new product releases, AI services, significant business transactions, warranty or product claims, employment practices, and regulation. As we continue to expand our business and offerings, we may experience new and novel legal claims. Adverse outcomes in some or all of these claims may result in significant monetary damages or injunctive relief that could adversely affect our ability to conduct our business. Litigation and other claims are subject to inherent uncertainties and management’s view of these matters may change in the future. A material adverse impact to our financial condition and results of operations could occur for the period in which the effect of an unfavorable outcome becomes probable and reasonably estimable.</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Our business with government customers may present additional uncertainties. </w:t>
      </w:r>
      <w:r>
        <w:rPr>
          <w:rFonts w:ascii="Arial" w:cs="Arial" w:eastAsia="Arial" w:hAnsi="Arial"/>
          <w:sz w:val="18"/>
          <w:szCs w:val="18"/>
          <w:color w:val="auto"/>
        </w:rPr>
        <w:t>We derive substantial revenue from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Government contracts generally can present risks and challenges not present in private commercial agreements. For instance, we may be subject to government audits and investigations relating to these contracts,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cancellations, or delays which could adversely impact public-sector demand for our products and services. These events could negatively impact our financial condition, results of operations, and reputation.</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may have additional tax liabilities. </w:t>
      </w:r>
      <w:r>
        <w:rPr>
          <w:rFonts w:ascii="Arial" w:cs="Arial" w:eastAsia="Arial" w:hAnsi="Arial"/>
          <w:sz w:val="18"/>
          <w:szCs w:val="18"/>
          <w:color w:val="auto"/>
        </w:rPr>
        <w:t>We are subject to income taxes in the U.S. and many foreign jurisdictions. Significant judgment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 determining our worldwide provision for income taxes. In the course of our business, there are many transactions and calculations where the ultimate tax determination is uncertain. We may recognize additional tax expense and be subject to additional tax liabilities due to changes in tax laws, regulations, and administrative practices and principles, including changes to the global tax framework, in various jurisdictions. In recent years, multiple domestic and international tax proposals were proposed to impose greater tax burdens on large multinational enterprises. For example, the Organisation for Economic Co-operation and Development continues to advance proposals or guidance in international taxation, including the establishment of a global minimum tax.</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0" w:name="page31"/>
    <w:bookmarkEnd w:id="30"/>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regularly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Internal Revenue Service (“IRS”) audit for prior tax years and have received Notices of Proposed Adjustment (“NOPAs”) from the IRS for the tax years 2004 to 2013. The primary issues in the NOPAs relate to intercompany transfer pricing. In the NOPAs, the IRS is seeking an additional tax payment of $28.9 billion plus penalties and interest. The final resolution of the proposed adjustments, and other audits or litigation, may differ from the amounts recorded in our consolidated financial statements and adversely affect our results of operations in the period or periods in which that determination is made.</w:t>
      </w:r>
    </w:p>
    <w:p>
      <w:pPr>
        <w:spacing w:after="0" w:line="12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global fundamental law changes currently being considered by many countries, including in the U.S., and changes in taxing jurisdictions’ administrative interpretations, decisions, policies, and positions may materially adversely affect our financial condition and results of operations.</w:t>
      </w:r>
    </w:p>
    <w:p>
      <w:pPr>
        <w:spacing w:after="0" w:line="125"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are subject to evolving sustainability regulatory requirements and expectations, which exposes us to increased costs and legal and reputational risks. </w:t>
      </w:r>
      <w:r>
        <w:rPr>
          <w:rFonts w:ascii="Arial" w:cs="Arial" w:eastAsia="Arial" w:hAnsi="Arial"/>
          <w:sz w:val="18"/>
          <w:szCs w:val="18"/>
          <w:color w:val="auto"/>
        </w:rPr>
        <w:t>Laws, regulations, and policies relating to environmental, social, and governance matters are being developed and</w:t>
      </w:r>
      <w:r>
        <w:rPr>
          <w:rFonts w:ascii="Arial" w:cs="Arial" w:eastAsia="Arial" w:hAnsi="Arial"/>
          <w:sz w:val="18"/>
          <w:szCs w:val="18"/>
          <w:b w:val="1"/>
          <w:bCs w:val="1"/>
          <w:color w:val="auto"/>
        </w:rPr>
        <w:t xml:space="preserve"> </w:t>
      </w:r>
      <w:r>
        <w:rPr>
          <w:rFonts w:ascii="Arial" w:cs="Arial" w:eastAsia="Arial" w:hAnsi="Arial"/>
          <w:sz w:val="18"/>
          <w:szCs w:val="18"/>
          <w:color w:val="auto"/>
        </w:rPr>
        <w:t>formalized in Europe, the U.S., and elsewhere, which may include specific, target-driven frameworks and disclosure requirements. In addition, we have established and publicly announced goals and commitments to become carbon negative, water positive, zero waste, and protect more land than we use. Any failure or perceived failure to pursue or fulfill our sustainability goals and commitments or to satisfy various sustainability reporting standards or regulatory requirements within the timelines we announce, or at all, could result in claims and lawsuits, regulatory actions, or damage to our reputation, each of which may adversely affect our business, operations, financial condition, and results of operations.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INTELLECTUAL PROPERTY RISKS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We face risks related to the protection and utilization of our intellectual property that may result in our business and operating results being harmed. </w:t>
      </w:r>
      <w:r>
        <w:rPr>
          <w:rFonts w:ascii="Arial" w:cs="Arial" w:eastAsia="Arial" w:hAnsi="Arial"/>
          <w:sz w:val="18"/>
          <w:szCs w:val="18"/>
          <w:color w:val="auto"/>
        </w:rPr>
        <w:t>Protecting our intellectual property rights and combating unlicensed copying and use of our software, source code,</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intellectual property on a global basis is difficult. Similarly, the absence of harmonized patent laws makes it more difficult to ensure consistent respect for patent rights.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Changes in the law may continue to weaken our ability to prevent the use of patented technology. Our increasing engagement with open source software will also cause us to license our intellectual property rights broadly in certain situations. If we are unable to protect our intellectual property, our results of operations may be adversely affected.</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Source code, the detailed program commands for our operating systems and other software programs, is critical to our business. If our source code leaks, we might lose future trade secret protection for that code. It may then become easier for third parties to compete with our products by copying functionality, which could adversely affect our results of operations. Unauthorized access to or disclosure of source code or other intellectual property also could increase the security risks described elsewhere in these risk factors.</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Third parties may claim that we infringe their intellectual property. </w:t>
      </w:r>
      <w:r>
        <w:rPr>
          <w:rFonts w:ascii="Arial" w:cs="Arial" w:eastAsia="Arial" w:hAnsi="Arial"/>
          <w:sz w:val="18"/>
          <w:szCs w:val="18"/>
          <w:color w:val="auto"/>
        </w:rPr>
        <w:t>From time to time, others claim we infringe their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including current copyright infringement and other claims arising from AI training and output. To resolve these claims, we may enter into royalty-bearing data access or licensing agreements on terms that are less favorable than currently available, stop selling or redesign affected products or services, or pay damages to satisfy indemnification commitments with our customers. Adverse outcomes could also include monetary damages or injunctive relief that may limit or prevent importing, marketing, and selling our products or services that have infringing technologies. We have paid significant amounts to settle claims related to the use of technology and intellectual property rights and to procure intellectual property rights as part of our strategy to manage this risk, and may continue to do so, which could adversely affect our results of operations.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1" w:name="page32"/>
    <w:bookmarkEnd w:id="31"/>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RISKS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If our reputation or our brands are damaged, our business and results of operations may be harmed</w:t>
      </w:r>
      <w:r>
        <w:rPr>
          <w:rFonts w:ascii="Arial" w:cs="Arial" w:eastAsia="Arial" w:hAnsi="Arial"/>
          <w:sz w:val="18"/>
          <w:szCs w:val="18"/>
          <w:color w:val="auto"/>
        </w:rPr>
        <w:t>. Our reputation and brands are</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recognized and are important to our business. Our reputation and brands affect our ability to attract and retain consumer, business, and public-sector customers. There are numerous ways our reputation or brands could be damaged. These include product safety or quality issues, our environmental impact and sustainability, supply chain practices, or human rights record. We may experience backlash from customers, government entities, advocacy groups, employees, and other stakeholders that disagree with our product offering decisions, public policy positions, or corporate philanthropic initiatives. Damage to our reputation or our brands may occur from, among other things:</w:t>
      </w:r>
    </w:p>
    <w:p>
      <w:pPr>
        <w:spacing w:after="0" w:line="44" w:lineRule="exact"/>
        <w:rPr>
          <w:sz w:val="20"/>
          <w:szCs w:val="20"/>
          <w:color w:val="auto"/>
        </w:rPr>
      </w:pPr>
    </w:p>
    <w:p>
      <w:pPr>
        <w:ind w:left="1020" w:hanging="368"/>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introduction of new features, products, services, or terms of service that customers, users, or partners do not like.</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Public scrutiny of our decisions regarding user privacy, data practices, content, or development and deployment of AI.</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Data security breaches, cybersecurity incidents, responsible AI failures, compliance failures, or actions of partners or individual employees.</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Social media may increase the likelihood, speed, and magnitude of negative brand events. If our brands or reputation are damaged, it could adversely affect our business, results of operations, or ability to attract the most highly qualified employees.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Adverse economic or market conditions may harm our business. </w:t>
      </w:r>
      <w:r>
        <w:rPr>
          <w:rFonts w:ascii="Arial" w:cs="Arial" w:eastAsia="Arial" w:hAnsi="Arial"/>
          <w:sz w:val="18"/>
          <w:szCs w:val="18"/>
          <w:color w:val="auto"/>
        </w:rPr>
        <w:t>Worsening economic conditions, including inflation, recession,</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 or other changes in economic conditions, may cause lower IT spending and adversely affect our results of operations. If demand for PCs, servers, and other computing devices declines, or consumer or business spending for those products declines, our results of operations may be adversely affected.</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Challenging economic conditions also may impair the ability of our customers to pay for products and services they have purchased. As a result, allowances for doubtful accounts and write-offs of accounts receivable may increase.</w:t>
      </w:r>
    </w:p>
    <w:p>
      <w:pPr>
        <w:spacing w:after="0" w:line="1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may be adversely affected and we could determine that more of our investments have experienced a decline in fair value, requiring impairment charges that could adversely affect our financial condition and results of operations.</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Catastrophic events or geopolitical conditions may disrupt our business. </w:t>
      </w:r>
      <w:r>
        <w:rPr>
          <w:rFonts w:ascii="Arial" w:cs="Arial" w:eastAsia="Arial" w:hAnsi="Arial"/>
          <w:sz w:val="18"/>
          <w:szCs w:val="18"/>
          <w:color w:val="auto"/>
        </w:rPr>
        <w:t>A disruption or failure of our systems, operations, or supply</w:t>
      </w:r>
      <w:r>
        <w:rPr>
          <w:rFonts w:ascii="Arial" w:cs="Arial" w:eastAsia="Arial" w:hAnsi="Arial"/>
          <w:sz w:val="18"/>
          <w:szCs w:val="18"/>
          <w:b w:val="1"/>
          <w:bCs w:val="1"/>
          <w:color w:val="auto"/>
        </w:rPr>
        <w:t xml:space="preserve"> </w:t>
      </w:r>
      <w:r>
        <w:rPr>
          <w:rFonts w:ascii="Arial" w:cs="Arial" w:eastAsia="Arial" w:hAnsi="Arial"/>
          <w:sz w:val="18"/>
          <w:szCs w:val="18"/>
          <w:color w:val="auto"/>
        </w:rPr>
        <w:t>chain because of a major earthquake, weather event, cyberattack, terrorist attack, pandemic,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IT systems, or the infrastructure or systems they rely on, such as power grids, could harm our ability to conduct normal business operations or adversely affect our results of operations. Providing our customers with more services and solutions in the cloud puts a premium on the resilience of our systems and strength of our business continuity management plans and magnifies the potential negative consequences of prolonged service outages.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2" w:name="page33"/>
    <w:bookmarkEnd w:id="32"/>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Abrupt political change, terrorist activity, and armed conflict, such as the ongoing conflict in Ukraine, pose economic and other risks, which may negatively impact our ability to sell to and collect from customers, increase our operating costs, or otherwise disrupt our operations in markets both directly and indirectly impacted by such events. These conditions also may add uncertainty to the timing and budget for technology investment decisions by our customers and may cause supply chain disruptions for hardware manufacturers. Geopolitical change may result in changing regulatory systems and requirements and market interventions that could impact our operating strategies, access to national, regional, and global markets, hiring, and profitability. Geopolitical instability may lead to sanctions and impact our ability to do business in some markets or with some public-sector customers. Any of these changes may negatively affect our results of operations.</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occurrence of regional epidemics or a global pandemic, such as COVID-19, may adversely affect our business, operations, financial condition, and results of operations. The extent to which global pandemics impact our business going forward will depend on factors such as the duration and scope of the pandemic; governmental, business, and individuals' actions in response to the pandemic; and the impact on economic activity, including the possibility of recession or financial market instability. Measures to contain a global pandemic may intensify other risks described in these Risk Factors.</w:t>
      </w:r>
    </w:p>
    <w:p>
      <w:pPr>
        <w:spacing w:after="0" w:line="1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long-term effects of climate change on the global economy and the IT industry in particular are unclear. Environmental regulations or changes in the supply, demand, or available sources of energy or other resources may affect the availability or cost of goods and services, including natural resources, necessary to run our business. Changes in climate where we operate may increase the costs of powering and cooling computer hardware we use to develop software and provide cloud-based services.</w:t>
      </w:r>
    </w:p>
    <w:p>
      <w:pPr>
        <w:spacing w:after="0" w:line="1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global business exposes us to operational and economic risks. </w:t>
      </w:r>
      <w:r>
        <w:rPr>
          <w:rFonts w:ascii="Arial" w:cs="Arial" w:eastAsia="Arial" w:hAnsi="Arial"/>
          <w:sz w:val="18"/>
          <w:szCs w:val="18"/>
          <w:color w:val="auto"/>
        </w:rPr>
        <w:t>Our customers are located throughout the world and a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our revenue comes from international sales. The global nature of our business creates operational, economic, and geopolitical risks. Global, regional, and local economic developments, monetary policy, inflation, and recession, as well as political and military disputes, may adversely affect our results of operations. 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and protectionist trends and concerns about human rights, the environment, and political expression in specific countries may significantly alter the trade and commercial environments. Changes to trade policy or agreements as a result of populism, protectionism, or economic nationalism may result in higher tariffs, local sourcing initiatives, and non-local sourcing restrictions, export controls, investment restrictions, or other developments that make it more difficult to sell our products in foreign countries. Disruptions of these kinds in developed or emerging markets could negatively impact demand for our products and services, impair our ability to operate in certain regions, or increase operating costs. Although we hedge a portion of our international currency exposure, significant fluctuations in foreign exchange rates between the U.S. dollar and foreign currencies may adversely affect our results of operations.</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Our business depends on our ability to attract and retain talented employees. </w:t>
      </w:r>
      <w:r>
        <w:rPr>
          <w:rFonts w:ascii="Arial" w:cs="Arial" w:eastAsia="Arial" w:hAnsi="Arial"/>
          <w:sz w:val="18"/>
          <w:szCs w:val="18"/>
          <w:color w:val="auto"/>
        </w:rPr>
        <w:t>Our business is based on successfully attracting,</w:t>
      </w:r>
      <w:r>
        <w:rPr>
          <w:rFonts w:ascii="Arial" w:cs="Arial" w:eastAsia="Arial" w:hAnsi="Arial"/>
          <w:sz w:val="18"/>
          <w:szCs w:val="18"/>
          <w:b w:val="1"/>
          <w:bCs w:val="1"/>
          <w:color w:val="auto"/>
        </w:rPr>
        <w:t xml:space="preserve"> </w:t>
      </w:r>
      <w:r>
        <w:rPr>
          <w:rFonts w:ascii="Arial" w:cs="Arial" w:eastAsia="Arial" w:hAnsi="Arial"/>
          <w:sz w:val="18"/>
          <w:szCs w:val="18"/>
          <w:color w:val="auto"/>
        </w:rPr>
        <w:t>training, and retaining talented employees representing diverse backgrounds, experiences, and skill sets. The market for highly skilled workers and leaders in our industry is extremely competitive. Maintaining our brand and reputation, as well as a diverse and inclusive work environment that enables all our employees to thrive, are important to our ability to recruit and retain employees. We are also limited in our ability to recruit internationally by restrictive domestic immigration laws. Restraints on the flow of technical and professional talent, including as a result of changes to U.S. immigration policies or laws, may inhibit our ability to adequately staff our research and development efforts. If we are less successful in our recruiting efforts, or if we cannot retain highly skilled workers and key leaders, our ability to develop and deliver successful products and services may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 Our global workforce is predominantly non-unionized, although we do have some employees in the U.S. and internationally who are represented by unions or works councils. In the U.S., there has been a general increase in workers exercising their right to form or join a union. The unionization of significant employee populations could result in higher costs and other operational changes necessary to respond to changing conditions and to establish new relationships with worker representatives.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Item 1B, 1C</w:t>
      </w:r>
    </w:p>
    <w:p>
      <w:pPr>
        <w:spacing w:after="0" w:line="16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ITEM 1B. UNRESOLVED STAFF COMMENTS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received no written comments regarding our periodic or current reports from the staff of the Securities and Exchange Commission that were issued 180 days or more preceding the end of our fiscal year 2024 that remain unresolved.</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ITEM 1C. CYBERSECURITY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 MANAGEMENT AND STRATEGY</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Microsoft plays a central role in the world’s digital ecosystem. We have made it the top corporate priority to protect the computing environment used by our customers and employees and to support the resiliency of our cloud infrastructure and services, products, devices, and our internal corporate resources from determined adversaries. In response to the evolving cybersecurity threat landscape, we launched the Secure Future Initiative (“SFI”) in November 2023 and expanded the scope of SFI in May 2024. The SFI focuses our business strategy and efforts on continual improvement in cybersecurity protection, and is aligned around three security principles:</w:t>
      </w:r>
    </w:p>
    <w:p>
      <w:pPr>
        <w:spacing w:after="0" w:line="41" w:lineRule="exact"/>
        <w:rPr>
          <w:sz w:val="20"/>
          <w:szCs w:val="20"/>
          <w:color w:val="auto"/>
        </w:rPr>
      </w:pPr>
    </w:p>
    <w:p>
      <w:pPr>
        <w:ind w:left="1020" w:hanging="368"/>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Secure by Design: </w:t>
      </w:r>
      <w:r>
        <w:rPr>
          <w:rFonts w:ascii="Arial" w:cs="Arial" w:eastAsia="Arial" w:hAnsi="Arial"/>
          <w:sz w:val="18"/>
          <w:szCs w:val="18"/>
          <w:color w:val="auto"/>
        </w:rPr>
        <w:t>Security comes first when designing any product or service.</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Secure by Default: </w:t>
      </w:r>
      <w:r>
        <w:rPr>
          <w:rFonts w:ascii="Arial" w:cs="Arial" w:eastAsia="Arial" w:hAnsi="Arial"/>
          <w:sz w:val="18"/>
          <w:szCs w:val="18"/>
          <w:color w:val="auto"/>
        </w:rPr>
        <w:t>Security protections are enabled and enforced by default, require no extra effort, and are not optional.</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Secure Operations: </w:t>
      </w:r>
      <w:r>
        <w:rPr>
          <w:rFonts w:ascii="Arial" w:cs="Arial" w:eastAsia="Arial" w:hAnsi="Arial"/>
          <w:sz w:val="18"/>
          <w:szCs w:val="18"/>
          <w:color w:val="auto"/>
        </w:rPr>
        <w:t>Security controls and monitoring will continuously be improved to meet current and future threats.</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operate a cybersecurity program and governance framework designed to protect our computing environments against cybersecurity threats, and we have controls, policies, and procedures to identify, manage, and mitigate cybersecurity threats. Annually, we assess our cybersecurity program’s alignment with the National Institute of Standards &amp; Technology’s Cyber Security Framework (“NIST”) and other applicable industry standards. We also undertake integrated planning and preparedness activities to support business continuity and operational resiliency. We assess our program's effectiveness through various exercises, including tabletop simulations and production environment tests, penetration and vulnerability tests, red team exercises, and other related activities. We conduct mandatory cybersecurity training, provide employees with tools to report suspected incidents and assess their own security posture, and conduct real-time simulated employee education exercises, such as phishing email campaigns designed to emulate real-world attacks. We also engage in robust cybersecurity assessments and remediation efforts for acquired companies.</w:t>
      </w:r>
    </w:p>
    <w:p>
      <w:pPr>
        <w:spacing w:after="0" w:line="12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computing environments, products, and services are reviewed by our internal audit teams as well as independent third-party assessors. We are committed to managing the most significant risks to our strategies and ambitions, including cybersecurity risks. The Enterprise Risk Management (“ERM”) organization supports management in this commitment by facilitating the semiannual risk assessment, which documents the priority and status of these risks and aligns them with our strategic mitigation efforts. ERM is structured using a framework based on the Committee of Sponsoring Organization (“COSO”) guidance on Enterprise Risk Management Integrating Strategy with Performance and it also aligns with the International Organization for Standardization 31000:2018 Risk Management Standard.</w:t>
      </w:r>
    </w:p>
    <w:p>
      <w:pPr>
        <w:spacing w:after="0" w:line="12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continuously monitor our computing environments, products, and services for vulnerabilities and signs of compromise, and we utilize our own security products to combat cybersecurity threats. We integrate security into our computing environments, products, and services through our Security Development Lifecycle (“SDL”). Our SDL introduces security and privacy considerations throughout all phases of our development process and through the adoption of zero-trust end-to-end architecture. We utilize machine learning and AI-powered security tools to gain insights from over 78 trillion signals per day and over 135 million managed devices. We track over 300 unique threat actors, including 160 nation-state actors and 50 ransomware groups. To support our efforts, we operate a Cyber Defense Operations Center connected to over 10,000 security and threat intelligence experts, including engineers, researchers, data scientists, cybersecurity experts, threat hunters, geopolitical analysts, investigators, and frontline responders across the globe.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4" w:name="page35"/>
    <w:bookmarkEnd w:id="34"/>
    <w:p>
      <w:pPr>
        <w:ind w:left="542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Item 1C</w:t>
      </w:r>
    </w:p>
    <w:p>
      <w:pPr>
        <w:spacing w:after="0" w:line="33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When appropriate, we utilize external service providers to assess, test, or otherwise assist our program. We also leverage third parties by working with external researchers, operating bug bounty programs, and managing coordinated vulnerability disclosure programs with security organizations. We maintain a systematic approach to assessing and controlling the cybersecurity risks presented by third-party service providers. We require third-party service providers to manage their cybersecurity risks in defined ways, undergo cybersecurity reviews, notify us of cyber events, and satisfy additional contractual requirements.</w:t>
      </w:r>
    </w:p>
    <w:p>
      <w:pPr>
        <w:spacing w:after="0" w:line="1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seek to improve the entire cybersecurity ecosystem through multistakeholder diplomacy to set and uphold expectations for state behavior, advancement of government policy that strengthens cybersecurity and resiliency, disruption and deterrence of cybercrime, protection of national security interests, and disruption of digital threats to democracies. We also establish processes and innovate solutions for us and our customers to address the growing number and complexity of cybersecurity regulations.</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When we experience a cybersecurity incident, we utilize our well-established incident response plans that operate both across the company and at the product and services level. Incidents are first triaged for severity, and then more deeply assessed to establish a plan of record and activate internal and external notification, disclosure, and communication plans, as applicable. Engineering and development resources are mobilized to resolve or remediate the incident. After the incident is resolved, a comprehensive post-incident review process is conducted.</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describe the risks from cybersecurity threats, including previous cybersecurity incidents, in section “Risk Factors” (Part I, Item 1A of this Form 10-K). As of the date of this Form 10-K, we do not believe any risks from cybersecurity threats have materially affected or are reasonably likely to materially affect us, including our results of operations or financial condition. However, the cybersecurity threat environment is increasingly challenging, and we, along with the entire digital ecosystem, are under constant and increasing threat. As discussed above, our business strategy is tied to the SFI and we are committed to continuously monitoring cybersecurity threats, enhancing the security of our products, investing in our cybersecurity infrastructure, and collaborating with peers, customers, service providers, regulators, and governments to advance our and the entire digital ecosystem’s cybersecurity defenses and resiliency.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GOVERNANCE</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Board of Directors oversees cybersecurity risk. Cybersecurity reviews by the Board are scheduled to occur at least quarterly, or more frequently as determined to be necessary or advisable. Presentations to the Board of Directors are made by senior management, including our Chief Information Security Officer (“CISO”), our EVP of Microsoft Security, and the head of our Customer Security and Trust organization. The presentations address topics such as cybersecurity threats, incidents, top risks and related remediation efforts, results from internal and third-party assessments, progress towards risk-mitigation goals, the functioning of our incident response program, regulatory developments, and digital diplomacy efforts. In addition, we have an escalation process in place to inform senior management and the Board of significant issues. Cybersecurity issues are also considered during separate Board meeting discussions regarding important matters like ERM, audit issues, operational budgeting, business continuity planning, mergers and acquisitions, brand management, and other relevant matters.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CISO leads the strategy, engineering, and operations of cybersecurity across the company, and reports to the EVP of Microsoft Security. Our CISO has extensive experience assessing and managing cybersecurity programs and cybersecurity risk. Before joining Microsoft, our CISO served in a prior Chief Technology Officer role as well as in senior leadership, engineering, and operational roles within multiple organizations. In addition to the Board’s oversight of cybersecurity risk, to support the CISO, we have established a Cybersecurity Governance Council (“CGC”) charged with overseeing initiatives that safeguard Microsoft’s infrastructure. The CGC is comprised of an executive-level team of Deputy CISOs with cybersecurity backgrounds and expertise relevant to their roles. The CGC responsibilities include approving our enterprise security risk assessment process and results, determining the appropriate cybersecurity risk level and mitigations, reviewing the NIST CSF alignment, and supporting compliance with cybersecurity regulations. Our cybersecurity efforts are supported directly by Microsoft’s security and threat intelligence experts and our employees across the company, all of whom receive cybersecurity awareness training and education and are expected to support our efforts.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Item 2, 3, 4</w:t>
      </w:r>
    </w:p>
    <w:p>
      <w:pPr>
        <w:spacing w:after="0" w:line="16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ITEM 2. PROPERTIES</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corporate headquarters are located in Redmond, Washington. We have approximately 15 million square feet of space located in King County, Washington that is used for engineering, sales, marketing, and operations, among other general and administrative purposes. These facilities include approximately 12 million square feet of owned space situated on approximately 530 acres of land we own at our corporate headquarters, and approximately 3 million square feet of space we lease.</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own and lease other facilities domestically and internationally, primarily for offices, datacenters, and research and development. The largest owned international properties include space in the following locations: China, India, Ireland, and the Netherlands. The largest leased international properties include space in the following locations: Australia, Canada, China, France, Germany, India, Ireland, Israel, Japan, the Netherlands, and the United Kingdom. Refer to Research and Development (Part I, Item 1 of this Form 10-K) for further discussion of our research and development facilities.</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 below shows a summary of the square footage of our properties owned and leased domestically and internationally as of June 30, 2024:</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(Square feet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ind w:left="20"/>
              <w:spacing w:after="0"/>
              <w:rPr>
                <w:sz w:val="20"/>
                <w:szCs w:val="20"/>
                <w:color w:val="auto"/>
              </w:rPr>
            </w:pPr>
            <w:r>
              <w:rPr>
                <w:rFonts w:ascii="Arial" w:cs="Arial" w:eastAsia="Arial" w:hAnsi="Arial"/>
                <w:sz w:val="13"/>
                <w:szCs w:val="13"/>
                <w:b w:val="1"/>
                <w:bCs w:val="1"/>
                <w:color w:val="auto"/>
              </w:rPr>
              <w:t>Location</w:t>
            </w: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Owned</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Leased</w:t>
            </w:r>
          </w:p>
        </w:tc>
        <w:tc>
          <w:tcPr>
            <w:tcW w:w="200" w:type="dxa"/>
            <w:vAlign w:val="bottom"/>
          </w:tcPr>
          <w:p>
            <w:pPr>
              <w:spacing w:after="0"/>
              <w:rPr>
                <w:sz w:val="16"/>
                <w:szCs w:val="16"/>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Total</w:t>
            </w:r>
          </w:p>
        </w:tc>
      </w:tr>
      <w:tr>
        <w:trPr>
          <w:trHeight w:val="58"/>
        </w:trPr>
        <w:tc>
          <w:tcPr>
            <w:tcW w:w="63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6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U.S.</w:t>
            </w:r>
          </w:p>
        </w:tc>
        <w:tc>
          <w:tcPr>
            <w:tcW w:w="14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30</w:t>
            </w:r>
          </w:p>
        </w:tc>
        <w:tc>
          <w:tcPr>
            <w:tcW w:w="170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20</w:t>
            </w:r>
          </w:p>
        </w:tc>
        <w:tc>
          <w:tcPr>
            <w:tcW w:w="166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E5E5E5"/>
          </w:tcPr>
          <w:p>
            <w:pPr>
              <w:spacing w:after="0"/>
              <w:rPr>
                <w:sz w:val="19"/>
                <w:szCs w:val="19"/>
                <w:color w:val="auto"/>
              </w:rPr>
            </w:pPr>
          </w:p>
        </w:tc>
      </w:tr>
      <w:tr>
        <w:trPr>
          <w:trHeight w:val="247"/>
        </w:trPr>
        <w:tc>
          <w:tcPr>
            <w:tcW w:w="63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25</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r>
      <w:tr>
        <w:trPr>
          <w:trHeight w:val="50"/>
        </w:trPr>
        <w:tc>
          <w:tcPr>
            <w:tcW w:w="63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63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63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40</w:t>
            </w:r>
          </w:p>
        </w:tc>
        <w:tc>
          <w:tcPr>
            <w:tcW w:w="170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45</w:t>
            </w:r>
          </w:p>
        </w:tc>
        <w:tc>
          <w:tcPr>
            <w:tcW w:w="166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shd w:val="clear" w:color="auto" w:fill="E5E5E5"/>
          </w:tcPr>
          <w:p>
            <w:pPr>
              <w:spacing w:after="0"/>
              <w:rPr>
                <w:sz w:val="19"/>
                <w:szCs w:val="19"/>
                <w:color w:val="auto"/>
              </w:rPr>
            </w:pPr>
          </w:p>
        </w:tc>
      </w:tr>
      <w:tr>
        <w:trPr>
          <w:trHeight w:val="74"/>
        </w:trPr>
        <w:tc>
          <w:tcPr>
            <w:tcW w:w="6320" w:type="dxa"/>
            <w:vAlign w:val="bottom"/>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ITEM 3. LEGAL PROCEEDINGS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Refer to Note 15 – Contingencies of the Notes to Financial Statements (Part II, Item 8 of this Form 10-K) for information regarding legal proceedings in which we are involved.</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6" w:name="page37"/>
    <w:bookmarkEnd w:id="36"/>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48" w:lineRule="exact"/>
        <w:rPr>
          <w:sz w:val="20"/>
          <w:szCs w:val="20"/>
          <w:color w:val="auto"/>
        </w:rPr>
      </w:pPr>
    </w:p>
    <w:p>
      <w:pPr>
        <w:jc w:val="center"/>
        <w:ind w:right="20"/>
        <w:spacing w:after="0" w:line="272"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MARKET AND STOCKHOLDERS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common stock is traded on the NASDAQ Stock Market under the symbol MSFT. On July 25, 2024, there were 81,346 registered holders of record of our common stock.</w:t>
      </w:r>
    </w:p>
    <w:p>
      <w:pPr>
        <w:spacing w:after="0" w:line="181" w:lineRule="exact"/>
        <w:rPr>
          <w:sz w:val="20"/>
          <w:szCs w:val="20"/>
          <w:color w:val="auto"/>
        </w:rPr>
      </w:pPr>
    </w:p>
    <w:p>
      <w:pPr>
        <w:ind w:left="3880"/>
        <w:spacing w:after="0"/>
        <w:rPr>
          <w:sz w:val="20"/>
          <w:szCs w:val="20"/>
          <w:color w:val="auto"/>
        </w:rPr>
      </w:pPr>
      <w:r>
        <w:rPr>
          <w:rFonts w:ascii="Arial" w:cs="Arial" w:eastAsia="Arial" w:hAnsi="Arial"/>
          <w:sz w:val="18"/>
          <w:szCs w:val="18"/>
          <w:u w:val="single" w:color="auto"/>
          <w:color w:val="auto"/>
        </w:rPr>
        <w:t>SHARE REPURCHASES AND 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Following are our monthly share repurchases for the fourth quarter of fiscal year 2024: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Total Number of</w:t>
            </w:r>
          </w:p>
        </w:tc>
        <w:tc>
          <w:tcPr>
            <w:tcW w:w="460" w:type="dxa"/>
            <w:vAlign w:val="bottom"/>
          </w:tcPr>
          <w:p>
            <w:pPr>
              <w:spacing w:after="0"/>
              <w:rPr>
                <w:sz w:val="13"/>
                <w:szCs w:val="13"/>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Approximate Dollar</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Number</w:t>
            </w:r>
          </w:p>
        </w:tc>
        <w:tc>
          <w:tcPr>
            <w:tcW w:w="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Shares Purchased</w:t>
            </w:r>
          </w:p>
        </w:tc>
        <w:tc>
          <w:tcPr>
            <w:tcW w:w="46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Value of Shares That</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vMerge w:val="restart"/>
          </w:tcPr>
          <w:p>
            <w:pPr>
              <w:jc w:val="right"/>
              <w:ind w:right="159"/>
              <w:spacing w:after="0"/>
              <w:rPr>
                <w:sz w:val="20"/>
                <w:szCs w:val="20"/>
                <w:color w:val="auto"/>
              </w:rPr>
            </w:pPr>
            <w:r>
              <w:rPr>
                <w:rFonts w:ascii="Arial" w:cs="Arial" w:eastAsia="Arial" w:hAnsi="Arial"/>
                <w:sz w:val="13"/>
                <w:szCs w:val="13"/>
                <w:b w:val="1"/>
                <w:bCs w:val="1"/>
                <w:color w:val="auto"/>
              </w:rPr>
              <w:t>Average Price</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as Part of Publicly</w:t>
            </w:r>
          </w:p>
        </w:tc>
        <w:tc>
          <w:tcPr>
            <w:tcW w:w="46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May Yet Be</w:t>
            </w:r>
          </w:p>
        </w:tc>
        <w:tc>
          <w:tcPr>
            <w:tcW w:w="0" w:type="dxa"/>
            <w:vAlign w:val="bottom"/>
          </w:tcPr>
          <w:p>
            <w:pPr>
              <w:spacing w:after="0"/>
              <w:rPr>
                <w:sz w:val="1"/>
                <w:szCs w:val="1"/>
                <w:color w:val="auto"/>
              </w:rPr>
            </w:pPr>
          </w:p>
        </w:tc>
      </w:tr>
      <w:tr>
        <w:trPr>
          <w:trHeight w:val="148"/>
        </w:trPr>
        <w:tc>
          <w:tcPr>
            <w:tcW w:w="36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700" w:type="dxa"/>
            <w:vAlign w:val="bottom"/>
          </w:tcPr>
          <w:p>
            <w:pPr>
              <w:jc w:val="right"/>
              <w:spacing w:after="0"/>
              <w:rPr>
                <w:sz w:val="20"/>
                <w:szCs w:val="20"/>
                <w:color w:val="auto"/>
              </w:rPr>
            </w:pPr>
            <w:r>
              <w:rPr>
                <w:rFonts w:ascii="Arial" w:cs="Arial" w:eastAsia="Arial" w:hAnsi="Arial"/>
                <w:sz w:val="13"/>
                <w:szCs w:val="13"/>
                <w:b w:val="1"/>
                <w:bCs w:val="1"/>
                <w:color w:val="auto"/>
              </w:rPr>
              <w:t>of Shares</w:t>
            </w:r>
          </w:p>
        </w:tc>
        <w:tc>
          <w:tcPr>
            <w:tcW w:w="7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Announced Plans</w:t>
            </w:r>
          </w:p>
        </w:tc>
        <w:tc>
          <w:tcPr>
            <w:tcW w:w="46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Purchased Under the</w:t>
            </w:r>
          </w:p>
        </w:tc>
        <w:tc>
          <w:tcPr>
            <w:tcW w:w="0" w:type="dxa"/>
            <w:vAlign w:val="bottom"/>
          </w:tcPr>
          <w:p>
            <w:pPr>
              <w:spacing w:after="0"/>
              <w:rPr>
                <w:sz w:val="1"/>
                <w:szCs w:val="1"/>
                <w:color w:val="auto"/>
              </w:rPr>
            </w:pPr>
          </w:p>
        </w:tc>
      </w:tr>
      <w:tr>
        <w:trPr>
          <w:trHeight w:val="186"/>
        </w:trPr>
        <w:tc>
          <w:tcPr>
            <w:tcW w:w="3620" w:type="dxa"/>
            <w:vAlign w:val="bottom"/>
            <w:vMerge w:val="continue"/>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3"/>
                <w:szCs w:val="13"/>
                <w:b w:val="1"/>
                <w:bCs w:val="1"/>
                <w:color w:val="auto"/>
              </w:rPr>
              <w:t>Purchased</w:t>
            </w:r>
          </w:p>
        </w:tc>
        <w:tc>
          <w:tcPr>
            <w:tcW w:w="740" w:type="dxa"/>
            <w:vAlign w:val="bottom"/>
          </w:tcPr>
          <w:p>
            <w:pPr>
              <w:spacing w:after="0"/>
              <w:rPr>
                <w:sz w:val="16"/>
                <w:szCs w:val="16"/>
                <w:color w:val="auto"/>
              </w:rPr>
            </w:pPr>
          </w:p>
        </w:tc>
        <w:tc>
          <w:tcPr>
            <w:tcW w:w="1460" w:type="dxa"/>
            <w:vAlign w:val="bottom"/>
          </w:tcPr>
          <w:p>
            <w:pPr>
              <w:jc w:val="right"/>
              <w:ind w:right="159"/>
              <w:spacing w:after="0"/>
              <w:rPr>
                <w:sz w:val="20"/>
                <w:szCs w:val="20"/>
                <w:color w:val="auto"/>
              </w:rPr>
            </w:pPr>
            <w:r>
              <w:rPr>
                <w:rFonts w:ascii="Arial" w:cs="Arial" w:eastAsia="Arial" w:hAnsi="Arial"/>
                <w:sz w:val="13"/>
                <w:szCs w:val="13"/>
                <w:b w:val="1"/>
                <w:bCs w:val="1"/>
                <w:color w:val="auto"/>
              </w:rPr>
              <w:t>Paid Per Share</w:t>
            </w:r>
          </w:p>
        </w:tc>
        <w:tc>
          <w:tcPr>
            <w:tcW w:w="1660" w:type="dxa"/>
            <w:vAlign w:val="bottom"/>
          </w:tcPr>
          <w:p>
            <w:pPr>
              <w:jc w:val="right"/>
              <w:spacing w:after="0"/>
              <w:rPr>
                <w:sz w:val="20"/>
                <w:szCs w:val="20"/>
                <w:color w:val="auto"/>
              </w:rPr>
            </w:pPr>
            <w:r>
              <w:rPr>
                <w:rFonts w:ascii="Arial" w:cs="Arial" w:eastAsia="Arial" w:hAnsi="Arial"/>
                <w:sz w:val="13"/>
                <w:szCs w:val="13"/>
                <w:b w:val="1"/>
                <w:bCs w:val="1"/>
                <w:color w:val="auto"/>
              </w:rPr>
              <w:t>or Programs</w:t>
            </w:r>
          </w:p>
        </w:tc>
        <w:tc>
          <w:tcPr>
            <w:tcW w:w="460" w:type="dxa"/>
            <w:vAlign w:val="bottom"/>
          </w:tcPr>
          <w:p>
            <w:pPr>
              <w:spacing w:after="0"/>
              <w:rPr>
                <w:sz w:val="16"/>
                <w:szCs w:val="16"/>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Plans or Programs</w:t>
            </w:r>
          </w:p>
        </w:tc>
        <w:tc>
          <w:tcPr>
            <w:tcW w:w="0" w:type="dxa"/>
            <w:vAlign w:val="bottom"/>
          </w:tcPr>
          <w:p>
            <w:pPr>
              <w:spacing w:after="0"/>
              <w:rPr>
                <w:sz w:val="1"/>
                <w:szCs w:val="1"/>
                <w:color w:val="auto"/>
              </w:rPr>
            </w:pPr>
          </w:p>
        </w:tc>
      </w:tr>
      <w:tr>
        <w:trPr>
          <w:trHeight w:val="58"/>
        </w:trPr>
        <w:tc>
          <w:tcPr>
            <w:tcW w:w="36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36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58"/>
        </w:trPr>
        <w:tc>
          <w:tcPr>
            <w:tcW w:w="36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E5E5E5"/>
          </w:tcPr>
          <w:p>
            <w:pPr>
              <w:ind w:left="20"/>
              <w:spacing w:after="0"/>
              <w:rPr>
                <w:sz w:val="20"/>
                <w:szCs w:val="20"/>
                <w:color w:val="auto"/>
              </w:rPr>
            </w:pPr>
            <w:r>
              <w:rPr>
                <w:rFonts w:ascii="Arial" w:cs="Arial" w:eastAsia="Arial" w:hAnsi="Arial"/>
                <w:sz w:val="18"/>
                <w:szCs w:val="18"/>
                <w:color w:val="auto"/>
              </w:rPr>
              <w:t>April 1, 2024 – April 30, 2024</w:t>
            </w:r>
          </w:p>
        </w:tc>
        <w:tc>
          <w:tcPr>
            <w:tcW w:w="1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2,444,905</w:t>
            </w:r>
          </w:p>
        </w:tc>
        <w:tc>
          <w:tcPr>
            <w:tcW w:w="74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E5E5E5"/>
          </w:tcPr>
          <w:p>
            <w:pPr>
              <w:jc w:val="right"/>
              <w:ind w:right="159"/>
              <w:spacing w:after="0"/>
              <w:rPr>
                <w:sz w:val="20"/>
                <w:szCs w:val="20"/>
                <w:color w:val="auto"/>
              </w:rPr>
            </w:pPr>
            <w:r>
              <w:rPr>
                <w:rFonts w:ascii="Arial" w:cs="Arial" w:eastAsia="Arial" w:hAnsi="Arial"/>
                <w:sz w:val="18"/>
                <w:szCs w:val="18"/>
                <w:b w:val="1"/>
                <w:bCs w:val="1"/>
                <w:color w:val="auto"/>
              </w:rPr>
              <w:t>413.75</w:t>
            </w:r>
          </w:p>
        </w:tc>
        <w:tc>
          <w:tcPr>
            <w:tcW w:w="16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2,444,905</w:t>
            </w:r>
          </w:p>
        </w:tc>
        <w:tc>
          <w:tcPr>
            <w:tcW w:w="46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12,138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May 1, 2024 – May 31, 2024</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2,233,450</w:t>
            </w:r>
          </w:p>
        </w:tc>
        <w:tc>
          <w:tcPr>
            <w:tcW w:w="740" w:type="dxa"/>
            <w:vAlign w:val="bottom"/>
          </w:tcPr>
          <w:p>
            <w:pPr>
              <w:spacing w:after="0"/>
              <w:rPr>
                <w:sz w:val="19"/>
                <w:szCs w:val="19"/>
                <w:color w:val="auto"/>
              </w:rPr>
            </w:pPr>
          </w:p>
        </w:tc>
        <w:tc>
          <w:tcPr>
            <w:tcW w:w="1460" w:type="dxa"/>
            <w:vAlign w:val="bottom"/>
          </w:tcPr>
          <w:p>
            <w:pPr>
              <w:jc w:val="right"/>
              <w:ind w:right="159"/>
              <w:spacing w:after="0"/>
              <w:rPr>
                <w:sz w:val="20"/>
                <w:szCs w:val="20"/>
                <w:color w:val="auto"/>
              </w:rPr>
            </w:pPr>
            <w:r>
              <w:rPr>
                <w:rFonts w:ascii="Arial" w:cs="Arial" w:eastAsia="Arial" w:hAnsi="Arial"/>
                <w:sz w:val="18"/>
                <w:szCs w:val="18"/>
                <w:b w:val="1"/>
                <w:bCs w:val="1"/>
                <w:color w:val="auto"/>
              </w:rPr>
              <w:t>416.85</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2,233,450</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11,207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E5E5E5"/>
          </w:tcPr>
          <w:p>
            <w:pPr>
              <w:ind w:left="20"/>
              <w:spacing w:after="0"/>
              <w:rPr>
                <w:sz w:val="20"/>
                <w:szCs w:val="20"/>
                <w:color w:val="auto"/>
              </w:rPr>
            </w:pPr>
            <w:r>
              <w:rPr>
                <w:rFonts w:ascii="Arial" w:cs="Arial" w:eastAsia="Arial" w:hAnsi="Arial"/>
                <w:sz w:val="18"/>
                <w:szCs w:val="18"/>
                <w:color w:val="auto"/>
              </w:rPr>
              <w:t>June 1, 2024 – June 30, 2024</w:t>
            </w:r>
          </w:p>
        </w:tc>
        <w:tc>
          <w:tcPr>
            <w:tcW w:w="1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1,963,873</w:t>
            </w:r>
          </w:p>
        </w:tc>
        <w:tc>
          <w:tcPr>
            <w:tcW w:w="740" w:type="dxa"/>
            <w:vAlign w:val="bottom"/>
            <w:shd w:val="clear" w:color="auto" w:fill="E5E5E5"/>
          </w:tcPr>
          <w:p>
            <w:pPr>
              <w:spacing w:after="0"/>
              <w:rPr>
                <w:sz w:val="19"/>
                <w:szCs w:val="19"/>
                <w:color w:val="auto"/>
              </w:rPr>
            </w:pPr>
          </w:p>
        </w:tc>
        <w:tc>
          <w:tcPr>
            <w:tcW w:w="1460" w:type="dxa"/>
            <w:vAlign w:val="bottom"/>
            <w:shd w:val="clear" w:color="auto" w:fill="E5E5E5"/>
          </w:tcPr>
          <w:p>
            <w:pPr>
              <w:jc w:val="right"/>
              <w:ind w:right="159"/>
              <w:spacing w:after="0"/>
              <w:rPr>
                <w:sz w:val="20"/>
                <w:szCs w:val="20"/>
                <w:color w:val="auto"/>
              </w:rPr>
            </w:pPr>
            <w:r>
              <w:rPr>
                <w:rFonts w:ascii="Arial" w:cs="Arial" w:eastAsia="Arial" w:hAnsi="Arial"/>
                <w:sz w:val="18"/>
                <w:szCs w:val="18"/>
                <w:b w:val="1"/>
                <w:bCs w:val="1"/>
                <w:color w:val="auto"/>
              </w:rPr>
              <w:t>436.58</w:t>
            </w:r>
          </w:p>
        </w:tc>
        <w:tc>
          <w:tcPr>
            <w:tcW w:w="16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1,963,873</w:t>
            </w:r>
          </w:p>
        </w:tc>
        <w:tc>
          <w:tcPr>
            <w:tcW w:w="460" w:type="dxa"/>
            <w:vAlign w:val="bottom"/>
            <w:shd w:val="clear" w:color="auto" w:fill="E5E5E5"/>
          </w:tcPr>
          <w:p>
            <w:pPr>
              <w:spacing w:after="0"/>
              <w:rPr>
                <w:sz w:val="19"/>
                <w:szCs w:val="19"/>
                <w:color w:val="auto"/>
              </w:rPr>
            </w:pPr>
          </w:p>
        </w:tc>
        <w:tc>
          <w:tcPr>
            <w:tcW w:w="15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10,349</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6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7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36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6,642,228</w:t>
            </w: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6,642,228</w:t>
            </w: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3620" w:type="dxa"/>
            <w:vAlign w:val="bottom"/>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7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 during the fourth quarter of fiscal year 2024: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Declaration Date</w:t>
            </w:r>
          </w:p>
        </w:tc>
        <w:tc>
          <w:tcPr>
            <w:tcW w:w="3100" w:type="dxa"/>
            <w:vAlign w:val="bottom"/>
            <w:vMerge w:val="restart"/>
          </w:tcPr>
          <w:p>
            <w:pPr>
              <w:ind w:left="980"/>
              <w:spacing w:after="0"/>
              <w:rPr>
                <w:sz w:val="20"/>
                <w:szCs w:val="20"/>
                <w:color w:val="auto"/>
              </w:rPr>
            </w:pPr>
            <w:r>
              <w:rPr>
                <w:rFonts w:ascii="Arial" w:cs="Arial" w:eastAsia="Arial" w:hAnsi="Arial"/>
                <w:sz w:val="13"/>
                <w:szCs w:val="13"/>
                <w:b w:val="1"/>
                <w:bCs w:val="1"/>
                <w:color w:val="auto"/>
              </w:rPr>
              <w:t>Record Date</w:t>
            </w:r>
          </w:p>
        </w:tc>
        <w:tc>
          <w:tcPr>
            <w:tcW w:w="2940" w:type="dxa"/>
            <w:vAlign w:val="bottom"/>
            <w:vMerge w:val="restart"/>
          </w:tcPr>
          <w:p>
            <w:pPr>
              <w:ind w:left="740"/>
              <w:spacing w:after="0"/>
              <w:rPr>
                <w:sz w:val="20"/>
                <w:szCs w:val="20"/>
                <w:color w:val="auto"/>
              </w:rPr>
            </w:pPr>
            <w:r>
              <w:rPr>
                <w:rFonts w:ascii="Arial" w:cs="Arial" w:eastAsia="Arial" w:hAnsi="Arial"/>
                <w:sz w:val="13"/>
                <w:szCs w:val="13"/>
                <w:b w:val="1"/>
                <w:bCs w:val="1"/>
                <w:color w:val="auto"/>
              </w:rPr>
              <w:t>Payment Date</w:t>
            </w:r>
          </w:p>
        </w:tc>
        <w:tc>
          <w:tcPr>
            <w:tcW w:w="800" w:type="dxa"/>
            <w:vAlign w:val="bottom"/>
          </w:tcPr>
          <w:p>
            <w:pPr>
              <w:spacing w:after="0"/>
              <w:rPr>
                <w:sz w:val="12"/>
                <w:szCs w:val="12"/>
                <w:color w:val="auto"/>
              </w:rPr>
            </w:pPr>
          </w:p>
        </w:tc>
        <w:tc>
          <w:tcPr>
            <w:tcW w:w="940" w:type="dxa"/>
            <w:vAlign w:val="bottom"/>
          </w:tcPr>
          <w:p>
            <w:pPr>
              <w:jc w:val="right"/>
              <w:ind w:right="65"/>
              <w:spacing w:after="0"/>
              <w:rPr>
                <w:sz w:val="20"/>
                <w:szCs w:val="20"/>
                <w:color w:val="auto"/>
              </w:rPr>
            </w:pPr>
            <w:r>
              <w:rPr>
                <w:rFonts w:ascii="Arial" w:cs="Arial" w:eastAsia="Arial" w:hAnsi="Arial"/>
                <w:sz w:val="13"/>
                <w:szCs w:val="13"/>
                <w:b w:val="1"/>
                <w:bCs w:val="1"/>
                <w:color w:val="auto"/>
              </w:rPr>
              <w:t>Dividend</w:t>
            </w:r>
          </w:p>
        </w:tc>
        <w:tc>
          <w:tcPr>
            <w:tcW w:w="320" w:type="dxa"/>
            <w:vAlign w:val="bottom"/>
          </w:tcPr>
          <w:p>
            <w:pPr>
              <w:spacing w:after="0"/>
              <w:rPr>
                <w:sz w:val="12"/>
                <w:szCs w:val="12"/>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86"/>
        </w:trPr>
        <w:tc>
          <w:tcPr>
            <w:tcW w:w="2160" w:type="dxa"/>
            <w:vAlign w:val="bottom"/>
            <w:vMerge w:val="continue"/>
          </w:tcPr>
          <w:p>
            <w:pPr>
              <w:spacing w:after="0"/>
              <w:rPr>
                <w:sz w:val="16"/>
                <w:szCs w:val="16"/>
                <w:color w:val="auto"/>
              </w:rPr>
            </w:pPr>
          </w:p>
        </w:tc>
        <w:tc>
          <w:tcPr>
            <w:tcW w:w="3100" w:type="dxa"/>
            <w:vAlign w:val="bottom"/>
            <w:vMerge w:val="continue"/>
          </w:tcPr>
          <w:p>
            <w:pPr>
              <w:spacing w:after="0"/>
              <w:rPr>
                <w:sz w:val="16"/>
                <w:szCs w:val="16"/>
                <w:color w:val="auto"/>
              </w:rPr>
            </w:pPr>
          </w:p>
        </w:tc>
        <w:tc>
          <w:tcPr>
            <w:tcW w:w="294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jc w:val="right"/>
              <w:ind w:right="65"/>
              <w:spacing w:after="0"/>
              <w:rPr>
                <w:sz w:val="20"/>
                <w:szCs w:val="20"/>
                <w:color w:val="auto"/>
              </w:rPr>
            </w:pPr>
            <w:r>
              <w:rPr>
                <w:rFonts w:ascii="Arial" w:cs="Arial" w:eastAsia="Arial" w:hAnsi="Arial"/>
                <w:sz w:val="13"/>
                <w:szCs w:val="13"/>
                <w:b w:val="1"/>
                <w:bCs w:val="1"/>
                <w:color w:val="auto"/>
              </w:rPr>
              <w:t>Per Share</w:t>
            </w:r>
          </w:p>
        </w:tc>
        <w:tc>
          <w:tcPr>
            <w:tcW w:w="3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160" w:type="dxa"/>
            <w:vAlign w:val="bottom"/>
            <w:tcBorders>
              <w:bottom w:val="single" w:sz="8" w:color="auto"/>
            </w:tcBorders>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16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58"/>
        </w:trPr>
        <w:tc>
          <w:tcPr>
            <w:tcW w:w="2160" w:type="dxa"/>
            <w:vAlign w:val="bottom"/>
          </w:tcPr>
          <w:p>
            <w:pPr>
              <w:spacing w:after="0"/>
              <w:rPr>
                <w:sz w:val="5"/>
                <w:szCs w:val="5"/>
                <w:color w:val="auto"/>
              </w:rPr>
            </w:pPr>
          </w:p>
        </w:tc>
        <w:tc>
          <w:tcPr>
            <w:tcW w:w="3100" w:type="dxa"/>
            <w:vAlign w:val="bottom"/>
          </w:tcPr>
          <w:p>
            <w:pPr>
              <w:spacing w:after="0"/>
              <w:rPr>
                <w:sz w:val="5"/>
                <w:szCs w:val="5"/>
                <w:color w:val="auto"/>
              </w:rPr>
            </w:pPr>
          </w:p>
        </w:tc>
        <w:tc>
          <w:tcPr>
            <w:tcW w:w="2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June 12, 2024</w:t>
            </w:r>
          </w:p>
        </w:tc>
        <w:tc>
          <w:tcPr>
            <w:tcW w:w="3100" w:type="dxa"/>
            <w:vAlign w:val="bottom"/>
            <w:shd w:val="clear" w:color="auto" w:fill="E5E5E5"/>
          </w:tcPr>
          <w:p>
            <w:pPr>
              <w:ind w:left="980"/>
              <w:spacing w:after="0"/>
              <w:rPr>
                <w:sz w:val="20"/>
                <w:szCs w:val="20"/>
                <w:color w:val="auto"/>
              </w:rPr>
            </w:pPr>
            <w:r>
              <w:rPr>
                <w:rFonts w:ascii="Arial" w:cs="Arial" w:eastAsia="Arial" w:hAnsi="Arial"/>
                <w:sz w:val="18"/>
                <w:szCs w:val="18"/>
                <w:b w:val="1"/>
                <w:bCs w:val="1"/>
                <w:color w:val="auto"/>
              </w:rPr>
              <w:t>August 15, 2024</w:t>
            </w:r>
          </w:p>
        </w:tc>
        <w:tc>
          <w:tcPr>
            <w:tcW w:w="2940" w:type="dxa"/>
            <w:vAlign w:val="bottom"/>
            <w:shd w:val="clear" w:color="auto" w:fill="E5E5E5"/>
          </w:tcPr>
          <w:p>
            <w:pPr>
              <w:ind w:left="740"/>
              <w:spacing w:after="0"/>
              <w:rPr>
                <w:sz w:val="20"/>
                <w:szCs w:val="20"/>
                <w:color w:val="auto"/>
              </w:rPr>
            </w:pPr>
            <w:r>
              <w:rPr>
                <w:rFonts w:ascii="Arial" w:cs="Arial" w:eastAsia="Arial" w:hAnsi="Arial"/>
                <w:sz w:val="18"/>
                <w:szCs w:val="18"/>
                <w:b w:val="1"/>
                <w:bCs w:val="1"/>
                <w:color w:val="auto"/>
              </w:rPr>
              <w:t>September 12, 2024</w:t>
            </w:r>
          </w:p>
        </w:tc>
        <w:tc>
          <w:tcPr>
            <w:tcW w:w="80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5E5E5"/>
          </w:tcPr>
          <w:p>
            <w:pPr>
              <w:jc w:val="right"/>
              <w:ind w:right="65"/>
              <w:spacing w:after="0"/>
              <w:rPr>
                <w:sz w:val="20"/>
                <w:szCs w:val="20"/>
                <w:color w:val="auto"/>
              </w:rPr>
            </w:pPr>
            <w:r>
              <w:rPr>
                <w:rFonts w:ascii="Arial" w:cs="Arial" w:eastAsia="Arial" w:hAnsi="Arial"/>
                <w:sz w:val="18"/>
                <w:szCs w:val="18"/>
                <w:b w:val="1"/>
                <w:bCs w:val="1"/>
                <w:color w:val="auto"/>
              </w:rPr>
              <w:t>0.75</w:t>
            </w:r>
          </w:p>
        </w:tc>
        <w:tc>
          <w:tcPr>
            <w:tcW w:w="320" w:type="dxa"/>
            <w:vAlign w:val="bottom"/>
            <w:shd w:val="clear" w:color="auto" w:fill="E5E5E5"/>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5,575</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160" w:type="dxa"/>
            <w:vAlign w:val="bottom"/>
            <w:tcBorders>
              <w:bottom w:val="single" w:sz="8" w:color="auto"/>
            </w:tcBorders>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returned $8.4 billion to shareholders in the form of share repurchases and dividends in the fourth quarter of fiscal year 2024. Refer to Note 16 – Stockholders’ Equity of the Notes to Financial Statements (Part II, Item 8 of this Form 10-K) for further discussion regarding share repurchases and dividends.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7" w:name="page38"/>
    <w:bookmarkEnd w:id="37"/>
    <w:p>
      <w:pPr>
        <w:ind w:left="42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4320"/>
        <w:spacing w:after="0"/>
        <w:rPr>
          <w:sz w:val="20"/>
          <w:szCs w:val="20"/>
          <w:color w:val="auto"/>
        </w:rPr>
      </w:pPr>
      <w:r>
        <w:rPr>
          <w:rFonts w:ascii="Arial" w:cs="Arial" w:eastAsia="Arial" w:hAnsi="Arial"/>
          <w:sz w:val="13"/>
          <w:szCs w:val="13"/>
          <w:color w:val="auto"/>
        </w:rPr>
        <w:t>Item 6</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ITEM 6. [RESERVED]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473710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38" w:name="page39"/>
    <w:bookmarkEnd w:id="38"/>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160" w:lineRule="exact"/>
        <w:rPr>
          <w:sz w:val="20"/>
          <w:szCs w:val="20"/>
          <w:color w:val="auto"/>
        </w:rPr>
      </w:pPr>
    </w:p>
    <w:p>
      <w:pPr>
        <w:jc w:val="center"/>
        <w:ind w:right="60"/>
        <w:spacing w:after="0" w:line="272"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consolidated financial statements and the accompanying Notes to Financial Statements (Part II, Item 8 of this Form 10-K). This section generally discusses the results of our operations for the year ended June 30, 2024 compared to the year ended June 30, 2023. For a discussion of the year ended June 30, 2023 compared to the year ended June 30, 2022, please refer to Part II, Item 7, “Management’s Discussion and Analysis of Financial Condition and Results of Operations” in our Annual Report on Form 10-K for the year ended June 30, 2023.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OVERVIEW</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Microsoft is a technology company committed to making digital technology and artificial intelligence (“AI”) available broadly and doing so responsibly, with a mission to empower every person and every organization on the planet to achieve more. We create platforms and tools, powered by AI, that deliver innovative solutions that meet the evolving needs of our customers.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generate revenue by offering a wide range of cloud-based solutions, content, and other services to people and businesses; licensing and supporting an array of software products; delivering relevant online advertising to a global audience; and designing and selling devices. Our most significant expenses are related to compensating employees; supporting and investing in our cloud-based services, including datacenter operations; designing, manufacturing, marketing, and selling our other products and services; and income taxes.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fiscal year 2024 compared with fiscal year 2023 included:</w:t>
      </w:r>
    </w:p>
    <w:p>
      <w:pPr>
        <w:spacing w:after="0" w:line="77" w:lineRule="exact"/>
        <w:rPr>
          <w:sz w:val="20"/>
          <w:szCs w:val="20"/>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Cloud revenue increased 23% to $137.4 billion.</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Office Commercial products and cloud services revenue increased 14% driven by Office 365 Commercial growth of 16%.</w:t>
      </w:r>
    </w:p>
    <w:p>
      <w:pPr>
        <w:spacing w:after="0" w:line="89"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Office Consumer products and cloud services revenue increased 4% and Microsoft 365 Consumer subscribers grew to 82.5 million.</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LinkedIn revenue increased 9%.</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Dynamics products and cloud services revenue increased 19% driven by Dynamics 365 growth of 24%.</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Server products and cloud services revenue increased 22% driven by Azure and other cloud services growth of 30%.</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Windows revenue increased 8% with Windows original equipment manufacturer licensing (“Windows OEM”) revenue growth of 7% and Windows Commercial products and cloud services revenue growth of 11%.</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Devices revenue decreased 15%.</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Xbox content and services revenue increased 50% driven by 44 points of net impact from the Activision Blizzard Inc. (“Activision Blizzard”) acquisition. The net impact reflects the change of Activision Blizzard content from third-party to first-party.</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Search and news advertising revenue excluding traffic acquisition costs increased 12%.</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October 13, 2023, we completed our acquisition of Activision Blizzard for a total purchase price of $75.4 billion, consisting primarily of cash. The financial results of Activision Blizzard have been included in our consolidated financial statements since the date of the acquisition. Activision Blizzard is reported as part of our More Personal Computing segment. Refer to Note 8 – Business Combinations of the Notes to Financial Statements (Part II, Item 8 of this Form 10-K) for further discussion.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9" w:name="page40"/>
    <w:bookmarkEnd w:id="39"/>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Challenges, and Risks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influencing how users access services in the cloud and, in some cases, the user’s choice of which suite of cloud-based services to use. Aggregate demand for our software, services, and devices is also correlated to global macroeconomic and geopolitical factors, which remain dynamic. We must continue to evolve and adapt over an extended time in pace with this changing environment.</w:t>
      </w:r>
    </w:p>
    <w:p>
      <w:pPr>
        <w:spacing w:after="0" w:line="12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investments we are making in cloud and AI infrastructure and devices will continue to increase our operating costs and may decrease our operating margins. We continue to identify and evaluate opportunities to expand our datacenter locations and increase our server capacity to meet the evolving needs of our customers, particularly given the growing demand for AI services. Our datacenters depend on the availability of permitted and buildable land, predictable energy, networking supplies, and servers, including graphics processing units (“GPUs”) and other components. Our devices are primarily manufactured by third-party contract manufacturers. For the majority of our products, we have the ability to use other manufacturers if a current vendor becomes unavailable or unable to meet our requirements. However, some of our products contain certain components for which there are very few qualified suppliers. Extended disruptions at these suppliers could impact our ability to manufacture devices on time to meet consumer demand.</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Fluctuations in the U.S. dollar relative to certain foreign currencies did not have a material impact on reported revenue and expenses from our international operations in fiscal year 2024.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Refer to Risk Factors (Part I, Item 1A of this Form 10-K) for a discussion of these factors and other risks.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revenue fluctuates quarterly and is generally higher in the fourth quarter of our fiscal year. Fourth quarter revenue is driven by a higher volume of multi-year contracts executed during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Estimate</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July 2022, we completed an assessment of the useful lives of our server and network equipment. Due to investments in software that increased efficiencies in how we operate our server and network equipment, as well as advances in technology, we determined we should increase the estimated useful lives of both server and network equipment from four years to six years. This change in accounting estimate was effective beginning fiscal year 2023.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0" w:name="page41"/>
    <w:bookmarkEnd w:id="40"/>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report our financial performance based on the following segments: Productivity and Business Processes, Intelligent Cloud, and More Personal Computing. The segment amounts included in MD&amp;A are presented on a basis consistent with our internal management reporting.</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Additional information on our reportable segments is contained in Note 19 – Segment Information and Geographic Data of the Notes to Financial Statements (Part II, Item 8 of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Metrics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Our commercial and other business metrics are fundamentally connected based on how customers use our products and services. The metrics are disclosed in the MD&amp;A or the Notes to Financial Statements (Part II, Item 8 of this Form 10-K). Financial metrics are calculated based on financial results prepared in accordance with accounting principles generally accepted in the United States of America (“GAAP”), and growth comparisons relate to the corresponding period of last fiscal year.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fiscal year 2024, we made updates to the presentation and method of calculation for certain metrics, revising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Microsoft Cloud revenue metric to include revenue growth and expanding our Microsoft 365 Consumer subscribers metric to include</w:t>
      </w:r>
    </w:p>
    <w:p>
      <w:pPr>
        <w:spacing w:after="0"/>
        <w:rPr>
          <w:sz w:val="20"/>
          <w:szCs w:val="20"/>
          <w:color w:val="auto"/>
        </w:rPr>
      </w:pPr>
      <w:r>
        <w:rPr>
          <w:rFonts w:ascii="Arial" w:cs="Arial" w:eastAsia="Arial" w:hAnsi="Arial"/>
          <w:sz w:val="18"/>
          <w:szCs w:val="18"/>
          <w:color w:val="auto"/>
        </w:rPr>
        <w:t>Microsoft 365 Basic subscribers, aligning with how we manage our business.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commercial business primarily consists of Server products and cloud services, Office Commercial, Windows Commercial, the commercial portion of LinkedIn, Enterprise and partner services, and Dynamics. Our commercial metrics allow management and investors to assess the overall health of our commercial business and include leading indicators of future performance.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ind w:left="180"/>
              <w:spacing w:after="0"/>
              <w:rPr>
                <w:sz w:val="20"/>
                <w:szCs w:val="20"/>
                <w:color w:val="auto"/>
              </w:rPr>
            </w:pPr>
            <w:r>
              <w:rPr>
                <w:rFonts w:ascii="Arial" w:cs="Arial" w:eastAsia="Arial" w:hAnsi="Arial"/>
                <w:sz w:val="18"/>
                <w:szCs w:val="18"/>
                <w:color w:val="auto"/>
              </w:rPr>
              <w:t>Commercial remaining performance obligation</w:t>
            </w:r>
          </w:p>
        </w:tc>
        <w:tc>
          <w:tcPr>
            <w:tcW w:w="7040" w:type="dxa"/>
            <w:vAlign w:val="bottom"/>
          </w:tcPr>
          <w:p>
            <w:pPr>
              <w:ind w:left="320"/>
              <w:spacing w:after="0"/>
              <w:rPr>
                <w:sz w:val="20"/>
                <w:szCs w:val="20"/>
                <w:color w:val="auto"/>
              </w:rPr>
            </w:pPr>
            <w:r>
              <w:rPr>
                <w:rFonts w:ascii="Arial" w:cs="Arial" w:eastAsia="Arial" w:hAnsi="Arial"/>
                <w:sz w:val="18"/>
                <w:szCs w:val="18"/>
                <w:color w:val="auto"/>
              </w:rPr>
              <w:t>Commercial portion of revenue allocated to remaining performance obligations,</w:t>
            </w:r>
          </w:p>
        </w:tc>
      </w:tr>
      <w:tr>
        <w:trPr>
          <w:trHeight w:val="203"/>
        </w:trPr>
        <w:tc>
          <w:tcPr>
            <w:tcW w:w="4200" w:type="dxa"/>
            <w:vAlign w:val="bottom"/>
          </w:tcPr>
          <w:p>
            <w:pPr>
              <w:spacing w:after="0"/>
              <w:rPr>
                <w:sz w:val="17"/>
                <w:szCs w:val="17"/>
                <w:color w:val="auto"/>
              </w:rPr>
            </w:pPr>
          </w:p>
        </w:tc>
        <w:tc>
          <w:tcPr>
            <w:tcW w:w="7040" w:type="dxa"/>
            <w:vAlign w:val="bottom"/>
          </w:tcPr>
          <w:p>
            <w:pPr>
              <w:ind w:left="320"/>
              <w:spacing w:after="0" w:line="202" w:lineRule="exact"/>
              <w:rPr>
                <w:sz w:val="20"/>
                <w:szCs w:val="20"/>
                <w:color w:val="auto"/>
              </w:rPr>
            </w:pPr>
            <w:r>
              <w:rPr>
                <w:rFonts w:ascii="Arial" w:cs="Arial" w:eastAsia="Arial" w:hAnsi="Arial"/>
                <w:sz w:val="18"/>
                <w:szCs w:val="18"/>
                <w:color w:val="auto"/>
              </w:rPr>
              <w:t>which includes unearned revenue and amounts that will be invoiced and recognized</w:t>
            </w:r>
          </w:p>
        </w:tc>
      </w:tr>
      <w:tr>
        <w:trPr>
          <w:trHeight w:val="239"/>
        </w:trPr>
        <w:tc>
          <w:tcPr>
            <w:tcW w:w="4200" w:type="dxa"/>
            <w:vAlign w:val="bottom"/>
          </w:tcPr>
          <w:p>
            <w:pPr>
              <w:spacing w:after="0"/>
              <w:rPr>
                <w:sz w:val="20"/>
                <w:szCs w:val="20"/>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as revenue in future periods</w:t>
            </w:r>
          </w:p>
        </w:tc>
      </w:tr>
      <w:tr>
        <w:trPr>
          <w:trHeight w:val="261"/>
        </w:trPr>
        <w:tc>
          <w:tcPr>
            <w:tcW w:w="4200" w:type="dxa"/>
            <w:vAlign w:val="bottom"/>
          </w:tcPr>
          <w:p>
            <w:pPr>
              <w:ind w:left="180"/>
              <w:spacing w:after="0"/>
              <w:rPr>
                <w:sz w:val="20"/>
                <w:szCs w:val="20"/>
                <w:color w:val="auto"/>
              </w:rPr>
            </w:pPr>
            <w:r>
              <w:rPr>
                <w:rFonts w:ascii="Arial" w:cs="Arial" w:eastAsia="Arial" w:hAnsi="Arial"/>
                <w:sz w:val="18"/>
                <w:szCs w:val="18"/>
                <w:color w:val="auto"/>
              </w:rPr>
              <w:t>Microsoft Cloud revenue and revenue growth</w:t>
            </w:r>
          </w:p>
        </w:tc>
        <w:tc>
          <w:tcPr>
            <w:tcW w:w="7040" w:type="dxa"/>
            <w:vAlign w:val="bottom"/>
          </w:tcPr>
          <w:p>
            <w:pPr>
              <w:ind w:left="320"/>
              <w:spacing w:after="0"/>
              <w:rPr>
                <w:sz w:val="20"/>
                <w:szCs w:val="20"/>
                <w:color w:val="auto"/>
              </w:rPr>
            </w:pPr>
            <w:r>
              <w:rPr>
                <w:rFonts w:ascii="Arial" w:cs="Arial" w:eastAsia="Arial" w:hAnsi="Arial"/>
                <w:sz w:val="18"/>
                <w:szCs w:val="18"/>
                <w:color w:val="auto"/>
              </w:rPr>
              <w:t>Revenue  from  Azure  and  other  cloud  services,  Office  365  Commercial,  the</w:t>
            </w:r>
          </w:p>
        </w:tc>
      </w:tr>
      <w:tr>
        <w:trPr>
          <w:trHeight w:val="203"/>
        </w:trPr>
        <w:tc>
          <w:tcPr>
            <w:tcW w:w="4200" w:type="dxa"/>
            <w:vAlign w:val="bottom"/>
          </w:tcPr>
          <w:p>
            <w:pPr>
              <w:spacing w:after="0"/>
              <w:rPr>
                <w:sz w:val="17"/>
                <w:szCs w:val="17"/>
                <w:color w:val="auto"/>
              </w:rPr>
            </w:pPr>
          </w:p>
        </w:tc>
        <w:tc>
          <w:tcPr>
            <w:tcW w:w="7040" w:type="dxa"/>
            <w:vAlign w:val="bottom"/>
          </w:tcPr>
          <w:p>
            <w:pPr>
              <w:ind w:left="320"/>
              <w:spacing w:after="0" w:line="202" w:lineRule="exact"/>
              <w:rPr>
                <w:sz w:val="20"/>
                <w:szCs w:val="20"/>
                <w:color w:val="auto"/>
              </w:rPr>
            </w:pPr>
            <w:r>
              <w:rPr>
                <w:rFonts w:ascii="Arial" w:cs="Arial" w:eastAsia="Arial" w:hAnsi="Arial"/>
                <w:sz w:val="18"/>
                <w:szCs w:val="18"/>
                <w:color w:val="auto"/>
              </w:rPr>
              <w:t>commercial  portion  of  LinkedIn,  Dynamics  365,  and  other  commercial  cloud</w:t>
            </w:r>
          </w:p>
        </w:tc>
      </w:tr>
      <w:tr>
        <w:trPr>
          <w:trHeight w:val="239"/>
        </w:trPr>
        <w:tc>
          <w:tcPr>
            <w:tcW w:w="4200" w:type="dxa"/>
            <w:vAlign w:val="bottom"/>
          </w:tcPr>
          <w:p>
            <w:pPr>
              <w:spacing w:after="0"/>
              <w:rPr>
                <w:sz w:val="20"/>
                <w:szCs w:val="20"/>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properties</w:t>
            </w:r>
          </w:p>
        </w:tc>
      </w:tr>
      <w:tr>
        <w:trPr>
          <w:trHeight w:val="297"/>
        </w:trPr>
        <w:tc>
          <w:tcPr>
            <w:tcW w:w="4200" w:type="dxa"/>
            <w:vAlign w:val="bottom"/>
          </w:tcPr>
          <w:p>
            <w:pPr>
              <w:ind w:left="180"/>
              <w:spacing w:after="0"/>
              <w:rPr>
                <w:sz w:val="20"/>
                <w:szCs w:val="20"/>
                <w:color w:val="auto"/>
              </w:rPr>
            </w:pPr>
            <w:r>
              <w:rPr>
                <w:rFonts w:ascii="Arial" w:cs="Arial" w:eastAsia="Arial" w:hAnsi="Arial"/>
                <w:sz w:val="18"/>
                <w:szCs w:val="18"/>
                <w:color w:val="auto"/>
              </w:rPr>
              <w:t>Microsoft Cloud gross margin percentage</w:t>
            </w:r>
          </w:p>
        </w:tc>
        <w:tc>
          <w:tcPr>
            <w:tcW w:w="7040" w:type="dxa"/>
            <w:vAlign w:val="bottom"/>
          </w:tcPr>
          <w:p>
            <w:pPr>
              <w:ind w:left="320"/>
              <w:spacing w:after="0"/>
              <w:rPr>
                <w:sz w:val="20"/>
                <w:szCs w:val="20"/>
                <w:color w:val="auto"/>
              </w:rPr>
            </w:pPr>
            <w:r>
              <w:rPr>
                <w:rFonts w:ascii="Arial" w:cs="Arial" w:eastAsia="Arial" w:hAnsi="Arial"/>
                <w:sz w:val="18"/>
                <w:szCs w:val="18"/>
                <w:color w:val="auto"/>
              </w:rPr>
              <w:t>Gross margin percentage for our Microsoft Cloud business</w:t>
            </w:r>
          </w:p>
        </w:tc>
      </w:tr>
      <w:tr>
        <w:trPr>
          <w:trHeight w:val="609"/>
        </w:trPr>
        <w:tc>
          <w:tcPr>
            <w:tcW w:w="4200" w:type="dxa"/>
            <w:vAlign w:val="bottom"/>
          </w:tcPr>
          <w:p>
            <w:pPr>
              <w:spacing w:after="0"/>
              <w:rPr>
                <w:sz w:val="24"/>
                <w:szCs w:val="24"/>
                <w:color w:val="auto"/>
              </w:rPr>
            </w:pPr>
          </w:p>
        </w:tc>
        <w:tc>
          <w:tcPr>
            <w:tcW w:w="7040" w:type="dxa"/>
            <w:vAlign w:val="bottom"/>
          </w:tcPr>
          <w:p>
            <w:pPr>
              <w:ind w:left="1340"/>
              <w:spacing w:after="0"/>
              <w:rPr>
                <w:sz w:val="20"/>
                <w:szCs w:val="20"/>
                <w:color w:val="auto"/>
              </w:rPr>
            </w:pPr>
            <w:r>
              <w:rPr>
                <w:rFonts w:ascii="Arial" w:cs="Arial" w:eastAsia="Arial" w:hAnsi="Arial"/>
                <w:sz w:val="14"/>
                <w:szCs w:val="14"/>
                <w:color w:val="auto"/>
              </w:rPr>
              <w:t>41</w:t>
            </w:r>
          </w:p>
        </w:tc>
      </w:tr>
      <w:tr>
        <w:trPr>
          <w:trHeight w:val="744"/>
        </w:trPr>
        <w:tc>
          <w:tcPr>
            <w:tcW w:w="420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1" w:name="page42"/>
    <w:bookmarkEnd w:id="41"/>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Productivity and Business Processes and Intelligent Cloud</w:t>
      </w:r>
    </w:p>
    <w:p>
      <w:pPr>
        <w:spacing w:after="0" w:line="15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Metrics related to our Productivity and Business Processes and Intelligent Cloud segments assess the health of our core businesses within these segments. The metrics reflect our cloud and on-premises product strategies and trends.</w:t>
      </w:r>
    </w:p>
    <w:p>
      <w:pPr>
        <w:sectPr>
          <w:pgSz w:w="11900" w:h="16838" w:orient="portrait"/>
          <w:cols w:equalWidth="0" w:num="1">
            <w:col w:w="11240"/>
          </w:cols>
          <w:pgMar w:left="320" w:top="775" w:right="339" w:bottom="1440" w:gutter="0" w:footer="0" w:header="0"/>
        </w:sectPr>
      </w:pPr>
    </w:p>
    <w:p>
      <w:pPr>
        <w:spacing w:after="0" w:line="140" w:lineRule="exact"/>
        <w:rPr>
          <w:sz w:val="20"/>
          <w:szCs w:val="20"/>
          <w:color w:val="auto"/>
        </w:rPr>
      </w:pPr>
    </w:p>
    <w:p>
      <w:pPr>
        <w:ind w:left="180"/>
        <w:spacing w:after="0" w:line="271" w:lineRule="auto"/>
        <w:rPr>
          <w:sz w:val="20"/>
          <w:szCs w:val="20"/>
          <w:color w:val="auto"/>
        </w:rPr>
      </w:pPr>
      <w:r>
        <w:rPr>
          <w:rFonts w:ascii="Arial" w:cs="Arial" w:eastAsia="Arial" w:hAnsi="Arial"/>
          <w:sz w:val="18"/>
          <w:szCs w:val="18"/>
          <w:color w:val="auto"/>
        </w:rPr>
        <w:t>Office Commercial products and cloud services revenue growth</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Revenue from Office Commercial products and cloud services (Office 365 subscriptions, the Office 365 portion of Microsoft 365 Commercial subscriptions, and Office licensed on-premises), comprising Office, Exchange, SharePoint, Microsoft Teams, Office 365 Security and Compliance, Microsoft Viva, and Copilot for Microsoft 365</w:t>
      </w:r>
    </w:p>
    <w:p>
      <w:pPr>
        <w:spacing w:after="0" w:line="55" w:lineRule="exact"/>
        <w:rPr>
          <w:sz w:val="20"/>
          <w:szCs w:val="20"/>
          <w:color w:val="auto"/>
        </w:rPr>
      </w:pPr>
    </w:p>
    <w:p>
      <w:pPr>
        <w:sectPr>
          <w:pgSz w:w="11900" w:h="16838" w:orient="portrait"/>
          <w:cols w:equalWidth="0" w:num="2">
            <w:col w:w="3940" w:space="580"/>
            <w:col w:w="6720"/>
          </w:cols>
          <w:pgMar w:left="320" w:top="775" w:right="339" w:bottom="1440" w:gutter="0" w:footer="0" w:header="0"/>
          <w:type w:val="continuous"/>
        </w:sectPr>
      </w:pPr>
    </w:p>
    <w:p>
      <w:pPr>
        <w:ind w:left="180"/>
        <w:spacing w:after="0" w:line="271" w:lineRule="auto"/>
        <w:rPr>
          <w:sz w:val="20"/>
          <w:szCs w:val="20"/>
          <w:color w:val="auto"/>
        </w:rPr>
      </w:pPr>
      <w:r>
        <w:rPr>
          <w:rFonts w:ascii="Arial" w:cs="Arial" w:eastAsia="Arial" w:hAnsi="Arial"/>
          <w:sz w:val="18"/>
          <w:szCs w:val="18"/>
          <w:color w:val="auto"/>
        </w:rPr>
        <w:t>Office Consumer products and cloud services revenue growth</w:t>
      </w:r>
    </w:p>
    <w:p>
      <w:pPr>
        <w:spacing w:after="0" w:line="20" w:lineRule="exact"/>
        <w:rPr>
          <w:sz w:val="20"/>
          <w:szCs w:val="20"/>
          <w:color w:val="auto"/>
        </w:rPr>
      </w:pPr>
      <w:r>
        <w:rPr>
          <w:sz w:val="20"/>
          <w:szCs w:val="20"/>
          <w:color w:val="auto"/>
        </w:rPr>
        <w:br w:type="column"/>
      </w:r>
    </w:p>
    <w:p>
      <w:pPr>
        <w:jc w:val="both"/>
        <w:ind w:right="20"/>
        <w:spacing w:after="0" w:line="253" w:lineRule="auto"/>
        <w:rPr>
          <w:sz w:val="20"/>
          <w:szCs w:val="20"/>
          <w:color w:val="auto"/>
        </w:rPr>
      </w:pPr>
      <w:r>
        <w:rPr>
          <w:rFonts w:ascii="Arial" w:cs="Arial" w:eastAsia="Arial" w:hAnsi="Arial"/>
          <w:sz w:val="18"/>
          <w:szCs w:val="18"/>
          <w:color w:val="auto"/>
        </w:rPr>
        <w:t>Revenue from Office Consumer products and cloud services, including Microsoft 365 Consumer and Copilot Pro subscriptions, Office licensed on-premises, and other Office services</w:t>
      </w:r>
    </w:p>
    <w:p>
      <w:pPr>
        <w:spacing w:after="0" w:line="47" w:lineRule="exact"/>
        <w:rPr>
          <w:sz w:val="20"/>
          <w:szCs w:val="20"/>
          <w:color w:val="auto"/>
        </w:rPr>
      </w:pPr>
    </w:p>
    <w:p>
      <w:pPr>
        <w:sectPr>
          <w:pgSz w:w="11900" w:h="16838" w:orient="portrait"/>
          <w:cols w:equalWidth="0" w:num="2">
            <w:col w:w="3820" w:space="700"/>
            <w:col w:w="6720"/>
          </w:cols>
          <w:pgMar w:left="320" w:top="775" w:right="339" w:bottom="1440" w:gutter="0" w:footer="0" w:header="0"/>
          <w:type w:val="continuous"/>
        </w:sectPr>
      </w:pPr>
    </w:p>
    <w:p>
      <w:pPr>
        <w:ind w:left="180"/>
        <w:spacing w:after="0"/>
        <w:tabs>
          <w:tab w:leader="none" w:pos="4500" w:val="left"/>
        </w:tabs>
        <w:rPr>
          <w:sz w:val="20"/>
          <w:szCs w:val="20"/>
          <w:color w:val="auto"/>
        </w:rPr>
      </w:pPr>
      <w:r>
        <w:rPr>
          <w:rFonts w:ascii="Arial" w:cs="Arial" w:eastAsia="Arial" w:hAnsi="Arial"/>
          <w:sz w:val="18"/>
          <w:szCs w:val="18"/>
          <w:color w:val="auto"/>
        </w:rPr>
        <w:t>Office 365 Commercial seat growth</w:t>
      </w:r>
      <w:r>
        <w:rPr>
          <w:sz w:val="20"/>
          <w:szCs w:val="20"/>
          <w:color w:val="auto"/>
        </w:rPr>
        <w:tab/>
      </w:r>
      <w:r>
        <w:rPr>
          <w:rFonts w:ascii="Arial" w:cs="Arial" w:eastAsia="Arial" w:hAnsi="Arial"/>
          <w:sz w:val="18"/>
          <w:szCs w:val="18"/>
          <w:color w:val="auto"/>
        </w:rPr>
        <w:t>The number of Office 365 Commercial seats at end of period where seats are paid</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users covered by an Office 365 Commercial subscription</w:t>
      </w:r>
    </w:p>
    <w:p>
      <w:pPr>
        <w:spacing w:after="0" w:line="72" w:lineRule="exact"/>
        <w:rPr>
          <w:sz w:val="20"/>
          <w:szCs w:val="20"/>
          <w:color w:val="auto"/>
        </w:rPr>
      </w:pPr>
    </w:p>
    <w:p>
      <w:pPr>
        <w:ind w:left="180"/>
        <w:spacing w:after="0"/>
        <w:tabs>
          <w:tab w:leader="none" w:pos="4500" w:val="left"/>
        </w:tabs>
        <w:rPr>
          <w:sz w:val="20"/>
          <w:szCs w:val="20"/>
          <w:color w:val="auto"/>
        </w:rPr>
      </w:pPr>
      <w:r>
        <w:rPr>
          <w:rFonts w:ascii="Arial" w:cs="Arial" w:eastAsia="Arial" w:hAnsi="Arial"/>
          <w:sz w:val="18"/>
          <w:szCs w:val="18"/>
          <w:color w:val="auto"/>
        </w:rPr>
        <w:t>Microsoft 365 Consumer subscribers</w:t>
      </w:r>
      <w:r>
        <w:rPr>
          <w:sz w:val="20"/>
          <w:szCs w:val="20"/>
          <w:color w:val="auto"/>
        </w:rPr>
        <w:tab/>
      </w:r>
      <w:r>
        <w:rPr>
          <w:rFonts w:ascii="Arial" w:cs="Arial" w:eastAsia="Arial" w:hAnsi="Arial"/>
          <w:sz w:val="18"/>
          <w:szCs w:val="18"/>
          <w:color w:val="auto"/>
        </w:rPr>
        <w:t>The number of Microsoft 365 Consumer and Copilot Pro subscribers at end of</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period</w:t>
      </w:r>
    </w:p>
    <w:p>
      <w:pPr>
        <w:sectPr>
          <w:pgSz w:w="11900" w:h="16838" w:orient="portrait"/>
          <w:cols w:equalWidth="0" w:num="1">
            <w:col w:w="11240"/>
          </w:cols>
          <w:pgMar w:left="320" w:top="775" w:right="339" w:bottom="1440" w:gutter="0" w:footer="0" w:header="0"/>
          <w:type w:val="continuous"/>
        </w:sectPr>
      </w:pPr>
    </w:p>
    <w:p>
      <w:pPr>
        <w:spacing w:after="0" w:line="72" w:lineRule="exact"/>
        <w:rPr>
          <w:sz w:val="20"/>
          <w:szCs w:val="20"/>
          <w:color w:val="auto"/>
        </w:rPr>
      </w:pPr>
    </w:p>
    <w:p>
      <w:pPr>
        <w:ind w:left="180"/>
        <w:spacing w:after="0" w:line="271" w:lineRule="auto"/>
        <w:rPr>
          <w:sz w:val="20"/>
          <w:szCs w:val="20"/>
          <w:color w:val="auto"/>
        </w:rPr>
      </w:pPr>
      <w:r>
        <w:rPr>
          <w:rFonts w:ascii="Arial" w:cs="Arial" w:eastAsia="Arial" w:hAnsi="Arial"/>
          <w:sz w:val="18"/>
          <w:szCs w:val="18"/>
          <w:color w:val="auto"/>
        </w:rPr>
        <w:t>Dynamics products and cloud services revenue growth</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Revenue from Dynamics products and cloud services, including Dynamics 365, comprising a set of intelligent, cloud-based applications across ERP, CRM, Power Apps, and Power Automate; and on-premises ERP and CRM applications</w:t>
      </w:r>
    </w:p>
    <w:p>
      <w:pPr>
        <w:spacing w:after="0" w:line="47" w:lineRule="exact"/>
        <w:rPr>
          <w:sz w:val="20"/>
          <w:szCs w:val="20"/>
          <w:color w:val="auto"/>
        </w:rPr>
      </w:pPr>
    </w:p>
    <w:p>
      <w:pPr>
        <w:sectPr>
          <w:pgSz w:w="11900" w:h="16838" w:orient="portrait"/>
          <w:cols w:equalWidth="0" w:num="2">
            <w:col w:w="3960" w:space="560"/>
            <w:col w:w="6720"/>
          </w:cols>
          <w:pgMar w:left="320" w:top="775" w:right="339" w:bottom="1440" w:gutter="0" w:footer="0" w:header="0"/>
          <w:type w:val="continuous"/>
        </w:sectPr>
      </w:pPr>
    </w:p>
    <w:p>
      <w:pPr>
        <w:ind w:left="180"/>
        <w:spacing w:after="0"/>
        <w:tabs>
          <w:tab w:leader="none" w:pos="4500" w:val="left"/>
        </w:tabs>
        <w:rPr>
          <w:sz w:val="20"/>
          <w:szCs w:val="20"/>
          <w:color w:val="auto"/>
        </w:rPr>
      </w:pPr>
      <w:r>
        <w:rPr>
          <w:rFonts w:ascii="Arial" w:cs="Arial" w:eastAsia="Arial" w:hAnsi="Arial"/>
          <w:sz w:val="18"/>
          <w:szCs w:val="18"/>
          <w:color w:val="auto"/>
        </w:rPr>
        <w:t>LinkedIn revenue growth</w:t>
      </w:r>
      <w:r>
        <w:rPr>
          <w:sz w:val="20"/>
          <w:szCs w:val="20"/>
          <w:color w:val="auto"/>
        </w:rPr>
        <w:tab/>
      </w:r>
      <w:r>
        <w:rPr>
          <w:rFonts w:ascii="Arial" w:cs="Arial" w:eastAsia="Arial" w:hAnsi="Arial"/>
          <w:sz w:val="18"/>
          <w:szCs w:val="18"/>
          <w:color w:val="auto"/>
        </w:rPr>
        <w:t>Revenue from LinkedIn, including Talent Solutions, Marketing Solutions, Premium</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Subscriptions, and Sales Solutions</w:t>
      </w:r>
    </w:p>
    <w:p>
      <w:pPr>
        <w:spacing w:after="0" w:line="72" w:lineRule="exact"/>
        <w:rPr>
          <w:sz w:val="20"/>
          <w:szCs w:val="20"/>
          <w:color w:val="auto"/>
        </w:rPr>
      </w:pPr>
    </w:p>
    <w:p>
      <w:pPr>
        <w:ind w:left="180"/>
        <w:spacing w:after="0"/>
        <w:tabs>
          <w:tab w:leader="none" w:pos="4500" w:val="left"/>
        </w:tabs>
        <w:rPr>
          <w:sz w:val="20"/>
          <w:szCs w:val="20"/>
          <w:color w:val="auto"/>
        </w:rPr>
      </w:pPr>
      <w:r>
        <w:rPr>
          <w:rFonts w:ascii="Arial" w:cs="Arial" w:eastAsia="Arial" w:hAnsi="Arial"/>
          <w:sz w:val="18"/>
          <w:szCs w:val="18"/>
          <w:color w:val="auto"/>
        </w:rPr>
        <w:t>Server products and cloud services revenue growth</w:t>
        <w:tab/>
        <w:t>Revenue from Server products and cloud services, including Azure and other cloud</w:t>
      </w:r>
    </w:p>
    <w:p>
      <w:pPr>
        <w:spacing w:after="0" w:line="14" w:lineRule="exact"/>
        <w:rPr>
          <w:sz w:val="20"/>
          <w:szCs w:val="20"/>
          <w:color w:val="auto"/>
        </w:rPr>
      </w:pPr>
    </w:p>
    <w:p>
      <w:pPr>
        <w:ind w:left="4520" w:right="20"/>
        <w:spacing w:after="0" w:line="250" w:lineRule="auto"/>
        <w:rPr>
          <w:sz w:val="20"/>
          <w:szCs w:val="20"/>
          <w:color w:val="auto"/>
        </w:rPr>
      </w:pPr>
      <w:r>
        <w:rPr>
          <w:rFonts w:ascii="Arial" w:cs="Arial" w:eastAsia="Arial" w:hAnsi="Arial"/>
          <w:sz w:val="18"/>
          <w:szCs w:val="18"/>
          <w:color w:val="auto"/>
        </w:rPr>
        <w:t>services; SQL Server, Windows Server, Visual Studio, System Center, and related Client Access Licenses (“CALs”); and Nuance and GitHub</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More Personal Computing</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Metrics related to our More Personal Computing segment assess the performance of key lines of business within this segment. These metrics provide strategic product insights which allow us to assess the performance across our commercial and consumer businesses. As we have diversity of target audiences and sales motions within the Windows business, we monitor metrics that are reflective of those varying motions.</w:t>
      </w:r>
    </w:p>
    <w:p>
      <w:pPr>
        <w:spacing w:after="0" w:line="160" w:lineRule="exact"/>
        <w:rPr>
          <w:sz w:val="20"/>
          <w:szCs w:val="20"/>
          <w:color w:val="auto"/>
        </w:rPr>
      </w:pPr>
    </w:p>
    <w:p>
      <w:pPr>
        <w:ind w:left="180"/>
        <w:spacing w:after="0"/>
        <w:tabs>
          <w:tab w:leader="none" w:pos="4500" w:val="left"/>
        </w:tabs>
        <w:rPr>
          <w:sz w:val="20"/>
          <w:szCs w:val="20"/>
          <w:color w:val="auto"/>
        </w:rPr>
      </w:pPr>
      <w:r>
        <w:rPr>
          <w:rFonts w:ascii="Arial" w:cs="Arial" w:eastAsia="Arial" w:hAnsi="Arial"/>
          <w:sz w:val="18"/>
          <w:szCs w:val="18"/>
          <w:color w:val="auto"/>
        </w:rPr>
        <w:t>Windows OEM revenue growth</w:t>
      </w:r>
      <w:r>
        <w:rPr>
          <w:sz w:val="20"/>
          <w:szCs w:val="20"/>
          <w:color w:val="auto"/>
        </w:rPr>
        <w:tab/>
      </w:r>
      <w:r>
        <w:rPr>
          <w:rFonts w:ascii="Arial" w:cs="Arial" w:eastAsia="Arial" w:hAnsi="Arial"/>
          <w:sz w:val="18"/>
          <w:szCs w:val="18"/>
          <w:color w:val="auto"/>
        </w:rPr>
        <w:t>Revenue from sales of Windows Pro and non-Pro licenses sold through the OEM</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channel</w:t>
      </w:r>
    </w:p>
    <w:p>
      <w:pPr>
        <w:sectPr>
          <w:pgSz w:w="11900" w:h="16838" w:orient="portrait"/>
          <w:cols w:equalWidth="0" w:num="1">
            <w:col w:w="11240"/>
          </w:cols>
          <w:pgMar w:left="320" w:top="775" w:right="339" w:bottom="1440" w:gutter="0" w:footer="0" w:header="0"/>
          <w:type w:val="continuous"/>
        </w:sectPr>
      </w:pPr>
    </w:p>
    <w:p>
      <w:pPr>
        <w:spacing w:after="0" w:line="72" w:lineRule="exact"/>
        <w:rPr>
          <w:sz w:val="20"/>
          <w:szCs w:val="20"/>
          <w:color w:val="auto"/>
        </w:rPr>
      </w:pPr>
    </w:p>
    <w:p>
      <w:pPr>
        <w:ind w:left="180"/>
        <w:spacing w:after="0" w:line="271" w:lineRule="auto"/>
        <w:rPr>
          <w:sz w:val="20"/>
          <w:szCs w:val="20"/>
          <w:color w:val="auto"/>
        </w:rPr>
      </w:pPr>
      <w:r>
        <w:rPr>
          <w:rFonts w:ascii="Arial" w:cs="Arial" w:eastAsia="Arial" w:hAnsi="Arial"/>
          <w:sz w:val="18"/>
          <w:szCs w:val="18"/>
          <w:color w:val="auto"/>
        </w:rPr>
        <w:t>Windows Commercial products and cloud services revenue growth</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Revenue from Windows Commercial products and cloud services, comprising volume licensing of the Windows operating system, Windows cloud services, and other Windows commercial offerings</w:t>
      </w:r>
    </w:p>
    <w:p>
      <w:pPr>
        <w:spacing w:after="0" w:line="47" w:lineRule="exact"/>
        <w:rPr>
          <w:sz w:val="20"/>
          <w:szCs w:val="20"/>
          <w:color w:val="auto"/>
        </w:rPr>
      </w:pPr>
    </w:p>
    <w:p>
      <w:pPr>
        <w:sectPr>
          <w:pgSz w:w="11900" w:h="16838" w:orient="portrait"/>
          <w:cols w:equalWidth="0" w:num="2">
            <w:col w:w="4200" w:space="320"/>
            <w:col w:w="6720"/>
          </w:cols>
          <w:pgMar w:left="320" w:top="775" w:right="339" w:bottom="1440" w:gutter="0" w:footer="0" w:header="0"/>
          <w:type w:val="continuous"/>
        </w:sectPr>
      </w:pPr>
    </w:p>
    <w:p>
      <w:pPr>
        <w:ind w:left="180"/>
        <w:spacing w:after="0"/>
        <w:tabs>
          <w:tab w:leader="none" w:pos="4500" w:val="left"/>
        </w:tabs>
        <w:rPr>
          <w:sz w:val="20"/>
          <w:szCs w:val="20"/>
          <w:color w:val="auto"/>
        </w:rPr>
      </w:pPr>
      <w:r>
        <w:rPr>
          <w:rFonts w:ascii="Arial" w:cs="Arial" w:eastAsia="Arial" w:hAnsi="Arial"/>
          <w:sz w:val="18"/>
          <w:szCs w:val="18"/>
          <w:color w:val="auto"/>
        </w:rPr>
        <w:t>Devices revenue growth</w:t>
      </w:r>
      <w:r>
        <w:rPr>
          <w:sz w:val="20"/>
          <w:szCs w:val="20"/>
          <w:color w:val="auto"/>
        </w:rPr>
        <w:tab/>
      </w:r>
      <w:r>
        <w:rPr>
          <w:rFonts w:ascii="Arial" w:cs="Arial" w:eastAsia="Arial" w:hAnsi="Arial"/>
          <w:sz w:val="17"/>
          <w:szCs w:val="17"/>
          <w:color w:val="auto"/>
        </w:rPr>
        <w:t>Revenue from Devices, including Surface, HoloLens, and PC accessories</w:t>
      </w:r>
    </w:p>
    <w:p>
      <w:pPr>
        <w:spacing w:after="0" w:line="90" w:lineRule="exact"/>
        <w:rPr>
          <w:sz w:val="20"/>
          <w:szCs w:val="20"/>
          <w:color w:val="auto"/>
        </w:rPr>
      </w:pPr>
    </w:p>
    <w:p>
      <w:pPr>
        <w:ind w:left="180"/>
        <w:spacing w:after="0"/>
        <w:tabs>
          <w:tab w:leader="none" w:pos="4500" w:val="left"/>
        </w:tabs>
        <w:rPr>
          <w:sz w:val="20"/>
          <w:szCs w:val="20"/>
          <w:color w:val="auto"/>
        </w:rPr>
      </w:pPr>
      <w:r>
        <w:rPr>
          <w:rFonts w:ascii="Arial" w:cs="Arial" w:eastAsia="Arial" w:hAnsi="Arial"/>
          <w:sz w:val="18"/>
          <w:szCs w:val="18"/>
          <w:color w:val="auto"/>
        </w:rPr>
        <w:t>Xbox content and services revenue growth</w:t>
      </w:r>
      <w:r>
        <w:rPr>
          <w:sz w:val="20"/>
          <w:szCs w:val="20"/>
          <w:color w:val="auto"/>
        </w:rPr>
        <w:tab/>
      </w:r>
      <w:r>
        <w:rPr>
          <w:rFonts w:ascii="Arial" w:cs="Arial" w:eastAsia="Arial" w:hAnsi="Arial"/>
          <w:sz w:val="18"/>
          <w:szCs w:val="18"/>
          <w:color w:val="auto"/>
        </w:rPr>
        <w:t>Revenue from Xbox content and services, comprising first-party content (such as</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Activision Blizzard) and third-party content, including games and in-game content;</w:t>
      </w:r>
    </w:p>
    <w:p>
      <w:pPr>
        <w:ind w:left="4520"/>
        <w:spacing w:after="0" w:line="234" w:lineRule="auto"/>
        <w:rPr>
          <w:sz w:val="20"/>
          <w:szCs w:val="20"/>
          <w:color w:val="auto"/>
        </w:rPr>
      </w:pPr>
      <w:r>
        <w:rPr>
          <w:rFonts w:ascii="Arial" w:cs="Arial" w:eastAsia="Arial" w:hAnsi="Arial"/>
          <w:sz w:val="18"/>
          <w:szCs w:val="18"/>
          <w:color w:val="auto"/>
        </w:rPr>
        <w:t>Xbox Game Pass and other subscriptions; Xbox Cloud Gaming; advertising; third-</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party disc royalties; and other cloud services</w:t>
      </w:r>
    </w:p>
    <w:p>
      <w:pPr>
        <w:sectPr>
          <w:pgSz w:w="11900" w:h="16838" w:orient="portrait"/>
          <w:cols w:equalWidth="0" w:num="1">
            <w:col w:w="11240"/>
          </w:cols>
          <w:pgMar w:left="320" w:top="775" w:right="339" w:bottom="1440" w:gutter="0" w:footer="0" w:header="0"/>
          <w:type w:val="continuous"/>
        </w:sectPr>
      </w:pPr>
    </w:p>
    <w:p>
      <w:pPr>
        <w:spacing w:after="0" w:line="72" w:lineRule="exact"/>
        <w:rPr>
          <w:sz w:val="20"/>
          <w:szCs w:val="20"/>
          <w:color w:val="auto"/>
        </w:rPr>
      </w:pPr>
    </w:p>
    <w:p>
      <w:pPr>
        <w:ind w:left="180"/>
        <w:spacing w:after="0" w:line="271" w:lineRule="auto"/>
        <w:rPr>
          <w:sz w:val="20"/>
          <w:szCs w:val="20"/>
          <w:color w:val="auto"/>
        </w:rPr>
      </w:pPr>
      <w:r>
        <w:rPr>
          <w:rFonts w:ascii="Arial" w:cs="Arial" w:eastAsia="Arial" w:hAnsi="Arial"/>
          <w:sz w:val="18"/>
          <w:szCs w:val="18"/>
          <w:color w:val="auto"/>
        </w:rPr>
        <w:t>Search and news advertising revenue (ex TAC) growth</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Revenue from search and news advertising excluding traffic acquisition costs (“TAC”) paid to Bing Ads network publishers and news partners</w:t>
      </w:r>
    </w:p>
    <w:p>
      <w:pPr>
        <w:spacing w:after="0" w:line="200" w:lineRule="exact"/>
        <w:rPr>
          <w:sz w:val="20"/>
          <w:szCs w:val="20"/>
          <w:color w:val="auto"/>
        </w:rPr>
      </w:pPr>
    </w:p>
    <w:p>
      <w:pPr>
        <w:sectPr>
          <w:pgSz w:w="11900" w:h="16838" w:orient="portrait"/>
          <w:cols w:equalWidth="0" w:num="2">
            <w:col w:w="3960" w:space="560"/>
            <w:col w:w="6720"/>
          </w:cols>
          <w:pgMar w:left="320" w:top="775" w:right="339" w:bottom="1440" w:gutter="0" w:footer="0" w:header="0"/>
          <w:type w:val="continuous"/>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type w:val="continuous"/>
        </w:sectPr>
      </w:pPr>
    </w:p>
    <w:bookmarkStart w:id="42" w:name="page43"/>
    <w:bookmarkEnd w:id="42"/>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RESULTS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1660" w:type="dxa"/>
            <w:vAlign w:val="bottom"/>
          </w:tcPr>
          <w:p>
            <w:pPr>
              <w:spacing w:after="0"/>
              <w:rPr>
                <w:sz w:val="13"/>
                <w:szCs w:val="13"/>
                <w:color w:val="auto"/>
              </w:rPr>
            </w:pPr>
          </w:p>
        </w:tc>
        <w:tc>
          <w:tcPr>
            <w:tcW w:w="1140" w:type="dxa"/>
            <w:vAlign w:val="bottom"/>
            <w:vMerge w:val="restart"/>
          </w:tcPr>
          <w:p>
            <w:pPr>
              <w:jc w:val="right"/>
              <w:ind w:right="52"/>
              <w:spacing w:after="0"/>
              <w:rPr>
                <w:sz w:val="20"/>
                <w:szCs w:val="20"/>
                <w:color w:val="auto"/>
              </w:rPr>
            </w:pPr>
            <w:r>
              <w:rPr>
                <w:rFonts w:ascii="Arial" w:cs="Arial" w:eastAsia="Arial" w:hAnsi="Arial"/>
                <w:sz w:val="13"/>
                <w:szCs w:val="13"/>
                <w:b w:val="1"/>
                <w:bCs w:val="1"/>
                <w:color w:val="auto"/>
              </w:rPr>
              <w:t>2024</w:t>
            </w:r>
          </w:p>
        </w:tc>
        <w:tc>
          <w:tcPr>
            <w:tcW w:w="560" w:type="dxa"/>
            <w:vAlign w:val="bottom"/>
          </w:tcPr>
          <w:p>
            <w:pPr>
              <w:spacing w:after="0"/>
              <w:rPr>
                <w:sz w:val="13"/>
                <w:szCs w:val="13"/>
                <w:color w:val="auto"/>
              </w:rPr>
            </w:pPr>
          </w:p>
        </w:tc>
        <w:tc>
          <w:tcPr>
            <w:tcW w:w="1460" w:type="dxa"/>
            <w:vAlign w:val="bottom"/>
            <w:vMerge w:val="restart"/>
          </w:tcPr>
          <w:p>
            <w:pPr>
              <w:jc w:val="right"/>
              <w:ind w:right="392"/>
              <w:spacing w:after="0"/>
              <w:rPr>
                <w:sz w:val="20"/>
                <w:szCs w:val="20"/>
                <w:color w:val="auto"/>
              </w:rPr>
            </w:pPr>
            <w:r>
              <w:rPr>
                <w:rFonts w:ascii="Arial" w:cs="Arial" w:eastAsia="Arial" w:hAnsi="Arial"/>
                <w:sz w:val="13"/>
                <w:szCs w:val="13"/>
                <w:b w:val="1"/>
                <w:bCs w:val="1"/>
                <w:color w:val="auto"/>
              </w:rPr>
              <w:t>2023</w:t>
            </w:r>
          </w:p>
        </w:tc>
        <w:tc>
          <w:tcPr>
            <w:tcW w:w="13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86"/>
        </w:trPr>
        <w:tc>
          <w:tcPr>
            <w:tcW w:w="5100" w:type="dxa"/>
            <w:vAlign w:val="bottom"/>
            <w:vMerge w:val="continue"/>
          </w:tcPr>
          <w:p>
            <w:pPr>
              <w:spacing w:after="0"/>
              <w:rPr>
                <w:sz w:val="16"/>
                <w:szCs w:val="16"/>
                <w:color w:val="auto"/>
              </w:rPr>
            </w:pPr>
          </w:p>
        </w:tc>
        <w:tc>
          <w:tcPr>
            <w:tcW w:w="16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320" w:type="dxa"/>
            <w:vAlign w:val="bottom"/>
            <w:gridSpan w:val="2"/>
          </w:tcPr>
          <w:p>
            <w:pPr>
              <w:ind w:left="6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8"/>
        </w:trPr>
        <w:tc>
          <w:tcPr>
            <w:tcW w:w="51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5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Revenue</w:t>
            </w:r>
          </w:p>
        </w:tc>
        <w:tc>
          <w:tcPr>
            <w:tcW w:w="1660" w:type="dxa"/>
            <w:vAlign w:val="bottom"/>
            <w:shd w:val="clear" w:color="auto" w:fill="E5E5E5"/>
          </w:tcPr>
          <w:p>
            <w:pPr>
              <w:jc w:val="right"/>
              <w:ind w:right="2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245,122</w:t>
            </w:r>
          </w:p>
        </w:tc>
        <w:tc>
          <w:tcPr>
            <w:tcW w:w="560" w:type="dxa"/>
            <w:vAlign w:val="bottom"/>
            <w:shd w:val="clear" w:color="auto" w:fill="E5E5E5"/>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5E5E5"/>
          </w:tcPr>
          <w:p>
            <w:pPr>
              <w:jc w:val="right"/>
              <w:ind w:right="392"/>
              <w:spacing w:after="0"/>
              <w:rPr>
                <w:sz w:val="20"/>
                <w:szCs w:val="20"/>
                <w:color w:val="auto"/>
              </w:rPr>
            </w:pPr>
            <w:r>
              <w:rPr>
                <w:rFonts w:ascii="Arial" w:cs="Arial" w:eastAsia="Arial" w:hAnsi="Arial"/>
                <w:sz w:val="18"/>
                <w:szCs w:val="18"/>
                <w:color w:val="auto"/>
              </w:rPr>
              <w:t>211,915</w:t>
            </w:r>
          </w:p>
        </w:tc>
        <w:tc>
          <w:tcPr>
            <w:tcW w:w="1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66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171,008</w:t>
            </w:r>
          </w:p>
        </w:tc>
        <w:tc>
          <w:tcPr>
            <w:tcW w:w="560" w:type="dxa"/>
            <w:vAlign w:val="bottom"/>
          </w:tcPr>
          <w:p>
            <w:pPr>
              <w:spacing w:after="0"/>
              <w:rPr>
                <w:sz w:val="19"/>
                <w:szCs w:val="19"/>
                <w:color w:val="auto"/>
              </w:rPr>
            </w:pPr>
          </w:p>
        </w:tc>
        <w:tc>
          <w:tcPr>
            <w:tcW w:w="1460" w:type="dxa"/>
            <w:vAlign w:val="bottom"/>
          </w:tcPr>
          <w:p>
            <w:pPr>
              <w:jc w:val="right"/>
              <w:ind w:right="392"/>
              <w:spacing w:after="0"/>
              <w:rPr>
                <w:sz w:val="20"/>
                <w:szCs w:val="20"/>
                <w:color w:val="auto"/>
              </w:rPr>
            </w:pPr>
            <w:r>
              <w:rPr>
                <w:rFonts w:ascii="Arial" w:cs="Arial" w:eastAsia="Arial" w:hAnsi="Arial"/>
                <w:sz w:val="18"/>
                <w:szCs w:val="18"/>
                <w:color w:val="auto"/>
              </w:rPr>
              <w:t>146,052</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E5E5E5"/>
          </w:tcPr>
          <w:p>
            <w:pPr>
              <w:ind w:left="20"/>
              <w:spacing w:after="0"/>
              <w:rPr>
                <w:sz w:val="20"/>
                <w:szCs w:val="20"/>
                <w:color w:val="auto"/>
              </w:rPr>
            </w:pPr>
            <w:r>
              <w:rPr>
                <w:rFonts w:ascii="Arial" w:cs="Arial" w:eastAsia="Arial" w:hAnsi="Arial"/>
                <w:sz w:val="18"/>
                <w:szCs w:val="18"/>
                <w:color w:val="auto"/>
              </w:rPr>
              <w:t>Operating income</w:t>
            </w:r>
          </w:p>
        </w:tc>
        <w:tc>
          <w:tcPr>
            <w:tcW w:w="1660" w:type="dxa"/>
            <w:vAlign w:val="bottom"/>
            <w:shd w:val="clear" w:color="auto" w:fill="E5E5E5"/>
          </w:tcPr>
          <w:p>
            <w:pPr>
              <w:spacing w:after="0"/>
              <w:rPr>
                <w:sz w:val="19"/>
                <w:szCs w:val="19"/>
                <w:color w:val="auto"/>
              </w:rPr>
            </w:pPr>
          </w:p>
        </w:tc>
        <w:tc>
          <w:tcPr>
            <w:tcW w:w="1140" w:type="dxa"/>
            <w:vAlign w:val="bottom"/>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109,433</w:t>
            </w:r>
          </w:p>
        </w:tc>
        <w:tc>
          <w:tcPr>
            <w:tcW w:w="560" w:type="dxa"/>
            <w:vAlign w:val="bottom"/>
            <w:shd w:val="clear" w:color="auto" w:fill="E5E5E5"/>
          </w:tcPr>
          <w:p>
            <w:pPr>
              <w:spacing w:after="0"/>
              <w:rPr>
                <w:sz w:val="19"/>
                <w:szCs w:val="19"/>
                <w:color w:val="auto"/>
              </w:rPr>
            </w:pPr>
          </w:p>
        </w:tc>
        <w:tc>
          <w:tcPr>
            <w:tcW w:w="1460" w:type="dxa"/>
            <w:vAlign w:val="bottom"/>
            <w:shd w:val="clear" w:color="auto" w:fill="E5E5E5"/>
          </w:tcPr>
          <w:p>
            <w:pPr>
              <w:jc w:val="right"/>
              <w:ind w:right="392"/>
              <w:spacing w:after="0"/>
              <w:rPr>
                <w:sz w:val="20"/>
                <w:szCs w:val="20"/>
                <w:color w:val="auto"/>
              </w:rPr>
            </w:pPr>
            <w:r>
              <w:rPr>
                <w:rFonts w:ascii="Arial" w:cs="Arial" w:eastAsia="Arial" w:hAnsi="Arial"/>
                <w:sz w:val="18"/>
                <w:szCs w:val="18"/>
                <w:color w:val="auto"/>
              </w:rPr>
              <w:t>88,523</w:t>
            </w:r>
          </w:p>
        </w:tc>
        <w:tc>
          <w:tcPr>
            <w:tcW w:w="1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6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88,136</w:t>
            </w:r>
          </w:p>
        </w:tc>
        <w:tc>
          <w:tcPr>
            <w:tcW w:w="560" w:type="dxa"/>
            <w:vAlign w:val="bottom"/>
          </w:tcPr>
          <w:p>
            <w:pPr>
              <w:spacing w:after="0"/>
              <w:rPr>
                <w:sz w:val="19"/>
                <w:szCs w:val="19"/>
                <w:color w:val="auto"/>
              </w:rPr>
            </w:pPr>
          </w:p>
        </w:tc>
        <w:tc>
          <w:tcPr>
            <w:tcW w:w="1460" w:type="dxa"/>
            <w:vAlign w:val="bottom"/>
          </w:tcPr>
          <w:p>
            <w:pPr>
              <w:jc w:val="right"/>
              <w:ind w:right="392"/>
              <w:spacing w:after="0"/>
              <w:rPr>
                <w:sz w:val="20"/>
                <w:szCs w:val="20"/>
                <w:color w:val="auto"/>
              </w:rPr>
            </w:pPr>
            <w:r>
              <w:rPr>
                <w:rFonts w:ascii="Arial" w:cs="Arial" w:eastAsia="Arial" w:hAnsi="Arial"/>
                <w:sz w:val="18"/>
                <w:szCs w:val="18"/>
                <w:color w:val="auto"/>
              </w:rPr>
              <w:t>72,361</w:t>
            </w: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E5E5E5"/>
          </w:tcPr>
          <w:p>
            <w:pPr>
              <w:ind w:left="20"/>
              <w:spacing w:after="0"/>
              <w:rPr>
                <w:sz w:val="20"/>
                <w:szCs w:val="20"/>
                <w:color w:val="auto"/>
              </w:rPr>
            </w:pPr>
            <w:r>
              <w:rPr>
                <w:rFonts w:ascii="Arial" w:cs="Arial" w:eastAsia="Arial" w:hAnsi="Arial"/>
                <w:sz w:val="18"/>
                <w:szCs w:val="18"/>
                <w:color w:val="auto"/>
              </w:rPr>
              <w:t>Diluted earnings per share</w:t>
            </w:r>
          </w:p>
        </w:tc>
        <w:tc>
          <w:tcPr>
            <w:tcW w:w="1660" w:type="dxa"/>
            <w:vAlign w:val="bottom"/>
            <w:shd w:val="clear" w:color="auto" w:fill="E5E5E5"/>
          </w:tcPr>
          <w:p>
            <w:pPr>
              <w:spacing w:after="0"/>
              <w:rPr>
                <w:sz w:val="19"/>
                <w:szCs w:val="19"/>
                <w:color w:val="auto"/>
              </w:rPr>
            </w:pPr>
          </w:p>
        </w:tc>
        <w:tc>
          <w:tcPr>
            <w:tcW w:w="1140" w:type="dxa"/>
            <w:vAlign w:val="bottom"/>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11.80</w:t>
            </w:r>
          </w:p>
        </w:tc>
        <w:tc>
          <w:tcPr>
            <w:tcW w:w="560" w:type="dxa"/>
            <w:vAlign w:val="bottom"/>
            <w:shd w:val="clear" w:color="auto" w:fill="E5E5E5"/>
          </w:tcPr>
          <w:p>
            <w:pPr>
              <w:spacing w:after="0"/>
              <w:rPr>
                <w:sz w:val="19"/>
                <w:szCs w:val="19"/>
                <w:color w:val="auto"/>
              </w:rPr>
            </w:pPr>
          </w:p>
        </w:tc>
        <w:tc>
          <w:tcPr>
            <w:tcW w:w="1460" w:type="dxa"/>
            <w:vAlign w:val="bottom"/>
            <w:shd w:val="clear" w:color="auto" w:fill="E5E5E5"/>
          </w:tcPr>
          <w:p>
            <w:pPr>
              <w:jc w:val="right"/>
              <w:ind w:right="392"/>
              <w:spacing w:after="0"/>
              <w:rPr>
                <w:sz w:val="20"/>
                <w:szCs w:val="20"/>
                <w:color w:val="auto"/>
              </w:rPr>
            </w:pPr>
            <w:r>
              <w:rPr>
                <w:rFonts w:ascii="Arial" w:cs="Arial" w:eastAsia="Arial" w:hAnsi="Arial"/>
                <w:sz w:val="18"/>
                <w:szCs w:val="18"/>
                <w:color w:val="auto"/>
              </w:rPr>
              <w:t>9.68</w:t>
            </w:r>
          </w:p>
        </w:tc>
        <w:tc>
          <w:tcPr>
            <w:tcW w:w="1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00" w:type="dxa"/>
            <w:vAlign w:val="bottom"/>
          </w:tcPr>
          <w:p>
            <w:pPr>
              <w:ind w:left="20"/>
              <w:spacing w:after="0"/>
              <w:rPr>
                <w:sz w:val="20"/>
                <w:szCs w:val="20"/>
                <w:color w:val="auto"/>
              </w:rPr>
            </w:pPr>
            <w:r>
              <w:rPr>
                <w:rFonts w:ascii="Arial" w:cs="Arial" w:eastAsia="Arial" w:hAnsi="Arial"/>
                <w:sz w:val="18"/>
                <w:szCs w:val="18"/>
                <w:color w:val="auto"/>
              </w:rPr>
              <w:t>Adjusted gross margin (non-GAAP)</w:t>
            </w:r>
          </w:p>
        </w:tc>
        <w:tc>
          <w:tcPr>
            <w:tcW w:w="1660" w:type="dxa"/>
            <w:vAlign w:val="bottom"/>
          </w:tcPr>
          <w:p>
            <w:pPr>
              <w:spacing w:after="0"/>
              <w:rPr>
                <w:sz w:val="23"/>
                <w:szCs w:val="23"/>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171,008</w:t>
            </w:r>
          </w:p>
        </w:tc>
        <w:tc>
          <w:tcPr>
            <w:tcW w:w="560" w:type="dxa"/>
            <w:vAlign w:val="bottom"/>
          </w:tcPr>
          <w:p>
            <w:pPr>
              <w:spacing w:after="0"/>
              <w:rPr>
                <w:sz w:val="23"/>
                <w:szCs w:val="23"/>
                <w:color w:val="auto"/>
              </w:rPr>
            </w:pPr>
          </w:p>
        </w:tc>
        <w:tc>
          <w:tcPr>
            <w:tcW w:w="1460" w:type="dxa"/>
            <w:vAlign w:val="bottom"/>
          </w:tcPr>
          <w:p>
            <w:pPr>
              <w:jc w:val="right"/>
              <w:ind w:right="392"/>
              <w:spacing w:after="0"/>
              <w:rPr>
                <w:sz w:val="20"/>
                <w:szCs w:val="20"/>
                <w:color w:val="auto"/>
              </w:rPr>
            </w:pPr>
            <w:r>
              <w:rPr>
                <w:rFonts w:ascii="Arial" w:cs="Arial" w:eastAsia="Arial" w:hAnsi="Arial"/>
                <w:sz w:val="18"/>
                <w:szCs w:val="18"/>
                <w:color w:val="auto"/>
              </w:rPr>
              <w:t>146,204</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E5E5E5"/>
          </w:tcPr>
          <w:p>
            <w:pPr>
              <w:ind w:left="20"/>
              <w:spacing w:after="0"/>
              <w:rPr>
                <w:sz w:val="20"/>
                <w:szCs w:val="20"/>
                <w:color w:val="auto"/>
              </w:rPr>
            </w:pPr>
            <w:r>
              <w:rPr>
                <w:rFonts w:ascii="Arial" w:cs="Arial" w:eastAsia="Arial" w:hAnsi="Arial"/>
                <w:sz w:val="18"/>
                <w:szCs w:val="18"/>
                <w:color w:val="auto"/>
              </w:rPr>
              <w:t>Adjusted operating income (non-GAAP)</w:t>
            </w:r>
          </w:p>
        </w:tc>
        <w:tc>
          <w:tcPr>
            <w:tcW w:w="1660" w:type="dxa"/>
            <w:vAlign w:val="bottom"/>
            <w:shd w:val="clear" w:color="auto" w:fill="E5E5E5"/>
          </w:tcPr>
          <w:p>
            <w:pPr>
              <w:spacing w:after="0"/>
              <w:rPr>
                <w:sz w:val="19"/>
                <w:szCs w:val="19"/>
                <w:color w:val="auto"/>
              </w:rPr>
            </w:pPr>
          </w:p>
        </w:tc>
        <w:tc>
          <w:tcPr>
            <w:tcW w:w="1140" w:type="dxa"/>
            <w:vAlign w:val="bottom"/>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109,433</w:t>
            </w:r>
          </w:p>
        </w:tc>
        <w:tc>
          <w:tcPr>
            <w:tcW w:w="560" w:type="dxa"/>
            <w:vAlign w:val="bottom"/>
            <w:shd w:val="clear" w:color="auto" w:fill="E5E5E5"/>
          </w:tcPr>
          <w:p>
            <w:pPr>
              <w:spacing w:after="0"/>
              <w:rPr>
                <w:sz w:val="19"/>
                <w:szCs w:val="19"/>
                <w:color w:val="auto"/>
              </w:rPr>
            </w:pPr>
          </w:p>
        </w:tc>
        <w:tc>
          <w:tcPr>
            <w:tcW w:w="1460" w:type="dxa"/>
            <w:vAlign w:val="bottom"/>
            <w:shd w:val="clear" w:color="auto" w:fill="E5E5E5"/>
          </w:tcPr>
          <w:p>
            <w:pPr>
              <w:jc w:val="right"/>
              <w:ind w:right="392"/>
              <w:spacing w:after="0"/>
              <w:rPr>
                <w:sz w:val="20"/>
                <w:szCs w:val="20"/>
                <w:color w:val="auto"/>
              </w:rPr>
            </w:pPr>
            <w:r>
              <w:rPr>
                <w:rFonts w:ascii="Arial" w:cs="Arial" w:eastAsia="Arial" w:hAnsi="Arial"/>
                <w:sz w:val="18"/>
                <w:szCs w:val="18"/>
                <w:color w:val="auto"/>
              </w:rPr>
              <w:t>89,694</w:t>
            </w:r>
          </w:p>
        </w:tc>
        <w:tc>
          <w:tcPr>
            <w:tcW w:w="1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Adjusted net income (non-GAAP)</w:t>
            </w:r>
          </w:p>
        </w:tc>
        <w:tc>
          <w:tcPr>
            <w:tcW w:w="1660" w:type="dxa"/>
            <w:vAlign w:val="bottom"/>
          </w:tcPr>
          <w:p>
            <w:pPr>
              <w:spacing w:after="0"/>
              <w:rPr>
                <w:sz w:val="19"/>
                <w:szCs w:val="19"/>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88,136</w:t>
            </w:r>
          </w:p>
        </w:tc>
        <w:tc>
          <w:tcPr>
            <w:tcW w:w="560" w:type="dxa"/>
            <w:vAlign w:val="bottom"/>
          </w:tcPr>
          <w:p>
            <w:pPr>
              <w:spacing w:after="0"/>
              <w:rPr>
                <w:sz w:val="19"/>
                <w:szCs w:val="19"/>
                <w:color w:val="auto"/>
              </w:rPr>
            </w:pPr>
          </w:p>
        </w:tc>
        <w:tc>
          <w:tcPr>
            <w:tcW w:w="1460" w:type="dxa"/>
            <w:vAlign w:val="bottom"/>
          </w:tcPr>
          <w:p>
            <w:pPr>
              <w:jc w:val="right"/>
              <w:ind w:right="392"/>
              <w:spacing w:after="0"/>
              <w:rPr>
                <w:sz w:val="20"/>
                <w:szCs w:val="20"/>
                <w:color w:val="auto"/>
              </w:rPr>
            </w:pPr>
            <w:r>
              <w:rPr>
                <w:rFonts w:ascii="Arial" w:cs="Arial" w:eastAsia="Arial" w:hAnsi="Arial"/>
                <w:sz w:val="18"/>
                <w:szCs w:val="18"/>
                <w:color w:val="auto"/>
              </w:rPr>
              <w:t>73,307</w:t>
            </w: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E5E5E5"/>
          </w:tcPr>
          <w:p>
            <w:pPr>
              <w:ind w:left="20"/>
              <w:spacing w:after="0"/>
              <w:rPr>
                <w:sz w:val="20"/>
                <w:szCs w:val="20"/>
                <w:color w:val="auto"/>
              </w:rPr>
            </w:pPr>
            <w:r>
              <w:rPr>
                <w:rFonts w:ascii="Arial" w:cs="Arial" w:eastAsia="Arial" w:hAnsi="Arial"/>
                <w:sz w:val="18"/>
                <w:szCs w:val="18"/>
                <w:color w:val="auto"/>
              </w:rPr>
              <w:t>Adjusted diluted earnings per share (non-GAAP)</w:t>
            </w:r>
          </w:p>
        </w:tc>
        <w:tc>
          <w:tcPr>
            <w:tcW w:w="1660" w:type="dxa"/>
            <w:vAlign w:val="bottom"/>
            <w:shd w:val="clear" w:color="auto" w:fill="E5E5E5"/>
          </w:tcPr>
          <w:p>
            <w:pPr>
              <w:spacing w:after="0"/>
              <w:rPr>
                <w:sz w:val="19"/>
                <w:szCs w:val="19"/>
                <w:color w:val="auto"/>
              </w:rPr>
            </w:pPr>
          </w:p>
        </w:tc>
        <w:tc>
          <w:tcPr>
            <w:tcW w:w="1140" w:type="dxa"/>
            <w:vAlign w:val="bottom"/>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11.80</w:t>
            </w:r>
          </w:p>
        </w:tc>
        <w:tc>
          <w:tcPr>
            <w:tcW w:w="560" w:type="dxa"/>
            <w:vAlign w:val="bottom"/>
            <w:shd w:val="clear" w:color="auto" w:fill="E5E5E5"/>
          </w:tcPr>
          <w:p>
            <w:pPr>
              <w:spacing w:after="0"/>
              <w:rPr>
                <w:sz w:val="19"/>
                <w:szCs w:val="19"/>
                <w:color w:val="auto"/>
              </w:rPr>
            </w:pPr>
          </w:p>
        </w:tc>
        <w:tc>
          <w:tcPr>
            <w:tcW w:w="1460" w:type="dxa"/>
            <w:vAlign w:val="bottom"/>
            <w:shd w:val="clear" w:color="auto" w:fill="E5E5E5"/>
          </w:tcPr>
          <w:p>
            <w:pPr>
              <w:jc w:val="right"/>
              <w:ind w:right="392"/>
              <w:spacing w:after="0"/>
              <w:rPr>
                <w:sz w:val="20"/>
                <w:szCs w:val="20"/>
                <w:color w:val="auto"/>
              </w:rPr>
            </w:pPr>
            <w:r>
              <w:rPr>
                <w:rFonts w:ascii="Arial" w:cs="Arial" w:eastAsia="Arial" w:hAnsi="Arial"/>
                <w:sz w:val="18"/>
                <w:szCs w:val="18"/>
                <w:color w:val="auto"/>
              </w:rPr>
              <w:t>9.81</w:t>
            </w:r>
          </w:p>
        </w:tc>
        <w:tc>
          <w:tcPr>
            <w:tcW w:w="1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51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Adjusted gross margin, operating income, net income, and diluted earnings per share (“EPS”) are non-GAAP financial measures. Prior year non-GAAP financial measures exclude the impact of a $1.2 billion charge in the second quarter of fiscal year 2023 (“Q2 charge”), which included employee severance expenses, impairment charges resulting from changes to our hardware portfolio, and costs related to lease consolidation activities. Refer to the Non-GAAP Financial Measures section below for a reconciliation of our financial results reported in accordance with GAAP to non-GAAP financial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2024 Compared with Fiscal Year 2023</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increased $33.2 billion or 16% driven by growth across each of our segments. Intelligent Cloud revenue increased driven by Azure. Productivity and Business Processes revenue increased driven by Office 365 Commercial. More Personal Computing revenue increased driven by Gaming.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increased $8.3 billion or 13% driven by growth in Microsoft Cloud and Gaming, offset in part by a decline in Devices.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$25.0 billion or 17% driven by growth across each of our segments.</w:t>
      </w:r>
    </w:p>
    <w:p>
      <w:pPr>
        <w:spacing w:after="0" w:line="77" w:lineRule="exact"/>
        <w:rPr>
          <w:sz w:val="20"/>
          <w:szCs w:val="20"/>
          <w:color w:val="auto"/>
        </w:rPr>
      </w:pPr>
    </w:p>
    <w:p>
      <w:pPr>
        <w:jc w:val="both"/>
        <w:ind w:left="1020" w:hanging="368"/>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percentage increased slightly. Excluding the impact of the change in accounting estimate for the useful lives of our server and network equipment, gross margin percentage increased 2 points driven by improvement in More Personal Computing.</w:t>
      </w:r>
    </w:p>
    <w:p>
      <w:pPr>
        <w:spacing w:after="0" w:line="35"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Cloud gross margin percentage decreased slightly to 71%. Excluding the impact of the change in accounting estimate, Microsoft Cloud gross margin percentage increased slightly driven by improvements in Azure and Office 365 Commercial, inclusive of scaling our AI infrastructure, offset in part by sales mix shift to Azure.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Operating expenses increased $4.0 billion or 7% driven by Gaming, with 7 points of growth from the Activision Blizzard acquisition, and investments in cloud engineering, offset in part by the prior year Q2 charge.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$20.9 billion or 24% driven by growth across each of our segments.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Prior year gross margin, operating income, net income, and diluted EPS were negatively impacted by the Q2 charge, which resulted in decreases of $152 million, $1.2 billion, $946 million, and $0.13, respectively.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3" w:name="page44"/>
    <w:bookmarkEnd w:id="43"/>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SEGMENT RESULTS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except percentages)</w:t>
            </w:r>
          </w:p>
        </w:tc>
        <w:tc>
          <w:tcPr>
            <w:tcW w:w="4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2023</w:t>
            </w:r>
          </w:p>
        </w:tc>
        <w:tc>
          <w:tcPr>
            <w:tcW w:w="1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86"/>
        </w:trPr>
        <w:tc>
          <w:tcPr>
            <w:tcW w:w="63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760" w:type="dxa"/>
            <w:vAlign w:val="bottom"/>
            <w:gridSpan w:val="2"/>
          </w:tcPr>
          <w:p>
            <w:pPr>
              <w:ind w:left="11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8"/>
        </w:trPr>
        <w:tc>
          <w:tcPr>
            <w:tcW w:w="63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6320" w:type="dxa"/>
            <w:vAlign w:val="bottom"/>
          </w:tcPr>
          <w:p>
            <w:pPr>
              <w:ind w:left="20"/>
              <w:spacing w:after="0"/>
              <w:rPr>
                <w:sz w:val="20"/>
                <w:szCs w:val="20"/>
                <w:color w:val="auto"/>
              </w:rPr>
            </w:pPr>
            <w:r>
              <w:rPr>
                <w:rFonts w:ascii="Arial" w:cs="Arial" w:eastAsia="Arial" w:hAnsi="Arial"/>
                <w:sz w:val="13"/>
                <w:szCs w:val="13"/>
                <w:b w:val="1"/>
                <w:bCs w:val="1"/>
                <w:color w:val="auto"/>
              </w:rPr>
              <w:t>Revenue</w:t>
            </w: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6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Productivity and Business Processes</w:t>
            </w:r>
          </w:p>
        </w:tc>
        <w:tc>
          <w:tcPr>
            <w:tcW w:w="460" w:type="dxa"/>
            <w:vAlign w:val="bottom"/>
            <w:shd w:val="clear" w:color="auto" w:fill="E5E5E5"/>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77,728</w:t>
            </w:r>
          </w:p>
        </w:tc>
        <w:tc>
          <w:tcPr>
            <w:tcW w:w="700" w:type="dxa"/>
            <w:vAlign w:val="bottom"/>
            <w:gridSpan w:val="2"/>
            <w:shd w:val="clear" w:color="auto" w:fill="E5E5E5"/>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69,274</w:t>
            </w:r>
          </w:p>
        </w:tc>
        <w:tc>
          <w:tcPr>
            <w:tcW w:w="1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Intelligent Cloud</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105,362</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87,907</w:t>
            </w: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More Personal Computing</w:t>
            </w: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62,032</w:t>
            </w:r>
          </w:p>
        </w:tc>
        <w:tc>
          <w:tcPr>
            <w:tcW w:w="24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54,734</w:t>
            </w:r>
          </w:p>
        </w:tc>
        <w:tc>
          <w:tcPr>
            <w:tcW w:w="1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63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6320" w:type="dxa"/>
            <w:vAlign w:val="bottom"/>
          </w:tcPr>
          <w:p>
            <w:pPr>
              <w:ind w:left="240"/>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245,122</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211,915</w:t>
            </w:r>
          </w:p>
        </w:tc>
        <w:tc>
          <w:tcPr>
            <w:tcW w:w="16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6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Operating Income</w:t>
            </w: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632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6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Productivity and Business Processes</w:t>
            </w:r>
          </w:p>
        </w:tc>
        <w:tc>
          <w:tcPr>
            <w:tcW w:w="460" w:type="dxa"/>
            <w:vAlign w:val="bottom"/>
            <w:shd w:val="clear" w:color="auto" w:fill="E5E5E5"/>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40,540</w:t>
            </w:r>
          </w:p>
        </w:tc>
        <w:tc>
          <w:tcPr>
            <w:tcW w:w="700" w:type="dxa"/>
            <w:vAlign w:val="bottom"/>
            <w:gridSpan w:val="2"/>
            <w:shd w:val="clear" w:color="auto" w:fill="E5E5E5"/>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34,189</w:t>
            </w:r>
          </w:p>
        </w:tc>
        <w:tc>
          <w:tcPr>
            <w:tcW w:w="1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Intelligent Cloud</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49,584</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37,884</w:t>
            </w: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More Personal Computing</w:t>
            </w: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19,309</w:t>
            </w:r>
          </w:p>
        </w:tc>
        <w:tc>
          <w:tcPr>
            <w:tcW w:w="24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16,450</w:t>
            </w:r>
          </w:p>
        </w:tc>
        <w:tc>
          <w:tcPr>
            <w:tcW w:w="1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63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6320" w:type="dxa"/>
            <w:vAlign w:val="bottom"/>
          </w:tcPr>
          <w:p>
            <w:pPr>
              <w:ind w:left="240"/>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109,433</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88,523</w:t>
            </w:r>
          </w:p>
        </w:tc>
        <w:tc>
          <w:tcPr>
            <w:tcW w:w="16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63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2024 Compared with Fiscal Year 2023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$8.5 billion or 12%.</w:t>
      </w:r>
    </w:p>
    <w:p>
      <w:pPr>
        <w:spacing w:after="0" w:line="77" w:lineRule="exact"/>
        <w:rPr>
          <w:sz w:val="20"/>
          <w:szCs w:val="20"/>
          <w:color w:val="auto"/>
        </w:rPr>
      </w:pPr>
    </w:p>
    <w:p>
      <w:pPr>
        <w:jc w:val="both"/>
        <w:ind w:left="1020" w:hanging="368"/>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Office Commercial products and cloud services revenue increased $5.8 billion or 14%. Office 365 Commercial revenue grew 16% with seat growth of 7%, driven by small and medium business and frontline worker offerings, as well as growth in revenue per user. Office Commercial products revenue declined 16% driven by continued customer shift to cloud offerings.</w:t>
      </w:r>
    </w:p>
    <w:p>
      <w:pPr>
        <w:spacing w:after="0" w:line="35"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Office Consumer products and cloud services revenue increased $237 million or 4%. Microsoft 365 Consumer subscribers grew 10% to 82.5 million.</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LinkedIn revenue increased $1.4 billion or 9% driven by growth across all lines of business – Talent Solutions, Premium Subscriptions, Marketing Solutions, and Sales Solutions.</w:t>
      </w:r>
    </w:p>
    <w:p>
      <w:pPr>
        <w:spacing w:after="0" w:line="19"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Dynamics products and cloud services revenue increased $1.0 billion or 19% driven by Dynamics 365. Dynamics 365 revenue grew 24% driven by growth across all workloads.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$6.4 billion or 19%.</w:t>
      </w:r>
    </w:p>
    <w:p>
      <w:pPr>
        <w:spacing w:after="0" w:line="77" w:lineRule="exact"/>
        <w:rPr>
          <w:sz w:val="20"/>
          <w:szCs w:val="20"/>
          <w:color w:val="auto"/>
        </w:rPr>
      </w:pPr>
    </w:p>
    <w:p>
      <w:pPr>
        <w:jc w:val="both"/>
        <w:ind w:left="1020" w:hanging="368"/>
        <w:spacing w:after="0" w:line="252"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$6.5 billion or 12% driven by growth in Office 365 Commercial. Gross margin percentage decreased slightly. Excluding the impact of the change in accounting estimate, gross margin percentage increased slightly driven by improvement in Office 365 Commercial.</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$159 million or 1%.</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$17.5 billion or 20%.</w:t>
      </w:r>
    </w:p>
    <w:p>
      <w:pPr>
        <w:spacing w:after="0" w:line="77" w:lineRule="exact"/>
        <w:rPr>
          <w:sz w:val="20"/>
          <w:szCs w:val="20"/>
          <w:color w:val="auto"/>
        </w:rPr>
      </w:pPr>
    </w:p>
    <w:p>
      <w:pPr>
        <w:jc w:val="both"/>
        <w:ind w:left="1020" w:hanging="368"/>
        <w:spacing w:after="0" w:line="246"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Server products and cloud services revenue increased $17.8 billion or 22% driven by Azure and other cloud services. Azure and other cloud services revenue grew 30% driven by growth in our consumption-based services. Server products revenue increased 3% driven by continued demand for our hybrid solutions, including Windows Server and SQL Server running in multi-cloud environments.</w:t>
      </w:r>
    </w:p>
    <w:p>
      <w:pPr>
        <w:spacing w:after="0" w:line="41"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Enterprise and partner services revenue decreased $306 million or 4% driven by declines in Enterprise Support Services and Industry Solutions.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4" w:name="page45"/>
    <w:bookmarkEnd w:id="44"/>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$11.7 billion or 31%.</w:t>
      </w:r>
    </w:p>
    <w:p>
      <w:pPr>
        <w:spacing w:after="0" w:line="77" w:lineRule="exact"/>
        <w:rPr>
          <w:sz w:val="20"/>
          <w:szCs w:val="20"/>
          <w:color w:val="auto"/>
        </w:rPr>
      </w:pPr>
    </w:p>
    <w:p>
      <w:pPr>
        <w:jc w:val="both"/>
        <w:ind w:left="1020" w:right="20" w:hanging="368"/>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$11.6 billion or 19% driven by growth in Azure. Gross margin percentage decreased slightly. Excluding the impact of the change in accounting estimate, gross margin percentage increased slightly primarily driven by improvement in Azure, inclusive of scaling our AI infrastructure, offset in part by sales mix shift to Azure.</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decreased slightly primarily driven by the prior year Q2 charge, offset in part by investments in Azure.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$7.3 billion or 13%.</w:t>
      </w:r>
    </w:p>
    <w:p>
      <w:pPr>
        <w:spacing w:after="0" w:line="77" w:lineRule="exact"/>
        <w:rPr>
          <w:sz w:val="20"/>
          <w:szCs w:val="20"/>
          <w:color w:val="auto"/>
        </w:rPr>
      </w:pPr>
    </w:p>
    <w:p>
      <w:pPr>
        <w:jc w:val="both"/>
        <w:ind w:left="1020" w:right="20" w:hanging="368"/>
        <w:spacing w:after="0" w:line="252"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Windows revenue increased $1.7 billion or 8% driven by growth in Windows Commercial and Windows OEM. Windows Commercial products and cloud services revenue increased 11% driven by demand for Microsoft 365. Windows OEM revenue increased 7%.</w:t>
      </w:r>
    </w:p>
    <w:p>
      <w:pPr>
        <w:spacing w:after="0" w:line="35"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Gaming revenue increased $6.0 billion or 39% driven by growth in Xbox content and services. Xbox content and services revenue increased 50% driven by 44 points of net impact from the Activision Blizzard acquisition. Xbox hardware revenue decreased 13% driven by lower volume of consoles sold.</w:t>
      </w:r>
    </w:p>
    <w:p>
      <w:pPr>
        <w:spacing w:after="0" w:line="35"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Search and news advertising revenue increased $418 million or 3%. Search and news advertising revenue excluding traffic acquisition costs increased 12% driven by higher search volume.</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Devices revenue decreased $815 million or 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$2.9 billion or 17%.</w:t>
      </w:r>
    </w:p>
    <w:p>
      <w:pPr>
        <w:spacing w:after="0" w:line="77" w:lineRule="exact"/>
        <w:rPr>
          <w:sz w:val="20"/>
          <w:szCs w:val="20"/>
          <w:color w:val="auto"/>
        </w:rPr>
      </w:pPr>
    </w:p>
    <w:p>
      <w:pPr>
        <w:jc w:val="both"/>
        <w:ind w:left="1020" w:hanging="368"/>
        <w:spacing w:after="0" w:line="252"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$6.8 billion or 23% driven by growth in Gaming, with 10 points of net impact from the Activision Blizzard acquisition, as well as growth in Windows. Gross margin percentage increased driven by sales mix shift to higher margin businesses and improvement in Devices.</w:t>
      </w:r>
    </w:p>
    <w:p>
      <w:pPr>
        <w:spacing w:after="0" w:line="35"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$3.9 billion or 31% driven by Gaming, with 34 points of growth from the Activision Blizzard acquisition.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except percentages)</w:t>
            </w:r>
          </w:p>
        </w:tc>
        <w:tc>
          <w:tcPr>
            <w:tcW w:w="2540" w:type="dxa"/>
            <w:vAlign w:val="bottom"/>
          </w:tcPr>
          <w:p>
            <w:pPr>
              <w:spacing w:after="0"/>
              <w:rPr>
                <w:sz w:val="12"/>
                <w:szCs w:val="12"/>
                <w:color w:val="auto"/>
              </w:rPr>
            </w:pPr>
          </w:p>
        </w:tc>
        <w:tc>
          <w:tcPr>
            <w:tcW w:w="1080" w:type="dxa"/>
            <w:vAlign w:val="bottom"/>
            <w:vMerge w:val="restart"/>
          </w:tcPr>
          <w:p>
            <w:pPr>
              <w:jc w:val="right"/>
              <w:ind w:right="38"/>
              <w:spacing w:after="0"/>
              <w:rPr>
                <w:sz w:val="20"/>
                <w:szCs w:val="20"/>
                <w:color w:val="auto"/>
              </w:rPr>
            </w:pPr>
            <w:r>
              <w:rPr>
                <w:rFonts w:ascii="Arial" w:cs="Arial" w:eastAsia="Arial" w:hAnsi="Arial"/>
                <w:sz w:val="13"/>
                <w:szCs w:val="13"/>
                <w:b w:val="1"/>
                <w:bCs w:val="1"/>
                <w:color w:val="auto"/>
              </w:rPr>
              <w:t>2024</w:t>
            </w:r>
          </w:p>
        </w:tc>
        <w:tc>
          <w:tcPr>
            <w:tcW w:w="620" w:type="dxa"/>
            <w:vAlign w:val="bottom"/>
          </w:tcPr>
          <w:p>
            <w:pPr>
              <w:spacing w:after="0"/>
              <w:rPr>
                <w:sz w:val="12"/>
                <w:szCs w:val="12"/>
                <w:color w:val="auto"/>
              </w:rPr>
            </w:pPr>
          </w:p>
        </w:tc>
        <w:tc>
          <w:tcPr>
            <w:tcW w:w="1400" w:type="dxa"/>
            <w:vAlign w:val="bottom"/>
            <w:vMerge w:val="restart"/>
          </w:tcPr>
          <w:p>
            <w:pPr>
              <w:jc w:val="right"/>
              <w:ind w:right="378"/>
              <w:spacing w:after="0"/>
              <w:rPr>
                <w:sz w:val="20"/>
                <w:szCs w:val="20"/>
                <w:color w:val="auto"/>
              </w:rPr>
            </w:pPr>
            <w:r>
              <w:rPr>
                <w:rFonts w:ascii="Arial" w:cs="Arial" w:eastAsia="Arial" w:hAnsi="Arial"/>
                <w:sz w:val="13"/>
                <w:szCs w:val="13"/>
                <w:b w:val="1"/>
                <w:bCs w:val="1"/>
                <w:color w:val="auto"/>
              </w:rPr>
              <w:t>2023</w:t>
            </w:r>
          </w:p>
        </w:tc>
        <w:tc>
          <w:tcPr>
            <w:tcW w:w="13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86"/>
        </w:trPr>
        <w:tc>
          <w:tcPr>
            <w:tcW w:w="4280" w:type="dxa"/>
            <w:vAlign w:val="bottom"/>
            <w:vMerge w:val="continue"/>
          </w:tcPr>
          <w:p>
            <w:pPr>
              <w:spacing w:after="0"/>
              <w:rPr>
                <w:sz w:val="16"/>
                <w:szCs w:val="16"/>
                <w:color w:val="auto"/>
              </w:rPr>
            </w:pPr>
          </w:p>
        </w:tc>
        <w:tc>
          <w:tcPr>
            <w:tcW w:w="25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8"/>
        </w:trPr>
        <w:tc>
          <w:tcPr>
            <w:tcW w:w="428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428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Research and development</w:t>
            </w:r>
          </w:p>
        </w:tc>
        <w:tc>
          <w:tcPr>
            <w:tcW w:w="2540" w:type="dxa"/>
            <w:vAlign w:val="bottom"/>
            <w:shd w:val="clear" w:color="auto" w:fill="E5E5E5"/>
          </w:tcPr>
          <w:p>
            <w:pPr>
              <w:jc w:val="right"/>
              <w:ind w:right="3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5E5E5"/>
          </w:tcPr>
          <w:p>
            <w:pPr>
              <w:jc w:val="right"/>
              <w:ind w:right="38"/>
              <w:spacing w:after="0"/>
              <w:rPr>
                <w:sz w:val="20"/>
                <w:szCs w:val="20"/>
                <w:color w:val="auto"/>
              </w:rPr>
            </w:pPr>
            <w:r>
              <w:rPr>
                <w:rFonts w:ascii="Arial" w:cs="Arial" w:eastAsia="Arial" w:hAnsi="Arial"/>
                <w:sz w:val="18"/>
                <w:szCs w:val="18"/>
                <w:b w:val="1"/>
                <w:bCs w:val="1"/>
                <w:color w:val="auto"/>
              </w:rPr>
              <w:t>29,510</w:t>
            </w:r>
          </w:p>
        </w:tc>
        <w:tc>
          <w:tcPr>
            <w:tcW w:w="620" w:type="dxa"/>
            <w:vAlign w:val="bottom"/>
            <w:shd w:val="clear" w:color="auto" w:fill="E5E5E5"/>
          </w:tcPr>
          <w:p>
            <w:pPr>
              <w:jc w:val="right"/>
              <w:ind w:right="2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5E5E5"/>
          </w:tcPr>
          <w:p>
            <w:pPr>
              <w:jc w:val="right"/>
              <w:ind w:right="378"/>
              <w:spacing w:after="0"/>
              <w:rPr>
                <w:sz w:val="20"/>
                <w:szCs w:val="20"/>
                <w:color w:val="auto"/>
              </w:rPr>
            </w:pPr>
            <w:r>
              <w:rPr>
                <w:rFonts w:ascii="Arial" w:cs="Arial" w:eastAsia="Arial" w:hAnsi="Arial"/>
                <w:sz w:val="18"/>
                <w:szCs w:val="18"/>
                <w:color w:val="auto"/>
              </w:rPr>
              <w:t>27,195</w:t>
            </w:r>
          </w:p>
        </w:tc>
        <w:tc>
          <w:tcPr>
            <w:tcW w:w="1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280" w:type="dxa"/>
            <w:vAlign w:val="bottom"/>
          </w:tcPr>
          <w:p>
            <w:pPr>
              <w:ind w:left="20"/>
              <w:spacing w:after="0"/>
              <w:rPr>
                <w:sz w:val="20"/>
                <w:szCs w:val="20"/>
                <w:color w:val="auto"/>
              </w:rPr>
            </w:pPr>
            <w:r>
              <w:rPr>
                <w:rFonts w:ascii="Arial" w:cs="Arial" w:eastAsia="Arial" w:hAnsi="Arial"/>
                <w:sz w:val="18"/>
                <w:szCs w:val="18"/>
                <w:color w:val="auto"/>
              </w:rPr>
              <w:t>As a percent of revenue</w:t>
            </w:r>
          </w:p>
        </w:tc>
        <w:tc>
          <w:tcPr>
            <w:tcW w:w="2540" w:type="dxa"/>
            <w:vAlign w:val="bottom"/>
          </w:tcPr>
          <w:p>
            <w:pPr>
              <w:spacing w:after="0"/>
              <w:rPr>
                <w:sz w:val="21"/>
                <w:szCs w:val="21"/>
                <w:color w:val="auto"/>
              </w:rPr>
            </w:pPr>
          </w:p>
        </w:tc>
        <w:tc>
          <w:tcPr>
            <w:tcW w:w="1080" w:type="dxa"/>
            <w:vAlign w:val="bottom"/>
          </w:tcPr>
          <w:p>
            <w:pPr>
              <w:jc w:val="right"/>
              <w:ind w:right="38"/>
              <w:spacing w:after="0"/>
              <w:rPr>
                <w:sz w:val="20"/>
                <w:szCs w:val="20"/>
                <w:color w:val="auto"/>
              </w:rPr>
            </w:pPr>
            <w:r>
              <w:rPr>
                <w:rFonts w:ascii="Arial" w:cs="Arial" w:eastAsia="Arial" w:hAnsi="Arial"/>
                <w:sz w:val="18"/>
                <w:szCs w:val="18"/>
                <w:b w:val="1"/>
                <w:bCs w:val="1"/>
                <w:color w:val="auto"/>
              </w:rPr>
              <w:t>12%</w:t>
            </w:r>
          </w:p>
        </w:tc>
        <w:tc>
          <w:tcPr>
            <w:tcW w:w="620" w:type="dxa"/>
            <w:vAlign w:val="bottom"/>
          </w:tcPr>
          <w:p>
            <w:pPr>
              <w:spacing w:after="0"/>
              <w:rPr>
                <w:sz w:val="21"/>
                <w:szCs w:val="21"/>
                <w:color w:val="auto"/>
              </w:rPr>
            </w:pPr>
          </w:p>
        </w:tc>
        <w:tc>
          <w:tcPr>
            <w:tcW w:w="1400" w:type="dxa"/>
            <w:vAlign w:val="bottom"/>
          </w:tcPr>
          <w:p>
            <w:pPr>
              <w:jc w:val="right"/>
              <w:ind w:right="378"/>
              <w:spacing w:after="0"/>
              <w:rPr>
                <w:sz w:val="20"/>
                <w:szCs w:val="20"/>
                <w:color w:val="auto"/>
              </w:rPr>
            </w:pPr>
            <w:r>
              <w:rPr>
                <w:rFonts w:ascii="Arial" w:cs="Arial" w:eastAsia="Arial" w:hAnsi="Arial"/>
                <w:sz w:val="18"/>
                <w:szCs w:val="18"/>
                <w:color w:val="auto"/>
              </w:rPr>
              <w:t>13%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(1)ppt</w:t>
            </w:r>
          </w:p>
        </w:tc>
        <w:tc>
          <w:tcPr>
            <w:tcW w:w="0" w:type="dxa"/>
            <w:vAlign w:val="bottom"/>
          </w:tcPr>
          <w:p>
            <w:pPr>
              <w:spacing w:after="0"/>
              <w:rPr>
                <w:sz w:val="1"/>
                <w:szCs w:val="1"/>
                <w:color w:val="auto"/>
              </w:rPr>
            </w:pPr>
          </w:p>
        </w:tc>
      </w:tr>
      <w:tr>
        <w:trPr>
          <w:trHeight w:val="50"/>
        </w:trPr>
        <w:tc>
          <w:tcPr>
            <w:tcW w:w="428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and the amortization of purchased software code and services content.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2024 Compared with Fiscal Year 2023</w:t>
      </w:r>
    </w:p>
    <w:p>
      <w:pPr>
        <w:spacing w:after="0" w:line="15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Research and development expenses increased $2.3 billion or 9% driven by Gaming, with 7 points of growth from the Activision Blizzard acquisition, and investments in cloud engineering.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78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3660" w:type="dxa"/>
            <w:vAlign w:val="bottom"/>
            <w:vMerge w:val="restart"/>
          </w:tcPr>
          <w:p>
            <w:pPr>
              <w:jc w:val="right"/>
              <w:ind w:right="613"/>
              <w:spacing w:after="0"/>
              <w:rPr>
                <w:sz w:val="20"/>
                <w:szCs w:val="20"/>
                <w:color w:val="auto"/>
              </w:rPr>
            </w:pPr>
            <w:r>
              <w:rPr>
                <w:rFonts w:ascii="Arial" w:cs="Arial" w:eastAsia="Arial" w:hAnsi="Arial"/>
                <w:sz w:val="13"/>
                <w:szCs w:val="13"/>
                <w:b w:val="1"/>
                <w:bCs w:val="1"/>
                <w:color w:val="auto"/>
              </w:rPr>
              <w:t>2024</w:t>
            </w:r>
          </w:p>
        </w:tc>
        <w:tc>
          <w:tcPr>
            <w:tcW w:w="1460" w:type="dxa"/>
            <w:vAlign w:val="bottom"/>
            <w:vMerge w:val="restart"/>
          </w:tcPr>
          <w:p>
            <w:pPr>
              <w:jc w:val="right"/>
              <w:ind w:right="413"/>
              <w:spacing w:after="0"/>
              <w:rPr>
                <w:sz w:val="20"/>
                <w:szCs w:val="20"/>
                <w:color w:val="auto"/>
              </w:rPr>
            </w:pPr>
            <w:r>
              <w:rPr>
                <w:rFonts w:ascii="Arial" w:cs="Arial" w:eastAsia="Arial" w:hAnsi="Arial"/>
                <w:sz w:val="13"/>
                <w:szCs w:val="13"/>
                <w:b w:val="1"/>
                <w:bCs w:val="1"/>
                <w:color w:val="auto"/>
              </w:rPr>
              <w:t>2023</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86"/>
        </w:trPr>
        <w:tc>
          <w:tcPr>
            <w:tcW w:w="4780" w:type="dxa"/>
            <w:vAlign w:val="bottom"/>
            <w:vMerge w:val="continue"/>
          </w:tcPr>
          <w:p>
            <w:pPr>
              <w:spacing w:after="0"/>
              <w:rPr>
                <w:sz w:val="16"/>
                <w:szCs w:val="16"/>
                <w:color w:val="auto"/>
              </w:rPr>
            </w:pPr>
          </w:p>
        </w:tc>
        <w:tc>
          <w:tcPr>
            <w:tcW w:w="366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637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shd w:val="clear" w:color="auto" w:fill="E5E5E5"/>
          </w:tcPr>
          <w:p>
            <w:pPr>
              <w:ind w:left="20"/>
              <w:spacing w:after="0"/>
              <w:rPr>
                <w:sz w:val="20"/>
                <w:szCs w:val="20"/>
                <w:color w:val="auto"/>
              </w:rPr>
            </w:pPr>
            <w:r>
              <w:rPr>
                <w:rFonts w:ascii="Arial" w:cs="Arial" w:eastAsia="Arial" w:hAnsi="Arial"/>
                <w:sz w:val="18"/>
                <w:szCs w:val="18"/>
                <w:color w:val="auto"/>
              </w:rPr>
              <w:t>Sales and marketing</w:t>
            </w:r>
          </w:p>
        </w:tc>
        <w:tc>
          <w:tcPr>
            <w:tcW w:w="3100" w:type="dxa"/>
            <w:vAlign w:val="bottom"/>
            <w:shd w:val="clear" w:color="auto" w:fill="E5E5E5"/>
          </w:tcPr>
          <w:p>
            <w:pPr>
              <w:jc w:val="right"/>
              <w:ind w:right="319"/>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rPr>
              <w:t>24,456</w:t>
            </w:r>
          </w:p>
        </w:tc>
        <w:tc>
          <w:tcPr>
            <w:tcW w:w="600" w:type="dxa"/>
            <w:vAlign w:val="bottom"/>
            <w:shd w:val="clear" w:color="auto" w:fill="E5E5E5"/>
          </w:tcPr>
          <w:p>
            <w:pPr>
              <w:jc w:val="right"/>
              <w:ind w:right="2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E5E5E5"/>
          </w:tcPr>
          <w:p>
            <w:pPr>
              <w:jc w:val="right"/>
              <w:ind w:right="510"/>
              <w:spacing w:after="0"/>
              <w:rPr>
                <w:sz w:val="20"/>
                <w:szCs w:val="20"/>
                <w:color w:val="auto"/>
              </w:rPr>
            </w:pPr>
            <w:r>
              <w:rPr>
                <w:rFonts w:ascii="Arial" w:cs="Arial" w:eastAsia="Arial" w:hAnsi="Arial"/>
                <w:sz w:val="18"/>
                <w:szCs w:val="18"/>
                <w:color w:val="auto"/>
              </w:rPr>
              <w:t>22,759</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E5E5E5"/>
          </w:tcPr>
          <w:p>
            <w:pPr>
              <w:spacing w:after="0"/>
              <w:rPr>
                <w:sz w:val="19"/>
                <w:szCs w:val="19"/>
                <w:color w:val="auto"/>
              </w:rPr>
            </w:pPr>
          </w:p>
        </w:tc>
      </w:tr>
      <w:tr>
        <w:trPr>
          <w:trHeight w:val="247"/>
        </w:trPr>
        <w:tc>
          <w:tcPr>
            <w:tcW w:w="3740" w:type="dxa"/>
            <w:vAlign w:val="bottom"/>
          </w:tcPr>
          <w:p>
            <w:pPr>
              <w:ind w:left="20"/>
              <w:spacing w:after="0"/>
              <w:rPr>
                <w:sz w:val="20"/>
                <w:szCs w:val="20"/>
                <w:color w:val="auto"/>
              </w:rPr>
            </w:pPr>
            <w:r>
              <w:rPr>
                <w:rFonts w:ascii="Arial" w:cs="Arial" w:eastAsia="Arial" w:hAnsi="Arial"/>
                <w:sz w:val="18"/>
                <w:szCs w:val="18"/>
                <w:color w:val="auto"/>
              </w:rPr>
              <w:t>As a percent of revenue</w:t>
            </w:r>
          </w:p>
        </w:tc>
        <w:tc>
          <w:tcPr>
            <w:tcW w:w="31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10%</w:t>
            </w:r>
          </w:p>
        </w:tc>
        <w:tc>
          <w:tcPr>
            <w:tcW w:w="600" w:type="dxa"/>
            <w:vAlign w:val="bottom"/>
          </w:tcPr>
          <w:p>
            <w:pPr>
              <w:spacing w:after="0"/>
              <w:rPr>
                <w:sz w:val="21"/>
                <w:szCs w:val="21"/>
                <w:color w:val="auto"/>
              </w:rPr>
            </w:pP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11%</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(1)ppt</w:t>
            </w:r>
          </w:p>
        </w:tc>
      </w:tr>
      <w:tr>
        <w:trPr>
          <w:trHeight w:val="50"/>
        </w:trPr>
        <w:tc>
          <w:tcPr>
            <w:tcW w:w="374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06"/>
        </w:trPr>
        <w:tc>
          <w:tcPr>
            <w:tcW w:w="3740" w:type="dxa"/>
            <w:vAlign w:val="bottom"/>
          </w:tcPr>
          <w:p>
            <w:pPr>
              <w:spacing w:after="0"/>
              <w:rPr>
                <w:sz w:val="24"/>
                <w:szCs w:val="24"/>
                <w:color w:val="auto"/>
              </w:rPr>
            </w:pPr>
          </w:p>
        </w:tc>
        <w:tc>
          <w:tcPr>
            <w:tcW w:w="3100" w:type="dxa"/>
            <w:vAlign w:val="bottom"/>
          </w:tcPr>
          <w:p>
            <w:pPr>
              <w:jc w:val="right"/>
              <w:ind w:right="1059"/>
              <w:spacing w:after="0"/>
              <w:rPr>
                <w:sz w:val="20"/>
                <w:szCs w:val="20"/>
                <w:color w:val="auto"/>
              </w:rPr>
            </w:pPr>
            <w:r>
              <w:rPr>
                <w:rFonts w:ascii="Arial" w:cs="Arial" w:eastAsia="Arial" w:hAnsi="Arial"/>
                <w:sz w:val="14"/>
                <w:szCs w:val="14"/>
                <w:color w:val="auto"/>
              </w:rPr>
              <w:t>45</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4"/>
        </w:trPr>
        <w:tc>
          <w:tcPr>
            <w:tcW w:w="37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5" w:name="page46"/>
    <w:bookmarkEnd w:id="45"/>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2024 Compared with Fiscal Year 2023</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 expenses increased $1.7 billion or 7% driven by Gaming, with 6 points of growth from the Activision Blizzard acquisition.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except percentages)</w:t>
            </w:r>
          </w:p>
        </w:tc>
        <w:tc>
          <w:tcPr>
            <w:tcW w:w="2640" w:type="dxa"/>
            <w:vAlign w:val="bottom"/>
          </w:tcPr>
          <w:p>
            <w:pPr>
              <w:spacing w:after="0"/>
              <w:rPr>
                <w:sz w:val="13"/>
                <w:szCs w:val="13"/>
                <w:color w:val="auto"/>
              </w:rPr>
            </w:pPr>
          </w:p>
        </w:tc>
        <w:tc>
          <w:tcPr>
            <w:tcW w:w="1020" w:type="dxa"/>
            <w:vAlign w:val="bottom"/>
            <w:vMerge w:val="restart"/>
          </w:tcPr>
          <w:p>
            <w:pPr>
              <w:jc w:val="right"/>
              <w:ind w:right="38"/>
              <w:spacing w:after="0"/>
              <w:rPr>
                <w:sz w:val="20"/>
                <w:szCs w:val="20"/>
                <w:color w:val="auto"/>
              </w:rPr>
            </w:pPr>
            <w:r>
              <w:rPr>
                <w:rFonts w:ascii="Arial" w:cs="Arial" w:eastAsia="Arial" w:hAnsi="Arial"/>
                <w:sz w:val="13"/>
                <w:szCs w:val="13"/>
                <w:b w:val="1"/>
                <w:bCs w:val="1"/>
                <w:color w:val="auto"/>
              </w:rPr>
              <w:t>2024</w:t>
            </w:r>
          </w:p>
        </w:tc>
        <w:tc>
          <w:tcPr>
            <w:tcW w:w="640" w:type="dxa"/>
            <w:vAlign w:val="bottom"/>
          </w:tcPr>
          <w:p>
            <w:pPr>
              <w:spacing w:after="0"/>
              <w:rPr>
                <w:sz w:val="13"/>
                <w:szCs w:val="13"/>
                <w:color w:val="auto"/>
              </w:rPr>
            </w:pPr>
          </w:p>
        </w:tc>
        <w:tc>
          <w:tcPr>
            <w:tcW w:w="1360" w:type="dxa"/>
            <w:vAlign w:val="bottom"/>
            <w:vMerge w:val="restart"/>
          </w:tcPr>
          <w:p>
            <w:pPr>
              <w:jc w:val="right"/>
              <w:ind w:right="398"/>
              <w:spacing w:after="0"/>
              <w:rPr>
                <w:sz w:val="20"/>
                <w:szCs w:val="20"/>
                <w:color w:val="auto"/>
              </w:rPr>
            </w:pPr>
            <w:r>
              <w:rPr>
                <w:rFonts w:ascii="Arial" w:cs="Arial" w:eastAsia="Arial" w:hAnsi="Arial"/>
                <w:sz w:val="13"/>
                <w:szCs w:val="13"/>
                <w:b w:val="1"/>
                <w:bCs w:val="1"/>
                <w:color w:val="auto"/>
              </w:rPr>
              <w:t>2023</w:t>
            </w:r>
          </w:p>
        </w:tc>
        <w:tc>
          <w:tcPr>
            <w:tcW w:w="13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86"/>
        </w:trPr>
        <w:tc>
          <w:tcPr>
            <w:tcW w:w="4260" w:type="dxa"/>
            <w:vAlign w:val="bottom"/>
            <w:vMerge w:val="continue"/>
          </w:tcPr>
          <w:p>
            <w:pPr>
              <w:spacing w:after="0"/>
              <w:rPr>
                <w:sz w:val="16"/>
                <w:szCs w:val="16"/>
                <w:color w:val="auto"/>
              </w:rPr>
            </w:pPr>
          </w:p>
        </w:tc>
        <w:tc>
          <w:tcPr>
            <w:tcW w:w="26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320" w:type="dxa"/>
            <w:vAlign w:val="bottom"/>
            <w:gridSpan w:val="2"/>
          </w:tcPr>
          <w:p>
            <w:pPr>
              <w:ind w:left="6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8"/>
        </w:trPr>
        <w:tc>
          <w:tcPr>
            <w:tcW w:w="426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426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E5E5E5"/>
          </w:tcPr>
          <w:p>
            <w:pPr>
              <w:ind w:left="20"/>
              <w:spacing w:after="0"/>
              <w:rPr>
                <w:sz w:val="20"/>
                <w:szCs w:val="20"/>
                <w:color w:val="auto"/>
              </w:rPr>
            </w:pPr>
            <w:r>
              <w:rPr>
                <w:rFonts w:ascii="Arial" w:cs="Arial" w:eastAsia="Arial" w:hAnsi="Arial"/>
                <w:sz w:val="18"/>
                <w:szCs w:val="18"/>
                <w:color w:val="auto"/>
              </w:rPr>
              <w:t>General and administrative</w:t>
            </w:r>
          </w:p>
        </w:tc>
        <w:tc>
          <w:tcPr>
            <w:tcW w:w="2640" w:type="dxa"/>
            <w:vAlign w:val="bottom"/>
            <w:shd w:val="clear" w:color="auto" w:fill="E5E5E5"/>
          </w:tcPr>
          <w:p>
            <w:pPr>
              <w:jc w:val="right"/>
              <w:ind w:right="37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5E5E5"/>
          </w:tcPr>
          <w:p>
            <w:pPr>
              <w:jc w:val="right"/>
              <w:ind w:right="38"/>
              <w:spacing w:after="0"/>
              <w:rPr>
                <w:sz w:val="20"/>
                <w:szCs w:val="20"/>
                <w:color w:val="auto"/>
              </w:rPr>
            </w:pPr>
            <w:r>
              <w:rPr>
                <w:rFonts w:ascii="Arial" w:cs="Arial" w:eastAsia="Arial" w:hAnsi="Arial"/>
                <w:sz w:val="18"/>
                <w:szCs w:val="18"/>
                <w:b w:val="1"/>
                <w:bCs w:val="1"/>
                <w:color w:val="auto"/>
              </w:rPr>
              <w:t>7,609</w:t>
            </w:r>
          </w:p>
        </w:tc>
        <w:tc>
          <w:tcPr>
            <w:tcW w:w="640" w:type="dxa"/>
            <w:vAlign w:val="bottom"/>
            <w:shd w:val="clear" w:color="auto" w:fill="E5E5E5"/>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398"/>
              <w:spacing w:after="0"/>
              <w:rPr>
                <w:sz w:val="20"/>
                <w:szCs w:val="20"/>
                <w:color w:val="auto"/>
              </w:rPr>
            </w:pPr>
            <w:r>
              <w:rPr>
                <w:rFonts w:ascii="Arial" w:cs="Arial" w:eastAsia="Arial" w:hAnsi="Arial"/>
                <w:sz w:val="18"/>
                <w:szCs w:val="18"/>
                <w:color w:val="auto"/>
              </w:rPr>
              <w:t>7,575</w:t>
            </w:r>
          </w:p>
        </w:tc>
        <w:tc>
          <w:tcPr>
            <w:tcW w:w="1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As a percent of revenue</w:t>
            </w:r>
          </w:p>
        </w:tc>
        <w:tc>
          <w:tcPr>
            <w:tcW w:w="264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b w:val="1"/>
                <w:bCs w:val="1"/>
                <w:color w:val="auto"/>
              </w:rPr>
              <w:t>3%</w:t>
            </w:r>
          </w:p>
        </w:tc>
        <w:tc>
          <w:tcPr>
            <w:tcW w:w="640" w:type="dxa"/>
            <w:vAlign w:val="bottom"/>
          </w:tcPr>
          <w:p>
            <w:pPr>
              <w:spacing w:after="0"/>
              <w:rPr>
                <w:sz w:val="21"/>
                <w:szCs w:val="21"/>
                <w:color w:val="auto"/>
              </w:rPr>
            </w:pPr>
          </w:p>
        </w:tc>
        <w:tc>
          <w:tcPr>
            <w:tcW w:w="1360" w:type="dxa"/>
            <w:vAlign w:val="bottom"/>
          </w:tcPr>
          <w:p>
            <w:pPr>
              <w:jc w:val="right"/>
              <w:ind w:right="398"/>
              <w:spacing w:after="0"/>
              <w:rPr>
                <w:sz w:val="20"/>
                <w:szCs w:val="20"/>
                <w:color w:val="auto"/>
              </w:rPr>
            </w:pPr>
            <w:r>
              <w:rPr>
                <w:rFonts w:ascii="Arial" w:cs="Arial" w:eastAsia="Arial" w:hAnsi="Arial"/>
                <w:sz w:val="18"/>
                <w:szCs w:val="18"/>
                <w:color w:val="auto"/>
              </w:rPr>
              <w:t>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(1)ppt</w:t>
            </w:r>
          </w:p>
        </w:tc>
        <w:tc>
          <w:tcPr>
            <w:tcW w:w="0" w:type="dxa"/>
            <w:vAlign w:val="bottom"/>
          </w:tcPr>
          <w:p>
            <w:pPr>
              <w:spacing w:after="0"/>
              <w:rPr>
                <w:sz w:val="1"/>
                <w:szCs w:val="1"/>
                <w:color w:val="auto"/>
              </w:rPr>
            </w:pPr>
          </w:p>
        </w:tc>
      </w:tr>
      <w:tr>
        <w:trPr>
          <w:trHeight w:val="50"/>
        </w:trPr>
        <w:tc>
          <w:tcPr>
            <w:tcW w:w="426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 and administrative expenses include payroll, employee benefits, stock-based compensation expense, employee severance expense incurred as part of a corporate program, and other headcount-related expenses associated with finance, legal, facilities, certain human resources and other administrative personnel, certain taxes, and legal and other administrative fees.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2024 Compared with Fiscal Year 2023</w:t>
      </w:r>
    </w:p>
    <w:p>
      <w:pPr>
        <w:spacing w:after="0" w:line="15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General and administrative expenses increased slightly as growth from the Activision Blizzard acquisition was offset in part by the prior year Q2 charge.</w:t>
      </w:r>
    </w:p>
    <w:p>
      <w:pPr>
        <w:spacing w:after="0" w:line="181" w:lineRule="exact"/>
        <w:rPr>
          <w:sz w:val="20"/>
          <w:szCs w:val="20"/>
          <w:color w:val="auto"/>
        </w:rPr>
      </w:pPr>
    </w:p>
    <w:p>
      <w:pPr>
        <w:ind w:left="4160"/>
        <w:spacing w:after="0"/>
        <w:rPr>
          <w:sz w:val="20"/>
          <w:szCs w:val="20"/>
          <w:color w:val="auto"/>
        </w:rPr>
      </w:pPr>
      <w:r>
        <w:rPr>
          <w:rFonts w:ascii="Arial" w:cs="Arial" w:eastAsia="Arial" w:hAnsi="Arial"/>
          <w:sz w:val="18"/>
          <w:szCs w:val="18"/>
          <w:u w:val="single" w:color="auto"/>
          <w:color w:val="auto"/>
        </w:rPr>
        <w:t>OTHER INCOME (EXPENSE),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were as follows: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6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r>
      <w:tr>
        <w:trPr>
          <w:trHeight w:val="58"/>
        </w:trPr>
        <w:tc>
          <w:tcPr>
            <w:tcW w:w="7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30"/>
        </w:trPr>
        <w:tc>
          <w:tcPr>
            <w:tcW w:w="7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Interest and dividends income</w:t>
            </w:r>
          </w:p>
        </w:tc>
        <w:tc>
          <w:tcPr>
            <w:tcW w:w="640" w:type="dxa"/>
            <w:vAlign w:val="bottom"/>
            <w:shd w:val="clear" w:color="auto" w:fill="E5E5E5"/>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3,157</w:t>
            </w:r>
          </w:p>
        </w:tc>
        <w:tc>
          <w:tcPr>
            <w:tcW w:w="22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2,994</w:t>
            </w:r>
          </w:p>
        </w:tc>
        <w:tc>
          <w:tcPr>
            <w:tcW w:w="100" w:type="dxa"/>
            <w:vAlign w:val="bottom"/>
            <w:shd w:val="clear" w:color="auto" w:fill="E5E5E5"/>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(2,935 )</w:t>
            </w:r>
          </w:p>
        </w:tc>
        <w:tc>
          <w:tcPr>
            <w:tcW w:w="6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(1,968 )</w:t>
            </w:r>
          </w:p>
        </w:tc>
      </w:tr>
      <w:tr>
        <w:trPr>
          <w:trHeight w:val="229"/>
        </w:trPr>
        <w:tc>
          <w:tcPr>
            <w:tcW w:w="7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Net recognized gains (losses) on investments</w:t>
            </w:r>
          </w:p>
        </w:tc>
        <w:tc>
          <w:tcPr>
            <w:tcW w:w="640" w:type="dxa"/>
            <w:vAlign w:val="bottom"/>
            <w:shd w:val="clear" w:color="auto" w:fill="E5E5E5"/>
          </w:tcPr>
          <w:p>
            <w:pPr>
              <w:spacing w:after="0"/>
              <w:rPr>
                <w:sz w:val="19"/>
                <w:szCs w:val="19"/>
                <w:color w:val="auto"/>
              </w:rPr>
            </w:pPr>
          </w:p>
        </w:tc>
        <w:tc>
          <w:tcPr>
            <w:tcW w:w="12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(118 )</w:t>
            </w:r>
          </w:p>
        </w:tc>
        <w:tc>
          <w:tcPr>
            <w:tcW w:w="640" w:type="dxa"/>
            <w:vAlign w:val="bottom"/>
            <w:shd w:val="clear" w:color="auto" w:fill="E5E5E5"/>
          </w:tcPr>
          <w:p>
            <w:pPr>
              <w:spacing w:after="0"/>
              <w:rPr>
                <w:sz w:val="19"/>
                <w:szCs w:val="19"/>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E5E5E5"/>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Net losses on derivatives</w:t>
            </w:r>
          </w:p>
        </w:tc>
        <w:tc>
          <w:tcPr>
            <w:tcW w:w="6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(187 )</w:t>
            </w:r>
          </w:p>
        </w:tc>
        <w:tc>
          <w:tcPr>
            <w:tcW w:w="6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(456 )</w:t>
            </w:r>
          </w:p>
        </w:tc>
      </w:tr>
      <w:tr>
        <w:trPr>
          <w:trHeight w:val="230"/>
        </w:trPr>
        <w:tc>
          <w:tcPr>
            <w:tcW w:w="7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Net gains (losses) on foreign currency remeasurements</w:t>
            </w:r>
          </w:p>
        </w:tc>
        <w:tc>
          <w:tcPr>
            <w:tcW w:w="640" w:type="dxa"/>
            <w:vAlign w:val="bottom"/>
            <w:shd w:val="clear" w:color="auto" w:fill="E5E5E5"/>
          </w:tcPr>
          <w:p>
            <w:pPr>
              <w:spacing w:after="0"/>
              <w:rPr>
                <w:sz w:val="19"/>
                <w:szCs w:val="19"/>
                <w:color w:val="auto"/>
              </w:rPr>
            </w:pPr>
          </w:p>
        </w:tc>
        <w:tc>
          <w:tcPr>
            <w:tcW w:w="12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(244 )</w:t>
            </w:r>
          </w:p>
        </w:tc>
        <w:tc>
          <w:tcPr>
            <w:tcW w:w="640" w:type="dxa"/>
            <w:vAlign w:val="bottom"/>
            <w:shd w:val="clear" w:color="auto" w:fill="E5E5E5"/>
          </w:tcPr>
          <w:p>
            <w:pPr>
              <w:spacing w:after="0"/>
              <w:rPr>
                <w:sz w:val="19"/>
                <w:szCs w:val="19"/>
                <w:color w:val="auto"/>
              </w:rPr>
            </w:pP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E5E5E5"/>
          </w:tcPr>
          <w:p>
            <w:pPr>
              <w:spacing w:after="0"/>
              <w:rPr>
                <w:sz w:val="19"/>
                <w:szCs w:val="19"/>
                <w:color w:val="auto"/>
              </w:rPr>
            </w:pPr>
          </w:p>
        </w:tc>
      </w:tr>
      <w:tr>
        <w:trPr>
          <w:trHeight w:val="247"/>
        </w:trPr>
        <w:tc>
          <w:tcPr>
            <w:tcW w:w="75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64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(1,319 )</w:t>
            </w:r>
          </w:p>
        </w:tc>
        <w:tc>
          <w:tcPr>
            <w:tcW w:w="64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(223 )</w:t>
            </w:r>
          </w:p>
        </w:tc>
      </w:tr>
      <w:tr>
        <w:trPr>
          <w:trHeight w:val="50"/>
        </w:trPr>
        <w:tc>
          <w:tcPr>
            <w:tcW w:w="75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7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30"/>
        </w:trPr>
        <w:tc>
          <w:tcPr>
            <w:tcW w:w="75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E5E5E5"/>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(1,646 )</w:t>
            </w:r>
          </w:p>
        </w:tc>
        <w:tc>
          <w:tcPr>
            <w:tcW w:w="640" w:type="dxa"/>
            <w:vAlign w:val="bottom"/>
            <w:shd w:val="clear" w:color="auto" w:fill="E5E5E5"/>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E5E5E5"/>
          </w:tcPr>
          <w:p>
            <w:pPr>
              <w:spacing w:after="0"/>
              <w:rPr>
                <w:sz w:val="19"/>
                <w:szCs w:val="19"/>
                <w:color w:val="auto"/>
              </w:rPr>
            </w:pPr>
          </w:p>
        </w:tc>
      </w:tr>
      <w:tr>
        <w:trPr>
          <w:trHeight w:val="75"/>
        </w:trPr>
        <w:tc>
          <w:tcPr>
            <w:tcW w:w="756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derivative instruments to manage risks related to foreign currencies, interest rates, equity prices, and credit; to enhance investment returns; and to facilitate portfolio diversification. Gains and losses from changes in fair values of derivatives that are not designated as hedging instruments are primarily recognized in other income (expense), net.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2024 Compared with Fiscal Year 2023</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Interest and dividends income increased due to higher yields. Interest expense increased due to the issuance of commercial paper. Net recognized losses on investments increased primarily due to higher equity impairments and lower gains on equity investments. Net losses on derivatives decreased primarily due to lower losses on equity derivatives. Other, net primarily reflects net recognized losses on equity method investments.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6" w:name="page47"/>
    <w:bookmarkEnd w:id="46"/>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effective tax rate for fiscal years 2024 and 2023 was 18% and 19%, respectively. The decrease in our effective tax rate was primarily due to tax benefits from tax law changes, including the impact from the issuance of Notice 2023-55 and Notice 2023-80 by the Internal Revenue Service (“IRS”) and U.S. Treasury Department. Notice 2023-55, issued in the first quarter of fiscal year 2024, delayed the effective date of final foreign tax credit regulations to fiscal year 2024 for Microsoft. Notice 2023-80, issued in the second quarter of fiscal year 2024, further delayed the effective date of final foreign tax credit regulations indefinitely.</w:t>
      </w:r>
    </w:p>
    <w:p>
      <w:pPr>
        <w:spacing w:after="0" w:line="12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effective tax rate was lower than the U.S. federal statutory rate, primarily due to earnings taxed at lower rates in foreign jurisdictions resulting from producing and distributing our products and services through our foreign regional operations center in Ireland.</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mix of income before income taxes between the U.S. and foreign countries impacted our effective tax rate as a result of the geographic distribution of, and customer demand for, our products and services. In fiscal year 2024, our U.S. income before income taxes was $62.9 billion and our foreign income before income taxes was $44.9 billion. In fiscal year 2023, our U.S. income before income taxes was $52.9 billion and our foreign income before income taxes was $36.4 billion.</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Organisation for Economic Co-operation and Development (“OECD”) published its model rules “Tax Challenges Arising From the Digitalisation of the Economy - Global Anti-Base Erosion Model Rules (Pillar Two)” which established a global minimum corporate tax rate of 15% for certain multinational enterprises. Many countries have implemented or are in the process of implementing the Pillar Two legislation, which will apply to Microsoft beginning in fiscal year 2025. While we do not currently estimate a material impact to our consolidated financial statements, we continue to monitor the impact as countries implement legislation and the OECD provides additional guidance.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remain under audit by the IRS for tax years 2014 to 2017. With respect to the audit for tax years 2004 to 2013, on September 26, 2023, we received Notices of Proposed Adjustment (“NOPAs”) from the IRS. The primary issues in the NOPAs relate to intercompany transfer pricing. In the NOPAs, the IRS is seeking an additional tax payment of $28.9 billion plus penalties and interest. As of June 30, 2024, we believe our allowances for income tax contingencies are adequate. We disagree with the proposed adjustments and will vigorously contest the NOPAs through the IRS’s administrative appeals office and, if necessary, judicial proceedings. We do not expect a final resolution of these issues in the next 12 months. Based on the information currently available, we do not anticipate a significant increase or decrease to our income tax contingencies for these issues within the next 12 months.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2023, some of which are currently under audit by local tax authorities. The resolution of each of these audits is not expected to be material to our consolidated financial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NON-GAAP FINANCIAL MEASURES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Adjusted gross margin, operating income, net income, and diluted EPS are non-GAAP financial measures. Prior year non-GAAP financial measures exclude the impact of the Q2 charge, which includes employee severance expenses, impairment charges resulting from changes to our hardware portfolio, and costs related to lease consolidation activities. We believe these non-GAAP measures aid investors by providing additional insight into our operational performance and help clarify trends affecting our business. For comparability of reporting, management considers non-GAAP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7" w:name="page48"/>
    <w:bookmarkEnd w:id="47"/>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financial results reported in accordance with GAAP to non-GAAP financial results: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4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2023</w:t>
            </w:r>
          </w:p>
        </w:tc>
        <w:tc>
          <w:tcPr>
            <w:tcW w:w="1800" w:type="dxa"/>
            <w:vAlign w:val="bottom"/>
            <w:gridSpan w:val="2"/>
          </w:tcPr>
          <w:p>
            <w:pPr>
              <w:ind w:left="96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86"/>
        </w:trPr>
        <w:tc>
          <w:tcPr>
            <w:tcW w:w="620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800" w:type="dxa"/>
            <w:vAlign w:val="bottom"/>
            <w:gridSpan w:val="2"/>
          </w:tcPr>
          <w:p>
            <w:pPr>
              <w:ind w:left="11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58"/>
        </w:trPr>
        <w:tc>
          <w:tcPr>
            <w:tcW w:w="6200" w:type="dxa"/>
            <w:vAlign w:val="bottom"/>
            <w:tcBorders>
              <w:bottom w:val="single" w:sz="8" w:color="auto"/>
            </w:tcBorders>
            <w:gridSpan w:val="2"/>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60" w:type="dxa"/>
            <w:vAlign w:val="bottom"/>
          </w:tcPr>
          <w:p>
            <w:pPr>
              <w:spacing w:after="0"/>
              <w:rPr>
                <w:sz w:val="5"/>
                <w:szCs w:val="5"/>
                <w:color w:val="auto"/>
              </w:rPr>
            </w:pPr>
          </w:p>
        </w:tc>
        <w:tc>
          <w:tcPr>
            <w:tcW w:w="60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E5E5E5"/>
          </w:tcPr>
          <w:p>
            <w:pPr>
              <w:ind w:left="20"/>
              <w:spacing w:after="0"/>
              <w:rPr>
                <w:sz w:val="20"/>
                <w:szCs w:val="20"/>
                <w:color w:val="auto"/>
              </w:rPr>
            </w:pPr>
            <w:r>
              <w:rPr>
                <w:rFonts w:ascii="Arial" w:cs="Arial" w:eastAsia="Arial" w:hAnsi="Arial"/>
                <w:sz w:val="18"/>
                <w:szCs w:val="18"/>
                <w:color w:val="auto"/>
              </w:rPr>
              <w:t>Gross margin</w:t>
            </w:r>
          </w:p>
        </w:tc>
        <w:tc>
          <w:tcPr>
            <w:tcW w:w="480" w:type="dxa"/>
            <w:vAlign w:val="bottom"/>
            <w:shd w:val="clear" w:color="auto" w:fill="E5E5E5"/>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171,008</w:t>
            </w:r>
          </w:p>
        </w:tc>
        <w:tc>
          <w:tcPr>
            <w:tcW w:w="720" w:type="dxa"/>
            <w:vAlign w:val="bottom"/>
            <w:gridSpan w:val="2"/>
            <w:shd w:val="clear" w:color="auto" w:fill="E5E5E5"/>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146,052</w:t>
            </w:r>
          </w:p>
        </w:tc>
        <w:tc>
          <w:tcPr>
            <w:tcW w:w="1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Severance, hardware-related impairment, and lease consolidation costs</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60" w:type="dxa"/>
            <w:vAlign w:val="bottom"/>
            <w:tcBorders>
              <w:bottom w:val="single" w:sz="8" w:color="auto"/>
            </w:tcBorders>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60" w:type="dxa"/>
            <w:vAlign w:val="bottom"/>
          </w:tcPr>
          <w:p>
            <w:pPr>
              <w:spacing w:after="0"/>
              <w:rPr>
                <w:sz w:val="5"/>
                <w:szCs w:val="5"/>
                <w:color w:val="auto"/>
              </w:rPr>
            </w:pPr>
          </w:p>
        </w:tc>
        <w:tc>
          <w:tcPr>
            <w:tcW w:w="60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E5E5E5"/>
          </w:tcPr>
          <w:p>
            <w:pPr>
              <w:spacing w:after="0"/>
              <w:rPr>
                <w:sz w:val="19"/>
                <w:szCs w:val="19"/>
                <w:color w:val="auto"/>
              </w:rPr>
            </w:pPr>
          </w:p>
        </w:tc>
        <w:tc>
          <w:tcPr>
            <w:tcW w:w="6040" w:type="dxa"/>
            <w:vAlign w:val="bottom"/>
            <w:shd w:val="clear" w:color="auto" w:fill="E5E5E5"/>
          </w:tcPr>
          <w:p>
            <w:pPr>
              <w:ind w:left="80"/>
              <w:spacing w:after="0"/>
              <w:rPr>
                <w:sz w:val="20"/>
                <w:szCs w:val="20"/>
                <w:color w:val="auto"/>
              </w:rPr>
            </w:pPr>
            <w:r>
              <w:rPr>
                <w:rFonts w:ascii="Arial" w:cs="Arial" w:eastAsia="Arial" w:hAnsi="Arial"/>
                <w:sz w:val="18"/>
                <w:szCs w:val="18"/>
                <w:color w:val="auto"/>
              </w:rPr>
              <w:t>Adjusted gross margin (non-GAAP)</w:t>
            </w:r>
          </w:p>
        </w:tc>
        <w:tc>
          <w:tcPr>
            <w:tcW w:w="480" w:type="dxa"/>
            <w:vAlign w:val="bottom"/>
            <w:shd w:val="clear" w:color="auto" w:fill="E5E5E5"/>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171,008</w:t>
            </w:r>
          </w:p>
        </w:tc>
        <w:tc>
          <w:tcPr>
            <w:tcW w:w="720" w:type="dxa"/>
            <w:vAlign w:val="bottom"/>
            <w:gridSpan w:val="2"/>
            <w:shd w:val="clear" w:color="auto" w:fill="E5E5E5"/>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146,204</w:t>
            </w:r>
          </w:p>
        </w:tc>
        <w:tc>
          <w:tcPr>
            <w:tcW w:w="1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6200" w:type="dxa"/>
            <w:vAlign w:val="bottom"/>
            <w:gridSpan w:val="2"/>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109,433</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88,523</w:t>
            </w:r>
          </w:p>
        </w:tc>
        <w:tc>
          <w:tcPr>
            <w:tcW w:w="17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E5E5E5"/>
          </w:tcPr>
          <w:p>
            <w:pPr>
              <w:ind w:left="20"/>
              <w:spacing w:after="0"/>
              <w:rPr>
                <w:sz w:val="20"/>
                <w:szCs w:val="20"/>
                <w:color w:val="auto"/>
              </w:rPr>
            </w:pPr>
            <w:r>
              <w:rPr>
                <w:rFonts w:ascii="Arial" w:cs="Arial" w:eastAsia="Arial" w:hAnsi="Arial"/>
                <w:sz w:val="18"/>
                <w:szCs w:val="18"/>
                <w:color w:val="auto"/>
              </w:rPr>
              <w:t>Severance, hardware-related impairment, and lease consolidation costs</w:t>
            </w:r>
          </w:p>
        </w:tc>
        <w:tc>
          <w:tcPr>
            <w:tcW w:w="48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1,171</w:t>
            </w:r>
          </w:p>
        </w:tc>
        <w:tc>
          <w:tcPr>
            <w:tcW w:w="1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160" w:type="dxa"/>
            <w:vAlign w:val="bottom"/>
            <w:tcBorders>
              <w:bottom w:val="single" w:sz="8" w:color="auto"/>
            </w:tcBorders>
          </w:tcPr>
          <w:p>
            <w:pPr>
              <w:spacing w:after="0"/>
              <w:rPr>
                <w:sz w:val="5"/>
                <w:szCs w:val="5"/>
                <w:color w:val="auto"/>
              </w:rPr>
            </w:pPr>
          </w:p>
        </w:tc>
        <w:tc>
          <w:tcPr>
            <w:tcW w:w="60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160" w:type="dxa"/>
            <w:vAlign w:val="bottom"/>
          </w:tcPr>
          <w:p>
            <w:pPr>
              <w:spacing w:after="0"/>
              <w:rPr>
                <w:sz w:val="24"/>
                <w:szCs w:val="24"/>
                <w:color w:val="auto"/>
              </w:rPr>
            </w:pPr>
          </w:p>
        </w:tc>
        <w:tc>
          <w:tcPr>
            <w:tcW w:w="6040" w:type="dxa"/>
            <w:vAlign w:val="bottom"/>
          </w:tcPr>
          <w:p>
            <w:pPr>
              <w:ind w:left="80"/>
              <w:spacing w:after="0"/>
              <w:rPr>
                <w:sz w:val="20"/>
                <w:szCs w:val="20"/>
                <w:color w:val="auto"/>
              </w:rPr>
            </w:pPr>
            <w:r>
              <w:rPr>
                <w:rFonts w:ascii="Arial" w:cs="Arial" w:eastAsia="Arial" w:hAnsi="Arial"/>
                <w:sz w:val="18"/>
                <w:szCs w:val="18"/>
                <w:color w:val="auto"/>
              </w:rPr>
              <w:t>Adjusted operating income (non-GAAP)</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109,433</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89,694</w:t>
            </w:r>
          </w:p>
        </w:tc>
        <w:tc>
          <w:tcPr>
            <w:tcW w:w="17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6200" w:type="dxa"/>
            <w:vAlign w:val="bottom"/>
            <w:gridSpan w:val="2"/>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60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E5E5E5"/>
          </w:tcPr>
          <w:p>
            <w:pPr>
              <w:ind w:left="20"/>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E5E5E5"/>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88,136</w:t>
            </w:r>
          </w:p>
        </w:tc>
        <w:tc>
          <w:tcPr>
            <w:tcW w:w="720" w:type="dxa"/>
            <w:vAlign w:val="bottom"/>
            <w:gridSpan w:val="2"/>
            <w:shd w:val="clear" w:color="auto" w:fill="E5E5E5"/>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72,361</w:t>
            </w:r>
          </w:p>
        </w:tc>
        <w:tc>
          <w:tcPr>
            <w:tcW w:w="1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Severance, hardware-related impairment, and lease consolidation costs</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946</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60" w:type="dxa"/>
            <w:vAlign w:val="bottom"/>
            <w:tcBorders>
              <w:bottom w:val="single" w:sz="8" w:color="auto"/>
            </w:tcBorders>
          </w:tcPr>
          <w:p>
            <w:pPr>
              <w:spacing w:after="0"/>
              <w:rPr>
                <w:sz w:val="4"/>
                <w:szCs w:val="4"/>
                <w:color w:val="auto"/>
              </w:rPr>
            </w:pPr>
          </w:p>
        </w:tc>
        <w:tc>
          <w:tcPr>
            <w:tcW w:w="60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60" w:type="dxa"/>
            <w:vAlign w:val="bottom"/>
          </w:tcPr>
          <w:p>
            <w:pPr>
              <w:spacing w:after="0"/>
              <w:rPr>
                <w:sz w:val="5"/>
                <w:szCs w:val="5"/>
                <w:color w:val="auto"/>
              </w:rPr>
            </w:pPr>
          </w:p>
        </w:tc>
        <w:tc>
          <w:tcPr>
            <w:tcW w:w="60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160" w:type="dxa"/>
            <w:vAlign w:val="bottom"/>
            <w:shd w:val="clear" w:color="auto" w:fill="E5E5E5"/>
          </w:tcPr>
          <w:p>
            <w:pPr>
              <w:spacing w:after="0"/>
              <w:rPr>
                <w:sz w:val="19"/>
                <w:szCs w:val="19"/>
                <w:color w:val="auto"/>
              </w:rPr>
            </w:pPr>
          </w:p>
        </w:tc>
        <w:tc>
          <w:tcPr>
            <w:tcW w:w="6040" w:type="dxa"/>
            <w:vAlign w:val="bottom"/>
            <w:shd w:val="clear" w:color="auto" w:fill="E5E5E5"/>
          </w:tcPr>
          <w:p>
            <w:pPr>
              <w:ind w:left="80"/>
              <w:spacing w:after="0"/>
              <w:rPr>
                <w:sz w:val="20"/>
                <w:szCs w:val="20"/>
                <w:color w:val="auto"/>
              </w:rPr>
            </w:pPr>
            <w:r>
              <w:rPr>
                <w:rFonts w:ascii="Arial" w:cs="Arial" w:eastAsia="Arial" w:hAnsi="Arial"/>
                <w:sz w:val="18"/>
                <w:szCs w:val="18"/>
                <w:color w:val="auto"/>
              </w:rPr>
              <w:t>Adjusted net income (non-GAAP)</w:t>
            </w:r>
          </w:p>
        </w:tc>
        <w:tc>
          <w:tcPr>
            <w:tcW w:w="480" w:type="dxa"/>
            <w:vAlign w:val="bottom"/>
            <w:shd w:val="clear" w:color="auto" w:fill="E5E5E5"/>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88,136</w:t>
            </w:r>
          </w:p>
        </w:tc>
        <w:tc>
          <w:tcPr>
            <w:tcW w:w="720" w:type="dxa"/>
            <w:vAlign w:val="bottom"/>
            <w:gridSpan w:val="2"/>
            <w:shd w:val="clear" w:color="auto" w:fill="E5E5E5"/>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73,307</w:t>
            </w:r>
          </w:p>
        </w:tc>
        <w:tc>
          <w:tcPr>
            <w:tcW w:w="1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6200" w:type="dxa"/>
            <w:vAlign w:val="bottom"/>
            <w:gridSpan w:val="2"/>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11.80</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9.68</w:t>
            </w:r>
          </w:p>
        </w:tc>
        <w:tc>
          <w:tcPr>
            <w:tcW w:w="17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E5E5E5"/>
          </w:tcPr>
          <w:p>
            <w:pPr>
              <w:ind w:left="20"/>
              <w:spacing w:after="0"/>
              <w:rPr>
                <w:sz w:val="20"/>
                <w:szCs w:val="20"/>
                <w:color w:val="auto"/>
              </w:rPr>
            </w:pPr>
            <w:r>
              <w:rPr>
                <w:rFonts w:ascii="Arial" w:cs="Arial" w:eastAsia="Arial" w:hAnsi="Arial"/>
                <w:sz w:val="18"/>
                <w:szCs w:val="18"/>
                <w:color w:val="auto"/>
              </w:rPr>
              <w:t>Severance, hardware-related impairment, and lease consolidation costs</w:t>
            </w:r>
          </w:p>
        </w:tc>
        <w:tc>
          <w:tcPr>
            <w:tcW w:w="48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0.13</w:t>
            </w:r>
          </w:p>
        </w:tc>
        <w:tc>
          <w:tcPr>
            <w:tcW w:w="1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160" w:type="dxa"/>
            <w:vAlign w:val="bottom"/>
            <w:tcBorders>
              <w:bottom w:val="single" w:sz="8" w:color="auto"/>
            </w:tcBorders>
          </w:tcPr>
          <w:p>
            <w:pPr>
              <w:spacing w:after="0"/>
              <w:rPr>
                <w:sz w:val="5"/>
                <w:szCs w:val="5"/>
                <w:color w:val="auto"/>
              </w:rPr>
            </w:pPr>
          </w:p>
        </w:tc>
        <w:tc>
          <w:tcPr>
            <w:tcW w:w="60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160" w:type="dxa"/>
            <w:vAlign w:val="bottom"/>
          </w:tcPr>
          <w:p>
            <w:pPr>
              <w:spacing w:after="0"/>
              <w:rPr>
                <w:sz w:val="24"/>
                <w:szCs w:val="24"/>
                <w:color w:val="auto"/>
              </w:rPr>
            </w:pPr>
          </w:p>
        </w:tc>
        <w:tc>
          <w:tcPr>
            <w:tcW w:w="6040" w:type="dxa"/>
            <w:vAlign w:val="bottom"/>
          </w:tcPr>
          <w:p>
            <w:pPr>
              <w:ind w:left="80"/>
              <w:spacing w:after="0"/>
              <w:rPr>
                <w:sz w:val="20"/>
                <w:szCs w:val="20"/>
                <w:color w:val="auto"/>
              </w:rPr>
            </w:pPr>
            <w:r>
              <w:rPr>
                <w:rFonts w:ascii="Arial" w:cs="Arial" w:eastAsia="Arial" w:hAnsi="Arial"/>
                <w:sz w:val="18"/>
                <w:szCs w:val="18"/>
                <w:color w:val="auto"/>
              </w:rPr>
              <w:t>Adjusted diluted earnings per share (non-GAAP)</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11.80</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9.81</w:t>
            </w:r>
          </w:p>
        </w:tc>
        <w:tc>
          <w:tcPr>
            <w:tcW w:w="17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6040" w:type="dxa"/>
            <w:vAlign w:val="bottom"/>
            <w:vMerge w:val="restart"/>
          </w:tcPr>
          <w:p>
            <w:pPr>
              <w:ind w:left="240"/>
              <w:spacing w:after="0"/>
              <w:rPr>
                <w:sz w:val="20"/>
                <w:szCs w:val="20"/>
                <w:color w:val="auto"/>
              </w:rPr>
            </w:pPr>
            <w:r>
              <w:rPr>
                <w:rFonts w:ascii="Arial" w:cs="Arial" w:eastAsia="Arial" w:hAnsi="Arial"/>
                <w:sz w:val="18"/>
                <w:szCs w:val="18"/>
                <w:i w:val="1"/>
                <w:iCs w:val="1"/>
                <w:color w:val="auto"/>
              </w:rPr>
              <w:t>Not meaningful.</w:t>
            </w: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160" w:type="dxa"/>
            <w:vAlign w:val="bottom"/>
            <w:vMerge w:val="continue"/>
          </w:tcPr>
          <w:p>
            <w:pPr>
              <w:spacing w:after="0"/>
              <w:rPr>
                <w:sz w:val="24"/>
                <w:szCs w:val="24"/>
                <w:color w:val="auto"/>
              </w:rPr>
            </w:pPr>
          </w:p>
        </w:tc>
        <w:tc>
          <w:tcPr>
            <w:tcW w:w="60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material capital expenditures, and the transition tax related to the Tax Cuts and Jobs Act (“TCJA”), for at least the next 12 months and thereafter for the foreseeable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Investments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cash equivalents, and short-term investments totaled $75.5 billion and $111.3 billion as of June 30, 2024 and 2023, respectively. Equity and other investments were $14.6 billion and $9.9 billion as of June 30, 2024 and 2023,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8" w:name="page49"/>
    <w:bookmarkEnd w:id="48"/>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3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Cash from operations increased $31.0 billion to $118.5 billion for fiscal year 2024, primarily due to an increase in cash received from customers. Cash used in financing decreased $6.2 billion to $37.8 billion for fiscal year 2024, primarily due to a $5.0 billion decrease in common stock repurchases and a $3.3 billion increase in proceeds from issuance of debt, net of repayments, offset in part by a $2.0 billion increase in dividends paid. Cash used in investing increased $74.3 billion to $97.0 billion for fiscal year 2024, primarily due to a $67.5 billion increase in cash used for acquisitions of companies, net of cash acquired, and purchases of intangible and other assets and a $16.4 billion increase in additions to property and equipment.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Proceeds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issue debt to take advantage of favorable pricing and liquidity in the debt markets, reflecting our credit rating. The proceeds of these issuances were or will be used for general corporate purposes, which may include, among other things, funding for working capital, capital expenditures, repurchases of capital stock, acquisitions, and repayment of existing debt. Refer to Note 11 – Debt of the Notes to Financial Statements (Part II, Item 8 of this Form 10-K) for further discussion.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Software Assurance (“SA”) and cloud services.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 Refer to Note 1 – Accounting Policies of the Notes to Financial Statements (Part II, Item 8 of this Form 10-K) for further discussion.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expected future recognition of unearned revenue as of June 30, 2024:</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80" w:type="dxa"/>
            <w:vAlign w:val="bottom"/>
          </w:tcPr>
          <w:p>
            <w:pPr>
              <w:ind w:left="20"/>
              <w:spacing w:after="0"/>
              <w:rPr>
                <w:sz w:val="20"/>
                <w:szCs w:val="20"/>
                <w:color w:val="auto"/>
              </w:rPr>
            </w:pPr>
            <w:r>
              <w:rPr>
                <w:rFonts w:ascii="Arial" w:cs="Arial" w:eastAsia="Arial" w:hAnsi="Arial"/>
                <w:sz w:val="13"/>
                <w:szCs w:val="13"/>
                <w:b w:val="1"/>
                <w:bCs w:val="1"/>
                <w:color w:val="auto"/>
              </w:rPr>
              <w:t>Three Months Ending</w:t>
            </w: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58"/>
        </w:trPr>
        <w:tc>
          <w:tcPr>
            <w:tcW w:w="9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30"/>
        </w:trPr>
        <w:tc>
          <w:tcPr>
            <w:tcW w:w="9680" w:type="dxa"/>
            <w:vAlign w:val="bottom"/>
            <w:shd w:val="clear" w:color="auto" w:fill="E5E5E5"/>
          </w:tcPr>
          <w:p>
            <w:pPr>
              <w:ind w:left="20"/>
              <w:spacing w:after="0"/>
              <w:rPr>
                <w:sz w:val="20"/>
                <w:szCs w:val="20"/>
                <w:color w:val="auto"/>
              </w:rPr>
            </w:pPr>
            <w:r>
              <w:rPr>
                <w:rFonts w:ascii="Arial" w:cs="Arial" w:eastAsia="Arial" w:hAnsi="Arial"/>
                <w:sz w:val="18"/>
                <w:szCs w:val="18"/>
                <w:color w:val="auto"/>
              </w:rPr>
              <w:t>September 30, 2024</w:t>
            </w:r>
          </w:p>
        </w:tc>
        <w:tc>
          <w:tcPr>
            <w:tcW w:w="500" w:type="dxa"/>
            <w:vAlign w:val="bottom"/>
            <w:shd w:val="clear" w:color="auto" w:fill="E5E5E5"/>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22,529</w:t>
            </w:r>
          </w:p>
        </w:tc>
        <w:tc>
          <w:tcPr>
            <w:tcW w:w="100" w:type="dxa"/>
            <w:vAlign w:val="bottom"/>
            <w:shd w:val="clear" w:color="auto" w:fill="E5E5E5"/>
          </w:tcPr>
          <w:p>
            <w:pPr>
              <w:spacing w:after="0"/>
              <w:rPr>
                <w:sz w:val="19"/>
                <w:szCs w:val="19"/>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December 31, 2024</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17,664</w:t>
            </w:r>
          </w:p>
        </w:tc>
        <w:tc>
          <w:tcPr>
            <w:tcW w:w="100" w:type="dxa"/>
            <w:vAlign w:val="bottom"/>
          </w:tcPr>
          <w:p>
            <w:pPr>
              <w:spacing w:after="0"/>
              <w:rPr>
                <w:sz w:val="19"/>
                <w:szCs w:val="19"/>
                <w:color w:val="auto"/>
              </w:rPr>
            </w:pPr>
          </w:p>
        </w:tc>
      </w:tr>
      <w:tr>
        <w:trPr>
          <w:trHeight w:val="229"/>
        </w:trPr>
        <w:tc>
          <w:tcPr>
            <w:tcW w:w="9680" w:type="dxa"/>
            <w:vAlign w:val="bottom"/>
            <w:shd w:val="clear" w:color="auto" w:fill="E5E5E5"/>
          </w:tcPr>
          <w:p>
            <w:pPr>
              <w:ind w:left="20"/>
              <w:spacing w:after="0"/>
              <w:rPr>
                <w:sz w:val="20"/>
                <w:szCs w:val="20"/>
                <w:color w:val="auto"/>
              </w:rPr>
            </w:pPr>
            <w:r>
              <w:rPr>
                <w:rFonts w:ascii="Arial" w:cs="Arial" w:eastAsia="Arial" w:hAnsi="Arial"/>
                <w:sz w:val="18"/>
                <w:szCs w:val="18"/>
                <w:color w:val="auto"/>
              </w:rPr>
              <w:t>March 31, 2025</w:t>
            </w:r>
          </w:p>
        </w:tc>
        <w:tc>
          <w:tcPr>
            <w:tcW w:w="50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12,076</w:t>
            </w:r>
          </w:p>
        </w:tc>
        <w:tc>
          <w:tcPr>
            <w:tcW w:w="100" w:type="dxa"/>
            <w:vAlign w:val="bottom"/>
            <w:shd w:val="clear" w:color="auto" w:fill="E5E5E5"/>
          </w:tcPr>
          <w:p>
            <w:pPr>
              <w:spacing w:after="0"/>
              <w:rPr>
                <w:sz w:val="19"/>
                <w:szCs w:val="19"/>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June 30, 2025</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5,313</w:t>
            </w:r>
          </w:p>
        </w:tc>
        <w:tc>
          <w:tcPr>
            <w:tcW w:w="100" w:type="dxa"/>
            <w:vAlign w:val="bottom"/>
          </w:tcPr>
          <w:p>
            <w:pPr>
              <w:spacing w:after="0"/>
              <w:rPr>
                <w:sz w:val="19"/>
                <w:szCs w:val="19"/>
                <w:color w:val="auto"/>
              </w:rPr>
            </w:pPr>
          </w:p>
        </w:tc>
      </w:tr>
      <w:tr>
        <w:trPr>
          <w:trHeight w:val="230"/>
        </w:trPr>
        <w:tc>
          <w:tcPr>
            <w:tcW w:w="9680" w:type="dxa"/>
            <w:vAlign w:val="bottom"/>
            <w:shd w:val="clear" w:color="auto" w:fill="E5E5E5"/>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2,602</w:t>
            </w:r>
          </w:p>
        </w:tc>
        <w:tc>
          <w:tcPr>
            <w:tcW w:w="100" w:type="dxa"/>
            <w:vAlign w:val="bottom"/>
            <w:shd w:val="clear" w:color="auto" w:fill="E5E5E5"/>
          </w:tcPr>
          <w:p>
            <w:pPr>
              <w:spacing w:after="0"/>
              <w:rPr>
                <w:sz w:val="19"/>
                <w:szCs w:val="19"/>
                <w:color w:val="auto"/>
              </w:rPr>
            </w:pPr>
          </w:p>
        </w:tc>
      </w:tr>
      <w:tr>
        <w:trPr>
          <w:trHeight w:val="68"/>
        </w:trPr>
        <w:tc>
          <w:tcPr>
            <w:tcW w:w="96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303"/>
        </w:trPr>
        <w:tc>
          <w:tcPr>
            <w:tcW w:w="9680" w:type="dxa"/>
            <w:vAlign w:val="bottom"/>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60,184</w:t>
            </w:r>
          </w:p>
        </w:tc>
        <w:tc>
          <w:tcPr>
            <w:tcW w:w="100" w:type="dxa"/>
            <w:vAlign w:val="bottom"/>
          </w:tcPr>
          <w:p>
            <w:pPr>
              <w:spacing w:after="0"/>
              <w:rPr>
                <w:sz w:val="24"/>
                <w:szCs w:val="24"/>
                <w:color w:val="auto"/>
              </w:rPr>
            </w:pPr>
          </w:p>
        </w:tc>
      </w:tr>
      <w:tr>
        <w:trPr>
          <w:trHeight w:val="63"/>
        </w:trPr>
        <w:tc>
          <w:tcPr>
            <w:tcW w:w="968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 Refer to Note 13 – Unearned Revenue of the Notes to Financial Statements (Part II, Item 8 of this Form 10-K) for further discussion.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9" w:name="page50"/>
    <w:bookmarkEnd w:id="49"/>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and Other Obligations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payments due by fiscal year for our outstanding contractual obligations as of June 30, 2024: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Thereafter</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gridSpan w:val="2"/>
          </w:tcPr>
          <w:p>
            <w:pPr>
              <w:ind w:left="620"/>
              <w:spacing w:after="0"/>
              <w:rPr>
                <w:sz w:val="20"/>
                <w:szCs w:val="20"/>
                <w:color w:val="auto"/>
              </w:rPr>
            </w:pPr>
            <w:r>
              <w:rPr>
                <w:rFonts w:ascii="Arial" w:cs="Arial" w:eastAsia="Arial" w:hAnsi="Arial"/>
                <w:sz w:val="13"/>
                <w:szCs w:val="13"/>
                <w:b w:val="1"/>
                <w:bCs w:val="1"/>
                <w:color w:val="auto"/>
              </w:rPr>
              <w:t>Total</w:t>
            </w:r>
          </w:p>
        </w:tc>
      </w:tr>
      <w:tr>
        <w:trPr>
          <w:trHeight w:val="58"/>
        </w:trPr>
        <w:tc>
          <w:tcPr>
            <w:tcW w:w="66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r>
      <w:tr>
        <w:trPr>
          <w:trHeight w:val="61"/>
        </w:trPr>
        <w:tc>
          <w:tcPr>
            <w:tcW w:w="6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29"/>
        </w:trPr>
        <w:tc>
          <w:tcPr>
            <w:tcW w:w="6600" w:type="dxa"/>
            <w:vAlign w:val="bottom"/>
            <w:shd w:val="clear" w:color="auto" w:fill="E5E5E5"/>
          </w:tcPr>
          <w:p>
            <w:pPr>
              <w:ind w:left="20"/>
              <w:spacing w:after="0" w:line="229"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4"/>
                <w:szCs w:val="24"/>
                <w:color w:val="auto"/>
                <w:vertAlign w:val="superscript"/>
              </w:rPr>
              <w:t>(a)</w:t>
            </w:r>
          </w:p>
        </w:tc>
        <w:tc>
          <w:tcPr>
            <w:tcW w:w="44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96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r>
      <w:tr>
        <w:trPr>
          <w:trHeight w:val="230"/>
        </w:trPr>
        <w:tc>
          <w:tcPr>
            <w:tcW w:w="6600" w:type="dxa"/>
            <w:vAlign w:val="bottom"/>
          </w:tcPr>
          <w:p>
            <w:pPr>
              <w:ind w:left="240"/>
              <w:spacing w:after="0"/>
              <w:rPr>
                <w:sz w:val="20"/>
                <w:szCs w:val="20"/>
                <w:color w:val="auto"/>
              </w:rPr>
            </w:pPr>
            <w:r>
              <w:rPr>
                <w:rFonts w:ascii="Arial" w:cs="Arial" w:eastAsia="Arial" w:hAnsi="Arial"/>
                <w:sz w:val="18"/>
                <w:szCs w:val="18"/>
                <w:color w:val="auto"/>
              </w:rPr>
              <w:t>Principal payments</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2,250</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48,971</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51,221</w:t>
            </w:r>
          </w:p>
        </w:tc>
        <w:tc>
          <w:tcPr>
            <w:tcW w:w="140" w:type="dxa"/>
            <w:vAlign w:val="bottom"/>
          </w:tcPr>
          <w:p>
            <w:pPr>
              <w:spacing w:after="0"/>
              <w:rPr>
                <w:sz w:val="19"/>
                <w:szCs w:val="19"/>
                <w:color w:val="auto"/>
              </w:rPr>
            </w:pPr>
          </w:p>
        </w:tc>
      </w:tr>
      <w:tr>
        <w:trPr>
          <w:trHeight w:val="229"/>
        </w:trPr>
        <w:tc>
          <w:tcPr>
            <w:tcW w:w="66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Interest payments</w:t>
            </w:r>
          </w:p>
        </w:tc>
        <w:tc>
          <w:tcPr>
            <w:tcW w:w="44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1,618</w:t>
            </w:r>
          </w:p>
        </w:tc>
        <w:tc>
          <w:tcPr>
            <w:tcW w:w="24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27,041</w:t>
            </w:r>
          </w:p>
        </w:tc>
        <w:tc>
          <w:tcPr>
            <w:tcW w:w="22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28,659</w:t>
            </w:r>
          </w:p>
        </w:tc>
        <w:tc>
          <w:tcPr>
            <w:tcW w:w="140" w:type="dxa"/>
            <w:vAlign w:val="bottom"/>
            <w:shd w:val="clear" w:color="auto" w:fill="E5E5E5"/>
          </w:tcPr>
          <w:p>
            <w:pPr>
              <w:spacing w:after="0"/>
              <w:rPr>
                <w:sz w:val="19"/>
                <w:szCs w:val="19"/>
                <w:color w:val="auto"/>
              </w:rPr>
            </w:pPr>
          </w:p>
        </w:tc>
      </w:tr>
      <w:tr>
        <w:trPr>
          <w:trHeight w:val="230"/>
        </w:trPr>
        <w:tc>
          <w:tcPr>
            <w:tcW w:w="660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Construction commitments </w:t>
            </w:r>
            <w:r>
              <w:rPr>
                <w:rFonts w:ascii="Arial" w:cs="Arial" w:eastAsia="Arial" w:hAnsi="Arial"/>
                <w:sz w:val="24"/>
                <w:szCs w:val="24"/>
                <w:color w:val="auto"/>
                <w:vertAlign w:val="superscript"/>
              </w:rPr>
              <w:t>(b)</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29,892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5,499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35,391</w:t>
            </w:r>
          </w:p>
        </w:tc>
        <w:tc>
          <w:tcPr>
            <w:tcW w:w="140" w:type="dxa"/>
            <w:vAlign w:val="bottom"/>
          </w:tcPr>
          <w:p>
            <w:pPr>
              <w:spacing w:after="0"/>
              <w:rPr>
                <w:sz w:val="19"/>
                <w:szCs w:val="19"/>
                <w:color w:val="auto"/>
              </w:rPr>
            </w:pPr>
          </w:p>
        </w:tc>
      </w:tr>
      <w:tr>
        <w:trPr>
          <w:trHeight w:val="229"/>
        </w:trPr>
        <w:tc>
          <w:tcPr>
            <w:tcW w:w="6600" w:type="dxa"/>
            <w:vAlign w:val="bottom"/>
            <w:shd w:val="clear" w:color="auto" w:fill="E5E5E5"/>
          </w:tcPr>
          <w:p>
            <w:pPr>
              <w:ind w:left="20"/>
              <w:spacing w:after="0" w:line="229" w:lineRule="exact"/>
              <w:rPr>
                <w:sz w:val="20"/>
                <w:szCs w:val="20"/>
                <w:color w:val="auto"/>
              </w:rPr>
            </w:pPr>
            <w:r>
              <w:rPr>
                <w:rFonts w:ascii="Arial" w:cs="Arial" w:eastAsia="Arial" w:hAnsi="Arial"/>
                <w:sz w:val="18"/>
                <w:szCs w:val="18"/>
                <w:color w:val="auto"/>
              </w:rPr>
              <w:t xml:space="preserve">Operating and finance leases, including imputed interest </w:t>
            </w:r>
            <w:r>
              <w:rPr>
                <w:rFonts w:ascii="Arial" w:cs="Arial" w:eastAsia="Arial" w:hAnsi="Arial"/>
                <w:sz w:val="24"/>
                <w:szCs w:val="24"/>
                <w:color w:val="auto"/>
                <w:vertAlign w:val="superscript"/>
              </w:rPr>
              <w:t>(c)</w:t>
            </w:r>
          </w:p>
        </w:tc>
        <w:tc>
          <w:tcPr>
            <w:tcW w:w="44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12,250</w:t>
            </w:r>
          </w:p>
        </w:tc>
        <w:tc>
          <w:tcPr>
            <w:tcW w:w="24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160,475</w:t>
            </w:r>
          </w:p>
        </w:tc>
        <w:tc>
          <w:tcPr>
            <w:tcW w:w="22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172,725</w:t>
            </w:r>
          </w:p>
        </w:tc>
        <w:tc>
          <w:tcPr>
            <w:tcW w:w="140" w:type="dxa"/>
            <w:vAlign w:val="bottom"/>
            <w:shd w:val="clear" w:color="auto" w:fill="E5E5E5"/>
          </w:tcPr>
          <w:p>
            <w:pPr>
              <w:spacing w:after="0"/>
              <w:rPr>
                <w:sz w:val="19"/>
                <w:szCs w:val="19"/>
                <w:color w:val="auto"/>
              </w:rPr>
            </w:pPr>
          </w:p>
        </w:tc>
      </w:tr>
      <w:tr>
        <w:trPr>
          <w:trHeight w:val="297"/>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24"/>
                <w:szCs w:val="24"/>
                <w:color w:val="auto"/>
                <w:vertAlign w:val="superscript"/>
              </w:rPr>
              <w:t>(d)</w:t>
            </w: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68,280</w:t>
            </w:r>
          </w:p>
        </w:tc>
        <w:tc>
          <w:tcPr>
            <w:tcW w:w="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3,742</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72,022</w:t>
            </w:r>
          </w:p>
        </w:tc>
        <w:tc>
          <w:tcPr>
            <w:tcW w:w="140" w:type="dxa"/>
            <w:vAlign w:val="bottom"/>
          </w:tcPr>
          <w:p>
            <w:pPr>
              <w:spacing w:after="0"/>
              <w:rPr>
                <w:sz w:val="24"/>
                <w:szCs w:val="24"/>
                <w:color w:val="auto"/>
              </w:rPr>
            </w:pPr>
          </w:p>
        </w:tc>
      </w:tr>
      <w:tr>
        <w:trPr>
          <w:trHeight w:val="61"/>
        </w:trPr>
        <w:tc>
          <w:tcPr>
            <w:tcW w:w="6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30"/>
        </w:trPr>
        <w:tc>
          <w:tcPr>
            <w:tcW w:w="66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E5E5E5"/>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114,290</w:t>
            </w:r>
          </w:p>
        </w:tc>
        <w:tc>
          <w:tcPr>
            <w:tcW w:w="60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245,728</w:t>
            </w:r>
          </w:p>
        </w:tc>
        <w:tc>
          <w:tcPr>
            <w:tcW w:w="600" w:type="dxa"/>
            <w:vAlign w:val="bottom"/>
            <w:gridSpan w:val="2"/>
            <w:shd w:val="clear" w:color="auto" w:fill="E5E5E5"/>
          </w:tcPr>
          <w:p>
            <w:pPr>
              <w:jc w:val="right"/>
              <w:ind w:right="2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360,018</w:t>
            </w:r>
          </w:p>
        </w:tc>
        <w:tc>
          <w:tcPr>
            <w:tcW w:w="140" w:type="dxa"/>
            <w:vAlign w:val="bottom"/>
            <w:shd w:val="clear" w:color="auto" w:fill="E5E5E5"/>
          </w:tcPr>
          <w:p>
            <w:pPr>
              <w:spacing w:after="0"/>
              <w:rPr>
                <w:sz w:val="19"/>
                <w:szCs w:val="19"/>
                <w:color w:val="auto"/>
              </w:rPr>
            </w:pPr>
          </w:p>
        </w:tc>
      </w:tr>
      <w:tr>
        <w:trPr>
          <w:trHeight w:val="74"/>
        </w:trPr>
        <w:tc>
          <w:tcPr>
            <w:tcW w:w="66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r>
    </w:tbl>
    <w:p>
      <w:pPr>
        <w:spacing w:after="0" w:line="64"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Refer to Note 11 – Debt of the Notes to Financial Statements (Part II, Item 8 of this Form 10-K).</w:t>
      </w:r>
    </w:p>
    <w:p>
      <w:pPr>
        <w:spacing w:after="0" w:line="11" w:lineRule="exact"/>
        <w:rPr>
          <w:rFonts w:ascii="Arial" w:cs="Arial" w:eastAsia="Arial" w:hAnsi="Arial"/>
          <w:sz w:val="18"/>
          <w:szCs w:val="18"/>
          <w:color w:val="auto"/>
        </w:rPr>
      </w:pPr>
    </w:p>
    <w:p>
      <w:pPr>
        <w:ind w:left="520" w:hanging="512"/>
        <w:spacing w:after="0" w:line="234"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Refer to Note 7 – Property and Equipment of the Notes to Financial Statements (Part II, Item 8 of this Form 10-K).</w:t>
      </w:r>
    </w:p>
    <w:p>
      <w:pPr>
        <w:ind w:left="520" w:hanging="512"/>
        <w:spacing w:after="0" w:line="234"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Refer to Note 14 – Leases of the Notes to Financial Statements (Part II, Item 8 of this Form 10-K).</w:t>
      </w:r>
    </w:p>
    <w:p>
      <w:pPr>
        <w:ind w:left="520" w:right="20" w:hanging="512"/>
        <w:spacing w:after="0" w:line="250"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Purchase commitments primarily relate to datacenters and include open purchase orders and take-or-pay contracts that are not presented as construction commitments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 result of the TCJA, we are required to pay a one-time transition tax on deferred foreign income not previously subject to U.S. income tax. Under the TCJA, the transition tax is payable in interest-free installments over eight years, with 8% due in each of the first five years, 15% in year six, 20% in year seven, and 25% in year eight. As of June 30, 2024, we had a remaining transition tax liability of $7.6 billion, of which $3.8 billion is short-term and payable in the first quarter of fiscal year 2025.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fiscal years 2024 and 2023, we repurchased 32 million shares and 69 million shares of our common stock for $12.0 billion and $18.4 billion, respectively, through our share repurchase program. All repurchases were made using cash resources. As of June 30, 2024, $10.3 billion remained of our $60 billion share repurchase program. Refer to Note 16 – Stockholders’ Equity of the Notes to Financial Statements (Part II, Item 8 of this Form 10-K) for further discussion.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fiscal years 2024 and 2023, our Board of Directors declared dividends totaling $22.3 billion and $20.2 billion, respectively. We intend to continue returning capital to shareholders in the form of dividends, subject to declaration by our Board of Directors. Refer to Note 16 – Stockholders’ Equity of the Notes to Financial Statements (Part II, Item 8 of this Form 10-K) for further discussion.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Planned Uses of Capital</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will continue to invest in sales, marketing, product support infrastructure, and existing and advanced areas of technology, as well as acquisitions that align with our business strategy. Additions to property and equipment will continue, including new facilities, datacenters, and computer systems for research and development, sales and marketing, support, and administrative staff. We expect capital expenditures to increase in coming years to support growth in our cloud offerings and our investments in AI infrastructure and training. We have operating and finance leases for datacenters, corporate offices, research and development facilities, Microsoft Experience Centers, and certain equipment. We have not engaged in any related party transactions or arrangements with unconsolidated entities or other persons that are reasonably likely to materially affect liquidity or the availability of capital resources.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0" w:name="page51"/>
    <w:bookmarkEnd w:id="50"/>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 Accounting Policies of the Notes to Financial Statements (Part II, Item 8 of this Form 10-K) for further discussion.</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CRITICAL ACCOUNTING ESTIMATES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Critical accounting estimates are those estimates that involve a significant level of estimation uncertainty and could have a material impact on our financial condition or results of operations. We have critical accounting estimates in the areas of revenue recognition, impairment of investment securities, goodwill, research and development costs, legal and other contingencies, income taxes, and business combinations – valuation of intangible assets.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Investment Securities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review debt investments quarterly for credit losses and impairment. If the cost of an investment exceeds its fair value, we evaluate, among other factors, general market conditions, credit quality of debt instrument issuers, and the extent to which the fair value is less than cost. This determination requires significant judgment. In making this judgment, we employ a systematic methodology that considers available quantitative and qualitative evidence in evaluating potential impairment of our investments.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1" w:name="page52"/>
    <w:bookmarkEnd w:id="51"/>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3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Equity investments without readily determinable fair values are written down to fair value if a qualitative assessment indicates that the investment is impaired and the fair value of the investment is less than carrying value. We perform a qualitative assessment on a periodic basis. We are required to estimate the fair value of the investment to determine the amount of the impairment loss. Once an investment is determined to be impaired, an impairment charge is recorded in other income (expense), net.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Costs incurred internally in researching and developing a computer software product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Contingencies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2" w:name="page53"/>
    <w:bookmarkEnd w:id="52"/>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 Valuation of Intangible Assets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Accounting for business combinations requires significant judgments when allocating the purchase price to the estimated fair values of assets acquired and liabilities assumed at the acquisition date. Determination of fair value involves estimates and assumptions which can be complex, most notably with respect to intangible assets. Critical estimates used in the valuation of intangible assets include, but are not limited to, the amount and timing of projected cash flows, useful lives, and discount rates. While management’s estimates of fair value are based on assumptions that are believed to be reasonable, these assumptions are inherently uncertain as they pertain to forward-looking views of our business and market conditions. The judgments made in this valuation process could materially impact our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3" w:name="page54"/>
    <w:bookmarkEnd w:id="53"/>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MANAGEMENT’S RESPONSIBILITY FOR FINANCIAL STATEMENTS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is responsible for the preparation of the consolidated financial statements and related information that are presented in this report. The consolidated financial statements, which include amounts based on management’s estimates and judgments, have been prepared in conformity with accounting principles generally accepted in the United States of America.</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designs and maintains accounting and internal control systems to provide reasonable assurance at reasonable cost that assets are safeguarded against loss from unauthorized use or disposition, and that the financial records are reliable for preparing consolidated financial statements and maintaining accountability for assets. These systems are augmented by written policies, an organizational structure providing division of responsibilities, careful selection and training of qualified personnel, and a program of internal audits.</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engaged Deloitte &amp; Touche LLP, an independent registered public accounting firm, to audit and render an opinion on the consolidated financial statements and internal control over financial reporting in accordance with the standards of the Public Company Accounting Oversight Board (United States).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Board of Directors, through its Audit Committee, consisting solely of independent directors of the Company, meets periodically with management, internal auditors, and our independent registered public accounting firm to ensure that each is meeting its responsibilities and to discuss matters concerning internal controls and financial reporting. Deloitte &amp; Touche LLP and the internal auditors each have full and free access to the Audit Committee.</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Satya Nadella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Amy E. Hood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Alice L. Jolla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Corporate Vice President and Chief Accounting Officer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4" w:name="page55"/>
    <w:bookmarkEnd w:id="54"/>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7A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RISKS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exposed to economic risk from foreign exchange rates, interest rates, credit risk, and equity prices. We use derivatives instruments to manage these risks, however, they may still impact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fixed-income portfolio is diversified and consists primarily of investment-grade securities. We manage credit exposures relative to broad-based indices to facilitate portfolio diversification.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Securities held in our equity investments portfolio are subject to price risk.</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SENSITIVITY ANALYSIS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potential loss in future earnings or fair values, including associated derivatives, resulting from hypothetical changes in relevant market rates or prices: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Risk Categories</w:t>
            </w:r>
          </w:p>
        </w:tc>
        <w:tc>
          <w:tcPr>
            <w:tcW w:w="5220" w:type="dxa"/>
            <w:vAlign w:val="bottom"/>
            <w:vMerge w:val="restart"/>
          </w:tcPr>
          <w:p>
            <w:pPr>
              <w:ind w:left="380"/>
              <w:spacing w:after="0"/>
              <w:rPr>
                <w:sz w:val="20"/>
                <w:szCs w:val="20"/>
                <w:color w:val="auto"/>
              </w:rPr>
            </w:pPr>
            <w:r>
              <w:rPr>
                <w:rFonts w:ascii="Arial" w:cs="Arial" w:eastAsia="Arial" w:hAnsi="Arial"/>
                <w:sz w:val="13"/>
                <w:szCs w:val="13"/>
                <w:b w:val="1"/>
                <w:bCs w:val="1"/>
                <w:color w:val="auto"/>
              </w:rPr>
              <w:t>Hypothetical Change</w:t>
            </w:r>
          </w:p>
        </w:tc>
        <w:tc>
          <w:tcPr>
            <w:tcW w:w="800" w:type="dxa"/>
            <w:vAlign w:val="bottom"/>
          </w:tcPr>
          <w:p>
            <w:pPr>
              <w:spacing w:after="0"/>
              <w:rPr>
                <w:sz w:val="12"/>
                <w:szCs w:val="12"/>
                <w:color w:val="auto"/>
              </w:rPr>
            </w:pPr>
          </w:p>
        </w:tc>
        <w:tc>
          <w:tcPr>
            <w:tcW w:w="980" w:type="dxa"/>
            <w:vAlign w:val="bottom"/>
          </w:tcPr>
          <w:p>
            <w:pPr>
              <w:jc w:val="right"/>
              <w:ind w:right="176"/>
              <w:spacing w:after="0"/>
              <w:rPr>
                <w:sz w:val="20"/>
                <w:szCs w:val="20"/>
                <w:color w:val="auto"/>
              </w:rPr>
            </w:pPr>
            <w:r>
              <w:rPr>
                <w:rFonts w:ascii="Arial" w:cs="Arial" w:eastAsia="Arial" w:hAnsi="Arial"/>
                <w:sz w:val="13"/>
                <w:szCs w:val="13"/>
                <w:b w:val="1"/>
                <w:bCs w:val="1"/>
                <w:color w:val="auto"/>
              </w:rPr>
              <w:t>June 30,</w:t>
            </w:r>
          </w:p>
        </w:tc>
        <w:tc>
          <w:tcPr>
            <w:tcW w:w="130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Impact</w:t>
            </w:r>
          </w:p>
        </w:tc>
        <w:tc>
          <w:tcPr>
            <w:tcW w:w="0" w:type="dxa"/>
            <w:vAlign w:val="bottom"/>
          </w:tcPr>
          <w:p>
            <w:pPr>
              <w:spacing w:after="0"/>
              <w:rPr>
                <w:sz w:val="1"/>
                <w:szCs w:val="1"/>
                <w:color w:val="auto"/>
              </w:rPr>
            </w:pPr>
          </w:p>
        </w:tc>
      </w:tr>
      <w:tr>
        <w:trPr>
          <w:trHeight w:val="186"/>
        </w:trPr>
        <w:tc>
          <w:tcPr>
            <w:tcW w:w="2940" w:type="dxa"/>
            <w:vAlign w:val="bottom"/>
            <w:vMerge w:val="continue"/>
          </w:tcPr>
          <w:p>
            <w:pPr>
              <w:spacing w:after="0"/>
              <w:rPr>
                <w:sz w:val="16"/>
                <w:szCs w:val="16"/>
                <w:color w:val="auto"/>
              </w:rPr>
            </w:pPr>
          </w:p>
        </w:tc>
        <w:tc>
          <w:tcPr>
            <w:tcW w:w="522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jc w:val="right"/>
              <w:ind w:right="176"/>
              <w:spacing w:after="0"/>
              <w:rPr>
                <w:sz w:val="20"/>
                <w:szCs w:val="20"/>
                <w:color w:val="auto"/>
              </w:rPr>
            </w:pPr>
            <w:r>
              <w:rPr>
                <w:rFonts w:ascii="Arial" w:cs="Arial" w:eastAsia="Arial" w:hAnsi="Arial"/>
                <w:sz w:val="13"/>
                <w:szCs w:val="13"/>
                <w:b w:val="1"/>
                <w:bCs w:val="1"/>
                <w:color w:val="auto"/>
              </w:rPr>
              <w:t>2024</w:t>
            </w: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40" w:type="dxa"/>
            <w:vAlign w:val="bottom"/>
          </w:tcPr>
          <w:p>
            <w:pPr>
              <w:spacing w:after="0"/>
              <w:rPr>
                <w:sz w:val="5"/>
                <w:szCs w:val="5"/>
                <w:color w:val="auto"/>
              </w:rPr>
            </w:pPr>
          </w:p>
        </w:tc>
        <w:tc>
          <w:tcPr>
            <w:tcW w:w="5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currency – Revenue</w:t>
            </w:r>
          </w:p>
        </w:tc>
        <w:tc>
          <w:tcPr>
            <w:tcW w:w="5220" w:type="dxa"/>
            <w:vAlign w:val="bottom"/>
            <w:shd w:val="clear" w:color="auto" w:fill="E5E5E5"/>
          </w:tcPr>
          <w:p>
            <w:pPr>
              <w:ind w:left="380"/>
              <w:spacing w:after="0"/>
              <w:rPr>
                <w:sz w:val="20"/>
                <w:szCs w:val="20"/>
                <w:color w:val="auto"/>
              </w:rPr>
            </w:pPr>
            <w:r>
              <w:rPr>
                <w:rFonts w:ascii="Arial" w:cs="Arial" w:eastAsia="Arial" w:hAnsi="Arial"/>
                <w:sz w:val="18"/>
                <w:szCs w:val="18"/>
                <w:color w:val="auto"/>
              </w:rPr>
              <w:t>10% decrease in foreign exchange rates</w:t>
            </w:r>
          </w:p>
        </w:tc>
        <w:tc>
          <w:tcPr>
            <w:tcW w:w="80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ind w:right="96"/>
              <w:spacing w:after="0"/>
              <w:rPr>
                <w:sz w:val="20"/>
                <w:szCs w:val="20"/>
                <w:color w:val="auto"/>
              </w:rPr>
            </w:pPr>
            <w:r>
              <w:rPr>
                <w:rFonts w:ascii="Arial" w:cs="Arial" w:eastAsia="Arial" w:hAnsi="Arial"/>
                <w:sz w:val="18"/>
                <w:szCs w:val="18"/>
                <w:b w:val="1"/>
                <w:bCs w:val="1"/>
                <w:color w:val="auto"/>
              </w:rPr>
              <w:t>(9,605 )</w:t>
            </w:r>
          </w:p>
        </w:tc>
        <w:tc>
          <w:tcPr>
            <w:tcW w:w="1300" w:type="dxa"/>
            <w:vAlign w:val="bottom"/>
            <w:gridSpan w:val="2"/>
            <w:shd w:val="clear" w:color="auto" w:fill="E5E5E5"/>
          </w:tcPr>
          <w:p>
            <w:pPr>
              <w:ind w:left="200"/>
              <w:spacing w:after="0"/>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Foreign currency – Investments</w:t>
            </w:r>
          </w:p>
        </w:tc>
        <w:tc>
          <w:tcPr>
            <w:tcW w:w="5220" w:type="dxa"/>
            <w:vAlign w:val="bottom"/>
          </w:tcPr>
          <w:p>
            <w:pPr>
              <w:ind w:left="380"/>
              <w:spacing w:after="0"/>
              <w:rPr>
                <w:sz w:val="20"/>
                <w:szCs w:val="20"/>
                <w:color w:val="auto"/>
              </w:rPr>
            </w:pPr>
            <w:r>
              <w:rPr>
                <w:rFonts w:ascii="Arial" w:cs="Arial" w:eastAsia="Arial" w:hAnsi="Arial"/>
                <w:sz w:val="18"/>
                <w:szCs w:val="18"/>
                <w:color w:val="auto"/>
              </w:rPr>
              <w:t>10% decrease in foreign exchange rates</w:t>
            </w:r>
          </w:p>
        </w:tc>
        <w:tc>
          <w:tcPr>
            <w:tcW w:w="800" w:type="dxa"/>
            <w:vAlign w:val="bottom"/>
          </w:tcPr>
          <w:p>
            <w:pPr>
              <w:spacing w:after="0"/>
              <w:rPr>
                <w:sz w:val="19"/>
                <w:szCs w:val="19"/>
                <w:color w:val="auto"/>
              </w:rPr>
            </w:pPr>
          </w:p>
        </w:tc>
        <w:tc>
          <w:tcPr>
            <w:tcW w:w="980" w:type="dxa"/>
            <w:vAlign w:val="bottom"/>
          </w:tcPr>
          <w:p>
            <w:pPr>
              <w:jc w:val="right"/>
              <w:ind w:right="96"/>
              <w:spacing w:after="0"/>
              <w:rPr>
                <w:sz w:val="20"/>
                <w:szCs w:val="20"/>
                <w:color w:val="auto"/>
              </w:rPr>
            </w:pPr>
            <w:r>
              <w:rPr>
                <w:rFonts w:ascii="Arial" w:cs="Arial" w:eastAsia="Arial" w:hAnsi="Arial"/>
                <w:sz w:val="18"/>
                <w:szCs w:val="18"/>
                <w:b w:val="1"/>
                <w:bCs w:val="1"/>
                <w:color w:val="auto"/>
              </w:rPr>
              <w:t>(38 )</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30"/>
        </w:trPr>
        <w:tc>
          <w:tcPr>
            <w:tcW w:w="2940" w:type="dxa"/>
            <w:vAlign w:val="bottom"/>
            <w:shd w:val="clear" w:color="auto" w:fill="E5E5E5"/>
          </w:tcPr>
          <w:p>
            <w:pPr>
              <w:ind w:left="20"/>
              <w:spacing w:after="0"/>
              <w:rPr>
                <w:sz w:val="20"/>
                <w:szCs w:val="20"/>
                <w:color w:val="auto"/>
              </w:rPr>
            </w:pPr>
            <w:r>
              <w:rPr>
                <w:rFonts w:ascii="Arial" w:cs="Arial" w:eastAsia="Arial" w:hAnsi="Arial"/>
                <w:sz w:val="18"/>
                <w:szCs w:val="18"/>
                <w:color w:val="auto"/>
              </w:rPr>
              <w:t>Interest rate</w:t>
            </w:r>
          </w:p>
        </w:tc>
        <w:tc>
          <w:tcPr>
            <w:tcW w:w="5220" w:type="dxa"/>
            <w:vAlign w:val="bottom"/>
            <w:shd w:val="clear" w:color="auto" w:fill="E5E5E5"/>
          </w:tcPr>
          <w:p>
            <w:pPr>
              <w:ind w:left="380"/>
              <w:spacing w:after="0"/>
              <w:rPr>
                <w:sz w:val="20"/>
                <w:szCs w:val="20"/>
                <w:color w:val="auto"/>
              </w:rPr>
            </w:pPr>
            <w:r>
              <w:rPr>
                <w:rFonts w:ascii="Arial" w:cs="Arial" w:eastAsia="Arial" w:hAnsi="Arial"/>
                <w:sz w:val="18"/>
                <w:szCs w:val="18"/>
                <w:color w:val="auto"/>
              </w:rPr>
              <w:t>100 basis point increase in U.S. treasury interest rates</w:t>
            </w:r>
          </w:p>
        </w:tc>
        <w:tc>
          <w:tcPr>
            <w:tcW w:w="800" w:type="dxa"/>
            <w:vAlign w:val="bottom"/>
            <w:shd w:val="clear" w:color="auto" w:fill="E5E5E5"/>
          </w:tcPr>
          <w:p>
            <w:pPr>
              <w:spacing w:after="0"/>
              <w:rPr>
                <w:sz w:val="19"/>
                <w:szCs w:val="19"/>
                <w:color w:val="auto"/>
              </w:rPr>
            </w:pPr>
          </w:p>
        </w:tc>
        <w:tc>
          <w:tcPr>
            <w:tcW w:w="980" w:type="dxa"/>
            <w:vAlign w:val="bottom"/>
            <w:shd w:val="clear" w:color="auto" w:fill="E5E5E5"/>
          </w:tcPr>
          <w:p>
            <w:pPr>
              <w:jc w:val="right"/>
              <w:ind w:right="96"/>
              <w:spacing w:after="0"/>
              <w:rPr>
                <w:sz w:val="20"/>
                <w:szCs w:val="20"/>
                <w:color w:val="auto"/>
              </w:rPr>
            </w:pPr>
            <w:r>
              <w:rPr>
                <w:rFonts w:ascii="Arial" w:cs="Arial" w:eastAsia="Arial" w:hAnsi="Arial"/>
                <w:sz w:val="18"/>
                <w:szCs w:val="18"/>
                <w:b w:val="1"/>
                <w:bCs w:val="1"/>
                <w:color w:val="auto"/>
              </w:rPr>
              <w:t>(1,343 )</w:t>
            </w:r>
          </w:p>
        </w:tc>
        <w:tc>
          <w:tcPr>
            <w:tcW w:w="1300" w:type="dxa"/>
            <w:vAlign w:val="bottom"/>
            <w:gridSpan w:val="2"/>
            <w:shd w:val="clear" w:color="auto" w:fill="E5E5E5"/>
          </w:tcPr>
          <w:p>
            <w:pPr>
              <w:ind w:left="20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Credit</w:t>
            </w:r>
          </w:p>
        </w:tc>
        <w:tc>
          <w:tcPr>
            <w:tcW w:w="5220" w:type="dxa"/>
            <w:vAlign w:val="bottom"/>
          </w:tcPr>
          <w:p>
            <w:pPr>
              <w:ind w:left="380"/>
              <w:spacing w:after="0"/>
              <w:rPr>
                <w:sz w:val="20"/>
                <w:szCs w:val="20"/>
                <w:color w:val="auto"/>
              </w:rPr>
            </w:pPr>
            <w:r>
              <w:rPr>
                <w:rFonts w:ascii="Arial" w:cs="Arial" w:eastAsia="Arial" w:hAnsi="Arial"/>
                <w:sz w:val="18"/>
                <w:szCs w:val="18"/>
                <w:color w:val="auto"/>
              </w:rPr>
              <w:t>100 basis point increase in credit spreads</w:t>
            </w:r>
          </w:p>
        </w:tc>
        <w:tc>
          <w:tcPr>
            <w:tcW w:w="800" w:type="dxa"/>
            <w:vAlign w:val="bottom"/>
          </w:tcPr>
          <w:p>
            <w:pPr>
              <w:spacing w:after="0"/>
              <w:rPr>
                <w:sz w:val="19"/>
                <w:szCs w:val="19"/>
                <w:color w:val="auto"/>
              </w:rPr>
            </w:pPr>
          </w:p>
        </w:tc>
        <w:tc>
          <w:tcPr>
            <w:tcW w:w="980" w:type="dxa"/>
            <w:vAlign w:val="bottom"/>
          </w:tcPr>
          <w:p>
            <w:pPr>
              <w:jc w:val="right"/>
              <w:ind w:right="96"/>
              <w:spacing w:after="0"/>
              <w:rPr>
                <w:sz w:val="20"/>
                <w:szCs w:val="20"/>
                <w:color w:val="auto"/>
              </w:rPr>
            </w:pPr>
            <w:r>
              <w:rPr>
                <w:rFonts w:ascii="Arial" w:cs="Arial" w:eastAsia="Arial" w:hAnsi="Arial"/>
                <w:sz w:val="18"/>
                <w:szCs w:val="18"/>
                <w:b w:val="1"/>
                <w:bCs w:val="1"/>
                <w:color w:val="auto"/>
              </w:rPr>
              <w:t>(318 )</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30"/>
        </w:trPr>
        <w:tc>
          <w:tcPr>
            <w:tcW w:w="2940" w:type="dxa"/>
            <w:vAlign w:val="bottom"/>
            <w:shd w:val="clear" w:color="auto" w:fill="E5E5E5"/>
          </w:tcPr>
          <w:p>
            <w:pPr>
              <w:ind w:left="20"/>
              <w:spacing w:after="0"/>
              <w:rPr>
                <w:sz w:val="20"/>
                <w:szCs w:val="20"/>
                <w:color w:val="auto"/>
              </w:rPr>
            </w:pPr>
            <w:r>
              <w:rPr>
                <w:rFonts w:ascii="Arial" w:cs="Arial" w:eastAsia="Arial" w:hAnsi="Arial"/>
                <w:sz w:val="18"/>
                <w:szCs w:val="18"/>
                <w:color w:val="auto"/>
              </w:rPr>
              <w:t>Equity</w:t>
            </w:r>
          </w:p>
        </w:tc>
        <w:tc>
          <w:tcPr>
            <w:tcW w:w="5220" w:type="dxa"/>
            <w:vAlign w:val="bottom"/>
            <w:shd w:val="clear" w:color="auto" w:fill="E5E5E5"/>
          </w:tcPr>
          <w:p>
            <w:pPr>
              <w:ind w:left="380"/>
              <w:spacing w:after="0"/>
              <w:rPr>
                <w:sz w:val="20"/>
                <w:szCs w:val="20"/>
                <w:color w:val="auto"/>
              </w:rPr>
            </w:pPr>
            <w:r>
              <w:rPr>
                <w:rFonts w:ascii="Arial" w:cs="Arial" w:eastAsia="Arial" w:hAnsi="Arial"/>
                <w:sz w:val="18"/>
                <w:szCs w:val="18"/>
                <w:color w:val="auto"/>
              </w:rPr>
              <w:t>10% decrease in equity market prices</w:t>
            </w:r>
          </w:p>
        </w:tc>
        <w:tc>
          <w:tcPr>
            <w:tcW w:w="800" w:type="dxa"/>
            <w:vAlign w:val="bottom"/>
            <w:shd w:val="clear" w:color="auto" w:fill="E5E5E5"/>
          </w:tcPr>
          <w:p>
            <w:pPr>
              <w:spacing w:after="0"/>
              <w:rPr>
                <w:sz w:val="19"/>
                <w:szCs w:val="19"/>
                <w:color w:val="auto"/>
              </w:rPr>
            </w:pPr>
          </w:p>
        </w:tc>
        <w:tc>
          <w:tcPr>
            <w:tcW w:w="980" w:type="dxa"/>
            <w:vAlign w:val="bottom"/>
            <w:shd w:val="clear" w:color="auto" w:fill="E5E5E5"/>
          </w:tcPr>
          <w:p>
            <w:pPr>
              <w:jc w:val="right"/>
              <w:ind w:right="96"/>
              <w:spacing w:after="0"/>
              <w:rPr>
                <w:sz w:val="20"/>
                <w:szCs w:val="20"/>
                <w:color w:val="auto"/>
              </w:rPr>
            </w:pPr>
            <w:r>
              <w:rPr>
                <w:rFonts w:ascii="Arial" w:cs="Arial" w:eastAsia="Arial" w:hAnsi="Arial"/>
                <w:sz w:val="18"/>
                <w:szCs w:val="18"/>
                <w:b w:val="1"/>
                <w:bCs w:val="1"/>
                <w:color w:val="auto"/>
              </w:rPr>
              <w:t>(1,078 )</w:t>
            </w:r>
          </w:p>
        </w:tc>
        <w:tc>
          <w:tcPr>
            <w:tcW w:w="1300" w:type="dxa"/>
            <w:vAlign w:val="bottom"/>
            <w:gridSpan w:val="2"/>
            <w:shd w:val="clear" w:color="auto" w:fill="E5E5E5"/>
          </w:tcPr>
          <w:p>
            <w:pPr>
              <w:ind w:left="200"/>
              <w:spacing w:after="0"/>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68"/>
        </w:trPr>
        <w:tc>
          <w:tcPr>
            <w:tcW w:w="2940" w:type="dxa"/>
            <w:vAlign w:val="bottom"/>
            <w:tcBorders>
              <w:bottom w:val="single" w:sz="8" w:color="auto"/>
            </w:tcBorders>
          </w:tcPr>
          <w:p>
            <w:pPr>
              <w:spacing w:after="0"/>
              <w:rPr>
                <w:sz w:val="5"/>
                <w:szCs w:val="5"/>
                <w:color w:val="auto"/>
              </w:rPr>
            </w:pPr>
          </w:p>
        </w:tc>
        <w:tc>
          <w:tcPr>
            <w:tcW w:w="5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6"/>
        </w:trPr>
        <w:tc>
          <w:tcPr>
            <w:tcW w:w="2940" w:type="dxa"/>
            <w:vAlign w:val="bottom"/>
          </w:tcPr>
          <w:p>
            <w:pPr>
              <w:spacing w:after="0"/>
              <w:rPr>
                <w:sz w:val="24"/>
                <w:szCs w:val="24"/>
                <w:color w:val="auto"/>
              </w:rPr>
            </w:pPr>
          </w:p>
        </w:tc>
        <w:tc>
          <w:tcPr>
            <w:tcW w:w="5220" w:type="dxa"/>
            <w:vAlign w:val="bottom"/>
          </w:tcPr>
          <w:p>
            <w:pPr>
              <w:ind w:left="2600"/>
              <w:spacing w:after="0"/>
              <w:rPr>
                <w:sz w:val="20"/>
                <w:szCs w:val="20"/>
                <w:color w:val="auto"/>
              </w:rPr>
            </w:pPr>
            <w:r>
              <w:rPr>
                <w:rFonts w:ascii="Arial" w:cs="Arial" w:eastAsia="Arial" w:hAnsi="Arial"/>
                <w:sz w:val="14"/>
                <w:szCs w:val="14"/>
                <w:color w:val="auto"/>
              </w:rPr>
              <w:t>55</w:t>
            </w: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29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5" w:name="page56"/>
    <w:bookmarkEnd w:id="55"/>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STATEMENTS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6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Product</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64,773</w:t>
            </w:r>
          </w:p>
        </w:tc>
        <w:tc>
          <w:tcPr>
            <w:tcW w:w="2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64,699</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Service and other</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180,349</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147,216</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125,538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69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698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245,122</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211,915</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198,270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6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Product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15,272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17,804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Service and other</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58,842</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48,059</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43,586</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69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6980" w:type="dxa"/>
            <w:vAlign w:val="bottom"/>
          </w:tcPr>
          <w:p>
            <w:pPr>
              <w:ind w:left="440"/>
              <w:spacing w:after="0"/>
              <w:rPr>
                <w:sz w:val="20"/>
                <w:szCs w:val="20"/>
                <w:color w:val="auto"/>
              </w:rPr>
            </w:pPr>
            <w:r>
              <w:rPr>
                <w:rFonts w:ascii="Arial" w:cs="Arial" w:eastAsia="Arial" w:hAnsi="Arial"/>
                <w:sz w:val="18"/>
                <w:szCs w:val="18"/>
                <w:color w:val="auto"/>
              </w:rPr>
              <w:t>Total cost of revenue</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74,114</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65,863</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62,650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6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171,008</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146,052</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135,620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29,510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27,195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24,456</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22,759</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21,825</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9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7,609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7,575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6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109,433</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88,523</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83,383</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9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(1,646 )</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6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107,787</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89,311</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83,716</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9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19,651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16,950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6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88,136</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72,361</w:t>
            </w:r>
          </w:p>
        </w:tc>
        <w:tc>
          <w:tcPr>
            <w:tcW w:w="5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72,738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6980" w:type="dxa"/>
            <w:vAlign w:val="bottom"/>
            <w:vMerge w:val="restart"/>
          </w:tcPr>
          <w:p>
            <w:pPr>
              <w:ind w:left="20"/>
              <w:spacing w:after="0"/>
              <w:rPr>
                <w:sz w:val="20"/>
                <w:szCs w:val="20"/>
                <w:color w:val="auto"/>
              </w:rPr>
            </w:pPr>
            <w:r>
              <w:rPr>
                <w:rFonts w:ascii="Arial" w:cs="Arial" w:eastAsia="Arial" w:hAnsi="Arial"/>
                <w:sz w:val="18"/>
                <w:szCs w:val="18"/>
                <w:color w:val="auto"/>
              </w:rPr>
              <w:t>Earnings per share:</w:t>
            </w: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6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11.86</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9.72</w:t>
            </w:r>
          </w:p>
        </w:tc>
        <w:tc>
          <w:tcPr>
            <w:tcW w:w="5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11.80</w:t>
            </w:r>
          </w:p>
        </w:tc>
        <w:tc>
          <w:tcPr>
            <w:tcW w:w="2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9.68</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7,431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7,446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7,469</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7,472</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7,540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69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6" w:name="page57"/>
    <w:bookmarkEnd w:id="56"/>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STATEMENTS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2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4640" w:type="dxa"/>
            <w:vAlign w:val="bottom"/>
          </w:tcPr>
          <w:p>
            <w:pPr>
              <w:spacing w:after="0"/>
              <w:rPr>
                <w:sz w:val="5"/>
                <w:szCs w:val="5"/>
                <w:color w:val="auto"/>
              </w:rPr>
            </w:pPr>
          </w:p>
        </w:tc>
        <w:tc>
          <w:tcPr>
            <w:tcW w:w="2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E5E5E5"/>
          </w:tcPr>
          <w:p>
            <w:pPr>
              <w:ind w:left="20"/>
              <w:spacing w:after="0"/>
              <w:rPr>
                <w:sz w:val="20"/>
                <w:szCs w:val="20"/>
                <w:color w:val="auto"/>
              </w:rPr>
            </w:pPr>
            <w:r>
              <w:rPr>
                <w:rFonts w:ascii="Arial" w:cs="Arial" w:eastAsia="Arial" w:hAnsi="Arial"/>
                <w:sz w:val="18"/>
                <w:szCs w:val="18"/>
                <w:color w:val="auto"/>
              </w:rPr>
              <w:t>Net income</w:t>
            </w:r>
          </w:p>
        </w:tc>
        <w:tc>
          <w:tcPr>
            <w:tcW w:w="2760" w:type="dxa"/>
            <w:vAlign w:val="bottom"/>
            <w:gridSpan w:val="2"/>
            <w:shd w:val="clear" w:color="auto" w:fill="E5E5E5"/>
          </w:tcPr>
          <w:p>
            <w:pPr>
              <w:jc w:val="right"/>
              <w:ind w:right="30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88,136</w:t>
            </w:r>
          </w:p>
        </w:tc>
        <w:tc>
          <w:tcPr>
            <w:tcW w:w="220" w:type="dxa"/>
            <w:vAlign w:val="bottom"/>
            <w:shd w:val="clear" w:color="auto" w:fill="E5E5E5"/>
          </w:tcPr>
          <w:p>
            <w:pPr>
              <w:spacing w:after="0"/>
              <w:rPr>
                <w:sz w:val="19"/>
                <w:szCs w:val="19"/>
                <w:color w:val="auto"/>
              </w:rPr>
            </w:pPr>
          </w:p>
        </w:tc>
        <w:tc>
          <w:tcPr>
            <w:tcW w:w="38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72,361</w:t>
            </w:r>
          </w:p>
        </w:tc>
        <w:tc>
          <w:tcPr>
            <w:tcW w:w="220" w:type="dxa"/>
            <w:vAlign w:val="bottom"/>
            <w:shd w:val="clear" w:color="auto" w:fill="E5E5E5"/>
          </w:tcPr>
          <w:p>
            <w:pPr>
              <w:spacing w:after="0"/>
              <w:rPr>
                <w:sz w:val="19"/>
                <w:szCs w:val="19"/>
                <w:color w:val="auto"/>
              </w:rPr>
            </w:pPr>
          </w:p>
        </w:tc>
        <w:tc>
          <w:tcPr>
            <w:tcW w:w="400" w:type="dxa"/>
            <w:vAlign w:val="bottom"/>
            <w:shd w:val="clear" w:color="auto" w:fill="E5E5E5"/>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72,738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640" w:type="dxa"/>
            <w:vAlign w:val="bottom"/>
            <w:vMerge w:val="restart"/>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34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464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E5E5E5"/>
          </w:tcPr>
          <w:p>
            <w:pPr>
              <w:ind w:left="240"/>
              <w:spacing w:after="0"/>
              <w:rPr>
                <w:sz w:val="20"/>
                <w:szCs w:val="20"/>
                <w:color w:val="auto"/>
              </w:rPr>
            </w:pPr>
            <w:r>
              <w:rPr>
                <w:rFonts w:ascii="Arial" w:cs="Arial" w:eastAsia="Arial" w:hAnsi="Arial"/>
                <w:sz w:val="18"/>
                <w:szCs w:val="18"/>
                <w:color w:val="auto"/>
              </w:rPr>
              <w:t>Net change related to derivatives</w:t>
            </w:r>
          </w:p>
        </w:tc>
        <w:tc>
          <w:tcPr>
            <w:tcW w:w="234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10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(14 )</w:t>
            </w:r>
          </w:p>
        </w:tc>
        <w:tc>
          <w:tcPr>
            <w:tcW w:w="40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40"/>
              <w:spacing w:after="0"/>
              <w:rPr>
                <w:sz w:val="20"/>
                <w:szCs w:val="20"/>
                <w:color w:val="auto"/>
              </w:rPr>
            </w:pPr>
            <w:r>
              <w:rPr>
                <w:rFonts w:ascii="Arial" w:cs="Arial" w:eastAsia="Arial" w:hAnsi="Arial"/>
                <w:sz w:val="18"/>
                <w:szCs w:val="18"/>
                <w:color w:val="auto"/>
              </w:rPr>
              <w:t>Net change related to investments</w:t>
            </w:r>
          </w:p>
        </w:tc>
        <w:tc>
          <w:tcPr>
            <w:tcW w:w="2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957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(1,444 )</w:t>
            </w:r>
          </w:p>
        </w:tc>
        <w:tc>
          <w:tcPr>
            <w:tcW w:w="4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(5,360 )</w:t>
            </w:r>
          </w:p>
        </w:tc>
        <w:tc>
          <w:tcPr>
            <w:tcW w:w="0" w:type="dxa"/>
            <w:vAlign w:val="bottom"/>
          </w:tcPr>
          <w:p>
            <w:pPr>
              <w:spacing w:after="0"/>
              <w:rPr>
                <w:sz w:val="1"/>
                <w:szCs w:val="1"/>
                <w:color w:val="auto"/>
              </w:rPr>
            </w:pPr>
          </w:p>
        </w:tc>
      </w:tr>
      <w:tr>
        <w:trPr>
          <w:trHeight w:val="230"/>
        </w:trPr>
        <w:tc>
          <w:tcPr>
            <w:tcW w:w="464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Translation adjustments and other</w:t>
            </w:r>
          </w:p>
        </w:tc>
        <w:tc>
          <w:tcPr>
            <w:tcW w:w="234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10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(228 )</w:t>
            </w:r>
          </w:p>
        </w:tc>
        <w:tc>
          <w:tcPr>
            <w:tcW w:w="380" w:type="dxa"/>
            <w:vAlign w:val="bottom"/>
            <w:shd w:val="clear" w:color="auto" w:fill="E5E5E5"/>
          </w:tcPr>
          <w:p>
            <w:pPr>
              <w:spacing w:after="0"/>
              <w:rPr>
                <w:sz w:val="19"/>
                <w:szCs w:val="19"/>
                <w:color w:val="auto"/>
              </w:rPr>
            </w:pPr>
          </w:p>
        </w:tc>
        <w:tc>
          <w:tcPr>
            <w:tcW w:w="10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(207 )</w:t>
            </w:r>
          </w:p>
        </w:tc>
        <w:tc>
          <w:tcPr>
            <w:tcW w:w="40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(1,146 )</w:t>
            </w:r>
          </w:p>
        </w:tc>
        <w:tc>
          <w:tcPr>
            <w:tcW w:w="0" w:type="dxa"/>
            <w:vAlign w:val="bottom"/>
          </w:tcPr>
          <w:p>
            <w:pPr>
              <w:spacing w:after="0"/>
              <w:rPr>
                <w:sz w:val="1"/>
                <w:szCs w:val="1"/>
                <w:color w:val="auto"/>
              </w:rPr>
            </w:pPr>
          </w:p>
        </w:tc>
      </w:tr>
      <w:tr>
        <w:trPr>
          <w:trHeight w:val="68"/>
        </w:trPr>
        <w:tc>
          <w:tcPr>
            <w:tcW w:w="4640" w:type="dxa"/>
            <w:vAlign w:val="bottom"/>
            <w:tcBorders>
              <w:bottom w:val="single" w:sz="8" w:color="auto"/>
            </w:tcBorders>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4640" w:type="dxa"/>
            <w:vAlign w:val="bottom"/>
          </w:tcPr>
          <w:p>
            <w:pPr>
              <w:ind w:left="440"/>
              <w:spacing w:after="0"/>
              <w:rPr>
                <w:sz w:val="20"/>
                <w:szCs w:val="20"/>
                <w:color w:val="auto"/>
              </w:rPr>
            </w:pPr>
            <w:r>
              <w:rPr>
                <w:rFonts w:ascii="Arial" w:cs="Arial" w:eastAsia="Arial" w:hAnsi="Arial"/>
                <w:sz w:val="18"/>
                <w:szCs w:val="18"/>
                <w:color w:val="auto"/>
              </w:rPr>
              <w:t>Other comprehensive income (loss)</w:t>
            </w:r>
          </w:p>
        </w:tc>
        <w:tc>
          <w:tcPr>
            <w:tcW w:w="2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753</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(1,665 )</w:t>
            </w:r>
          </w:p>
        </w:tc>
        <w:tc>
          <w:tcPr>
            <w:tcW w:w="40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(6,500 )</w:t>
            </w:r>
          </w:p>
        </w:tc>
        <w:tc>
          <w:tcPr>
            <w:tcW w:w="0" w:type="dxa"/>
            <w:vAlign w:val="bottom"/>
          </w:tcPr>
          <w:p>
            <w:pPr>
              <w:spacing w:after="0"/>
              <w:rPr>
                <w:sz w:val="1"/>
                <w:szCs w:val="1"/>
                <w:color w:val="auto"/>
              </w:rPr>
            </w:pPr>
          </w:p>
        </w:tc>
      </w:tr>
      <w:tr>
        <w:trPr>
          <w:trHeight w:val="56"/>
        </w:trPr>
        <w:tc>
          <w:tcPr>
            <w:tcW w:w="464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640" w:type="dxa"/>
            <w:vAlign w:val="bottom"/>
          </w:tcPr>
          <w:p>
            <w:pPr>
              <w:spacing w:after="0"/>
              <w:rPr>
                <w:sz w:val="5"/>
                <w:szCs w:val="5"/>
                <w:color w:val="auto"/>
              </w:rPr>
            </w:pPr>
          </w:p>
        </w:tc>
        <w:tc>
          <w:tcPr>
            <w:tcW w:w="2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E5E5E5"/>
          </w:tcPr>
          <w:p>
            <w:pPr>
              <w:ind w:left="20"/>
              <w:spacing w:after="0"/>
              <w:rPr>
                <w:sz w:val="20"/>
                <w:szCs w:val="20"/>
                <w:color w:val="auto"/>
              </w:rPr>
            </w:pPr>
            <w:r>
              <w:rPr>
                <w:rFonts w:ascii="Arial" w:cs="Arial" w:eastAsia="Arial" w:hAnsi="Arial"/>
                <w:sz w:val="18"/>
                <w:szCs w:val="18"/>
                <w:color w:val="auto"/>
              </w:rPr>
              <w:t>Comprehensive income</w:t>
            </w:r>
          </w:p>
        </w:tc>
        <w:tc>
          <w:tcPr>
            <w:tcW w:w="2760" w:type="dxa"/>
            <w:vAlign w:val="bottom"/>
            <w:gridSpan w:val="2"/>
            <w:shd w:val="clear" w:color="auto" w:fill="E5E5E5"/>
          </w:tcPr>
          <w:p>
            <w:pPr>
              <w:jc w:val="right"/>
              <w:ind w:right="30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88,889</w:t>
            </w:r>
          </w:p>
        </w:tc>
        <w:tc>
          <w:tcPr>
            <w:tcW w:w="220" w:type="dxa"/>
            <w:vAlign w:val="bottom"/>
            <w:shd w:val="clear" w:color="auto" w:fill="E5E5E5"/>
          </w:tcPr>
          <w:p>
            <w:pPr>
              <w:spacing w:after="0"/>
              <w:rPr>
                <w:sz w:val="19"/>
                <w:szCs w:val="19"/>
                <w:color w:val="auto"/>
              </w:rPr>
            </w:pPr>
          </w:p>
        </w:tc>
        <w:tc>
          <w:tcPr>
            <w:tcW w:w="38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70,696</w:t>
            </w:r>
          </w:p>
        </w:tc>
        <w:tc>
          <w:tcPr>
            <w:tcW w:w="220" w:type="dxa"/>
            <w:vAlign w:val="bottom"/>
            <w:shd w:val="clear" w:color="auto" w:fill="E5E5E5"/>
          </w:tcPr>
          <w:p>
            <w:pPr>
              <w:spacing w:after="0"/>
              <w:rPr>
                <w:sz w:val="19"/>
                <w:szCs w:val="19"/>
                <w:color w:val="auto"/>
              </w:rPr>
            </w:pPr>
          </w:p>
        </w:tc>
        <w:tc>
          <w:tcPr>
            <w:tcW w:w="400" w:type="dxa"/>
            <w:vAlign w:val="bottom"/>
            <w:shd w:val="clear" w:color="auto" w:fill="E5E5E5"/>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66,238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4640" w:type="dxa"/>
            <w:vAlign w:val="bottom"/>
            <w:vMerge w:val="restart"/>
          </w:tcPr>
          <w:p>
            <w:pPr>
              <w:spacing w:after="0"/>
              <w:rPr>
                <w:sz w:val="20"/>
                <w:szCs w:val="20"/>
                <w:color w:val="auto"/>
              </w:rPr>
            </w:pPr>
            <w:r>
              <w:rPr>
                <w:rFonts w:ascii="Arial" w:cs="Arial" w:eastAsia="Arial" w:hAnsi="Arial"/>
                <w:sz w:val="18"/>
                <w:szCs w:val="18"/>
                <w:color w:val="auto"/>
              </w:rPr>
              <w:t>Refer to accompanying notes.</w:t>
            </w:r>
          </w:p>
        </w:tc>
        <w:tc>
          <w:tcPr>
            <w:tcW w:w="234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9"/>
        </w:trPr>
        <w:tc>
          <w:tcPr>
            <w:tcW w:w="464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4640" w:type="dxa"/>
            <w:vAlign w:val="bottom"/>
          </w:tcPr>
          <w:p>
            <w:pPr>
              <w:spacing w:after="0"/>
              <w:rPr>
                <w:sz w:val="24"/>
                <w:szCs w:val="24"/>
                <w:color w:val="auto"/>
              </w:rPr>
            </w:pPr>
          </w:p>
        </w:tc>
        <w:tc>
          <w:tcPr>
            <w:tcW w:w="2340" w:type="dxa"/>
            <w:vAlign w:val="bottom"/>
          </w:tcPr>
          <w:p>
            <w:pPr>
              <w:jc w:val="right"/>
              <w:ind w:right="1196"/>
              <w:spacing w:after="0"/>
              <w:rPr>
                <w:sz w:val="20"/>
                <w:szCs w:val="20"/>
                <w:color w:val="auto"/>
              </w:rPr>
            </w:pPr>
            <w:r>
              <w:rPr>
                <w:rFonts w:ascii="Arial" w:cs="Arial" w:eastAsia="Arial" w:hAnsi="Arial"/>
                <w:sz w:val="14"/>
                <w:szCs w:val="14"/>
                <w:color w:val="auto"/>
              </w:rPr>
              <w:t>57</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46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7" w:name="page58"/>
    <w:bookmarkEnd w:id="57"/>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BALANCE SHEETS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ind w:left="20"/>
              <w:spacing w:after="0"/>
              <w:rPr>
                <w:sz w:val="20"/>
                <w:szCs w:val="20"/>
                <w:color w:val="auto"/>
              </w:rPr>
            </w:pPr>
            <w:r>
              <w:rPr>
                <w:rFonts w:ascii="Arial" w:cs="Arial" w:eastAsia="Arial" w:hAnsi="Arial"/>
                <w:sz w:val="13"/>
                <w:szCs w:val="13"/>
                <w:b w:val="1"/>
                <w:bCs w:val="1"/>
                <w:color w:val="auto"/>
              </w:rPr>
              <w:t>June 30,</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8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E5E5E5"/>
          </w:tcPr>
          <w:p>
            <w:pPr>
              <w:spacing w:after="0"/>
              <w:rPr>
                <w:sz w:val="19"/>
                <w:szCs w:val="19"/>
                <w:color w:val="auto"/>
              </w:rPr>
            </w:pPr>
          </w:p>
        </w:tc>
        <w:tc>
          <w:tcPr>
            <w:tcW w:w="86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6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18,315</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34,704</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60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57,228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76,558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86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Total cash, cash equivalents, and short-term investments</w:t>
            </w:r>
          </w:p>
        </w:tc>
        <w:tc>
          <w:tcPr>
            <w:tcW w:w="30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75,543</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111,262</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40"/>
              <w:spacing w:after="0"/>
              <w:rPr>
                <w:sz w:val="20"/>
                <w:szCs w:val="20"/>
                <w:color w:val="auto"/>
              </w:rPr>
            </w:pPr>
            <w:r>
              <w:rPr>
                <w:rFonts w:ascii="Arial" w:cs="Arial" w:eastAsia="Arial" w:hAnsi="Arial"/>
                <w:sz w:val="18"/>
                <w:szCs w:val="18"/>
                <w:color w:val="auto"/>
              </w:rPr>
              <w:t xml:space="preserve">Accounts receivable, net of allowance for doubtful accounts of </w:t>
            </w:r>
            <w:r>
              <w:rPr>
                <w:rFonts w:ascii="Arial" w:cs="Arial" w:eastAsia="Arial" w:hAnsi="Arial"/>
                <w:sz w:val="18"/>
                <w:szCs w:val="18"/>
                <w:b w:val="1"/>
                <w:bCs w:val="1"/>
                <w:color w:val="auto"/>
              </w:rPr>
              <w:t>$830</w:t>
            </w:r>
            <w:r>
              <w:rPr>
                <w:rFonts w:ascii="Arial" w:cs="Arial" w:eastAsia="Arial" w:hAnsi="Arial"/>
                <w:sz w:val="18"/>
                <w:szCs w:val="18"/>
                <w:color w:val="auto"/>
              </w:rPr>
              <w:t xml:space="preserve"> and $650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56,924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1,246</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60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26,021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86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159,734</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184,257</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$76,421</w:t>
            </w:r>
            <w:r>
              <w:rPr>
                <w:rFonts w:ascii="Arial" w:cs="Arial" w:eastAsia="Arial" w:hAnsi="Arial"/>
                <w:sz w:val="18"/>
                <w:szCs w:val="18"/>
                <w:color w:val="auto"/>
              </w:rPr>
              <w:t xml:space="preserve"> and $68,251</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135,591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E5E5E5"/>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18,961</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14,346</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Equity and other investments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14,600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E5E5E5"/>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119,220</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67,886</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27,597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E5E5E5"/>
          </w:tcPr>
          <w:p>
            <w:pPr>
              <w:ind w:left="20"/>
              <w:spacing w:after="0"/>
              <w:rPr>
                <w:sz w:val="20"/>
                <w:szCs w:val="20"/>
                <w:color w:val="auto"/>
              </w:rPr>
            </w:pPr>
            <w:r>
              <w:rPr>
                <w:rFonts w:ascii="Arial" w:cs="Arial" w:eastAsia="Arial" w:hAnsi="Arial"/>
                <w:sz w:val="18"/>
                <w:szCs w:val="18"/>
                <w:color w:val="auto"/>
              </w:rPr>
              <w:t>Other long-term assets</w:t>
            </w:r>
          </w:p>
        </w:tc>
        <w:tc>
          <w:tcPr>
            <w:tcW w:w="30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36,460</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30,601</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8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8600" w:type="dxa"/>
            <w:vAlign w:val="bottom"/>
          </w:tcPr>
          <w:p>
            <w:pPr>
              <w:ind w:left="90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512,163</w:t>
            </w:r>
          </w:p>
        </w:tc>
        <w:tc>
          <w:tcPr>
            <w:tcW w:w="24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411,976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86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8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E5E5E5"/>
          </w:tcPr>
          <w:p>
            <w:pPr>
              <w:spacing w:after="0"/>
              <w:rPr>
                <w:sz w:val="19"/>
                <w:szCs w:val="19"/>
                <w:color w:val="auto"/>
              </w:rPr>
            </w:pPr>
          </w:p>
        </w:tc>
        <w:tc>
          <w:tcPr>
            <w:tcW w:w="86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6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21,996</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18,095</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40"/>
              <w:spacing w:after="0"/>
              <w:rPr>
                <w:sz w:val="20"/>
                <w:szCs w:val="20"/>
                <w:color w:val="auto"/>
              </w:rPr>
            </w:pPr>
            <w:r>
              <w:rPr>
                <w:rFonts w:ascii="Arial" w:cs="Arial" w:eastAsia="Arial" w:hAnsi="Arial"/>
                <w:sz w:val="18"/>
                <w:szCs w:val="18"/>
                <w:color w:val="auto"/>
              </w:rPr>
              <w:t>Short-term debt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6,693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2,249</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5,247</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12,564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Short-term income taxes</w:t>
            </w:r>
          </w:p>
        </w:tc>
        <w:tc>
          <w:tcPr>
            <w:tcW w:w="30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5,017</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4,152</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40"/>
              <w:spacing w:after="0"/>
              <w:rPr>
                <w:sz w:val="20"/>
                <w:szCs w:val="20"/>
                <w:color w:val="auto"/>
              </w:rPr>
            </w:pPr>
            <w:r>
              <w:rPr>
                <w:rFonts w:ascii="Arial" w:cs="Arial" w:eastAsia="Arial" w:hAnsi="Arial"/>
                <w:sz w:val="18"/>
                <w:szCs w:val="18"/>
                <w:color w:val="auto"/>
              </w:rPr>
              <w:t>Short-term unearned revenue</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57,582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19,185</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14,745</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8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60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125,286</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104,149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E5E5E5"/>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42,688</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41,990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Long-term income taxes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27,931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E5E5E5"/>
          </w:tcPr>
          <w:p>
            <w:pPr>
              <w:ind w:left="20"/>
              <w:spacing w:after="0"/>
              <w:rPr>
                <w:sz w:val="20"/>
                <w:szCs w:val="20"/>
                <w:color w:val="auto"/>
              </w:rPr>
            </w:pPr>
            <w:r>
              <w:rPr>
                <w:rFonts w:ascii="Arial" w:cs="Arial" w:eastAsia="Arial" w:hAnsi="Arial"/>
                <w:sz w:val="18"/>
                <w:szCs w:val="18"/>
                <w:color w:val="auto"/>
              </w:rPr>
              <w:t>Long-term unearned revenue</w:t>
            </w:r>
          </w:p>
        </w:tc>
        <w:tc>
          <w:tcPr>
            <w:tcW w:w="30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2,602</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2,912</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2,618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E5E5E5"/>
          </w:tcPr>
          <w:p>
            <w:pPr>
              <w:ind w:left="20"/>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15,497</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12,728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6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27,064</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86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E5E5E5"/>
          </w:tcPr>
          <w:p>
            <w:pPr>
              <w:ind w:left="66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243,686</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205,753</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8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60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E5E5E5"/>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E5E5E5"/>
          </w:tcPr>
          <w:p>
            <w:pPr>
              <w:spacing w:after="0"/>
              <w:rPr>
                <w:sz w:val="19"/>
                <w:szCs w:val="19"/>
                <w:color w:val="auto"/>
              </w:rPr>
            </w:pPr>
          </w:p>
        </w:tc>
        <w:tc>
          <w:tcPr>
            <w:tcW w:w="86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6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40"/>
              <w:spacing w:after="0"/>
              <w:rPr>
                <w:sz w:val="20"/>
                <w:szCs w:val="20"/>
                <w:color w:val="auto"/>
              </w:rPr>
            </w:pPr>
            <w:r>
              <w:rPr>
                <w:rFonts w:ascii="Arial" w:cs="Arial" w:eastAsia="Arial" w:hAnsi="Arial"/>
                <w:sz w:val="18"/>
                <w:szCs w:val="18"/>
                <w:color w:val="auto"/>
              </w:rPr>
              <w:t xml:space="preserve">Common stock and paid-in capital – shares authorized 24,000; outstanding </w:t>
            </w:r>
            <w:r>
              <w:rPr>
                <w:rFonts w:ascii="Arial" w:cs="Arial" w:eastAsia="Arial" w:hAnsi="Arial"/>
                <w:sz w:val="18"/>
                <w:szCs w:val="18"/>
                <w:b w:val="1"/>
                <w:bCs w:val="1"/>
                <w:color w:val="auto"/>
              </w:rPr>
              <w:t>7,434</w:t>
            </w:r>
            <w:r>
              <w:rPr>
                <w:rFonts w:ascii="Arial" w:cs="Arial" w:eastAsia="Arial" w:hAnsi="Arial"/>
                <w:sz w:val="18"/>
                <w:szCs w:val="18"/>
                <w:color w:val="auto"/>
              </w:rPr>
              <w:t xml:space="preserve"> and 7,432</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100,923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173,144</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118,848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60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(5,590 )</w:t>
            </w:r>
          </w:p>
        </w:tc>
        <w:tc>
          <w:tcPr>
            <w:tcW w:w="28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(6,343 )</w:t>
            </w:r>
          </w:p>
        </w:tc>
        <w:tc>
          <w:tcPr>
            <w:tcW w:w="0" w:type="dxa"/>
            <w:vAlign w:val="bottom"/>
          </w:tcPr>
          <w:p>
            <w:pPr>
              <w:spacing w:after="0"/>
              <w:rPr>
                <w:sz w:val="1"/>
                <w:szCs w:val="1"/>
                <w:color w:val="auto"/>
              </w:rPr>
            </w:pPr>
          </w:p>
        </w:tc>
      </w:tr>
      <w:tr>
        <w:trPr>
          <w:trHeight w:val="50"/>
        </w:trPr>
        <w:tc>
          <w:tcPr>
            <w:tcW w:w="86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E5E5E5"/>
          </w:tcPr>
          <w:p>
            <w:pPr>
              <w:ind w:left="660"/>
              <w:spacing w:after="0"/>
              <w:rPr>
                <w:sz w:val="20"/>
                <w:szCs w:val="20"/>
                <w:color w:val="auto"/>
              </w:rPr>
            </w:pPr>
            <w:r>
              <w:rPr>
                <w:rFonts w:ascii="Arial" w:cs="Arial" w:eastAsia="Arial" w:hAnsi="Arial"/>
                <w:sz w:val="18"/>
                <w:szCs w:val="18"/>
                <w:color w:val="auto"/>
              </w:rPr>
              <w:t>Total stockholders’ equity</w:t>
            </w:r>
          </w:p>
        </w:tc>
        <w:tc>
          <w:tcPr>
            <w:tcW w:w="30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268,477</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206,223</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8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8600" w:type="dxa"/>
            <w:vAlign w:val="bottom"/>
          </w:tcPr>
          <w:p>
            <w:pPr>
              <w:ind w:left="90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512,163</w:t>
            </w:r>
          </w:p>
        </w:tc>
        <w:tc>
          <w:tcPr>
            <w:tcW w:w="24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411,976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8600" w:type="dxa"/>
            <w:vAlign w:val="bottom"/>
            <w:vMerge w:val="restart"/>
          </w:tcPr>
          <w:p>
            <w:pPr>
              <w:spacing w:after="0"/>
              <w:rPr>
                <w:sz w:val="20"/>
                <w:szCs w:val="20"/>
                <w:color w:val="auto"/>
              </w:rPr>
            </w:pPr>
            <w:r>
              <w:rPr>
                <w:rFonts w:ascii="Arial" w:cs="Arial" w:eastAsia="Arial" w:hAnsi="Arial"/>
                <w:sz w:val="18"/>
                <w:szCs w:val="18"/>
                <w:color w:val="auto"/>
              </w:rPr>
              <w:t>Refer to accompanying notes.</w:t>
            </w: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9"/>
        </w:trPr>
        <w:tc>
          <w:tcPr>
            <w:tcW w:w="86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ectPr>
          <w:pgSz w:w="11900" w:h="16838" w:orient="portrait"/>
          <w:cols w:equalWidth="0" w:num="1">
            <w:col w:w="11240"/>
          </w:cols>
          <w:pgMar w:left="320" w:top="775" w:right="339" w:bottom="1440" w:gutter="0" w:footer="0" w:header="0"/>
        </w:sect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type w:val="continuous"/>
        </w:sectPr>
      </w:pPr>
    </w:p>
    <w:bookmarkStart w:id="58" w:name="page59"/>
    <w:bookmarkEnd w:id="58"/>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FLOWS STATEMENTS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6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Operations</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86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8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88,136</w:t>
            </w:r>
          </w:p>
        </w:tc>
        <w:tc>
          <w:tcPr>
            <w:tcW w:w="2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72,361</w:t>
            </w:r>
          </w:p>
        </w:tc>
        <w:tc>
          <w:tcPr>
            <w:tcW w:w="2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Adjustments to reconcile net income to net cash from operations:</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86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8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Depreciation, amortization, and other</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22,287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13,861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10,734</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9,611</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7,502</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Net recognized losses (gains) on investments and derivatives</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(409 )</w:t>
            </w: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E5E5E5"/>
          </w:tcPr>
          <w:p>
            <w:pPr>
              <w:spacing w:after="0"/>
              <w:rPr>
                <w:sz w:val="19"/>
                <w:szCs w:val="19"/>
                <w:color w:val="auto"/>
              </w:rPr>
            </w:pPr>
          </w:p>
        </w:tc>
        <w:tc>
          <w:tcPr>
            <w:tcW w:w="11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(4,738 )</w:t>
            </w:r>
          </w:p>
        </w:tc>
        <w:tc>
          <w:tcPr>
            <w:tcW w:w="360" w:type="dxa"/>
            <w:vAlign w:val="bottom"/>
            <w:shd w:val="clear" w:color="auto" w:fill="E5E5E5"/>
          </w:tcPr>
          <w:p>
            <w:pPr>
              <w:spacing w:after="0"/>
              <w:rPr>
                <w:sz w:val="19"/>
                <w:szCs w:val="19"/>
                <w:color w:val="auto"/>
              </w:rPr>
            </w:pPr>
          </w:p>
        </w:tc>
        <w:tc>
          <w:tcPr>
            <w:tcW w:w="10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(6,059 )</w:t>
            </w:r>
          </w:p>
        </w:tc>
        <w:tc>
          <w:tcPr>
            <w:tcW w:w="36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(5,702 )</w:t>
            </w: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E5E5E5"/>
          </w:tcPr>
          <w:p>
            <w:pPr>
              <w:spacing w:after="0"/>
              <w:rPr>
                <w:sz w:val="19"/>
                <w:szCs w:val="19"/>
                <w:color w:val="auto"/>
              </w:rPr>
            </w:pPr>
          </w:p>
        </w:tc>
        <w:tc>
          <w:tcPr>
            <w:tcW w:w="11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(7,191 )</w:t>
            </w:r>
          </w:p>
        </w:tc>
        <w:tc>
          <w:tcPr>
            <w:tcW w:w="360" w:type="dxa"/>
            <w:vAlign w:val="bottom"/>
            <w:shd w:val="clear" w:color="auto" w:fill="E5E5E5"/>
          </w:tcPr>
          <w:p>
            <w:pPr>
              <w:spacing w:after="0"/>
              <w:rPr>
                <w:sz w:val="19"/>
                <w:szCs w:val="19"/>
                <w:color w:val="auto"/>
              </w:rPr>
            </w:pPr>
          </w:p>
        </w:tc>
        <w:tc>
          <w:tcPr>
            <w:tcW w:w="10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(4,087 )</w:t>
            </w:r>
          </w:p>
        </w:tc>
        <w:tc>
          <w:tcPr>
            <w:tcW w:w="36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(6,834 )</w:t>
            </w:r>
          </w:p>
        </w:tc>
        <w:tc>
          <w:tcPr>
            <w:tcW w:w="0" w:type="dxa"/>
            <w:vAlign w:val="bottom"/>
          </w:tcPr>
          <w:p>
            <w:pPr>
              <w:spacing w:after="0"/>
              <w:rPr>
                <w:sz w:val="1"/>
                <w:szCs w:val="1"/>
                <w:color w:val="auto"/>
              </w:rPr>
            </w:pPr>
          </w:p>
        </w:tc>
      </w:tr>
      <w:tr>
        <w:trPr>
          <w:trHeight w:val="229"/>
        </w:trPr>
        <w:tc>
          <w:tcPr>
            <w:tcW w:w="698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1,284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(1,123 )</w:t>
            </w:r>
          </w:p>
        </w:tc>
        <w:tc>
          <w:tcPr>
            <w:tcW w:w="0" w:type="dxa"/>
            <w:vAlign w:val="bottom"/>
          </w:tcPr>
          <w:p>
            <w:pPr>
              <w:spacing w:after="0"/>
              <w:rPr>
                <w:sz w:val="1"/>
                <w:szCs w:val="1"/>
                <w:color w:val="auto"/>
              </w:rPr>
            </w:pPr>
          </w:p>
        </w:tc>
      </w:tr>
      <w:tr>
        <w:trPr>
          <w:trHeight w:val="230"/>
        </w:trPr>
        <w:tc>
          <w:tcPr>
            <w:tcW w:w="6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E5E5E5"/>
          </w:tcPr>
          <w:p>
            <w:pPr>
              <w:spacing w:after="0"/>
              <w:rPr>
                <w:sz w:val="19"/>
                <w:szCs w:val="19"/>
                <w:color w:val="auto"/>
              </w:rPr>
            </w:pPr>
          </w:p>
        </w:tc>
        <w:tc>
          <w:tcPr>
            <w:tcW w:w="11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(1,648 )</w:t>
            </w:r>
          </w:p>
        </w:tc>
        <w:tc>
          <w:tcPr>
            <w:tcW w:w="360" w:type="dxa"/>
            <w:vAlign w:val="bottom"/>
            <w:shd w:val="clear" w:color="auto" w:fill="E5E5E5"/>
          </w:tcPr>
          <w:p>
            <w:pPr>
              <w:spacing w:after="0"/>
              <w:rPr>
                <w:sz w:val="19"/>
                <w:szCs w:val="19"/>
                <w:color w:val="auto"/>
              </w:rPr>
            </w:pPr>
          </w:p>
        </w:tc>
        <w:tc>
          <w:tcPr>
            <w:tcW w:w="10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(1,991 )</w:t>
            </w:r>
          </w:p>
        </w:tc>
        <w:tc>
          <w:tcPr>
            <w:tcW w:w="36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(709 )</w:t>
            </w:r>
          </w:p>
        </w:tc>
        <w:tc>
          <w:tcPr>
            <w:tcW w:w="0" w:type="dxa"/>
            <w:vAlign w:val="bottom"/>
          </w:tcPr>
          <w:p>
            <w:pPr>
              <w:spacing w:after="0"/>
              <w:rPr>
                <w:sz w:val="1"/>
                <w:szCs w:val="1"/>
                <w:color w:val="auto"/>
              </w:rPr>
            </w:pPr>
          </w:p>
        </w:tc>
      </w:tr>
      <w:tr>
        <w:trPr>
          <w:trHeight w:val="229"/>
        </w:trPr>
        <w:tc>
          <w:tcPr>
            <w:tcW w:w="6980" w:type="dxa"/>
            <w:vAlign w:val="bottom"/>
          </w:tcPr>
          <w:p>
            <w:pPr>
              <w:ind w:left="440"/>
              <w:spacing w:after="0"/>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(6,817 )</w:t>
            </w:r>
          </w:p>
        </w:tc>
        <w:tc>
          <w:tcPr>
            <w:tcW w:w="3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(2,833 )</w:t>
            </w:r>
          </w:p>
        </w:tc>
        <w:tc>
          <w:tcPr>
            <w:tcW w:w="3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(2,805 )</w:t>
            </w:r>
          </w:p>
        </w:tc>
        <w:tc>
          <w:tcPr>
            <w:tcW w:w="0" w:type="dxa"/>
            <w:vAlign w:val="bottom"/>
          </w:tcPr>
          <w:p>
            <w:pPr>
              <w:spacing w:after="0"/>
              <w:rPr>
                <w:sz w:val="1"/>
                <w:szCs w:val="1"/>
                <w:color w:val="auto"/>
              </w:rPr>
            </w:pPr>
          </w:p>
        </w:tc>
      </w:tr>
      <w:tr>
        <w:trPr>
          <w:trHeight w:val="230"/>
        </w:trPr>
        <w:tc>
          <w:tcPr>
            <w:tcW w:w="6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3,545</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10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(2,721 )</w:t>
            </w:r>
          </w:p>
        </w:tc>
        <w:tc>
          <w:tcPr>
            <w:tcW w:w="36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440"/>
              <w:spacing w:after="0"/>
              <w:rPr>
                <w:sz w:val="20"/>
                <w:szCs w:val="20"/>
                <w:color w:val="auto"/>
              </w:rPr>
            </w:pPr>
            <w:r>
              <w:rPr>
                <w:rFonts w:ascii="Arial" w:cs="Arial" w:eastAsia="Arial" w:hAnsi="Arial"/>
                <w:sz w:val="18"/>
                <w:szCs w:val="18"/>
                <w:color w:val="auto"/>
              </w:rPr>
              <w:t>Unearned revenue</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5,348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5,535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Income taxes</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1,687</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10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(358 )</w:t>
            </w:r>
          </w:p>
        </w:tc>
        <w:tc>
          <w:tcPr>
            <w:tcW w:w="36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44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4,867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749</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553</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69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6980" w:type="dxa"/>
            <w:vAlign w:val="bottom"/>
          </w:tcPr>
          <w:p>
            <w:pPr>
              <w:ind w:left="660"/>
              <w:spacing w:after="0"/>
              <w:rPr>
                <w:sz w:val="20"/>
                <w:szCs w:val="20"/>
                <w:color w:val="auto"/>
              </w:rPr>
            </w:pPr>
            <w:r>
              <w:rPr>
                <w:rFonts w:ascii="Arial" w:cs="Arial" w:eastAsia="Arial" w:hAnsi="Arial"/>
                <w:sz w:val="18"/>
                <w:szCs w:val="18"/>
                <w:color w:val="auto"/>
              </w:rPr>
              <w:t>Net cash from operations</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118,548</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87,582</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89,035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6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Financing</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86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8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Proceeds from issuance of debt, maturities of 90 days or less, net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5,250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Proceeds from issuance of debt</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24,395</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3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(29,070 )</w:t>
            </w:r>
          </w:p>
        </w:tc>
        <w:tc>
          <w:tcPr>
            <w:tcW w:w="3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(2,750 )</w:t>
            </w:r>
          </w:p>
        </w:tc>
        <w:tc>
          <w:tcPr>
            <w:tcW w:w="3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(9,023 )</w:t>
            </w: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Common stock issued</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2,002</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1,866</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Common stock repurchased</w:t>
            </w:r>
          </w:p>
        </w:tc>
        <w:tc>
          <w:tcPr>
            <w:tcW w:w="3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(17,254 )</w:t>
            </w:r>
          </w:p>
        </w:tc>
        <w:tc>
          <w:tcPr>
            <w:tcW w:w="3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(22,245 )</w:t>
            </w:r>
          </w:p>
        </w:tc>
        <w:tc>
          <w:tcPr>
            <w:tcW w:w="3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(32,696 )</w:t>
            </w:r>
          </w:p>
        </w:tc>
        <w:tc>
          <w:tcPr>
            <w:tcW w:w="0" w:type="dxa"/>
            <w:vAlign w:val="bottom"/>
          </w:tcPr>
          <w:p>
            <w:pPr>
              <w:spacing w:after="0"/>
              <w:rPr>
                <w:sz w:val="1"/>
                <w:szCs w:val="1"/>
                <w:color w:val="auto"/>
              </w:rPr>
            </w:pPr>
          </w:p>
        </w:tc>
      </w:tr>
      <w:tr>
        <w:trPr>
          <w:trHeight w:val="230"/>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Common stock cash dividends paid</w:t>
            </w:r>
          </w:p>
        </w:tc>
        <w:tc>
          <w:tcPr>
            <w:tcW w:w="360" w:type="dxa"/>
            <w:vAlign w:val="bottom"/>
            <w:shd w:val="clear" w:color="auto" w:fill="E5E5E5"/>
          </w:tcPr>
          <w:p>
            <w:pPr>
              <w:spacing w:after="0"/>
              <w:rPr>
                <w:sz w:val="19"/>
                <w:szCs w:val="19"/>
                <w:color w:val="auto"/>
              </w:rPr>
            </w:pPr>
          </w:p>
        </w:tc>
        <w:tc>
          <w:tcPr>
            <w:tcW w:w="11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(21,771 )</w:t>
            </w:r>
          </w:p>
        </w:tc>
        <w:tc>
          <w:tcPr>
            <w:tcW w:w="360" w:type="dxa"/>
            <w:vAlign w:val="bottom"/>
            <w:shd w:val="clear" w:color="auto" w:fill="E5E5E5"/>
          </w:tcPr>
          <w:p>
            <w:pPr>
              <w:spacing w:after="0"/>
              <w:rPr>
                <w:sz w:val="19"/>
                <w:szCs w:val="19"/>
                <w:color w:val="auto"/>
              </w:rPr>
            </w:pPr>
          </w:p>
        </w:tc>
        <w:tc>
          <w:tcPr>
            <w:tcW w:w="10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(19,800 )</w:t>
            </w:r>
          </w:p>
        </w:tc>
        <w:tc>
          <w:tcPr>
            <w:tcW w:w="36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(18,135 )</w:t>
            </w:r>
          </w:p>
        </w:tc>
        <w:tc>
          <w:tcPr>
            <w:tcW w:w="0" w:type="dxa"/>
            <w:vAlign w:val="bottom"/>
          </w:tcPr>
          <w:p>
            <w:pPr>
              <w:spacing w:after="0"/>
              <w:rPr>
                <w:sz w:val="1"/>
                <w:szCs w:val="1"/>
                <w:color w:val="auto"/>
              </w:rPr>
            </w:pPr>
          </w:p>
        </w:tc>
      </w:tr>
      <w:tr>
        <w:trPr>
          <w:trHeight w:val="247"/>
        </w:trPr>
        <w:tc>
          <w:tcPr>
            <w:tcW w:w="6980" w:type="dxa"/>
            <w:vAlign w:val="bottom"/>
          </w:tcPr>
          <w:p>
            <w:pPr>
              <w:ind w:left="2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(1,309 )</w:t>
            </w:r>
          </w:p>
        </w:tc>
        <w:tc>
          <w:tcPr>
            <w:tcW w:w="36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(1,006 )</w:t>
            </w:r>
          </w:p>
        </w:tc>
        <w:tc>
          <w:tcPr>
            <w:tcW w:w="3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(863 )</w:t>
            </w:r>
          </w:p>
        </w:tc>
        <w:tc>
          <w:tcPr>
            <w:tcW w:w="0" w:type="dxa"/>
            <w:vAlign w:val="bottom"/>
          </w:tcPr>
          <w:p>
            <w:pPr>
              <w:spacing w:after="0"/>
              <w:rPr>
                <w:sz w:val="1"/>
                <w:szCs w:val="1"/>
                <w:color w:val="auto"/>
              </w:rPr>
            </w:pPr>
          </w:p>
        </w:tc>
      </w:tr>
      <w:tr>
        <w:trPr>
          <w:trHeight w:val="50"/>
        </w:trPr>
        <w:tc>
          <w:tcPr>
            <w:tcW w:w="6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E5E5E5"/>
          </w:tcPr>
          <w:p>
            <w:pPr>
              <w:ind w:left="660"/>
              <w:spacing w:after="0"/>
              <w:rPr>
                <w:sz w:val="20"/>
                <w:szCs w:val="20"/>
                <w:color w:val="auto"/>
              </w:rPr>
            </w:pPr>
            <w:r>
              <w:rPr>
                <w:rFonts w:ascii="Arial" w:cs="Arial" w:eastAsia="Arial" w:hAnsi="Arial"/>
                <w:sz w:val="18"/>
                <w:szCs w:val="18"/>
                <w:color w:val="auto"/>
              </w:rPr>
              <w:t>Net cash used in financing</w:t>
            </w:r>
          </w:p>
        </w:tc>
        <w:tc>
          <w:tcPr>
            <w:tcW w:w="360" w:type="dxa"/>
            <w:vAlign w:val="bottom"/>
            <w:shd w:val="clear" w:color="auto" w:fill="E5E5E5"/>
          </w:tcPr>
          <w:p>
            <w:pPr>
              <w:spacing w:after="0"/>
              <w:rPr>
                <w:sz w:val="19"/>
                <w:szCs w:val="19"/>
                <w:color w:val="auto"/>
              </w:rPr>
            </w:pPr>
          </w:p>
        </w:tc>
        <w:tc>
          <w:tcPr>
            <w:tcW w:w="11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(37,757 )</w:t>
            </w:r>
          </w:p>
        </w:tc>
        <w:tc>
          <w:tcPr>
            <w:tcW w:w="360" w:type="dxa"/>
            <w:vAlign w:val="bottom"/>
            <w:shd w:val="clear" w:color="auto" w:fill="E5E5E5"/>
          </w:tcPr>
          <w:p>
            <w:pPr>
              <w:spacing w:after="0"/>
              <w:rPr>
                <w:sz w:val="19"/>
                <w:szCs w:val="19"/>
                <w:color w:val="auto"/>
              </w:rPr>
            </w:pPr>
          </w:p>
        </w:tc>
        <w:tc>
          <w:tcPr>
            <w:tcW w:w="10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(43,935 )</w:t>
            </w:r>
          </w:p>
        </w:tc>
        <w:tc>
          <w:tcPr>
            <w:tcW w:w="36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(58,876 )</w:t>
            </w:r>
          </w:p>
        </w:tc>
        <w:tc>
          <w:tcPr>
            <w:tcW w:w="0" w:type="dxa"/>
            <w:vAlign w:val="bottom"/>
          </w:tcPr>
          <w:p>
            <w:pPr>
              <w:spacing w:after="0"/>
              <w:rPr>
                <w:sz w:val="1"/>
                <w:szCs w:val="1"/>
                <w:color w:val="auto"/>
              </w:rPr>
            </w:pPr>
          </w:p>
        </w:tc>
      </w:tr>
      <w:tr>
        <w:trPr>
          <w:trHeight w:val="68"/>
        </w:trPr>
        <w:tc>
          <w:tcPr>
            <w:tcW w:w="69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Investing</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Additions to property and equipment</w:t>
            </w:r>
          </w:p>
        </w:tc>
        <w:tc>
          <w:tcPr>
            <w:tcW w:w="360" w:type="dxa"/>
            <w:vAlign w:val="bottom"/>
            <w:shd w:val="clear" w:color="auto" w:fill="E5E5E5"/>
          </w:tcPr>
          <w:p>
            <w:pPr>
              <w:spacing w:after="0"/>
              <w:rPr>
                <w:sz w:val="19"/>
                <w:szCs w:val="19"/>
                <w:color w:val="auto"/>
              </w:rPr>
            </w:pPr>
          </w:p>
        </w:tc>
        <w:tc>
          <w:tcPr>
            <w:tcW w:w="11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(44,477 )</w:t>
            </w:r>
          </w:p>
        </w:tc>
        <w:tc>
          <w:tcPr>
            <w:tcW w:w="360" w:type="dxa"/>
            <w:vAlign w:val="bottom"/>
            <w:shd w:val="clear" w:color="auto" w:fill="E5E5E5"/>
          </w:tcPr>
          <w:p>
            <w:pPr>
              <w:spacing w:after="0"/>
              <w:rPr>
                <w:sz w:val="19"/>
                <w:szCs w:val="19"/>
                <w:color w:val="auto"/>
              </w:rPr>
            </w:pPr>
          </w:p>
        </w:tc>
        <w:tc>
          <w:tcPr>
            <w:tcW w:w="10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(28,107 )</w:t>
            </w:r>
          </w:p>
        </w:tc>
        <w:tc>
          <w:tcPr>
            <w:tcW w:w="36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(23,886 )</w:t>
            </w:r>
          </w:p>
        </w:tc>
        <w:tc>
          <w:tcPr>
            <w:tcW w:w="0" w:type="dxa"/>
            <w:vAlign w:val="bottom"/>
          </w:tcPr>
          <w:p>
            <w:pPr>
              <w:spacing w:after="0"/>
              <w:rPr>
                <w:sz w:val="1"/>
                <w:szCs w:val="1"/>
                <w:color w:val="auto"/>
              </w:rPr>
            </w:pPr>
          </w:p>
        </w:tc>
      </w:tr>
      <w:tr>
        <w:trPr>
          <w:trHeight w:val="197"/>
        </w:trPr>
        <w:tc>
          <w:tcPr>
            <w:tcW w:w="6980" w:type="dxa"/>
            <w:vAlign w:val="bottom"/>
          </w:tcPr>
          <w:p>
            <w:pPr>
              <w:ind w:left="20"/>
              <w:spacing w:after="0" w:line="197" w:lineRule="exact"/>
              <w:rPr>
                <w:sz w:val="20"/>
                <w:szCs w:val="20"/>
                <w:color w:val="auto"/>
              </w:rPr>
            </w:pPr>
            <w:r>
              <w:rPr>
                <w:rFonts w:ascii="Arial" w:cs="Arial" w:eastAsia="Arial" w:hAnsi="Arial"/>
                <w:sz w:val="18"/>
                <w:szCs w:val="18"/>
                <w:color w:val="auto"/>
              </w:rPr>
              <w:t>Acquisition of companies, net of cash acquired, and purchases of intangible and other</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980" w:type="dxa"/>
            <w:vAlign w:val="bottom"/>
          </w:tcPr>
          <w:p>
            <w:pPr>
              <w:ind w:left="240"/>
              <w:spacing w:after="0"/>
              <w:rPr>
                <w:sz w:val="20"/>
                <w:szCs w:val="20"/>
                <w:color w:val="auto"/>
              </w:rPr>
            </w:pPr>
            <w:r>
              <w:rPr>
                <w:rFonts w:ascii="Arial" w:cs="Arial" w:eastAsia="Arial" w:hAnsi="Arial"/>
                <w:sz w:val="18"/>
                <w:szCs w:val="18"/>
                <w:color w:val="auto"/>
              </w:rPr>
              <w:t>assets</w:t>
            </w:r>
          </w:p>
        </w:tc>
        <w:tc>
          <w:tcPr>
            <w:tcW w:w="3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(69,132 )</w:t>
            </w:r>
          </w:p>
        </w:tc>
        <w:tc>
          <w:tcPr>
            <w:tcW w:w="3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(1,670 )</w:t>
            </w:r>
          </w:p>
        </w:tc>
        <w:tc>
          <w:tcPr>
            <w:tcW w:w="3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(22,038 )</w:t>
            </w:r>
          </w:p>
        </w:tc>
        <w:tc>
          <w:tcPr>
            <w:tcW w:w="0" w:type="dxa"/>
            <w:vAlign w:val="bottom"/>
          </w:tcPr>
          <w:p>
            <w:pPr>
              <w:spacing w:after="0"/>
              <w:rPr>
                <w:sz w:val="1"/>
                <w:szCs w:val="1"/>
                <w:color w:val="auto"/>
              </w:rPr>
            </w:pPr>
          </w:p>
        </w:tc>
      </w:tr>
      <w:tr>
        <w:trPr>
          <w:trHeight w:val="230"/>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Purchases of investments</w:t>
            </w:r>
          </w:p>
        </w:tc>
        <w:tc>
          <w:tcPr>
            <w:tcW w:w="360" w:type="dxa"/>
            <w:vAlign w:val="bottom"/>
            <w:shd w:val="clear" w:color="auto" w:fill="E5E5E5"/>
          </w:tcPr>
          <w:p>
            <w:pPr>
              <w:spacing w:after="0"/>
              <w:rPr>
                <w:sz w:val="19"/>
                <w:szCs w:val="19"/>
                <w:color w:val="auto"/>
              </w:rPr>
            </w:pPr>
          </w:p>
        </w:tc>
        <w:tc>
          <w:tcPr>
            <w:tcW w:w="11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(17,732 )</w:t>
            </w:r>
          </w:p>
        </w:tc>
        <w:tc>
          <w:tcPr>
            <w:tcW w:w="360" w:type="dxa"/>
            <w:vAlign w:val="bottom"/>
            <w:shd w:val="clear" w:color="auto" w:fill="E5E5E5"/>
          </w:tcPr>
          <w:p>
            <w:pPr>
              <w:spacing w:after="0"/>
              <w:rPr>
                <w:sz w:val="19"/>
                <w:szCs w:val="19"/>
                <w:color w:val="auto"/>
              </w:rPr>
            </w:pPr>
          </w:p>
        </w:tc>
        <w:tc>
          <w:tcPr>
            <w:tcW w:w="10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(37,651 )</w:t>
            </w:r>
          </w:p>
        </w:tc>
        <w:tc>
          <w:tcPr>
            <w:tcW w:w="36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(26,456 )</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Maturities of investments</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24,775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33,510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Sales of investments</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10,894</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14,354</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28,443</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980" w:type="dxa"/>
            <w:vAlign w:val="bottom"/>
          </w:tcPr>
          <w:p>
            <w:pPr>
              <w:ind w:left="2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(1,298 )</w:t>
            </w:r>
          </w:p>
        </w:tc>
        <w:tc>
          <w:tcPr>
            <w:tcW w:w="36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(3,116 )</w:t>
            </w:r>
          </w:p>
        </w:tc>
        <w:tc>
          <w:tcPr>
            <w:tcW w:w="3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(2,825 )</w:t>
            </w:r>
          </w:p>
        </w:tc>
        <w:tc>
          <w:tcPr>
            <w:tcW w:w="0" w:type="dxa"/>
            <w:vAlign w:val="bottom"/>
          </w:tcPr>
          <w:p>
            <w:pPr>
              <w:spacing w:after="0"/>
              <w:rPr>
                <w:sz w:val="1"/>
                <w:szCs w:val="1"/>
                <w:color w:val="auto"/>
              </w:rPr>
            </w:pPr>
          </w:p>
        </w:tc>
      </w:tr>
      <w:tr>
        <w:trPr>
          <w:trHeight w:val="50"/>
        </w:trPr>
        <w:tc>
          <w:tcPr>
            <w:tcW w:w="6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E5E5E5"/>
          </w:tcPr>
          <w:p>
            <w:pPr>
              <w:ind w:left="660"/>
              <w:spacing w:after="0"/>
              <w:rPr>
                <w:sz w:val="20"/>
                <w:szCs w:val="20"/>
                <w:color w:val="auto"/>
              </w:rPr>
            </w:pPr>
            <w:r>
              <w:rPr>
                <w:rFonts w:ascii="Arial" w:cs="Arial" w:eastAsia="Arial" w:hAnsi="Arial"/>
                <w:sz w:val="18"/>
                <w:szCs w:val="18"/>
                <w:color w:val="auto"/>
              </w:rPr>
              <w:t>Net cash used in investing</w:t>
            </w:r>
          </w:p>
        </w:tc>
        <w:tc>
          <w:tcPr>
            <w:tcW w:w="360" w:type="dxa"/>
            <w:vAlign w:val="bottom"/>
            <w:shd w:val="clear" w:color="auto" w:fill="E5E5E5"/>
          </w:tcPr>
          <w:p>
            <w:pPr>
              <w:spacing w:after="0"/>
              <w:rPr>
                <w:sz w:val="19"/>
                <w:szCs w:val="19"/>
                <w:color w:val="auto"/>
              </w:rPr>
            </w:pPr>
          </w:p>
        </w:tc>
        <w:tc>
          <w:tcPr>
            <w:tcW w:w="11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(96,970 )</w:t>
            </w:r>
          </w:p>
        </w:tc>
        <w:tc>
          <w:tcPr>
            <w:tcW w:w="360" w:type="dxa"/>
            <w:vAlign w:val="bottom"/>
            <w:shd w:val="clear" w:color="auto" w:fill="E5E5E5"/>
          </w:tcPr>
          <w:p>
            <w:pPr>
              <w:spacing w:after="0"/>
              <w:rPr>
                <w:sz w:val="19"/>
                <w:szCs w:val="19"/>
                <w:color w:val="auto"/>
              </w:rPr>
            </w:pPr>
          </w:p>
        </w:tc>
        <w:tc>
          <w:tcPr>
            <w:tcW w:w="10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(22,680 )</w:t>
            </w:r>
          </w:p>
        </w:tc>
        <w:tc>
          <w:tcPr>
            <w:tcW w:w="36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(30,311 )</w:t>
            </w:r>
          </w:p>
        </w:tc>
        <w:tc>
          <w:tcPr>
            <w:tcW w:w="0" w:type="dxa"/>
            <w:vAlign w:val="bottom"/>
          </w:tcPr>
          <w:p>
            <w:pPr>
              <w:spacing w:after="0"/>
              <w:rPr>
                <w:sz w:val="1"/>
                <w:szCs w:val="1"/>
                <w:color w:val="auto"/>
              </w:rPr>
            </w:pPr>
          </w:p>
        </w:tc>
      </w:tr>
      <w:tr>
        <w:trPr>
          <w:trHeight w:val="68"/>
        </w:trPr>
        <w:tc>
          <w:tcPr>
            <w:tcW w:w="69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6980" w:type="dxa"/>
            <w:vAlign w:val="bottom"/>
          </w:tcPr>
          <w:p>
            <w:pPr>
              <w:ind w:left="20"/>
              <w:spacing w:after="0"/>
              <w:rPr>
                <w:sz w:val="20"/>
                <w:szCs w:val="20"/>
                <w:color w:val="auto"/>
              </w:rPr>
            </w:pPr>
            <w:r>
              <w:rPr>
                <w:rFonts w:ascii="Arial" w:cs="Arial" w:eastAsia="Arial" w:hAnsi="Arial"/>
                <w:sz w:val="18"/>
                <w:szCs w:val="18"/>
                <w:color w:val="auto"/>
              </w:rPr>
              <w:t>Effect of foreign exchange rates on cash and cash equivalents</w:t>
            </w:r>
          </w:p>
        </w:tc>
        <w:tc>
          <w:tcPr>
            <w:tcW w:w="36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(210 )</w:t>
            </w:r>
          </w:p>
        </w:tc>
        <w:tc>
          <w:tcPr>
            <w:tcW w:w="36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(194 )</w:t>
            </w:r>
          </w:p>
        </w:tc>
        <w:tc>
          <w:tcPr>
            <w:tcW w:w="36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56"/>
        </w:trPr>
        <w:tc>
          <w:tcPr>
            <w:tcW w:w="6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shd w:val="clear" w:color="auto" w:fill="E5E5E5"/>
          </w:tcPr>
          <w:p>
            <w:pPr>
              <w:spacing w:after="0"/>
              <w:rPr>
                <w:sz w:val="19"/>
                <w:szCs w:val="19"/>
                <w:color w:val="auto"/>
              </w:rPr>
            </w:pPr>
          </w:p>
        </w:tc>
        <w:tc>
          <w:tcPr>
            <w:tcW w:w="11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(16,389 )</w:t>
            </w:r>
          </w:p>
        </w:tc>
        <w:tc>
          <w:tcPr>
            <w:tcW w:w="36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20,773</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47"/>
        </w:trPr>
        <w:tc>
          <w:tcPr>
            <w:tcW w:w="698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34,704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13,931</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6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18,315</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34,704</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13,931</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6980" w:type="dxa"/>
            <w:vAlign w:val="bottom"/>
            <w:vMerge w:val="restart"/>
          </w:tcPr>
          <w:p>
            <w:pPr>
              <w:spacing w:after="0"/>
              <w:rPr>
                <w:sz w:val="20"/>
                <w:szCs w:val="20"/>
                <w:color w:val="auto"/>
              </w:rPr>
            </w:pPr>
            <w:r>
              <w:rPr>
                <w:rFonts w:ascii="Arial" w:cs="Arial" w:eastAsia="Arial" w:hAnsi="Arial"/>
                <w:sz w:val="18"/>
                <w:szCs w:val="18"/>
                <w:color w:val="auto"/>
              </w:rPr>
              <w:t>Refer to accompanying notes.</w:t>
            </w: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9"/>
        </w:trPr>
        <w:tc>
          <w:tcPr>
            <w:tcW w:w="6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980" w:type="dxa"/>
            <w:vAlign w:val="bottom"/>
          </w:tcPr>
          <w:p>
            <w:pPr>
              <w:ind w:left="5540"/>
              <w:spacing w:after="0"/>
              <w:rPr>
                <w:sz w:val="20"/>
                <w:szCs w:val="20"/>
                <w:color w:val="auto"/>
              </w:rPr>
            </w:pPr>
            <w:r>
              <w:rPr>
                <w:rFonts w:ascii="Arial" w:cs="Arial" w:eastAsia="Arial" w:hAnsi="Arial"/>
                <w:sz w:val="14"/>
                <w:szCs w:val="14"/>
                <w:color w:val="auto"/>
              </w:rPr>
              <w:t>59</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69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9" w:name="page60"/>
    <w:bookmarkEnd w:id="59"/>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STATEMENTS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2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r>
      <w:tr>
        <w:trPr>
          <w:trHeight w:val="58"/>
        </w:trPr>
        <w:tc>
          <w:tcPr>
            <w:tcW w:w="4540" w:type="dxa"/>
            <w:vAlign w:val="bottom"/>
          </w:tcPr>
          <w:p>
            <w:pPr>
              <w:spacing w:after="0"/>
              <w:rPr>
                <w:sz w:val="5"/>
                <w:szCs w:val="5"/>
                <w:color w:val="auto"/>
              </w:rPr>
            </w:pPr>
          </w:p>
        </w:tc>
        <w:tc>
          <w:tcPr>
            <w:tcW w:w="2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454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Common stock and paid-in capital</w:t>
            </w:r>
          </w:p>
        </w:tc>
        <w:tc>
          <w:tcPr>
            <w:tcW w:w="244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93,718</w:t>
            </w:r>
          </w:p>
        </w:tc>
        <w:tc>
          <w:tcPr>
            <w:tcW w:w="2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86,939</w:t>
            </w:r>
          </w:p>
        </w:tc>
        <w:tc>
          <w:tcPr>
            <w:tcW w:w="2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83,111</w:t>
            </w:r>
          </w:p>
        </w:tc>
        <w:tc>
          <w:tcPr>
            <w:tcW w:w="100" w:type="dxa"/>
            <w:vAlign w:val="bottom"/>
          </w:tcPr>
          <w:p>
            <w:pPr>
              <w:spacing w:after="0"/>
              <w:rPr>
                <w:sz w:val="19"/>
                <w:szCs w:val="19"/>
                <w:color w:val="auto"/>
              </w:rPr>
            </w:pPr>
          </w:p>
        </w:tc>
      </w:tr>
      <w:tr>
        <w:trPr>
          <w:trHeight w:val="230"/>
        </w:trPr>
        <w:tc>
          <w:tcPr>
            <w:tcW w:w="4540" w:type="dxa"/>
            <w:vAlign w:val="bottom"/>
            <w:shd w:val="clear" w:color="auto" w:fill="E5E5E5"/>
          </w:tcPr>
          <w:p>
            <w:pPr>
              <w:ind w:left="20"/>
              <w:spacing w:after="0"/>
              <w:rPr>
                <w:sz w:val="20"/>
                <w:szCs w:val="20"/>
                <w:color w:val="auto"/>
              </w:rPr>
            </w:pPr>
            <w:r>
              <w:rPr>
                <w:rFonts w:ascii="Arial" w:cs="Arial" w:eastAsia="Arial" w:hAnsi="Arial"/>
                <w:sz w:val="18"/>
                <w:szCs w:val="18"/>
                <w:color w:val="auto"/>
              </w:rPr>
              <w:t>Common stock issued</w:t>
            </w:r>
          </w:p>
        </w:tc>
        <w:tc>
          <w:tcPr>
            <w:tcW w:w="244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2,002</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1,866</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E5E5E5"/>
          </w:tcPr>
          <w:p>
            <w:pPr>
              <w:spacing w:after="0"/>
              <w:rPr>
                <w:sz w:val="19"/>
                <w:szCs w:val="19"/>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Common stock repurchased</w:t>
            </w:r>
          </w:p>
        </w:tc>
        <w:tc>
          <w:tcPr>
            <w:tcW w:w="2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(5,712 )</w:t>
            </w:r>
          </w:p>
        </w:tc>
        <w:tc>
          <w:tcPr>
            <w:tcW w:w="3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(4,696 )</w:t>
            </w:r>
          </w:p>
        </w:tc>
        <w:tc>
          <w:tcPr>
            <w:tcW w:w="3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(5,688 )</w:t>
            </w:r>
          </w:p>
        </w:tc>
      </w:tr>
      <w:tr>
        <w:trPr>
          <w:trHeight w:val="230"/>
        </w:trPr>
        <w:tc>
          <w:tcPr>
            <w:tcW w:w="4540" w:type="dxa"/>
            <w:vAlign w:val="bottom"/>
            <w:shd w:val="clear" w:color="auto" w:fill="E5E5E5"/>
          </w:tcPr>
          <w:p>
            <w:pPr>
              <w:ind w:left="20"/>
              <w:spacing w:after="0"/>
              <w:rPr>
                <w:sz w:val="20"/>
                <w:szCs w:val="20"/>
                <w:color w:val="auto"/>
              </w:rPr>
            </w:pPr>
            <w:r>
              <w:rPr>
                <w:rFonts w:ascii="Arial" w:cs="Arial" w:eastAsia="Arial" w:hAnsi="Arial"/>
                <w:sz w:val="18"/>
                <w:szCs w:val="18"/>
                <w:color w:val="auto"/>
              </w:rPr>
              <w:t>Stock-based compensation expense</w:t>
            </w:r>
          </w:p>
        </w:tc>
        <w:tc>
          <w:tcPr>
            <w:tcW w:w="244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10,734</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9,611</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7,502</w:t>
            </w:r>
          </w:p>
        </w:tc>
        <w:tc>
          <w:tcPr>
            <w:tcW w:w="100" w:type="dxa"/>
            <w:vAlign w:val="bottom"/>
            <w:shd w:val="clear" w:color="auto" w:fill="E5E5E5"/>
          </w:tcPr>
          <w:p>
            <w:pPr>
              <w:spacing w:after="0"/>
              <w:rPr>
                <w:sz w:val="19"/>
                <w:szCs w:val="19"/>
                <w:color w:val="auto"/>
              </w:rPr>
            </w:pPr>
          </w:p>
        </w:tc>
      </w:tr>
      <w:tr>
        <w:trPr>
          <w:trHeight w:val="247"/>
        </w:trPr>
        <w:tc>
          <w:tcPr>
            <w:tcW w:w="45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(2 )</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r>
      <w:tr>
        <w:trPr>
          <w:trHeight w:val="50"/>
        </w:trPr>
        <w:tc>
          <w:tcPr>
            <w:tcW w:w="454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4540" w:type="dxa"/>
            <w:vAlign w:val="bottom"/>
          </w:tcPr>
          <w:p>
            <w:pPr>
              <w:spacing w:after="0"/>
              <w:rPr>
                <w:sz w:val="5"/>
                <w:szCs w:val="5"/>
                <w:color w:val="auto"/>
              </w:rPr>
            </w:pPr>
          </w:p>
        </w:tc>
        <w:tc>
          <w:tcPr>
            <w:tcW w:w="2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4540" w:type="dxa"/>
            <w:vAlign w:val="bottom"/>
            <w:shd w:val="clear" w:color="auto" w:fill="E5E5E5"/>
          </w:tcPr>
          <w:p>
            <w:pPr>
              <w:ind w:left="240"/>
              <w:spacing w:after="0"/>
              <w:rPr>
                <w:sz w:val="20"/>
                <w:szCs w:val="20"/>
                <w:color w:val="auto"/>
              </w:rPr>
            </w:pPr>
            <w:r>
              <w:rPr>
                <w:rFonts w:ascii="Arial" w:cs="Arial" w:eastAsia="Arial" w:hAnsi="Arial"/>
                <w:sz w:val="18"/>
                <w:szCs w:val="18"/>
                <w:color w:val="auto"/>
              </w:rPr>
              <w:t>Balance, end of period</w:t>
            </w:r>
          </w:p>
        </w:tc>
        <w:tc>
          <w:tcPr>
            <w:tcW w:w="244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100,923</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93,718</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86,939</w:t>
            </w:r>
          </w:p>
        </w:tc>
        <w:tc>
          <w:tcPr>
            <w:tcW w:w="100" w:type="dxa"/>
            <w:vAlign w:val="bottom"/>
            <w:shd w:val="clear" w:color="auto" w:fill="E5E5E5"/>
          </w:tcPr>
          <w:p>
            <w:pPr>
              <w:spacing w:after="0"/>
              <w:rPr>
                <w:sz w:val="19"/>
                <w:szCs w:val="19"/>
                <w:color w:val="auto"/>
              </w:rPr>
            </w:pPr>
          </w:p>
        </w:tc>
      </w:tr>
      <w:tr>
        <w:trPr>
          <w:trHeight w:val="68"/>
        </w:trPr>
        <w:tc>
          <w:tcPr>
            <w:tcW w:w="454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91"/>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2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454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beginning of period</w:t>
            </w:r>
          </w:p>
        </w:tc>
        <w:tc>
          <w:tcPr>
            <w:tcW w:w="244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118,848</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84,281</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57,055</w:t>
            </w:r>
          </w:p>
        </w:tc>
        <w:tc>
          <w:tcPr>
            <w:tcW w:w="100" w:type="dxa"/>
            <w:vAlign w:val="bottom"/>
            <w:shd w:val="clear" w:color="auto" w:fill="E5E5E5"/>
          </w:tcPr>
          <w:p>
            <w:pPr>
              <w:spacing w:after="0"/>
              <w:rPr>
                <w:sz w:val="19"/>
                <w:szCs w:val="19"/>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88,136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72,361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72,738</w:t>
            </w:r>
          </w:p>
        </w:tc>
        <w:tc>
          <w:tcPr>
            <w:tcW w:w="100" w:type="dxa"/>
            <w:vAlign w:val="bottom"/>
          </w:tcPr>
          <w:p>
            <w:pPr>
              <w:spacing w:after="0"/>
              <w:rPr>
                <w:sz w:val="19"/>
                <w:szCs w:val="19"/>
                <w:color w:val="auto"/>
              </w:rPr>
            </w:pPr>
          </w:p>
        </w:tc>
      </w:tr>
      <w:tr>
        <w:trPr>
          <w:trHeight w:val="229"/>
        </w:trPr>
        <w:tc>
          <w:tcPr>
            <w:tcW w:w="4540" w:type="dxa"/>
            <w:vAlign w:val="bottom"/>
            <w:shd w:val="clear" w:color="auto" w:fill="E5E5E5"/>
          </w:tcPr>
          <w:p>
            <w:pPr>
              <w:ind w:left="20"/>
              <w:spacing w:after="0"/>
              <w:rPr>
                <w:sz w:val="20"/>
                <w:szCs w:val="20"/>
                <w:color w:val="auto"/>
              </w:rPr>
            </w:pPr>
            <w:r>
              <w:rPr>
                <w:rFonts w:ascii="Arial" w:cs="Arial" w:eastAsia="Arial" w:hAnsi="Arial"/>
                <w:sz w:val="18"/>
                <w:szCs w:val="18"/>
                <w:color w:val="auto"/>
              </w:rPr>
              <w:t>Common stock cash dividends</w:t>
            </w:r>
          </w:p>
        </w:tc>
        <w:tc>
          <w:tcPr>
            <w:tcW w:w="244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11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(22,293 )</w:t>
            </w:r>
          </w:p>
        </w:tc>
        <w:tc>
          <w:tcPr>
            <w:tcW w:w="340" w:type="dxa"/>
            <w:vAlign w:val="bottom"/>
            <w:shd w:val="clear" w:color="auto" w:fill="E5E5E5"/>
          </w:tcPr>
          <w:p>
            <w:pPr>
              <w:spacing w:after="0"/>
              <w:rPr>
                <w:sz w:val="19"/>
                <w:szCs w:val="19"/>
                <w:color w:val="auto"/>
              </w:rPr>
            </w:pPr>
          </w:p>
        </w:tc>
        <w:tc>
          <w:tcPr>
            <w:tcW w:w="11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(20,226 )</w:t>
            </w:r>
          </w:p>
        </w:tc>
        <w:tc>
          <w:tcPr>
            <w:tcW w:w="340" w:type="dxa"/>
            <w:vAlign w:val="bottom"/>
            <w:shd w:val="clear" w:color="auto" w:fill="E5E5E5"/>
          </w:tcPr>
          <w:p>
            <w:pPr>
              <w:spacing w:after="0"/>
              <w:rPr>
                <w:sz w:val="19"/>
                <w:szCs w:val="19"/>
                <w:color w:val="auto"/>
              </w:rPr>
            </w:pPr>
          </w:p>
        </w:tc>
        <w:tc>
          <w:tcPr>
            <w:tcW w:w="100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(18,552 )</w:t>
            </w:r>
          </w:p>
        </w:tc>
      </w:tr>
      <w:tr>
        <w:trPr>
          <w:trHeight w:val="247"/>
        </w:trPr>
        <w:tc>
          <w:tcPr>
            <w:tcW w:w="4540" w:type="dxa"/>
            <w:vAlign w:val="bottom"/>
          </w:tcPr>
          <w:p>
            <w:pPr>
              <w:ind w:left="20"/>
              <w:spacing w:after="0"/>
              <w:rPr>
                <w:sz w:val="20"/>
                <w:szCs w:val="20"/>
                <w:color w:val="auto"/>
              </w:rPr>
            </w:pPr>
            <w:r>
              <w:rPr>
                <w:rFonts w:ascii="Arial" w:cs="Arial" w:eastAsia="Arial" w:hAnsi="Arial"/>
                <w:sz w:val="18"/>
                <w:szCs w:val="18"/>
                <w:color w:val="auto"/>
              </w:rPr>
              <w:t>Common stock repurchased</w:t>
            </w:r>
          </w:p>
        </w:tc>
        <w:tc>
          <w:tcPr>
            <w:tcW w:w="2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(11,547 )</w:t>
            </w:r>
          </w:p>
        </w:tc>
        <w:tc>
          <w:tcPr>
            <w:tcW w:w="3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(17,568 )</w:t>
            </w:r>
          </w:p>
        </w:tc>
        <w:tc>
          <w:tcPr>
            <w:tcW w:w="3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(26,960 )</w:t>
            </w:r>
          </w:p>
        </w:tc>
      </w:tr>
      <w:tr>
        <w:trPr>
          <w:trHeight w:val="50"/>
        </w:trPr>
        <w:tc>
          <w:tcPr>
            <w:tcW w:w="454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4540" w:type="dxa"/>
            <w:vAlign w:val="bottom"/>
          </w:tcPr>
          <w:p>
            <w:pPr>
              <w:spacing w:after="0"/>
              <w:rPr>
                <w:sz w:val="5"/>
                <w:szCs w:val="5"/>
                <w:color w:val="auto"/>
              </w:rPr>
            </w:pPr>
          </w:p>
        </w:tc>
        <w:tc>
          <w:tcPr>
            <w:tcW w:w="2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4540" w:type="dxa"/>
            <w:vAlign w:val="bottom"/>
            <w:shd w:val="clear" w:color="auto" w:fill="E5E5E5"/>
          </w:tcPr>
          <w:p>
            <w:pPr>
              <w:ind w:left="240"/>
              <w:spacing w:after="0"/>
              <w:rPr>
                <w:sz w:val="20"/>
                <w:szCs w:val="20"/>
                <w:color w:val="auto"/>
              </w:rPr>
            </w:pPr>
            <w:r>
              <w:rPr>
                <w:rFonts w:ascii="Arial" w:cs="Arial" w:eastAsia="Arial" w:hAnsi="Arial"/>
                <w:sz w:val="18"/>
                <w:szCs w:val="18"/>
                <w:color w:val="auto"/>
              </w:rPr>
              <w:t>Balance, end of period</w:t>
            </w:r>
          </w:p>
        </w:tc>
        <w:tc>
          <w:tcPr>
            <w:tcW w:w="244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173,144</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118,848</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84,281</w:t>
            </w:r>
          </w:p>
        </w:tc>
        <w:tc>
          <w:tcPr>
            <w:tcW w:w="100" w:type="dxa"/>
            <w:vAlign w:val="bottom"/>
            <w:shd w:val="clear" w:color="auto" w:fill="E5E5E5"/>
          </w:tcPr>
          <w:p>
            <w:pPr>
              <w:spacing w:after="0"/>
              <w:rPr>
                <w:sz w:val="19"/>
                <w:szCs w:val="19"/>
                <w:color w:val="auto"/>
              </w:rPr>
            </w:pPr>
          </w:p>
        </w:tc>
      </w:tr>
      <w:tr>
        <w:trPr>
          <w:trHeight w:val="68"/>
        </w:trPr>
        <w:tc>
          <w:tcPr>
            <w:tcW w:w="454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91"/>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2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454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beginning of period</w:t>
            </w:r>
          </w:p>
        </w:tc>
        <w:tc>
          <w:tcPr>
            <w:tcW w:w="244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11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(6,343 )</w:t>
            </w:r>
          </w:p>
        </w:tc>
        <w:tc>
          <w:tcPr>
            <w:tcW w:w="340" w:type="dxa"/>
            <w:vAlign w:val="bottom"/>
            <w:shd w:val="clear" w:color="auto" w:fill="E5E5E5"/>
          </w:tcPr>
          <w:p>
            <w:pPr>
              <w:spacing w:after="0"/>
              <w:rPr>
                <w:sz w:val="19"/>
                <w:szCs w:val="19"/>
                <w:color w:val="auto"/>
              </w:rPr>
            </w:pPr>
          </w:p>
        </w:tc>
        <w:tc>
          <w:tcPr>
            <w:tcW w:w="11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(4,678 )</w:t>
            </w:r>
          </w:p>
        </w:tc>
        <w:tc>
          <w:tcPr>
            <w:tcW w:w="34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E5E5E5"/>
          </w:tcPr>
          <w:p>
            <w:pPr>
              <w:spacing w:after="0"/>
              <w:rPr>
                <w:sz w:val="19"/>
                <w:szCs w:val="19"/>
                <w:color w:val="auto"/>
              </w:rPr>
            </w:pPr>
          </w:p>
        </w:tc>
      </w:tr>
      <w:tr>
        <w:trPr>
          <w:trHeight w:val="247"/>
        </w:trPr>
        <w:tc>
          <w:tcPr>
            <w:tcW w:w="45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753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(1,665 )</w:t>
            </w:r>
          </w:p>
        </w:tc>
        <w:tc>
          <w:tcPr>
            <w:tcW w:w="3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(6,500 )</w:t>
            </w:r>
          </w:p>
        </w:tc>
      </w:tr>
      <w:tr>
        <w:trPr>
          <w:trHeight w:val="50"/>
        </w:trPr>
        <w:tc>
          <w:tcPr>
            <w:tcW w:w="454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4540" w:type="dxa"/>
            <w:vAlign w:val="bottom"/>
          </w:tcPr>
          <w:p>
            <w:pPr>
              <w:spacing w:after="0"/>
              <w:rPr>
                <w:sz w:val="5"/>
                <w:szCs w:val="5"/>
                <w:color w:val="auto"/>
              </w:rPr>
            </w:pPr>
          </w:p>
        </w:tc>
        <w:tc>
          <w:tcPr>
            <w:tcW w:w="2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30"/>
        </w:trPr>
        <w:tc>
          <w:tcPr>
            <w:tcW w:w="4540" w:type="dxa"/>
            <w:vAlign w:val="bottom"/>
            <w:shd w:val="clear" w:color="auto" w:fill="E5E5E5"/>
          </w:tcPr>
          <w:p>
            <w:pPr>
              <w:ind w:left="240"/>
              <w:spacing w:after="0"/>
              <w:rPr>
                <w:sz w:val="20"/>
                <w:szCs w:val="20"/>
                <w:color w:val="auto"/>
              </w:rPr>
            </w:pPr>
            <w:r>
              <w:rPr>
                <w:rFonts w:ascii="Arial" w:cs="Arial" w:eastAsia="Arial" w:hAnsi="Arial"/>
                <w:sz w:val="18"/>
                <w:szCs w:val="18"/>
                <w:color w:val="auto"/>
              </w:rPr>
              <w:t>Balance, end of period</w:t>
            </w:r>
          </w:p>
        </w:tc>
        <w:tc>
          <w:tcPr>
            <w:tcW w:w="244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11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(5,590 )</w:t>
            </w:r>
          </w:p>
        </w:tc>
        <w:tc>
          <w:tcPr>
            <w:tcW w:w="340" w:type="dxa"/>
            <w:vAlign w:val="bottom"/>
            <w:shd w:val="clear" w:color="auto" w:fill="E5E5E5"/>
          </w:tcPr>
          <w:p>
            <w:pPr>
              <w:spacing w:after="0"/>
              <w:rPr>
                <w:sz w:val="19"/>
                <w:szCs w:val="19"/>
                <w:color w:val="auto"/>
              </w:rPr>
            </w:pPr>
          </w:p>
        </w:tc>
        <w:tc>
          <w:tcPr>
            <w:tcW w:w="11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(6,343 )</w:t>
            </w:r>
          </w:p>
        </w:tc>
        <w:tc>
          <w:tcPr>
            <w:tcW w:w="340" w:type="dxa"/>
            <w:vAlign w:val="bottom"/>
            <w:shd w:val="clear" w:color="auto" w:fill="E5E5E5"/>
          </w:tcPr>
          <w:p>
            <w:pPr>
              <w:spacing w:after="0"/>
              <w:rPr>
                <w:sz w:val="19"/>
                <w:szCs w:val="19"/>
                <w:color w:val="auto"/>
              </w:rPr>
            </w:pPr>
          </w:p>
        </w:tc>
        <w:tc>
          <w:tcPr>
            <w:tcW w:w="100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(4,678 )</w:t>
            </w:r>
          </w:p>
        </w:tc>
      </w:tr>
      <w:tr>
        <w:trPr>
          <w:trHeight w:val="68"/>
        </w:trPr>
        <w:tc>
          <w:tcPr>
            <w:tcW w:w="454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303"/>
        </w:trPr>
        <w:tc>
          <w:tcPr>
            <w:tcW w:w="454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268,477</w:t>
            </w:r>
          </w:p>
        </w:tc>
        <w:tc>
          <w:tcPr>
            <w:tcW w:w="2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206,223</w:t>
            </w:r>
          </w:p>
        </w:tc>
        <w:tc>
          <w:tcPr>
            <w:tcW w:w="2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166,542</w:t>
            </w:r>
          </w:p>
        </w:tc>
        <w:tc>
          <w:tcPr>
            <w:tcW w:w="100" w:type="dxa"/>
            <w:vAlign w:val="bottom"/>
          </w:tcPr>
          <w:p>
            <w:pPr>
              <w:spacing w:after="0"/>
              <w:rPr>
                <w:sz w:val="24"/>
                <w:szCs w:val="24"/>
                <w:color w:val="auto"/>
              </w:rPr>
            </w:pPr>
          </w:p>
        </w:tc>
      </w:tr>
      <w:tr>
        <w:trPr>
          <w:trHeight w:val="63"/>
        </w:trPr>
        <w:tc>
          <w:tcPr>
            <w:tcW w:w="4540" w:type="dxa"/>
            <w:vAlign w:val="bottom"/>
          </w:tcPr>
          <w:p>
            <w:pPr>
              <w:spacing w:after="0"/>
              <w:rPr>
                <w:sz w:val="5"/>
                <w:szCs w:val="5"/>
                <w:color w:val="auto"/>
              </w:rPr>
            </w:pPr>
          </w:p>
        </w:tc>
        <w:tc>
          <w:tcPr>
            <w:tcW w:w="244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68"/>
        </w:trPr>
        <w:tc>
          <w:tcPr>
            <w:tcW w:w="4540" w:type="dxa"/>
            <w:vAlign w:val="bottom"/>
          </w:tcPr>
          <w:p>
            <w:pPr>
              <w:spacing w:after="0"/>
              <w:rPr>
                <w:sz w:val="5"/>
                <w:szCs w:val="5"/>
                <w:color w:val="auto"/>
              </w:rPr>
            </w:pPr>
          </w:p>
        </w:tc>
        <w:tc>
          <w:tcPr>
            <w:tcW w:w="2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30"/>
        </w:trPr>
        <w:tc>
          <w:tcPr>
            <w:tcW w:w="4540" w:type="dxa"/>
            <w:vAlign w:val="bottom"/>
            <w:shd w:val="clear" w:color="auto" w:fill="E5E5E5"/>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280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3.00</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2.72</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E5E5E5"/>
          </w:tcPr>
          <w:p>
            <w:pPr>
              <w:spacing w:after="0"/>
              <w:rPr>
                <w:sz w:val="19"/>
                <w:szCs w:val="19"/>
                <w:color w:val="auto"/>
              </w:rPr>
            </w:pPr>
          </w:p>
        </w:tc>
      </w:tr>
      <w:tr>
        <w:trPr>
          <w:trHeight w:val="68"/>
        </w:trPr>
        <w:tc>
          <w:tcPr>
            <w:tcW w:w="454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402"/>
        </w:trPr>
        <w:tc>
          <w:tcPr>
            <w:tcW w:w="4540" w:type="dxa"/>
            <w:vAlign w:val="bottom"/>
          </w:tcPr>
          <w:p>
            <w:pPr>
              <w:spacing w:after="0"/>
              <w:rPr>
                <w:sz w:val="20"/>
                <w:szCs w:val="20"/>
                <w:color w:val="auto"/>
              </w:rPr>
            </w:pPr>
            <w:r>
              <w:rPr>
                <w:rFonts w:ascii="Arial" w:cs="Arial" w:eastAsia="Arial" w:hAnsi="Arial"/>
                <w:sz w:val="18"/>
                <w:szCs w:val="18"/>
                <w:color w:val="auto"/>
              </w:rPr>
              <w:t>Refer to accompanying notes.</w:t>
            </w:r>
          </w:p>
        </w:tc>
        <w:tc>
          <w:tcPr>
            <w:tcW w:w="2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0"/>
        </w:trPr>
        <w:tc>
          <w:tcPr>
            <w:tcW w:w="4540" w:type="dxa"/>
            <w:vAlign w:val="bottom"/>
          </w:tcPr>
          <w:p>
            <w:pPr>
              <w:spacing w:after="0"/>
              <w:rPr>
                <w:sz w:val="24"/>
                <w:szCs w:val="24"/>
                <w:color w:val="auto"/>
              </w:rPr>
            </w:pPr>
          </w:p>
        </w:tc>
        <w:tc>
          <w:tcPr>
            <w:tcW w:w="2440" w:type="dxa"/>
            <w:vAlign w:val="bottom"/>
          </w:tcPr>
          <w:p>
            <w:pPr>
              <w:jc w:val="right"/>
              <w:ind w:right="1195"/>
              <w:spacing w:after="0"/>
              <w:rPr>
                <w:sz w:val="20"/>
                <w:szCs w:val="20"/>
                <w:color w:val="auto"/>
              </w:rPr>
            </w:pPr>
            <w:r>
              <w:rPr>
                <w:rFonts w:ascii="Arial" w:cs="Arial" w:eastAsia="Arial" w:hAnsi="Arial"/>
                <w:sz w:val="14"/>
                <w:szCs w:val="14"/>
                <w:color w:val="auto"/>
              </w:rPr>
              <w:t>60</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4"/>
        </w:trPr>
        <w:tc>
          <w:tcPr>
            <w:tcW w:w="45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0" w:name="page61"/>
    <w:bookmarkEnd w:id="60"/>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170" w:lineRule="exact"/>
        <w:rPr>
          <w:sz w:val="20"/>
          <w:szCs w:val="20"/>
          <w:color w:val="auto"/>
        </w:rPr>
      </w:pPr>
    </w:p>
    <w:p>
      <w:pPr>
        <w:jc w:val="right"/>
        <w:ind w:right="4060"/>
        <w:spacing w:after="0"/>
        <w:rPr>
          <w:sz w:val="20"/>
          <w:szCs w:val="20"/>
          <w:color w:val="auto"/>
        </w:rPr>
      </w:pPr>
      <w:r>
        <w:rPr>
          <w:rFonts w:ascii="Arial" w:cs="Arial" w:eastAsia="Arial" w:hAnsi="Arial"/>
          <w:sz w:val="18"/>
          <w:szCs w:val="18"/>
          <w:b w:val="1"/>
          <w:bCs w:val="1"/>
          <w:color w:val="auto"/>
        </w:rPr>
        <w:t>NOTES TO FINANCIAL STATEMENTS</w:t>
      </w:r>
    </w:p>
    <w:p>
      <w:pPr>
        <w:spacing w:after="0" w:line="77" w:lineRule="exact"/>
        <w:rPr>
          <w:sz w:val="20"/>
          <w:szCs w:val="20"/>
          <w:color w:val="auto"/>
        </w:rPr>
      </w:pPr>
    </w:p>
    <w:p>
      <w:pPr>
        <w:jc w:val="right"/>
        <w:ind w:right="4100"/>
        <w:spacing w:after="0"/>
        <w:rPr>
          <w:sz w:val="20"/>
          <w:szCs w:val="20"/>
          <w:color w:val="auto"/>
        </w:rPr>
      </w:pPr>
      <w:r>
        <w:rPr>
          <w:rFonts w:ascii="Arial" w:cs="Arial" w:eastAsia="Arial" w:hAnsi="Arial"/>
          <w:sz w:val="18"/>
          <w:szCs w:val="18"/>
          <w:u w:val="single" w:color="auto"/>
          <w:color w:val="auto"/>
        </w:rPr>
        <w:t>NOTE 1 —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consolidated financial statements and accompanying notes are prepared in accordance with accounting principles generally accepted in the United States of America (“GAAP”).</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recast certain prior period amounts to conform to the current period presentation. The recast of these prior period amounts had no impact on our consolidated balance sheets, consolidated income statements, or consolidated cash flows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consolidated financial statements include the accounts of Microsoft Corporation and its subsidiaries. Intercompany transactions and balances have been eliminated.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(“SSP”) of performance obligations, variable consideration, and other obligations such as product returns and refunds; loss contingencies; product warranties; the fair value of and/or potential impairment of goodwill and intangible assets for our reporting units; product life cycles; useful lives of our tangible and intangible assets; allowances for doubtful accounts; the market value of, and demand for, our inventory; stock-based compensation forfeiture rates; when technological feasibility is achieved for our products; the potential outcome of uncertain tax positions that have been recognized in our consolidated financial statements or tax returns; and determining the timing and amount of impairments for investments. Actual results and outcomes may differ from management’s estimates and assumptions due to risks and uncertainties.</w:t>
      </w:r>
    </w:p>
    <w:p>
      <w:pPr>
        <w:spacing w:after="0" w:line="12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July 2022, we completed an assessment of the useful lives of our server and network equipment. Due to investments in software that increased efficiencies in how we operate our server and network equipment, as well as advances in technology, we determined we should increase the estimated useful lives of both server and network equipment from four years to six years. This change in accounting estimate was effective beginning fiscal year 2023.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Assets and liabilities recorded in foreign currencies are translated at the exchange rate on the balance sheet date. Revenue and expenses are translated at average rates of exchange prevailing during the year. Translation adjustments resulting from this process are recorded to other comprehensive income.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and Service and Other Revenue</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Product revenue includes sales from operating systems, cross-device productivity and collaboration applications, server applications, business solution applications, desktop and server management tools, software development tools, video games, and hardware such as PCs, tablets, gaming and entertainment consoles, other intelligent devices, and related accessories.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Service and other revenue includes sales from cloud-based solutions that provide customers with software, services, platforms, and content such as Office 365, Azure, Dynamics 365, and gaming; solution support; and consulting services. Service and other revenue also includes sales from online advertising and LinkedIn.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1" w:name="page62"/>
    <w:bookmarkEnd w:id="61"/>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Revenue is recognized upon transfer of control of promised products or services to customers in an amount that reflects the consideration we expect to receive in exchange for those products or services. We enter into contracts that can include various combinations of products and services, which are generally capable of being distinct and accounted for as separate performance obligations. Revenue is recognized net of allowances for returns and any taxes collected from customers, which are subsequently remitted to governmental authorities.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Licenses for on-premises software provide the customer with a right to use the software as it exists when made available to the customer. Customers may purchase perpetual licenses or subscribe to licenses, which provide customers with the same functionality and differ mainly in the duration over which the customer benefits from the software. Revenue from distinct on-premises licenses is recognized upfront at the point in time when the software is made available to the customer. In cases where we allocate revenue to software updates, primarily because the updates are provided at no additional charge, revenue is recognized as the updates are provided, which is generally ratably over the estimated life of the related device or license.</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Certain volume licensing programs, including Enterprise Agreements, include on-premises licenses combined with Software Assurance (“SA”). SA conveys rights to new software and upgrades released over the contract period and provides support, tools, and training to help customers deploy and use products more efficiently. On-premises licenses are considered distinct performance obligations when sold with SA. Revenue allocated to SA is generally recognized ratably over the contract period as customers simultaneously consume and receive benefits, given that SA comprises distinct performance obligations that are satisfied over time.</w:t>
      </w:r>
    </w:p>
    <w:p>
      <w:pPr>
        <w:spacing w:after="0" w:line="12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Cloud services, which allow customers to use hosted software over the contract period without taking possession of the software, are provided on either a subscription or consumption basis. Revenue related to cloud services provided on a subscription basis is recognized ratably over the contract period. Revenue related to cloud services provided on a consumption basis, such as the amount of storage used in a period, is recognized based on the customer utilization of such resources. When cloud services require a significant level of integration and interdependency with software and the individual components are not considered distinct, all revenue is recognized over the period in which the cloud services are provided.</w:t>
      </w:r>
    </w:p>
    <w:p>
      <w:pPr>
        <w:spacing w:after="0" w:line="12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Revenue from search advertising is recognized when the advertisement appears in the search results or when the action necessary to earn the revenue has been completed. Revenue from consulting services is recognized as services are provided.</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hardware is generally highly dependent on, and interrelated with, the underlying operating system and cannot function without the operating system. In these cases, the hardware and software license are accounted for as a single performance obligation and revenue is recognized at the point in time when ownership is transferred to resellers or directly to end customers through retail stores and online marketplaces.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Refer to Note 19 – Segment Information and Geographic Data for further information, including revenue by significant product and service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2" w:name="page63"/>
    <w:bookmarkEnd w:id="62"/>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Judgment is required to determine the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and Other Receivables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Timing of revenue recognition may differ from the timing of invoicing to customers. We record a receivable when revenue is recognized prior to invoicing, or unearned revenue when revenue is recognized subsequent to invoicing. For multi-year agreements, we generally invoice customers annually at the beginning of each annual coverage period. We record a receivable related to revenue recognized for multi-year on-premises licenses as we have an unconditional right to invoice and receive payment in the future related to those licenses.</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SA and cloud services. Unearned revenue is generally invoiced annually at the beginning of each contract period for multi-year agreements and recognized ratably over the coverage period. Unearned revenue also includes payments for consulting services to be performed in the future, LinkedIn subscriptions, Office 365 subscriptions, Xbox subscriptions, Windows post-delivery support, Dynamics business solutions, and other offerings for which we have been paid in advance and earn the revenue when we transfer control of the product or service.</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Refer to Note 13 – Unearned Revenue for further information, including unearned revenue by segment and changes in unearned revenue during the period.</w:t>
      </w:r>
    </w:p>
    <w:p>
      <w:pPr>
        <w:spacing w:after="0" w:line="1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receive financing from our customers or to provide customers with financing. Examples include invoicing at the beginning of a subscription term with revenue recognized ratably over the contract period, and multi-year on-premises licenses that are invoiced annually with revenue recognized upfront.</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June 30, 2024 and 2023, long-term accounts receivable, net of allowance for doubtful accounts, was $4.9 billion and $4.5 billion, respectively, and is included in other long-term assets in our consolidated balance sheets.</w:t>
      </w:r>
    </w:p>
    <w:p>
      <w:pPr>
        <w:spacing w:after="0" w:line="10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allowance for doubtful accounts reflects our best estimate of probable losses inherent in the accounts receivable balance. We determine the allowance based on known troubled accounts, historical experience, and other currently available evidence.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3" w:name="page64"/>
    <w:bookmarkEnd w:id="63"/>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allowance for doubtful accounts was as follows: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2023</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698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beginning of period</w:t>
            </w:r>
          </w:p>
        </w:tc>
        <w:tc>
          <w:tcPr>
            <w:tcW w:w="520" w:type="dxa"/>
            <w:vAlign w:val="bottom"/>
            <w:gridSpan w:val="2"/>
            <w:shd w:val="clear" w:color="auto" w:fill="E5E5E5"/>
          </w:tcPr>
          <w:p>
            <w:pPr>
              <w:jc w:val="right"/>
              <w:ind w:right="38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716</w:t>
            </w:r>
          </w:p>
        </w:tc>
        <w:tc>
          <w:tcPr>
            <w:tcW w:w="200" w:type="dxa"/>
            <w:vAlign w:val="bottom"/>
            <w:shd w:val="clear" w:color="auto" w:fill="E5E5E5"/>
          </w:tcPr>
          <w:p>
            <w:pPr>
              <w:spacing w:after="0"/>
              <w:rPr>
                <w:sz w:val="19"/>
                <w:szCs w:val="19"/>
                <w:color w:val="auto"/>
              </w:rPr>
            </w:pPr>
          </w:p>
        </w:tc>
        <w:tc>
          <w:tcPr>
            <w:tcW w:w="520" w:type="dxa"/>
            <w:vAlign w:val="bottom"/>
            <w:gridSpan w:val="2"/>
            <w:shd w:val="clear" w:color="auto" w:fill="E5E5E5"/>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710</w:t>
            </w:r>
          </w:p>
        </w:tc>
        <w:tc>
          <w:tcPr>
            <w:tcW w:w="180" w:type="dxa"/>
            <w:vAlign w:val="bottom"/>
            <w:shd w:val="clear" w:color="auto" w:fill="E5E5E5"/>
          </w:tcPr>
          <w:p>
            <w:pPr>
              <w:spacing w:after="0"/>
              <w:rPr>
                <w:sz w:val="19"/>
                <w:szCs w:val="19"/>
                <w:color w:val="auto"/>
              </w:rPr>
            </w:pPr>
          </w:p>
        </w:tc>
        <w:tc>
          <w:tcPr>
            <w:tcW w:w="500" w:type="dxa"/>
            <w:vAlign w:val="bottom"/>
            <w:gridSpan w:val="2"/>
            <w:shd w:val="clear" w:color="auto" w:fill="E5E5E5"/>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Charged to costs and other</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386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Write-offs</w:t>
            </w:r>
          </w:p>
        </w:tc>
        <w:tc>
          <w:tcPr>
            <w:tcW w:w="20" w:type="dxa"/>
            <w:vAlign w:val="bottom"/>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960" w:type="dxa"/>
            <w:vAlign w:val="bottom"/>
            <w:gridSpan w:val="3"/>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(218 )</w:t>
            </w:r>
          </w:p>
        </w:tc>
        <w:tc>
          <w:tcPr>
            <w:tcW w:w="20" w:type="dxa"/>
            <w:vAlign w:val="bottom"/>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920" w:type="dxa"/>
            <w:vAlign w:val="bottom"/>
            <w:gridSpan w:val="3"/>
            <w:shd w:val="clear" w:color="auto" w:fill="E5E5E5"/>
          </w:tcPr>
          <w:p>
            <w:pPr>
              <w:jc w:val="right"/>
              <w:ind w:right="120"/>
              <w:spacing w:after="0"/>
              <w:rPr>
                <w:sz w:val="20"/>
                <w:szCs w:val="20"/>
                <w:color w:val="auto"/>
              </w:rPr>
            </w:pPr>
            <w:r>
              <w:rPr>
                <w:rFonts w:ascii="Arial" w:cs="Arial" w:eastAsia="Arial" w:hAnsi="Arial"/>
                <w:sz w:val="18"/>
                <w:szCs w:val="18"/>
                <w:color w:val="auto"/>
              </w:rPr>
              <w:t>(252 )</w:t>
            </w:r>
          </w:p>
        </w:tc>
        <w:tc>
          <w:tcPr>
            <w:tcW w:w="4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8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r>
        <w:trPr>
          <w:trHeight w:val="68"/>
        </w:trPr>
        <w:tc>
          <w:tcPr>
            <w:tcW w:w="69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698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884</w:t>
            </w:r>
          </w:p>
        </w:tc>
        <w:tc>
          <w:tcPr>
            <w:tcW w:w="200" w:type="dxa"/>
            <w:vAlign w:val="bottom"/>
          </w:tcPr>
          <w:p>
            <w:pPr>
              <w:spacing w:after="0"/>
              <w:rPr>
                <w:sz w:val="24"/>
                <w:szCs w:val="24"/>
                <w:color w:val="auto"/>
              </w:rPr>
            </w:pPr>
          </w:p>
        </w:tc>
        <w:tc>
          <w:tcPr>
            <w:tcW w:w="5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716</w:t>
            </w:r>
          </w:p>
        </w:tc>
        <w:tc>
          <w:tcPr>
            <w:tcW w:w="180" w:type="dxa"/>
            <w:vAlign w:val="bottom"/>
          </w:tcPr>
          <w:p>
            <w:pPr>
              <w:spacing w:after="0"/>
              <w:rPr>
                <w:sz w:val="24"/>
                <w:szCs w:val="24"/>
                <w:color w:val="auto"/>
              </w:rPr>
            </w:pPr>
          </w:p>
        </w:tc>
        <w:tc>
          <w:tcPr>
            <w:tcW w:w="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6980" w:type="dxa"/>
            <w:vAlign w:val="bottom"/>
            <w:vMerge w:val="restart"/>
          </w:tcPr>
          <w:p>
            <w:pPr>
              <w:spacing w:after="0"/>
              <w:rPr>
                <w:sz w:val="20"/>
                <w:szCs w:val="20"/>
                <w:color w:val="auto"/>
              </w:rPr>
            </w:pPr>
            <w:r>
              <w:rPr>
                <w:rFonts w:ascii="Arial" w:cs="Arial" w:eastAsia="Arial" w:hAnsi="Arial"/>
                <w:sz w:val="18"/>
                <w:szCs w:val="18"/>
                <w:color w:val="auto"/>
              </w:rPr>
              <w:t>Allowance for doubtful accounts included in our consolidated balance sheets:</w:t>
            </w:r>
          </w:p>
        </w:tc>
        <w:tc>
          <w:tcPr>
            <w:tcW w:w="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9"/>
        </w:trPr>
        <w:tc>
          <w:tcPr>
            <w:tcW w:w="6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698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69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Arial" w:cs="Arial" w:eastAsia="Arial" w:hAnsi="Arial"/>
                <w:sz w:val="13"/>
                <w:szCs w:val="13"/>
                <w:b w:val="1"/>
                <w:bCs w:val="1"/>
                <w:color w:val="auto"/>
              </w:rPr>
              <w:t>June 30,</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6980" w:type="dxa"/>
            <w:vAlign w:val="bottom"/>
          </w:tcPr>
          <w:p>
            <w:pPr>
              <w:spacing w:after="0"/>
              <w:rPr>
                <w:sz w:val="5"/>
                <w:szCs w:val="5"/>
                <w:color w:val="auto"/>
              </w:rPr>
            </w:pPr>
          </w:p>
        </w:tc>
        <w:tc>
          <w:tcPr>
            <w:tcW w:w="520" w:type="dxa"/>
            <w:vAlign w:val="bottom"/>
            <w:gridSpan w:val="2"/>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gridSpan w:val="2"/>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gridSpan w:val="2"/>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Accounts receivable, net of allowance for doubtful accounts</w:t>
            </w:r>
          </w:p>
        </w:tc>
        <w:tc>
          <w:tcPr>
            <w:tcW w:w="520" w:type="dxa"/>
            <w:vAlign w:val="bottom"/>
            <w:gridSpan w:val="2"/>
            <w:shd w:val="clear" w:color="auto" w:fill="E5E5E5"/>
          </w:tcPr>
          <w:p>
            <w:pPr>
              <w:jc w:val="right"/>
              <w:ind w:right="42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830</w:t>
            </w:r>
          </w:p>
        </w:tc>
        <w:tc>
          <w:tcPr>
            <w:tcW w:w="4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520" w:type="dxa"/>
            <w:vAlign w:val="bottom"/>
            <w:gridSpan w:val="2"/>
            <w:shd w:val="clear" w:color="auto" w:fill="E5E5E5"/>
          </w:tcPr>
          <w:p>
            <w:pPr>
              <w:jc w:val="right"/>
              <w:ind w:right="4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650</w:t>
            </w:r>
          </w:p>
        </w:tc>
        <w:tc>
          <w:tcPr>
            <w:tcW w:w="4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500" w:type="dxa"/>
            <w:vAlign w:val="bottom"/>
            <w:gridSpan w:val="2"/>
            <w:shd w:val="clear" w:color="auto" w:fill="E5E5E5"/>
          </w:tcPr>
          <w:p>
            <w:pPr>
              <w:jc w:val="right"/>
              <w:ind w:right="3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98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6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98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E5E5E5"/>
          </w:tcPr>
          <w:p>
            <w:pPr>
              <w:jc w:val="right"/>
              <w:ind w:right="42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884</w:t>
            </w:r>
          </w:p>
        </w:tc>
        <w:tc>
          <w:tcPr>
            <w:tcW w:w="4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520" w:type="dxa"/>
            <w:vAlign w:val="bottom"/>
            <w:gridSpan w:val="2"/>
            <w:shd w:val="clear" w:color="auto" w:fill="E5E5E5"/>
          </w:tcPr>
          <w:p>
            <w:pPr>
              <w:jc w:val="right"/>
              <w:ind w:right="4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716</w:t>
            </w:r>
          </w:p>
        </w:tc>
        <w:tc>
          <w:tcPr>
            <w:tcW w:w="4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500" w:type="dxa"/>
            <w:vAlign w:val="bottom"/>
            <w:gridSpan w:val="2"/>
            <w:shd w:val="clear" w:color="auto" w:fill="E5E5E5"/>
          </w:tcPr>
          <w:p>
            <w:pPr>
              <w:jc w:val="right"/>
              <w:ind w:right="3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69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of June 30, 2024 and 2023, other receivables related to activities to facilitate the purchase of server components were $10.5 billion and $9.2 billion, respectively, and are included in other current assets in our consolidated balance sheets.</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record financing receivables when we offer certain customers the option to acquire our software products and services offerings through a financing program in a limited number of countries. As of June 30, 2024 and 2023, our financing receivables, net were $4.5 billion and $5.3 billion, respectively, for short-term and long-term financing receivables, which are included in other current assets and other long-term assets in our consolidated balance sheets. We record an allowance to cover expected losses based on troubled accounts, historical experience, and other currently available evidence.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Recognized from Costs to Obtain a Contract with a Customer</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recognize an asset for the incremental costs of obtaining a contract with a customer if we expect the benefit of those costs to be longer than one year. We have determined that certain sales incentive programs meet the requirements to be capitalized. Total capitalized costs to obtain a contract were immaterial during the periods presented and are included in other current and long-term assets in our consolidated balance sheets.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apply a practical expedient to expense costs as incurred for costs to obtain a contract with a customer when the amortization period would have been one year or less. These costs include our internal sales organization compensation program and certain partner sales incentive programs as we have determined annual compensation is commensurate with annual sales activities.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Cost of revenue includes: manufacturing and distribution costs for products sold and programs licensed; operating costs related to product support service centers and product distribution centers; costs incurred to include software on PCs sold by original equipment manufacturers (“OEM”), to drive traffic to our websites, and to acquire online advertising space; costs incurred to support and maintain cloud-based and other online products and services, including datacenter costs and royalties; warranty costs; inventory valuation adjustments; costs associated with the delivery of consulting services; and the amortization of capitalized software development costs. Capitalized software development costs are amortized over the estimated lives of the products.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4" w:name="page65"/>
    <w:bookmarkEnd w:id="64"/>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provide for the estimated costs of fulfilling our obligations under hardware and software warranties at the time the related revenue is recognized. For hardware warranties, we estimate the costs based on historical and projected product failure rates, historical and projected repair costs, and knowledge of specific product failures (if any). The specific hardware warranty terms and conditions vary depending upon the product sold and the country in which we do business, but generally include parts and labor over a period generally ranging from 90 days to three years. For software warranties, we estimate the costs to provide bug fixes, such as security patches, over the estimated life of the software. We regularly reevaluate our estimates to assess the adequacy of the recorded warranty liabilities and adjust the amounts as necessary.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and the amortization of purchased software code and services content. Such costs related to software development are included in research and development expense until the point that technological feasibility is reached, which for our software products, is generally shortly before the products are released to production. Once technological feasibility is reached, such costs are capitalized and amortized to cost of revenue over the estimated lives of the products.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 Advertising costs are expensed as incurred. Advertising expense was $1.7 billion, $904 million, and $1.5 billion in fiscal years 2024, 2023, and 2022,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Compensation cost for stock awards, which include restricted stock units (“RSUs”) and performance stock units (“PSUs”), is measured at the fair value on the grant date and recognized as expense, net of estimated forfeitures, over the related service or performance period. The fair value of stock awards is based on the quoted price of our common stock on the grant date less the present value of expected dividends not received during the vesting period. We measure the fair value of PSUs using a Monte Carlo valuation model. Compensation cost for RSUs is recognized using the straight-line method and for PSUs is recognized using the accelerated method.</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Compensation expense for the employee stock purchase plan (“ESPP”) is measured as the discount the employee is entitled to upon purchase and is recognized in the period of purchase.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Income tax expense includes U.S. and international income taxes, and interest and penalties on uncertain tax positions. Certain income and expenses are not reported in tax returns and financial statements in the same year. The tax effect of such temporary differences is reported as deferred income taxes. Deferred tax assets are reported net of a valuation allowance when it is more likely than not that a tax benefit will not be realized. All deferred income taxes are classified as long-term in our consolidated balance sheets.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5" w:name="page66"/>
    <w:bookmarkEnd w:id="65"/>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Debt investments are classified as available-for-sale and realized gains and losses are recorded using the specific identification method. Changes in fair value, excluding credit losses and impairments, are recorded in other comprehensive income. Fair value is calculated based on publicly available market information or other estimates determined by management.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2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We perform a qualitative assessment on a periodic basis and recognize an impairment if there are sufficient indicators that the fair value of the investment is less than carrying value. Changes in value are recorded in other income (expense), net.</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Investments that are considered variable interest entities (“VIEs”) are evaluated to determine whether we are the primary beneficiary of the VIE, in which case we would be required to consolidate the entity. We evaluate whether we have (1) the power to direct the activities that most significantly impact the VIE’s economic performance, and (2) the obligation to absorb losses or the right to receive benefits from the VIE that could potentially be significant to the VIE. We have determined we are not the primary beneficiary of any of our VIE investments. Therefore, our VIE investments are not consolidated and the majority are accounted for under the equity method of accounting.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Derivative instruments are recognized as either assets or liabilities and measured at fair value. The accounting for changes in the fair value of a derivative depends on the intended use of the derivative and the resulting designation.</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derivative instruments designated as cash flow hedges, gains and losses are initially reported as a component of other comprehensive income and subsequently recognized in other income (expense), net with the corresponding hedged item. Gains and losses representing hedge components excluded from the assessment of effectiveness are recognized in other income (expense), net.</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derivative instruments that are not designated as hedges, gains and losses from changes in fair values are primarily recognized in other income (expense), net.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spacing w:after="0" w:line="34" w:lineRule="exact"/>
        <w:rPr>
          <w:sz w:val="20"/>
          <w:szCs w:val="20"/>
          <w:color w:val="auto"/>
        </w:rPr>
      </w:pPr>
    </w:p>
    <w:p>
      <w:pPr>
        <w:jc w:val="both"/>
        <w:ind w:left="1020" w:hanging="368"/>
        <w:spacing w:after="0" w:line="252"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based upon unadjusted quoted prices for identical instruments in active markets. Our Level 1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U.S. government securities, common and preferred stock, and mutual funds. Our Level 1 derivative assets and liabilities include those actively traded on exchanges.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6" w:name="page67"/>
    <w:bookmarkEnd w:id="66"/>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51" w:lineRule="exact"/>
        <w:rPr>
          <w:sz w:val="20"/>
          <w:szCs w:val="20"/>
          <w:color w:val="auto"/>
        </w:rPr>
      </w:pPr>
    </w:p>
    <w:p>
      <w:pPr>
        <w:jc w:val="both"/>
        <w:ind w:left="1020" w:hanging="368"/>
        <w:spacing w:after="0" w:line="239"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based upon quoted prices for similar instruments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include certain cleared swap contracts and over-the-counter forward, option, and swap contracts.</w:t>
      </w:r>
    </w:p>
    <w:p>
      <w:pPr>
        <w:spacing w:after="0" w:line="47" w:lineRule="exact"/>
        <w:rPr>
          <w:rFonts w:ascii="Times New Roman" w:cs="Times New Roman" w:eastAsia="Times New Roman" w:hAnsi="Times New Roman"/>
          <w:sz w:val="18"/>
          <w:szCs w:val="18"/>
          <w:color w:val="auto"/>
        </w:rPr>
      </w:pPr>
    </w:p>
    <w:p>
      <w:pPr>
        <w:jc w:val="both"/>
        <w:ind w:left="1020" w:hanging="368"/>
        <w:spacing w:after="0" w:line="243"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other current financial assets and current financial liabilities have fair values that approximate their carrying values.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If our review indicates a reduction in utility below carrying value, we reduce our inventory to a new cost basis through a charge to cost of revenue.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Property and equipment is stated at cost less accumulated depreciation, and depreciated using the straight-line method over the shorter of the estimated useful life of the asset or the lease term. The estimated useful lives of our property and equipment are generally as follows: computer software developed or acquired for internal use, three years; computer equipment, two to six years; buildings and improvements, five to 15 years; leasehold improvements, three to 20 years; and furniture and equipment, one to 10 years. Land is not depreciated.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other current liabilities, and operating lease liabilities in our consolidated balance sheets. Finance leases are included in property and equipment, other current liabilities, and other long-term liabilities in our consolidated balance sheets.</w:t>
      </w:r>
    </w:p>
    <w:p>
      <w:pPr>
        <w:spacing w:after="0" w:line="1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generally use our incremental borrowing rate based on the estimated rate of interest for collateralized borrowing over a similar term of the lease payments at commencement date.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7" w:name="page68"/>
    <w:bookmarkEnd w:id="67"/>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lease agreements with lease and non-lease components, which are generally accounted for separately.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Goodwill is tested for impairment at the reporting unit level (operating segment or one level below an operating segment) on an annual basis (May 1) and between annual tests if an event occurs or circumstances change that would more likely than not reduce the fair value of a reporting unit below its carrying value.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intangible assets are subject to amortization and are amortized over the estimated useful life in proportion to the economic benefits received. We evaluate the recoverability of intangible assets periodically by taking into account events or circumstances that may warrant revised estimates of useful lives or that indicate the asset may be impaired.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March 2024, we entered into an agreement with Inflection AI, Inc. (“Inflection”), pursuant to which we obtained a non-exclusive license to Inflection’s intellectual property. Reid Hoffman, a member of our Board of Directors, is a co-founder of and serves on the board of directors of Inflection. As of the date of the agreement with Inflection, Reprogrammed Interchange LLC (“Reprogrammed”) and entities affiliated with Greylock Ventures (“Greylock”) each held less than a 10% equity interest in Inflection. Mr. Hoffman may be deemed to beneficially own the shares held by Reprogrammed and Greylock by virtue of his relationship with such entities. Mr. Hoffman did not participate in any portions of the meetings of our Board of Directors or any committee thereof to review and approve the transaction with Inflection.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 – Improvements to Reportable Segment Disclosures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November 2023, the Financial Accounting Standards Board (“FASB”) issued a new standard to improve reportable segment disclosures. The guidance expands the disclosures required for reportable segments in our annual and interim consolidated financial statements, primarily through enhanced disclosures about significant segment expenses. The standard will be effective for us beginning with our annual reporting for fiscal year 2025 and interim periods thereafter, with early adoption permitted. We are currently evaluating the impact of this standard on our segment disclosures.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 Improvements to Income Tax Disclosures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December 2023, the FASB issued a new standard to improve income tax disclosures. The guidance requires disclosure of disaggregated income taxes paid, prescribes standardized categories for the components of the effective tax rate reconciliation, and modifies other income tax-related disclosures. The standard will be effective for us beginning with our annual reporting for fiscal year 2026, with early adoption permitted. We are currently evaluating the impact of this standard on our income tax disclosures.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 — EARNINGS PER SHARE</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8" w:name="page69"/>
    <w:bookmarkEnd w:id="68"/>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basic and diluted EPS were as follows: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7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Net income available for common shareholders (A)</w:t>
            </w:r>
          </w:p>
        </w:tc>
        <w:tc>
          <w:tcPr>
            <w:tcW w:w="34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88,136</w:t>
            </w:r>
          </w:p>
        </w:tc>
        <w:tc>
          <w:tcPr>
            <w:tcW w:w="58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72,361</w:t>
            </w:r>
          </w:p>
        </w:tc>
        <w:tc>
          <w:tcPr>
            <w:tcW w:w="5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72,738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73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320" w:type="dxa"/>
            <w:vAlign w:val="bottom"/>
          </w:tcPr>
          <w:p>
            <w:pPr>
              <w:ind w:left="20"/>
              <w:spacing w:after="0"/>
              <w:rPr>
                <w:sz w:val="20"/>
                <w:szCs w:val="20"/>
                <w:color w:val="auto"/>
              </w:rPr>
            </w:pPr>
            <w:r>
              <w:rPr>
                <w:rFonts w:ascii="Arial" w:cs="Arial" w:eastAsia="Arial" w:hAnsi="Arial"/>
                <w:sz w:val="18"/>
                <w:szCs w:val="18"/>
                <w:color w:val="auto"/>
              </w:rPr>
              <w:t>Weighted average outstanding shares of common stock (B)</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7,431</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7,446</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7,496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Dilutive effect of stock-based awards</w:t>
            </w:r>
          </w:p>
        </w:tc>
        <w:tc>
          <w:tcPr>
            <w:tcW w:w="340" w:type="dxa"/>
            <w:vAlign w:val="bottom"/>
            <w:shd w:val="clear" w:color="auto" w:fill="E5E5E5"/>
          </w:tcPr>
          <w:p>
            <w:pPr>
              <w:spacing w:after="0"/>
              <w:rPr>
                <w:sz w:val="19"/>
                <w:szCs w:val="19"/>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38</w:t>
            </w:r>
          </w:p>
        </w:tc>
        <w:tc>
          <w:tcPr>
            <w:tcW w:w="24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73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7320" w:type="dxa"/>
            <w:vAlign w:val="bottom"/>
          </w:tcPr>
          <w:p>
            <w:pPr>
              <w:ind w:left="20"/>
              <w:spacing w:after="0"/>
              <w:rPr>
                <w:sz w:val="20"/>
                <w:szCs w:val="20"/>
                <w:color w:val="auto"/>
              </w:rPr>
            </w:pPr>
            <w:r>
              <w:rPr>
                <w:rFonts w:ascii="Arial" w:cs="Arial" w:eastAsia="Arial" w:hAnsi="Arial"/>
                <w:sz w:val="18"/>
                <w:szCs w:val="18"/>
                <w:color w:val="auto"/>
              </w:rPr>
              <w:t>Common stock and common stock equivalents (C)</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7,469</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7,472</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7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Earnings Per Share</w:t>
            </w: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73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7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Basic (A/B)</w:t>
            </w:r>
          </w:p>
        </w:tc>
        <w:tc>
          <w:tcPr>
            <w:tcW w:w="34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11.86</w:t>
            </w:r>
          </w:p>
        </w:tc>
        <w:tc>
          <w:tcPr>
            <w:tcW w:w="58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9.72</w:t>
            </w:r>
          </w:p>
        </w:tc>
        <w:tc>
          <w:tcPr>
            <w:tcW w:w="5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320" w:type="dxa"/>
            <w:vAlign w:val="bottom"/>
          </w:tcPr>
          <w:p>
            <w:pPr>
              <w:ind w:left="20"/>
              <w:spacing w:after="0"/>
              <w:rPr>
                <w:sz w:val="20"/>
                <w:szCs w:val="20"/>
                <w:color w:val="auto"/>
              </w:rPr>
            </w:pPr>
            <w:r>
              <w:rPr>
                <w:rFonts w:ascii="Arial" w:cs="Arial" w:eastAsia="Arial" w:hAnsi="Arial"/>
                <w:sz w:val="18"/>
                <w:szCs w:val="18"/>
                <w:color w:val="auto"/>
              </w:rPr>
              <w:t>Diluted (A/C)</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11.80</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9.68</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7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Anti-dilutive stock-based awards excluded from the calculations of diluted EPS were immaterial during the periods presented.</w:t>
      </w:r>
    </w:p>
    <w:p>
      <w:pPr>
        <w:spacing w:after="0" w:line="239" w:lineRule="exact"/>
        <w:rPr>
          <w:sz w:val="20"/>
          <w:szCs w:val="20"/>
          <w:color w:val="auto"/>
        </w:rPr>
      </w:pPr>
    </w:p>
    <w:p>
      <w:pPr>
        <w:ind w:right="3740" w:firstLine="3687"/>
        <w:spacing w:after="0" w:line="448" w:lineRule="auto"/>
        <w:rPr>
          <w:sz w:val="20"/>
          <w:szCs w:val="20"/>
          <w:color w:val="auto"/>
        </w:rPr>
      </w:pPr>
      <w:r>
        <w:rPr>
          <w:rFonts w:ascii="Arial" w:cs="Arial" w:eastAsia="Arial" w:hAnsi="Arial"/>
          <w:sz w:val="18"/>
          <w:szCs w:val="18"/>
          <w:u w:val="single" w:color="auto"/>
          <w:color w:val="auto"/>
        </w:rPr>
        <w:t xml:space="preserve">NOTE 3 — OTHER INCOME (EXPENSE), NET </w:t>
      </w:r>
      <w:r>
        <w:rPr>
          <w:rFonts w:ascii="Arial" w:cs="Arial" w:eastAsia="Arial" w:hAnsi="Arial"/>
          <w:sz w:val="18"/>
          <w:szCs w:val="18"/>
          <w:color w:val="auto"/>
        </w:rPr>
        <w:t>The components of other income (expense), net were as follows: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7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Interest and dividends income</w:t>
            </w: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3,157</w:t>
            </w:r>
          </w:p>
        </w:tc>
        <w:tc>
          <w:tcPr>
            <w:tcW w:w="240" w:type="dxa"/>
            <w:vAlign w:val="bottom"/>
            <w:shd w:val="clear" w:color="auto" w:fill="E5E5E5"/>
          </w:tcPr>
          <w:p>
            <w:pPr>
              <w:spacing w:after="0"/>
              <w:rPr>
                <w:sz w:val="19"/>
                <w:szCs w:val="19"/>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2,994</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2,094</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(2,935 )</w:t>
            </w:r>
          </w:p>
        </w:tc>
        <w:tc>
          <w:tcPr>
            <w:tcW w:w="3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(1,968 )</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(2,063 )</w:t>
            </w:r>
          </w:p>
        </w:tc>
        <w:tc>
          <w:tcPr>
            <w:tcW w:w="0" w:type="dxa"/>
            <w:vAlign w:val="bottom"/>
          </w:tcPr>
          <w:p>
            <w:pPr>
              <w:spacing w:after="0"/>
              <w:rPr>
                <w:sz w:val="1"/>
                <w:szCs w:val="1"/>
                <w:color w:val="auto"/>
              </w:rPr>
            </w:pPr>
          </w:p>
        </w:tc>
      </w:tr>
      <w:tr>
        <w:trPr>
          <w:trHeight w:val="230"/>
        </w:trPr>
        <w:tc>
          <w:tcPr>
            <w:tcW w:w="7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Net recognized gains (losses) on investments</w:t>
            </w:r>
          </w:p>
        </w:tc>
        <w:tc>
          <w:tcPr>
            <w:tcW w:w="360" w:type="dxa"/>
            <w:vAlign w:val="bottom"/>
            <w:shd w:val="clear" w:color="auto" w:fill="E5E5E5"/>
          </w:tcPr>
          <w:p>
            <w:pPr>
              <w:spacing w:after="0"/>
              <w:rPr>
                <w:sz w:val="19"/>
                <w:szCs w:val="19"/>
                <w:color w:val="auto"/>
              </w:rPr>
            </w:pPr>
          </w:p>
        </w:tc>
        <w:tc>
          <w:tcPr>
            <w:tcW w:w="10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(118 )</w:t>
            </w:r>
          </w:p>
        </w:tc>
        <w:tc>
          <w:tcPr>
            <w:tcW w:w="36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Net losses on derivatives</w:t>
            </w: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(187 )</w:t>
            </w:r>
          </w:p>
        </w:tc>
        <w:tc>
          <w:tcPr>
            <w:tcW w:w="3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(456 )</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29"/>
        </w:trPr>
        <w:tc>
          <w:tcPr>
            <w:tcW w:w="7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Net gains (losses) on foreign currency remeasurements</w:t>
            </w:r>
          </w:p>
        </w:tc>
        <w:tc>
          <w:tcPr>
            <w:tcW w:w="360" w:type="dxa"/>
            <w:vAlign w:val="bottom"/>
            <w:shd w:val="clear" w:color="auto" w:fill="E5E5E5"/>
          </w:tcPr>
          <w:p>
            <w:pPr>
              <w:spacing w:after="0"/>
              <w:rPr>
                <w:sz w:val="19"/>
                <w:szCs w:val="19"/>
                <w:color w:val="auto"/>
              </w:rPr>
            </w:pPr>
          </w:p>
        </w:tc>
        <w:tc>
          <w:tcPr>
            <w:tcW w:w="10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(244 )</w:t>
            </w:r>
          </w:p>
        </w:tc>
        <w:tc>
          <w:tcPr>
            <w:tcW w:w="36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47"/>
        </w:trPr>
        <w:tc>
          <w:tcPr>
            <w:tcW w:w="7320" w:type="dxa"/>
            <w:vAlign w:val="bottom"/>
          </w:tcPr>
          <w:p>
            <w:pPr>
              <w:ind w:left="2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(1,319 )</w:t>
            </w:r>
          </w:p>
        </w:tc>
        <w:tc>
          <w:tcPr>
            <w:tcW w:w="36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(223 )</w:t>
            </w:r>
          </w:p>
        </w:tc>
        <w:tc>
          <w:tcPr>
            <w:tcW w:w="36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50"/>
        </w:trPr>
        <w:tc>
          <w:tcPr>
            <w:tcW w:w="7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7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(1,646 )</w:t>
            </w: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788</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7320" w:type="dxa"/>
            <w:vAlign w:val="bottom"/>
            <w:vMerge w:val="restart"/>
          </w:tcPr>
          <w:p>
            <w:pPr>
              <w:spacing w:after="0"/>
              <w:rPr>
                <w:sz w:val="20"/>
                <w:szCs w:val="20"/>
                <w:color w:val="auto"/>
              </w:rPr>
            </w:pPr>
            <w:r>
              <w:rPr>
                <w:rFonts w:ascii="Arial" w:cs="Arial" w:eastAsia="Arial" w:hAnsi="Arial"/>
                <w:sz w:val="18"/>
                <w:szCs w:val="18"/>
                <w:color w:val="auto"/>
              </w:rPr>
              <w:t>Other, net primarily reflects net recognized losses on equity method investments.</w:t>
            </w:r>
          </w:p>
        </w:tc>
        <w:tc>
          <w:tcPr>
            <w:tcW w:w="3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9"/>
        </w:trPr>
        <w:tc>
          <w:tcPr>
            <w:tcW w:w="7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320" w:type="dxa"/>
            <w:vAlign w:val="bottom"/>
          </w:tcPr>
          <w:p>
            <w:pPr>
              <w:spacing w:after="0"/>
              <w:rPr>
                <w:sz w:val="20"/>
                <w:szCs w:val="20"/>
                <w:color w:val="auto"/>
              </w:rPr>
            </w:pPr>
            <w:r>
              <w:rPr>
                <w:rFonts w:ascii="Arial" w:cs="Arial" w:eastAsia="Arial" w:hAnsi="Arial"/>
                <w:sz w:val="18"/>
                <w:szCs w:val="18"/>
                <w:b w:val="1"/>
                <w:bCs w:val="1"/>
                <w:color w:val="auto"/>
              </w:rPr>
              <w:t>Net Recognized Gains (Losses) on Investments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320" w:type="dxa"/>
            <w:vAlign w:val="bottom"/>
          </w:tcPr>
          <w:p>
            <w:pPr>
              <w:spacing w:after="0"/>
              <w:rPr>
                <w:sz w:val="20"/>
                <w:szCs w:val="20"/>
                <w:color w:val="auto"/>
              </w:rPr>
            </w:pPr>
            <w:r>
              <w:rPr>
                <w:rFonts w:ascii="Arial" w:cs="Arial" w:eastAsia="Arial" w:hAnsi="Arial"/>
                <w:sz w:val="18"/>
                <w:szCs w:val="18"/>
                <w:color w:val="auto"/>
              </w:rPr>
              <w:t>Net recognized gains (losses) on debt investments were as follows: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73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7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Realized gains from sales of available-for-sale securities</w:t>
            </w: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22</w:t>
            </w:r>
          </w:p>
        </w:tc>
        <w:tc>
          <w:tcPr>
            <w:tcW w:w="240" w:type="dxa"/>
            <w:vAlign w:val="bottom"/>
            <w:shd w:val="clear" w:color="auto" w:fill="E5E5E5"/>
          </w:tcPr>
          <w:p>
            <w:pPr>
              <w:spacing w:after="0"/>
              <w:rPr>
                <w:sz w:val="19"/>
                <w:szCs w:val="19"/>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Realized losses from sales of available-for-sale securities</w:t>
            </w: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(98 )</w:t>
            </w:r>
          </w:p>
        </w:tc>
        <w:tc>
          <w:tcPr>
            <w:tcW w:w="3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(124 )</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30"/>
        </w:trPr>
        <w:tc>
          <w:tcPr>
            <w:tcW w:w="7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Impairments and allowance for credit losses</w:t>
            </w:r>
          </w:p>
        </w:tc>
        <w:tc>
          <w:tcPr>
            <w:tcW w:w="36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23</w:t>
            </w:r>
          </w:p>
        </w:tc>
        <w:tc>
          <w:tcPr>
            <w:tcW w:w="24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(10 )</w:t>
            </w:r>
          </w:p>
        </w:tc>
        <w:tc>
          <w:tcPr>
            <w:tcW w:w="36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68"/>
        </w:trPr>
        <w:tc>
          <w:tcPr>
            <w:tcW w:w="73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7320" w:type="dxa"/>
            <w:vAlign w:val="bottom"/>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(53 )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(98 )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63"/>
        </w:trPr>
        <w:tc>
          <w:tcPr>
            <w:tcW w:w="7320" w:type="dxa"/>
            <w:vAlign w:val="bottom"/>
            <w:vMerge w:val="restart"/>
          </w:tcPr>
          <w:p>
            <w:pPr>
              <w:spacing w:after="0"/>
              <w:rPr>
                <w:sz w:val="20"/>
                <w:szCs w:val="20"/>
                <w:color w:val="auto"/>
              </w:rPr>
            </w:pPr>
            <w:r>
              <w:rPr>
                <w:rFonts w:ascii="Arial" w:cs="Arial" w:eastAsia="Arial" w:hAnsi="Arial"/>
                <w:sz w:val="18"/>
                <w:szCs w:val="18"/>
                <w:color w:val="auto"/>
              </w:rPr>
              <w:t>Net recognized gains (losses) on equity investments were as follows:</w:t>
            </w: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9"/>
        </w:trPr>
        <w:tc>
          <w:tcPr>
            <w:tcW w:w="7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73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7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Net realized gains on investments sold</w:t>
            </w: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18</w:t>
            </w:r>
          </w:p>
        </w:tc>
        <w:tc>
          <w:tcPr>
            <w:tcW w:w="240" w:type="dxa"/>
            <w:vAlign w:val="bottom"/>
            <w:shd w:val="clear" w:color="auto" w:fill="E5E5E5"/>
          </w:tcPr>
          <w:p>
            <w:pPr>
              <w:spacing w:after="0"/>
              <w:rPr>
                <w:sz w:val="19"/>
                <w:szCs w:val="19"/>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E5E5E5"/>
          </w:tcPr>
          <w:p>
            <w:pPr>
              <w:spacing w:after="0"/>
              <w:rPr>
                <w:sz w:val="19"/>
                <w:szCs w:val="19"/>
                <w:color w:val="auto"/>
              </w:rPr>
            </w:pPr>
          </w:p>
        </w:tc>
        <w:tc>
          <w:tcPr>
            <w:tcW w:w="360" w:type="dxa"/>
            <w:vAlign w:val="bottom"/>
            <w:shd w:val="clear" w:color="auto" w:fill="E5E5E5"/>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Net unrealized gains on investments still held</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146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Impairments of investments</w:t>
            </w:r>
          </w:p>
        </w:tc>
        <w:tc>
          <w:tcPr>
            <w:tcW w:w="360" w:type="dxa"/>
            <w:vAlign w:val="bottom"/>
            <w:shd w:val="clear" w:color="auto" w:fill="E5E5E5"/>
          </w:tcPr>
          <w:p>
            <w:pPr>
              <w:spacing w:after="0"/>
              <w:rPr>
                <w:sz w:val="19"/>
                <w:szCs w:val="19"/>
                <w:color w:val="auto"/>
              </w:rPr>
            </w:pPr>
          </w:p>
        </w:tc>
        <w:tc>
          <w:tcPr>
            <w:tcW w:w="10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(229 )</w:t>
            </w:r>
          </w:p>
        </w:tc>
        <w:tc>
          <w:tcPr>
            <w:tcW w:w="36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(20 )</w:t>
            </w:r>
          </w:p>
        </w:tc>
        <w:tc>
          <w:tcPr>
            <w:tcW w:w="36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68"/>
        </w:trPr>
        <w:tc>
          <w:tcPr>
            <w:tcW w:w="73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7320" w:type="dxa"/>
            <w:vAlign w:val="bottom"/>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(65 )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73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75" w:right="3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type w:val="continuous"/>
        </w:sectPr>
      </w:pPr>
    </w:p>
    <w:bookmarkStart w:id="69" w:name="page70"/>
    <w:bookmarkEnd w:id="69"/>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4 —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Components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investments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20" w:type="dxa"/>
            <w:vAlign w:val="bottom"/>
          </w:tcPr>
          <w:p>
            <w:pPr>
              <w:spacing w:after="0"/>
              <w:rPr>
                <w:sz w:val="13"/>
                <w:szCs w:val="13"/>
                <w:color w:val="auto"/>
              </w:rPr>
            </w:pPr>
          </w:p>
        </w:tc>
        <w:tc>
          <w:tcPr>
            <w:tcW w:w="1180" w:type="dxa"/>
            <w:vAlign w:val="bottom"/>
            <w:vMerge w:val="restart"/>
          </w:tcPr>
          <w:p>
            <w:pPr>
              <w:jc w:val="right"/>
              <w:ind w:right="301"/>
              <w:spacing w:after="0"/>
              <w:rPr>
                <w:sz w:val="20"/>
                <w:szCs w:val="20"/>
                <w:color w:val="auto"/>
              </w:rPr>
            </w:pPr>
            <w:r>
              <w:rPr>
                <w:rFonts w:ascii="Arial" w:cs="Arial" w:eastAsia="Arial" w:hAnsi="Arial"/>
                <w:sz w:val="13"/>
                <w:szCs w:val="13"/>
                <w:b w:val="1"/>
                <w:bCs w:val="1"/>
                <w:color w:val="auto"/>
              </w:rPr>
              <w:t>Fair Value</w:t>
            </w: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Adjusted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Recorded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Cash</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Short-term</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Equity and</w:t>
            </w:r>
          </w:p>
        </w:tc>
        <w:tc>
          <w:tcPr>
            <w:tcW w:w="0" w:type="dxa"/>
            <w:vAlign w:val="bottom"/>
          </w:tcPr>
          <w:p>
            <w:pPr>
              <w:spacing w:after="0"/>
              <w:rPr>
                <w:sz w:val="1"/>
                <w:szCs w:val="1"/>
                <w:color w:val="auto"/>
              </w:rPr>
            </w:pPr>
          </w:p>
        </w:tc>
      </w:tr>
      <w:tr>
        <w:trPr>
          <w:trHeight w:val="148"/>
        </w:trPr>
        <w:tc>
          <w:tcPr>
            <w:tcW w:w="20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and Cash</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Other</w:t>
            </w:r>
          </w:p>
        </w:tc>
        <w:tc>
          <w:tcPr>
            <w:tcW w:w="0" w:type="dxa"/>
            <w:vAlign w:val="bottom"/>
          </w:tcPr>
          <w:p>
            <w:pPr>
              <w:spacing w:after="0"/>
              <w:rPr>
                <w:sz w:val="1"/>
                <w:szCs w:val="1"/>
                <w:color w:val="auto"/>
              </w:rPr>
            </w:pPr>
          </w:p>
        </w:tc>
      </w:tr>
      <w:tr>
        <w:trPr>
          <w:trHeight w:val="186"/>
        </w:trPr>
        <w:tc>
          <w:tcPr>
            <w:tcW w:w="2020" w:type="dxa"/>
            <w:vAlign w:val="bottom"/>
            <w:vMerge w:val="continue"/>
          </w:tcPr>
          <w:p>
            <w:pPr>
              <w:spacing w:after="0"/>
              <w:rPr>
                <w:sz w:val="16"/>
                <w:szCs w:val="16"/>
                <w:color w:val="auto"/>
              </w:rPr>
            </w:pPr>
          </w:p>
        </w:tc>
        <w:tc>
          <w:tcPr>
            <w:tcW w:w="1180" w:type="dxa"/>
            <w:vAlign w:val="bottom"/>
          </w:tcPr>
          <w:p>
            <w:pPr>
              <w:jc w:val="right"/>
              <w:ind w:right="441"/>
              <w:spacing w:after="0"/>
              <w:rPr>
                <w:sz w:val="20"/>
                <w:szCs w:val="20"/>
                <w:color w:val="auto"/>
              </w:rPr>
            </w:pPr>
            <w:r>
              <w:rPr>
                <w:rFonts w:ascii="Arial" w:cs="Arial" w:eastAsia="Arial" w:hAnsi="Arial"/>
                <w:sz w:val="13"/>
                <w:szCs w:val="13"/>
                <w:b w:val="1"/>
                <w:bCs w:val="1"/>
                <w:color w:val="auto"/>
              </w:rPr>
              <w:t>Level</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Cost Basis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Gains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Losses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Basis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Equivalents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Investments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58"/>
        </w:trPr>
        <w:tc>
          <w:tcPr>
            <w:tcW w:w="20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June 30, 2024</w:t>
            </w: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Changes in Fair Value</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20" w:type="dxa"/>
            <w:vAlign w:val="bottom"/>
          </w:tcPr>
          <w:p>
            <w:pPr>
              <w:ind w:left="240"/>
              <w:spacing w:after="0"/>
              <w:rPr>
                <w:sz w:val="20"/>
                <w:szCs w:val="20"/>
                <w:color w:val="auto"/>
              </w:rPr>
            </w:pPr>
            <w:r>
              <w:rPr>
                <w:rFonts w:ascii="Arial" w:cs="Arial" w:eastAsia="Arial" w:hAnsi="Arial"/>
                <w:sz w:val="13"/>
                <w:szCs w:val="13"/>
                <w:b w:val="1"/>
                <w:bCs w:val="1"/>
                <w:color w:val="auto"/>
              </w:rPr>
              <w:t>Recorded in Other</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20" w:type="dxa"/>
            <w:vAlign w:val="bottom"/>
          </w:tcPr>
          <w:p>
            <w:pPr>
              <w:ind w:left="240"/>
              <w:spacing w:after="0"/>
              <w:rPr>
                <w:sz w:val="20"/>
                <w:szCs w:val="20"/>
                <w:color w:val="auto"/>
              </w:rPr>
            </w:pPr>
            <w:r>
              <w:rPr>
                <w:rFonts w:ascii="Arial" w:cs="Arial" w:eastAsia="Arial" w:hAnsi="Arial"/>
                <w:sz w:val="13"/>
                <w:szCs w:val="13"/>
                <w:b w:val="1"/>
                <w:bCs w:val="1"/>
                <w:color w:val="auto"/>
              </w:rPr>
              <w:t>Comprehensive Income</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E5E5E5"/>
          </w:tcPr>
          <w:p>
            <w:pPr>
              <w:ind w:left="20"/>
              <w:spacing w:after="0"/>
              <w:rPr>
                <w:sz w:val="20"/>
                <w:szCs w:val="20"/>
                <w:color w:val="auto"/>
              </w:rPr>
            </w:pPr>
            <w:r>
              <w:rPr>
                <w:rFonts w:ascii="Arial" w:cs="Arial" w:eastAsia="Arial" w:hAnsi="Arial"/>
                <w:sz w:val="16"/>
                <w:szCs w:val="16"/>
                <w:color w:val="auto"/>
              </w:rPr>
              <w:t>Commercial paper</w:t>
            </w:r>
          </w:p>
        </w:tc>
        <w:tc>
          <w:tcPr>
            <w:tcW w:w="1180" w:type="dxa"/>
            <w:vAlign w:val="bottom"/>
            <w:shd w:val="clear" w:color="auto" w:fill="E5E5E5"/>
          </w:tcPr>
          <w:p>
            <w:pPr>
              <w:jc w:val="right"/>
              <w:ind w:right="301"/>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4,666</w:t>
            </w:r>
          </w:p>
        </w:tc>
        <w:tc>
          <w:tcPr>
            <w:tcW w:w="40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3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shd w:val="clear" w:color="auto" w:fill="E5E5E5"/>
          </w:tcPr>
          <w:p>
            <w:pPr>
              <w:spacing w:after="0"/>
              <w:rPr>
                <w:sz w:val="18"/>
                <w:szCs w:val="18"/>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4,666</w:t>
            </w:r>
          </w:p>
        </w:tc>
        <w:tc>
          <w:tcPr>
            <w:tcW w:w="3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4,666</w:t>
            </w:r>
          </w:p>
        </w:tc>
        <w:tc>
          <w:tcPr>
            <w:tcW w:w="3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3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Arial" w:cs="Arial" w:eastAsia="Arial" w:hAnsi="Arial"/>
                <w:sz w:val="16"/>
                <w:szCs w:val="16"/>
                <w:color w:val="auto"/>
              </w:rPr>
              <w:t>Certificates of deposit</w:t>
            </w:r>
          </w:p>
        </w:tc>
        <w:tc>
          <w:tcPr>
            <w:tcW w:w="1180" w:type="dxa"/>
            <w:vAlign w:val="bottom"/>
          </w:tcPr>
          <w:p>
            <w:pPr>
              <w:jc w:val="right"/>
              <w:ind w:right="301"/>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1,547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1,547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1,503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20" w:type="dxa"/>
            <w:vAlign w:val="bottom"/>
            <w:shd w:val="clear" w:color="auto" w:fill="E5E5E5"/>
          </w:tcPr>
          <w:p>
            <w:pPr>
              <w:ind w:left="20"/>
              <w:spacing w:after="0"/>
              <w:rPr>
                <w:sz w:val="20"/>
                <w:szCs w:val="20"/>
                <w:color w:val="auto"/>
              </w:rPr>
            </w:pPr>
            <w:r>
              <w:rPr>
                <w:rFonts w:ascii="Arial" w:cs="Arial" w:eastAsia="Arial" w:hAnsi="Arial"/>
                <w:sz w:val="16"/>
                <w:szCs w:val="16"/>
                <w:color w:val="auto"/>
              </w:rPr>
              <w:t>U.S. government</w:t>
            </w:r>
          </w:p>
        </w:tc>
        <w:tc>
          <w:tcPr>
            <w:tcW w:w="1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20" w:type="dxa"/>
            <w:vAlign w:val="bottom"/>
            <w:shd w:val="clear" w:color="auto" w:fill="E5E5E5"/>
          </w:tcPr>
          <w:p>
            <w:pPr>
              <w:ind w:left="240"/>
              <w:spacing w:after="0"/>
              <w:rPr>
                <w:sz w:val="20"/>
                <w:szCs w:val="20"/>
                <w:color w:val="auto"/>
              </w:rPr>
            </w:pPr>
            <w:r>
              <w:rPr>
                <w:rFonts w:ascii="Arial" w:cs="Arial" w:eastAsia="Arial" w:hAnsi="Arial"/>
                <w:sz w:val="16"/>
                <w:szCs w:val="16"/>
                <w:color w:val="auto"/>
              </w:rPr>
              <w:t>securities</w:t>
            </w:r>
          </w:p>
        </w:tc>
        <w:tc>
          <w:tcPr>
            <w:tcW w:w="1180" w:type="dxa"/>
            <w:vAlign w:val="bottom"/>
            <w:shd w:val="clear" w:color="auto" w:fill="E5E5E5"/>
          </w:tcPr>
          <w:p>
            <w:pPr>
              <w:jc w:val="right"/>
              <w:ind w:right="301"/>
              <w:spacing w:after="0"/>
              <w:rPr>
                <w:sz w:val="20"/>
                <w:szCs w:val="20"/>
                <w:color w:val="auto"/>
              </w:rPr>
            </w:pPr>
            <w:r>
              <w:rPr>
                <w:rFonts w:ascii="Arial" w:cs="Arial" w:eastAsia="Arial" w:hAnsi="Arial"/>
                <w:sz w:val="16"/>
                <w:szCs w:val="16"/>
                <w:color w:val="auto"/>
              </w:rPr>
              <w:t>Level 1</w:t>
            </w: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49,603</w:t>
            </w:r>
          </w:p>
        </w:tc>
        <w:tc>
          <w:tcPr>
            <w:tcW w:w="2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2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(2,948 )</w:t>
            </w:r>
          </w:p>
        </w:tc>
        <w:tc>
          <w:tcPr>
            <w:tcW w:w="18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46,659</w:t>
            </w:r>
          </w:p>
        </w:tc>
        <w:tc>
          <w:tcPr>
            <w:tcW w:w="2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w:t>
            </w: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46,645</w:t>
            </w: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Arial" w:cs="Arial" w:eastAsia="Arial" w:hAnsi="Arial"/>
                <w:sz w:val="16"/>
                <w:szCs w:val="16"/>
                <w:color w:val="auto"/>
              </w:rPr>
              <w:t>U.S. agency securities</w:t>
            </w:r>
          </w:p>
        </w:tc>
        <w:tc>
          <w:tcPr>
            <w:tcW w:w="1180" w:type="dxa"/>
            <w:vAlign w:val="bottom"/>
          </w:tcPr>
          <w:p>
            <w:pPr>
              <w:jc w:val="right"/>
              <w:ind w:right="301"/>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20" w:type="dxa"/>
            <w:vAlign w:val="bottom"/>
            <w:shd w:val="clear" w:color="auto" w:fill="E5E5E5"/>
          </w:tcPr>
          <w:p>
            <w:pPr>
              <w:ind w:left="20"/>
              <w:spacing w:after="0"/>
              <w:rPr>
                <w:sz w:val="20"/>
                <w:szCs w:val="20"/>
                <w:color w:val="auto"/>
              </w:rPr>
            </w:pPr>
            <w:r>
              <w:rPr>
                <w:rFonts w:ascii="Arial" w:cs="Arial" w:eastAsia="Arial" w:hAnsi="Arial"/>
                <w:sz w:val="16"/>
                <w:szCs w:val="16"/>
                <w:color w:val="auto"/>
              </w:rPr>
              <w:t>Foreign government</w:t>
            </w:r>
          </w:p>
        </w:tc>
        <w:tc>
          <w:tcPr>
            <w:tcW w:w="1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20" w:type="dxa"/>
            <w:vAlign w:val="bottom"/>
            <w:shd w:val="clear" w:color="auto" w:fill="E5E5E5"/>
          </w:tcPr>
          <w:p>
            <w:pPr>
              <w:ind w:left="240"/>
              <w:spacing w:after="0"/>
              <w:rPr>
                <w:sz w:val="20"/>
                <w:szCs w:val="20"/>
                <w:color w:val="auto"/>
              </w:rPr>
            </w:pPr>
            <w:r>
              <w:rPr>
                <w:rFonts w:ascii="Arial" w:cs="Arial" w:eastAsia="Arial" w:hAnsi="Arial"/>
                <w:sz w:val="16"/>
                <w:szCs w:val="16"/>
                <w:color w:val="auto"/>
              </w:rPr>
              <w:t>bonds</w:t>
            </w:r>
          </w:p>
        </w:tc>
        <w:tc>
          <w:tcPr>
            <w:tcW w:w="1180" w:type="dxa"/>
            <w:vAlign w:val="bottom"/>
            <w:shd w:val="clear" w:color="auto" w:fill="E5E5E5"/>
          </w:tcPr>
          <w:p>
            <w:pPr>
              <w:jc w:val="right"/>
              <w:ind w:right="301"/>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319</w:t>
            </w:r>
          </w:p>
        </w:tc>
        <w:tc>
          <w:tcPr>
            <w:tcW w:w="2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w:t>
            </w:r>
          </w:p>
        </w:tc>
        <w:tc>
          <w:tcPr>
            <w:tcW w:w="2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(16 )</w:t>
            </w:r>
          </w:p>
        </w:tc>
        <w:tc>
          <w:tcPr>
            <w:tcW w:w="18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306</w:t>
            </w:r>
          </w:p>
        </w:tc>
        <w:tc>
          <w:tcPr>
            <w:tcW w:w="2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306</w:t>
            </w: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20" w:type="dxa"/>
            <w:vAlign w:val="bottom"/>
          </w:tcPr>
          <w:p>
            <w:pPr>
              <w:ind w:left="20"/>
              <w:spacing w:after="0"/>
              <w:rPr>
                <w:sz w:val="20"/>
                <w:szCs w:val="20"/>
                <w:color w:val="auto"/>
              </w:rPr>
            </w:pPr>
            <w:r>
              <w:rPr>
                <w:rFonts w:ascii="Arial" w:cs="Arial" w:eastAsia="Arial" w:hAnsi="Arial"/>
                <w:sz w:val="16"/>
                <w:szCs w:val="16"/>
                <w:color w:val="auto"/>
              </w:rPr>
              <w:t>Mortgage- and asset-</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20" w:type="dxa"/>
            <w:vAlign w:val="bottom"/>
          </w:tcPr>
          <w:p>
            <w:pPr>
              <w:ind w:left="240"/>
              <w:spacing w:after="0"/>
              <w:rPr>
                <w:sz w:val="20"/>
                <w:szCs w:val="20"/>
                <w:color w:val="auto"/>
              </w:rPr>
            </w:pPr>
            <w:r>
              <w:rPr>
                <w:rFonts w:ascii="Arial" w:cs="Arial" w:eastAsia="Arial" w:hAnsi="Arial"/>
                <w:sz w:val="16"/>
                <w:szCs w:val="16"/>
                <w:color w:val="auto"/>
              </w:rPr>
              <w:t>backed securities</w:t>
            </w:r>
          </w:p>
        </w:tc>
        <w:tc>
          <w:tcPr>
            <w:tcW w:w="1180" w:type="dxa"/>
            <w:vAlign w:val="bottom"/>
          </w:tcPr>
          <w:p>
            <w:pPr>
              <w:jc w:val="right"/>
              <w:ind w:right="301"/>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(35 )</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912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20" w:type="dxa"/>
            <w:vAlign w:val="bottom"/>
            <w:shd w:val="clear" w:color="auto" w:fill="E5E5E5"/>
          </w:tcPr>
          <w:p>
            <w:pPr>
              <w:ind w:left="20"/>
              <w:spacing w:after="0"/>
              <w:rPr>
                <w:sz w:val="20"/>
                <w:szCs w:val="20"/>
                <w:color w:val="auto"/>
              </w:rPr>
            </w:pPr>
            <w:r>
              <w:rPr>
                <w:rFonts w:ascii="Arial" w:cs="Arial" w:eastAsia="Arial" w:hAnsi="Arial"/>
                <w:sz w:val="16"/>
                <w:szCs w:val="16"/>
                <w:color w:val="auto"/>
              </w:rPr>
              <w:t>Corporate notes and</w:t>
            </w:r>
          </w:p>
        </w:tc>
        <w:tc>
          <w:tcPr>
            <w:tcW w:w="1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20" w:type="dxa"/>
            <w:vAlign w:val="bottom"/>
            <w:shd w:val="clear" w:color="auto" w:fill="E5E5E5"/>
          </w:tcPr>
          <w:p>
            <w:pPr>
              <w:ind w:left="240"/>
              <w:spacing w:after="0"/>
              <w:rPr>
                <w:sz w:val="20"/>
                <w:szCs w:val="20"/>
                <w:color w:val="auto"/>
              </w:rPr>
            </w:pPr>
            <w:r>
              <w:rPr>
                <w:rFonts w:ascii="Arial" w:cs="Arial" w:eastAsia="Arial" w:hAnsi="Arial"/>
                <w:sz w:val="16"/>
                <w:szCs w:val="16"/>
                <w:color w:val="auto"/>
              </w:rPr>
              <w:t>bonds</w:t>
            </w:r>
          </w:p>
        </w:tc>
        <w:tc>
          <w:tcPr>
            <w:tcW w:w="1180" w:type="dxa"/>
            <w:vAlign w:val="bottom"/>
            <w:shd w:val="clear" w:color="auto" w:fill="E5E5E5"/>
          </w:tcPr>
          <w:p>
            <w:pPr>
              <w:jc w:val="right"/>
              <w:ind w:right="301"/>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9,106</w:t>
            </w:r>
          </w:p>
        </w:tc>
        <w:tc>
          <w:tcPr>
            <w:tcW w:w="2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28</w:t>
            </w:r>
          </w:p>
        </w:tc>
        <w:tc>
          <w:tcPr>
            <w:tcW w:w="2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(318 )</w:t>
            </w:r>
          </w:p>
        </w:tc>
        <w:tc>
          <w:tcPr>
            <w:tcW w:w="18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8,816</w:t>
            </w:r>
          </w:p>
        </w:tc>
        <w:tc>
          <w:tcPr>
            <w:tcW w:w="2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8,816</w:t>
            </w: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20" w:type="dxa"/>
            <w:vAlign w:val="bottom"/>
          </w:tcPr>
          <w:p>
            <w:pPr>
              <w:ind w:left="20"/>
              <w:spacing w:after="0"/>
              <w:rPr>
                <w:sz w:val="20"/>
                <w:szCs w:val="20"/>
                <w:color w:val="auto"/>
              </w:rPr>
            </w:pPr>
            <w:r>
              <w:rPr>
                <w:rFonts w:ascii="Arial" w:cs="Arial" w:eastAsia="Arial" w:hAnsi="Arial"/>
                <w:sz w:val="16"/>
                <w:szCs w:val="16"/>
                <w:color w:val="auto"/>
              </w:rPr>
              <w:t>Corporate notes and</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20" w:type="dxa"/>
            <w:vAlign w:val="bottom"/>
          </w:tcPr>
          <w:p>
            <w:pPr>
              <w:ind w:left="240"/>
              <w:spacing w:after="0"/>
              <w:rPr>
                <w:sz w:val="20"/>
                <w:szCs w:val="20"/>
                <w:color w:val="auto"/>
              </w:rPr>
            </w:pPr>
            <w:r>
              <w:rPr>
                <w:rFonts w:ascii="Arial" w:cs="Arial" w:eastAsia="Arial" w:hAnsi="Arial"/>
                <w:sz w:val="16"/>
                <w:szCs w:val="16"/>
                <w:color w:val="auto"/>
              </w:rPr>
              <w:t>bonds</w:t>
            </w:r>
          </w:p>
        </w:tc>
        <w:tc>
          <w:tcPr>
            <w:tcW w:w="1180" w:type="dxa"/>
            <w:vAlign w:val="bottom"/>
          </w:tcPr>
          <w:p>
            <w:pPr>
              <w:jc w:val="right"/>
              <w:ind w:right="301"/>
              <w:spacing w:after="0"/>
              <w:rPr>
                <w:sz w:val="20"/>
                <w:szCs w:val="20"/>
                <w:color w:val="auto"/>
              </w:rPr>
            </w:pPr>
            <w:r>
              <w:rPr>
                <w:rFonts w:ascii="Arial" w:cs="Arial" w:eastAsia="Arial" w:hAnsi="Arial"/>
                <w:sz w:val="16"/>
                <w:szCs w:val="16"/>
                <w:color w:val="auto"/>
              </w:rPr>
              <w:t>Level 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1,641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(1 )</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1,640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E5E5E5"/>
          </w:tcPr>
          <w:p>
            <w:pPr>
              <w:ind w:left="20"/>
              <w:spacing w:after="0"/>
              <w:rPr>
                <w:sz w:val="20"/>
                <w:szCs w:val="20"/>
                <w:color w:val="auto"/>
              </w:rPr>
            </w:pPr>
            <w:r>
              <w:rPr>
                <w:rFonts w:ascii="Arial" w:cs="Arial" w:eastAsia="Arial" w:hAnsi="Arial"/>
                <w:sz w:val="16"/>
                <w:szCs w:val="16"/>
                <w:color w:val="auto"/>
              </w:rPr>
              <w:t>Municipal securities</w:t>
            </w:r>
          </w:p>
        </w:tc>
        <w:tc>
          <w:tcPr>
            <w:tcW w:w="1180" w:type="dxa"/>
            <w:vAlign w:val="bottom"/>
            <w:shd w:val="clear" w:color="auto" w:fill="E5E5E5"/>
          </w:tcPr>
          <w:p>
            <w:pPr>
              <w:jc w:val="right"/>
              <w:ind w:right="301"/>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262</w:t>
            </w:r>
          </w:p>
        </w:tc>
        <w:tc>
          <w:tcPr>
            <w:tcW w:w="2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2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(13 )</w:t>
            </w:r>
          </w:p>
        </w:tc>
        <w:tc>
          <w:tcPr>
            <w:tcW w:w="18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249</w:t>
            </w:r>
          </w:p>
        </w:tc>
        <w:tc>
          <w:tcPr>
            <w:tcW w:w="2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249</w:t>
            </w: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180" w:type="dxa"/>
            <w:vAlign w:val="bottom"/>
          </w:tcPr>
          <w:p>
            <w:pPr>
              <w:jc w:val="right"/>
              <w:ind w:right="301"/>
              <w:spacing w:after="0"/>
              <w:rPr>
                <w:sz w:val="20"/>
                <w:szCs w:val="20"/>
                <w:color w:val="auto"/>
              </w:rPr>
            </w:pPr>
            <w:r>
              <w:rPr>
                <w:rFonts w:ascii="Arial" w:cs="Arial" w:eastAsia="Arial" w:hAnsi="Arial"/>
                <w:sz w:val="16"/>
                <w:szCs w:val="16"/>
                <w:color w:val="auto"/>
              </w:rPr>
              <w:t>Level 3</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(17 )</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87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E5E5E5"/>
          </w:tcPr>
          <w:p>
            <w:pPr>
              <w:ind w:left="240"/>
              <w:spacing w:after="0"/>
              <w:rPr>
                <w:sz w:val="20"/>
                <w:szCs w:val="20"/>
                <w:color w:val="auto"/>
              </w:rPr>
            </w:pPr>
            <w:r>
              <w:rPr>
                <w:rFonts w:ascii="Arial" w:cs="Arial" w:eastAsia="Arial" w:hAnsi="Arial"/>
                <w:sz w:val="16"/>
                <w:szCs w:val="16"/>
                <w:color w:val="auto"/>
              </w:rPr>
              <w:t>Total debt investments</w:t>
            </w:r>
          </w:p>
        </w:tc>
        <w:tc>
          <w:tcPr>
            <w:tcW w:w="1180" w:type="dxa"/>
            <w:vAlign w:val="bottom"/>
            <w:shd w:val="clear" w:color="auto" w:fill="E5E5E5"/>
          </w:tcPr>
          <w:p>
            <w:pPr>
              <w:spacing w:after="0"/>
              <w:rPr>
                <w:sz w:val="18"/>
                <w:szCs w:val="18"/>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68,209</w:t>
            </w:r>
          </w:p>
        </w:tc>
        <w:tc>
          <w:tcPr>
            <w:tcW w:w="40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38</w:t>
            </w:r>
          </w:p>
        </w:tc>
        <w:tc>
          <w:tcPr>
            <w:tcW w:w="3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(3,348 )</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64,899</w:t>
            </w:r>
          </w:p>
        </w:tc>
        <w:tc>
          <w:tcPr>
            <w:tcW w:w="3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6,183</w:t>
            </w:r>
          </w:p>
        </w:tc>
        <w:tc>
          <w:tcPr>
            <w:tcW w:w="3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57,216</w:t>
            </w:r>
          </w:p>
        </w:tc>
        <w:tc>
          <w:tcPr>
            <w:tcW w:w="3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1,500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Changes in Fair Value</w:t>
            </w:r>
          </w:p>
        </w:tc>
        <w:tc>
          <w:tcPr>
            <w:tcW w:w="11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2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20" w:type="dxa"/>
            <w:vAlign w:val="bottom"/>
          </w:tcPr>
          <w:p>
            <w:pPr>
              <w:ind w:left="240"/>
              <w:spacing w:after="0"/>
              <w:rPr>
                <w:sz w:val="20"/>
                <w:szCs w:val="20"/>
                <w:color w:val="auto"/>
              </w:rPr>
            </w:pPr>
            <w:r>
              <w:rPr>
                <w:rFonts w:ascii="Arial" w:cs="Arial" w:eastAsia="Arial" w:hAnsi="Arial"/>
                <w:sz w:val="13"/>
                <w:szCs w:val="13"/>
                <w:b w:val="1"/>
                <w:bCs w:val="1"/>
                <w:color w:val="auto"/>
              </w:rPr>
              <w:t>Recorded in Net Income</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E5E5E5"/>
          </w:tcPr>
          <w:p>
            <w:pPr>
              <w:ind w:left="20"/>
              <w:spacing w:after="0"/>
              <w:rPr>
                <w:sz w:val="20"/>
                <w:szCs w:val="20"/>
                <w:color w:val="auto"/>
              </w:rPr>
            </w:pPr>
            <w:r>
              <w:rPr>
                <w:rFonts w:ascii="Arial" w:cs="Arial" w:eastAsia="Arial" w:hAnsi="Arial"/>
                <w:sz w:val="16"/>
                <w:szCs w:val="16"/>
                <w:color w:val="auto"/>
              </w:rPr>
              <w:t>Equity investments</w:t>
            </w:r>
          </w:p>
        </w:tc>
        <w:tc>
          <w:tcPr>
            <w:tcW w:w="1180" w:type="dxa"/>
            <w:vAlign w:val="bottom"/>
            <w:shd w:val="clear" w:color="auto" w:fill="E5E5E5"/>
          </w:tcPr>
          <w:p>
            <w:pPr>
              <w:jc w:val="right"/>
              <w:ind w:right="301"/>
              <w:spacing w:after="0"/>
              <w:rPr>
                <w:sz w:val="20"/>
                <w:szCs w:val="20"/>
                <w:color w:val="auto"/>
              </w:rPr>
            </w:pPr>
            <w:r>
              <w:rPr>
                <w:rFonts w:ascii="Arial" w:cs="Arial" w:eastAsia="Arial" w:hAnsi="Arial"/>
                <w:sz w:val="16"/>
                <w:szCs w:val="16"/>
                <w:color w:val="auto"/>
              </w:rPr>
              <w:t>Level 1</w:t>
            </w: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3,547</w:t>
            </w:r>
          </w:p>
        </w:tc>
        <w:tc>
          <w:tcPr>
            <w:tcW w:w="3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561</w:t>
            </w:r>
          </w:p>
        </w:tc>
        <w:tc>
          <w:tcPr>
            <w:tcW w:w="3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3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2,986</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Pr>
          <w:p>
            <w:pPr>
              <w:ind w:left="20"/>
              <w:spacing w:after="0"/>
              <w:rPr>
                <w:sz w:val="20"/>
                <w:szCs w:val="20"/>
                <w:color w:val="auto"/>
              </w:rPr>
            </w:pPr>
            <w:r>
              <w:rPr>
                <w:rFonts w:ascii="Arial" w:cs="Arial" w:eastAsia="Arial" w:hAnsi="Arial"/>
                <w:sz w:val="16"/>
                <w:szCs w:val="16"/>
                <w:color w:val="auto"/>
              </w:rPr>
              <w:t>Equity investments</w:t>
            </w:r>
          </w:p>
        </w:tc>
        <w:tc>
          <w:tcPr>
            <w:tcW w:w="1180" w:type="dxa"/>
            <w:vAlign w:val="bottom"/>
          </w:tcPr>
          <w:p>
            <w:pPr>
              <w:jc w:val="right"/>
              <w:ind w:right="361"/>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10,114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10,114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20" w:type="dxa"/>
            <w:vAlign w:val="bottom"/>
            <w:shd w:val="clear" w:color="auto" w:fill="E5E5E5"/>
          </w:tcPr>
          <w:p>
            <w:pPr>
              <w:ind w:left="240"/>
              <w:spacing w:after="0"/>
              <w:rPr>
                <w:sz w:val="20"/>
                <w:szCs w:val="20"/>
                <w:color w:val="auto"/>
              </w:rPr>
            </w:pPr>
            <w:r>
              <w:rPr>
                <w:rFonts w:ascii="Arial" w:cs="Arial" w:eastAsia="Arial" w:hAnsi="Arial"/>
                <w:sz w:val="16"/>
                <w:szCs w:val="16"/>
                <w:color w:val="auto"/>
              </w:rPr>
              <w:t>Total equity</w:t>
            </w:r>
          </w:p>
        </w:tc>
        <w:tc>
          <w:tcPr>
            <w:tcW w:w="1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20" w:type="dxa"/>
            <w:vAlign w:val="bottom"/>
            <w:shd w:val="clear" w:color="auto" w:fill="E5E5E5"/>
          </w:tcPr>
          <w:p>
            <w:pPr>
              <w:ind w:left="460"/>
              <w:spacing w:after="0"/>
              <w:rPr>
                <w:sz w:val="20"/>
                <w:szCs w:val="20"/>
                <w:color w:val="auto"/>
              </w:rPr>
            </w:pPr>
            <w:r>
              <w:rPr>
                <w:rFonts w:ascii="Arial" w:cs="Arial" w:eastAsia="Arial" w:hAnsi="Arial"/>
                <w:sz w:val="16"/>
                <w:szCs w:val="16"/>
                <w:color w:val="auto"/>
              </w:rPr>
              <w:t>investments</w:t>
            </w:r>
          </w:p>
        </w:tc>
        <w:tc>
          <w:tcPr>
            <w:tcW w:w="11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13,661</w:t>
            </w:r>
          </w:p>
        </w:tc>
        <w:tc>
          <w:tcPr>
            <w:tcW w:w="3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561</w:t>
            </w:r>
          </w:p>
        </w:tc>
        <w:tc>
          <w:tcPr>
            <w:tcW w:w="3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3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13,100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2020" w:type="dxa"/>
            <w:vAlign w:val="bottom"/>
          </w:tcPr>
          <w:p>
            <w:pPr>
              <w:ind w:left="20"/>
              <w:spacing w:after="0"/>
              <w:rPr>
                <w:sz w:val="20"/>
                <w:szCs w:val="20"/>
                <w:color w:val="auto"/>
              </w:rPr>
            </w:pPr>
            <w:r>
              <w:rPr>
                <w:rFonts w:ascii="Arial" w:cs="Arial" w:eastAsia="Arial" w:hAnsi="Arial"/>
                <w:sz w:val="16"/>
                <w:szCs w:val="16"/>
                <w:color w:val="auto"/>
              </w:rPr>
              <w:t>Cash</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11,571</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11,571</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E5E5E5"/>
          </w:tcPr>
          <w:p>
            <w:pPr>
              <w:ind w:left="20"/>
              <w:spacing w:after="0" w:line="216" w:lineRule="exact"/>
              <w:rPr>
                <w:sz w:val="20"/>
                <w:szCs w:val="20"/>
                <w:color w:val="auto"/>
              </w:rPr>
            </w:pPr>
            <w:r>
              <w:rPr>
                <w:rFonts w:ascii="Arial" w:cs="Arial" w:eastAsia="Arial" w:hAnsi="Arial"/>
                <w:sz w:val="16"/>
                <w:szCs w:val="16"/>
                <w:color w:val="auto"/>
              </w:rPr>
              <w:t xml:space="preserve">Derivatives, net </w:t>
            </w:r>
            <w:r>
              <w:rPr>
                <w:rFonts w:ascii="Arial" w:cs="Arial" w:eastAsia="Arial" w:hAnsi="Arial"/>
                <w:sz w:val="21"/>
                <w:szCs w:val="21"/>
                <w:color w:val="auto"/>
                <w:vertAlign w:val="superscript"/>
              </w:rPr>
              <w:t>(a)</w:t>
            </w:r>
          </w:p>
        </w:tc>
        <w:tc>
          <w:tcPr>
            <w:tcW w:w="11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w:t>
            </w:r>
          </w:p>
        </w:tc>
        <w:tc>
          <w:tcPr>
            <w:tcW w:w="2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w:t>
            </w: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020" w:type="dxa"/>
            <w:vAlign w:val="bottom"/>
          </w:tcPr>
          <w:p>
            <w:pPr>
              <w:ind w:left="240"/>
              <w:spacing w:after="0"/>
              <w:rPr>
                <w:sz w:val="20"/>
                <w:szCs w:val="20"/>
                <w:color w:val="auto"/>
              </w:rPr>
            </w:pPr>
            <w:r>
              <w:rPr>
                <w:rFonts w:ascii="Arial" w:cs="Arial" w:eastAsia="Arial" w:hAnsi="Arial"/>
                <w:sz w:val="16"/>
                <w:szCs w:val="16"/>
                <w:color w:val="auto"/>
              </w:rPr>
              <w:t>Total</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90,143</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18,315</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57,228</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14,600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gridSpan w:val="3"/>
            <w:vMerge w:val="restart"/>
          </w:tcPr>
          <w:p>
            <w:pPr>
              <w:jc w:val="right"/>
              <w:ind w:right="601"/>
              <w:spacing w:after="0"/>
              <w:rPr>
                <w:sz w:val="20"/>
                <w:szCs w:val="20"/>
                <w:color w:val="auto"/>
              </w:rPr>
            </w:pPr>
            <w:r>
              <w:rPr>
                <w:rFonts w:ascii="Arial" w:cs="Arial" w:eastAsia="Arial" w:hAnsi="Arial"/>
                <w:sz w:val="14"/>
                <w:szCs w:val="14"/>
                <w:color w:val="auto"/>
              </w:rPr>
              <w:t>70</w:t>
            </w: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3"/>
        </w:trPr>
        <w:tc>
          <w:tcPr>
            <w:tcW w:w="2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0"/>
        </w:trPr>
        <w:tc>
          <w:tcPr>
            <w:tcW w:w="20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0" w:name="page71"/>
    <w:bookmarkEnd w:id="70"/>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20" w:type="dxa"/>
            <w:vAlign w:val="bottom"/>
          </w:tcPr>
          <w:p>
            <w:pPr>
              <w:spacing w:after="0"/>
              <w:rPr>
                <w:sz w:val="13"/>
                <w:szCs w:val="13"/>
                <w:color w:val="auto"/>
              </w:rPr>
            </w:pPr>
          </w:p>
        </w:tc>
        <w:tc>
          <w:tcPr>
            <w:tcW w:w="1180" w:type="dxa"/>
            <w:vAlign w:val="bottom"/>
            <w:vMerge w:val="restart"/>
          </w:tcPr>
          <w:p>
            <w:pPr>
              <w:jc w:val="right"/>
              <w:ind w:right="301"/>
              <w:spacing w:after="0"/>
              <w:rPr>
                <w:sz w:val="20"/>
                <w:szCs w:val="20"/>
                <w:color w:val="auto"/>
              </w:rPr>
            </w:pPr>
            <w:r>
              <w:rPr>
                <w:rFonts w:ascii="Arial" w:cs="Arial" w:eastAsia="Arial" w:hAnsi="Arial"/>
                <w:sz w:val="13"/>
                <w:szCs w:val="13"/>
                <w:b w:val="1"/>
                <w:bCs w:val="1"/>
                <w:color w:val="auto"/>
              </w:rPr>
              <w:t>Fair Value</w:t>
            </w: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Adjusted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Recorded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Cash</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Short-term</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b w:val="1"/>
                <w:bCs w:val="1"/>
                <w:color w:val="auto"/>
              </w:rPr>
              <w:t>Equity and</w:t>
            </w:r>
          </w:p>
        </w:tc>
        <w:tc>
          <w:tcPr>
            <w:tcW w:w="0" w:type="dxa"/>
            <w:vAlign w:val="bottom"/>
          </w:tcPr>
          <w:p>
            <w:pPr>
              <w:spacing w:after="0"/>
              <w:rPr>
                <w:sz w:val="1"/>
                <w:szCs w:val="1"/>
                <w:color w:val="auto"/>
              </w:rPr>
            </w:pPr>
          </w:p>
        </w:tc>
      </w:tr>
      <w:tr>
        <w:trPr>
          <w:trHeight w:val="148"/>
        </w:trPr>
        <w:tc>
          <w:tcPr>
            <w:tcW w:w="20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and Cash</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Other</w:t>
            </w:r>
          </w:p>
        </w:tc>
        <w:tc>
          <w:tcPr>
            <w:tcW w:w="0" w:type="dxa"/>
            <w:vAlign w:val="bottom"/>
          </w:tcPr>
          <w:p>
            <w:pPr>
              <w:spacing w:after="0"/>
              <w:rPr>
                <w:sz w:val="1"/>
                <w:szCs w:val="1"/>
                <w:color w:val="auto"/>
              </w:rPr>
            </w:pPr>
          </w:p>
        </w:tc>
      </w:tr>
      <w:tr>
        <w:trPr>
          <w:trHeight w:val="186"/>
        </w:trPr>
        <w:tc>
          <w:tcPr>
            <w:tcW w:w="2020" w:type="dxa"/>
            <w:vAlign w:val="bottom"/>
            <w:vMerge w:val="continue"/>
          </w:tcPr>
          <w:p>
            <w:pPr>
              <w:spacing w:after="0"/>
              <w:rPr>
                <w:sz w:val="16"/>
                <w:szCs w:val="16"/>
                <w:color w:val="auto"/>
              </w:rPr>
            </w:pPr>
          </w:p>
        </w:tc>
        <w:tc>
          <w:tcPr>
            <w:tcW w:w="1180" w:type="dxa"/>
            <w:vAlign w:val="bottom"/>
          </w:tcPr>
          <w:p>
            <w:pPr>
              <w:jc w:val="right"/>
              <w:ind w:right="441"/>
              <w:spacing w:after="0"/>
              <w:rPr>
                <w:sz w:val="20"/>
                <w:szCs w:val="20"/>
                <w:color w:val="auto"/>
              </w:rPr>
            </w:pPr>
            <w:r>
              <w:rPr>
                <w:rFonts w:ascii="Arial" w:cs="Arial" w:eastAsia="Arial" w:hAnsi="Arial"/>
                <w:sz w:val="13"/>
                <w:szCs w:val="13"/>
                <w:b w:val="1"/>
                <w:bCs w:val="1"/>
                <w:color w:val="auto"/>
              </w:rPr>
              <w:t>Level</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Cost Basis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Gains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Losses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Basis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Equivalents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Investments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58"/>
        </w:trPr>
        <w:tc>
          <w:tcPr>
            <w:tcW w:w="20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June 30, 2023</w:t>
            </w: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20" w:type="dxa"/>
            <w:vAlign w:val="bottom"/>
          </w:tcPr>
          <w:p>
            <w:pPr>
              <w:ind w:left="20"/>
              <w:spacing w:after="0"/>
              <w:rPr>
                <w:sz w:val="20"/>
                <w:szCs w:val="20"/>
                <w:color w:val="auto"/>
              </w:rPr>
            </w:pPr>
            <w:r>
              <w:rPr>
                <w:rFonts w:ascii="Arial" w:cs="Arial" w:eastAsia="Arial" w:hAnsi="Arial"/>
                <w:sz w:val="13"/>
                <w:szCs w:val="13"/>
                <w:b w:val="1"/>
                <w:bCs w:val="1"/>
                <w:color w:val="auto"/>
              </w:rPr>
              <w:t>Changes in Fair Value</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20" w:type="dxa"/>
            <w:vAlign w:val="bottom"/>
          </w:tcPr>
          <w:p>
            <w:pPr>
              <w:ind w:left="240"/>
              <w:spacing w:after="0"/>
              <w:rPr>
                <w:sz w:val="20"/>
                <w:szCs w:val="20"/>
                <w:color w:val="auto"/>
              </w:rPr>
            </w:pPr>
            <w:r>
              <w:rPr>
                <w:rFonts w:ascii="Arial" w:cs="Arial" w:eastAsia="Arial" w:hAnsi="Arial"/>
                <w:sz w:val="13"/>
                <w:szCs w:val="13"/>
                <w:b w:val="1"/>
                <w:bCs w:val="1"/>
                <w:color w:val="auto"/>
              </w:rPr>
              <w:t>Recorded in Other</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20" w:type="dxa"/>
            <w:vAlign w:val="bottom"/>
          </w:tcPr>
          <w:p>
            <w:pPr>
              <w:ind w:left="240"/>
              <w:spacing w:after="0"/>
              <w:rPr>
                <w:sz w:val="20"/>
                <w:szCs w:val="20"/>
                <w:color w:val="auto"/>
              </w:rPr>
            </w:pPr>
            <w:r>
              <w:rPr>
                <w:rFonts w:ascii="Arial" w:cs="Arial" w:eastAsia="Arial" w:hAnsi="Arial"/>
                <w:sz w:val="13"/>
                <w:szCs w:val="13"/>
                <w:b w:val="1"/>
                <w:bCs w:val="1"/>
                <w:color w:val="auto"/>
              </w:rPr>
              <w:t>Comprehensive Income</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E5E5E5"/>
          </w:tcPr>
          <w:p>
            <w:pPr>
              <w:ind w:left="20"/>
              <w:spacing w:after="0"/>
              <w:rPr>
                <w:sz w:val="20"/>
                <w:szCs w:val="20"/>
                <w:color w:val="auto"/>
              </w:rPr>
            </w:pPr>
            <w:r>
              <w:rPr>
                <w:rFonts w:ascii="Arial" w:cs="Arial" w:eastAsia="Arial" w:hAnsi="Arial"/>
                <w:sz w:val="16"/>
                <w:szCs w:val="16"/>
                <w:color w:val="auto"/>
              </w:rPr>
              <w:t>Commercial paper</w:t>
            </w:r>
          </w:p>
        </w:tc>
        <w:tc>
          <w:tcPr>
            <w:tcW w:w="1180" w:type="dxa"/>
            <w:vAlign w:val="bottom"/>
            <w:shd w:val="clear" w:color="auto" w:fill="E5E5E5"/>
          </w:tcPr>
          <w:p>
            <w:pPr>
              <w:jc w:val="right"/>
              <w:ind w:right="301"/>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16,589</w:t>
            </w:r>
          </w:p>
        </w:tc>
        <w:tc>
          <w:tcPr>
            <w:tcW w:w="40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3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E5E5E5"/>
          </w:tcPr>
          <w:p>
            <w:pPr>
              <w:spacing w:after="0"/>
              <w:rPr>
                <w:sz w:val="18"/>
                <w:szCs w:val="18"/>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16,589</w:t>
            </w:r>
          </w:p>
        </w:tc>
        <w:tc>
          <w:tcPr>
            <w:tcW w:w="3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12,231</w:t>
            </w:r>
          </w:p>
        </w:tc>
        <w:tc>
          <w:tcPr>
            <w:tcW w:w="3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4,358</w:t>
            </w:r>
          </w:p>
        </w:tc>
        <w:tc>
          <w:tcPr>
            <w:tcW w:w="3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20" w:type="dxa"/>
            <w:vAlign w:val="bottom"/>
          </w:tcPr>
          <w:p>
            <w:pPr>
              <w:ind w:left="20"/>
              <w:spacing w:after="0"/>
              <w:rPr>
                <w:sz w:val="20"/>
                <w:szCs w:val="20"/>
                <w:color w:val="auto"/>
              </w:rPr>
            </w:pPr>
            <w:r>
              <w:rPr>
                <w:rFonts w:ascii="Arial" w:cs="Arial" w:eastAsia="Arial" w:hAnsi="Arial"/>
                <w:sz w:val="16"/>
                <w:szCs w:val="16"/>
                <w:color w:val="auto"/>
              </w:rPr>
              <w:t>Certificates of deposit</w:t>
            </w:r>
          </w:p>
        </w:tc>
        <w:tc>
          <w:tcPr>
            <w:tcW w:w="1180" w:type="dxa"/>
            <w:vAlign w:val="bottom"/>
          </w:tcPr>
          <w:p>
            <w:pPr>
              <w:jc w:val="right"/>
              <w:ind w:right="301"/>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E5E5E5"/>
          </w:tcPr>
          <w:p>
            <w:pPr>
              <w:ind w:left="20"/>
              <w:spacing w:after="0"/>
              <w:rPr>
                <w:sz w:val="20"/>
                <w:szCs w:val="20"/>
                <w:color w:val="auto"/>
              </w:rPr>
            </w:pPr>
            <w:r>
              <w:rPr>
                <w:rFonts w:ascii="Arial" w:cs="Arial" w:eastAsia="Arial" w:hAnsi="Arial"/>
                <w:sz w:val="16"/>
                <w:szCs w:val="16"/>
                <w:color w:val="auto"/>
              </w:rPr>
              <w:t>U.S. government</w:t>
            </w:r>
          </w:p>
        </w:tc>
        <w:tc>
          <w:tcPr>
            <w:tcW w:w="1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20" w:type="dxa"/>
            <w:vAlign w:val="bottom"/>
            <w:shd w:val="clear" w:color="auto" w:fill="E5E5E5"/>
          </w:tcPr>
          <w:p>
            <w:pPr>
              <w:ind w:left="240"/>
              <w:spacing w:after="0"/>
              <w:rPr>
                <w:sz w:val="20"/>
                <w:szCs w:val="20"/>
                <w:color w:val="auto"/>
              </w:rPr>
            </w:pPr>
            <w:r>
              <w:rPr>
                <w:rFonts w:ascii="Arial" w:cs="Arial" w:eastAsia="Arial" w:hAnsi="Arial"/>
                <w:sz w:val="16"/>
                <w:szCs w:val="16"/>
                <w:color w:val="auto"/>
              </w:rPr>
              <w:t>securities</w:t>
            </w:r>
          </w:p>
        </w:tc>
        <w:tc>
          <w:tcPr>
            <w:tcW w:w="1180" w:type="dxa"/>
            <w:vAlign w:val="bottom"/>
            <w:shd w:val="clear" w:color="auto" w:fill="E5E5E5"/>
          </w:tcPr>
          <w:p>
            <w:pPr>
              <w:jc w:val="right"/>
              <w:ind w:right="301"/>
              <w:spacing w:after="0"/>
              <w:rPr>
                <w:sz w:val="20"/>
                <w:szCs w:val="20"/>
                <w:color w:val="auto"/>
              </w:rPr>
            </w:pPr>
            <w:r>
              <w:rPr>
                <w:rFonts w:ascii="Arial" w:cs="Arial" w:eastAsia="Arial" w:hAnsi="Arial"/>
                <w:sz w:val="16"/>
                <w:szCs w:val="16"/>
                <w:color w:val="auto"/>
              </w:rPr>
              <w:t>Level 1</w:t>
            </w: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65,237</w:t>
            </w:r>
          </w:p>
        </w:tc>
        <w:tc>
          <w:tcPr>
            <w:tcW w:w="2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(3,870 )</w:t>
            </w:r>
          </w:p>
        </w:tc>
        <w:tc>
          <w:tcPr>
            <w:tcW w:w="18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61,369</w:t>
            </w:r>
          </w:p>
        </w:tc>
        <w:tc>
          <w:tcPr>
            <w:tcW w:w="2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2,991</w:t>
            </w: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58,378</w:t>
            </w: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20" w:type="dxa"/>
            <w:vAlign w:val="bottom"/>
          </w:tcPr>
          <w:p>
            <w:pPr>
              <w:ind w:left="20"/>
              <w:spacing w:after="0"/>
              <w:rPr>
                <w:sz w:val="20"/>
                <w:szCs w:val="20"/>
                <w:color w:val="auto"/>
              </w:rPr>
            </w:pPr>
            <w:r>
              <w:rPr>
                <w:rFonts w:ascii="Arial" w:cs="Arial" w:eastAsia="Arial" w:hAnsi="Arial"/>
                <w:sz w:val="16"/>
                <w:szCs w:val="16"/>
                <w:color w:val="auto"/>
              </w:rPr>
              <w:t>U.S. agency securities</w:t>
            </w:r>
          </w:p>
        </w:tc>
        <w:tc>
          <w:tcPr>
            <w:tcW w:w="1180" w:type="dxa"/>
            <w:vAlign w:val="bottom"/>
          </w:tcPr>
          <w:p>
            <w:pPr>
              <w:jc w:val="right"/>
              <w:ind w:right="301"/>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E5E5E5"/>
          </w:tcPr>
          <w:p>
            <w:pPr>
              <w:ind w:left="20"/>
              <w:spacing w:after="0"/>
              <w:rPr>
                <w:sz w:val="20"/>
                <w:szCs w:val="20"/>
                <w:color w:val="auto"/>
              </w:rPr>
            </w:pPr>
            <w:r>
              <w:rPr>
                <w:rFonts w:ascii="Arial" w:cs="Arial" w:eastAsia="Arial" w:hAnsi="Arial"/>
                <w:sz w:val="16"/>
                <w:szCs w:val="16"/>
                <w:color w:val="auto"/>
              </w:rPr>
              <w:t>Foreign government</w:t>
            </w:r>
          </w:p>
        </w:tc>
        <w:tc>
          <w:tcPr>
            <w:tcW w:w="1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20" w:type="dxa"/>
            <w:vAlign w:val="bottom"/>
            <w:shd w:val="clear" w:color="auto" w:fill="E5E5E5"/>
          </w:tcPr>
          <w:p>
            <w:pPr>
              <w:ind w:left="240"/>
              <w:spacing w:after="0"/>
              <w:rPr>
                <w:sz w:val="20"/>
                <w:szCs w:val="20"/>
                <w:color w:val="auto"/>
              </w:rPr>
            </w:pPr>
            <w:r>
              <w:rPr>
                <w:rFonts w:ascii="Arial" w:cs="Arial" w:eastAsia="Arial" w:hAnsi="Arial"/>
                <w:sz w:val="16"/>
                <w:szCs w:val="16"/>
                <w:color w:val="auto"/>
              </w:rPr>
              <w:t>bonds</w:t>
            </w:r>
          </w:p>
        </w:tc>
        <w:tc>
          <w:tcPr>
            <w:tcW w:w="1180" w:type="dxa"/>
            <w:vAlign w:val="bottom"/>
            <w:shd w:val="clear" w:color="auto" w:fill="E5E5E5"/>
          </w:tcPr>
          <w:p>
            <w:pPr>
              <w:jc w:val="right"/>
              <w:ind w:right="301"/>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498</w:t>
            </w:r>
          </w:p>
        </w:tc>
        <w:tc>
          <w:tcPr>
            <w:tcW w:w="2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(24 )</w:t>
            </w:r>
          </w:p>
        </w:tc>
        <w:tc>
          <w:tcPr>
            <w:tcW w:w="18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475</w:t>
            </w:r>
          </w:p>
        </w:tc>
        <w:tc>
          <w:tcPr>
            <w:tcW w:w="2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475</w:t>
            </w: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20" w:type="dxa"/>
            <w:vAlign w:val="bottom"/>
          </w:tcPr>
          <w:p>
            <w:pPr>
              <w:ind w:left="20"/>
              <w:spacing w:after="0"/>
              <w:rPr>
                <w:sz w:val="20"/>
                <w:szCs w:val="20"/>
                <w:color w:val="auto"/>
              </w:rPr>
            </w:pPr>
            <w:r>
              <w:rPr>
                <w:rFonts w:ascii="Arial" w:cs="Arial" w:eastAsia="Arial" w:hAnsi="Arial"/>
                <w:sz w:val="16"/>
                <w:szCs w:val="16"/>
                <w:color w:val="auto"/>
              </w:rPr>
              <w:t>Mortgage- and asset-</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40"/>
              <w:spacing w:after="0"/>
              <w:rPr>
                <w:sz w:val="20"/>
                <w:szCs w:val="20"/>
                <w:color w:val="auto"/>
              </w:rPr>
            </w:pPr>
            <w:r>
              <w:rPr>
                <w:rFonts w:ascii="Arial" w:cs="Arial" w:eastAsia="Arial" w:hAnsi="Arial"/>
                <w:sz w:val="16"/>
                <w:szCs w:val="16"/>
                <w:color w:val="auto"/>
              </w:rPr>
              <w:t>backed securities</w:t>
            </w:r>
          </w:p>
        </w:tc>
        <w:tc>
          <w:tcPr>
            <w:tcW w:w="1180" w:type="dxa"/>
            <w:vAlign w:val="bottom"/>
          </w:tcPr>
          <w:p>
            <w:pPr>
              <w:jc w:val="right"/>
              <w:ind w:right="301"/>
              <w:spacing w:after="0"/>
              <w:rPr>
                <w:sz w:val="20"/>
                <w:szCs w:val="20"/>
                <w:color w:val="auto"/>
              </w:rPr>
            </w:pPr>
            <w:r>
              <w:rPr>
                <w:rFonts w:ascii="Arial" w:cs="Arial" w:eastAsia="Arial" w:hAnsi="Arial"/>
                <w:sz w:val="16"/>
                <w:szCs w:val="16"/>
                <w:color w:val="auto"/>
              </w:rPr>
              <w:t>Level 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(39 )</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E5E5E5"/>
          </w:tcPr>
          <w:p>
            <w:pPr>
              <w:ind w:left="20"/>
              <w:spacing w:after="0"/>
              <w:rPr>
                <w:sz w:val="20"/>
                <w:szCs w:val="20"/>
                <w:color w:val="auto"/>
              </w:rPr>
            </w:pPr>
            <w:r>
              <w:rPr>
                <w:rFonts w:ascii="Arial" w:cs="Arial" w:eastAsia="Arial" w:hAnsi="Arial"/>
                <w:sz w:val="16"/>
                <w:szCs w:val="16"/>
                <w:color w:val="auto"/>
              </w:rPr>
              <w:t>Corporate notes and</w:t>
            </w:r>
          </w:p>
        </w:tc>
        <w:tc>
          <w:tcPr>
            <w:tcW w:w="1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20" w:type="dxa"/>
            <w:vAlign w:val="bottom"/>
            <w:shd w:val="clear" w:color="auto" w:fill="E5E5E5"/>
          </w:tcPr>
          <w:p>
            <w:pPr>
              <w:ind w:left="240"/>
              <w:spacing w:after="0"/>
              <w:rPr>
                <w:sz w:val="20"/>
                <w:szCs w:val="20"/>
                <w:color w:val="auto"/>
              </w:rPr>
            </w:pPr>
            <w:r>
              <w:rPr>
                <w:rFonts w:ascii="Arial" w:cs="Arial" w:eastAsia="Arial" w:hAnsi="Arial"/>
                <w:sz w:val="16"/>
                <w:szCs w:val="16"/>
                <w:color w:val="auto"/>
              </w:rPr>
              <w:t>bonds</w:t>
            </w:r>
          </w:p>
        </w:tc>
        <w:tc>
          <w:tcPr>
            <w:tcW w:w="1180" w:type="dxa"/>
            <w:vAlign w:val="bottom"/>
            <w:shd w:val="clear" w:color="auto" w:fill="E5E5E5"/>
          </w:tcPr>
          <w:p>
            <w:pPr>
              <w:jc w:val="right"/>
              <w:ind w:right="301"/>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10,809</w:t>
            </w:r>
          </w:p>
        </w:tc>
        <w:tc>
          <w:tcPr>
            <w:tcW w:w="2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(583 )</w:t>
            </w:r>
          </w:p>
        </w:tc>
        <w:tc>
          <w:tcPr>
            <w:tcW w:w="18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10,234</w:t>
            </w:r>
          </w:p>
        </w:tc>
        <w:tc>
          <w:tcPr>
            <w:tcW w:w="2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10,234</w:t>
            </w: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20" w:type="dxa"/>
            <w:vAlign w:val="bottom"/>
          </w:tcPr>
          <w:p>
            <w:pPr>
              <w:ind w:left="20"/>
              <w:spacing w:after="0"/>
              <w:rPr>
                <w:sz w:val="20"/>
                <w:szCs w:val="20"/>
                <w:color w:val="auto"/>
              </w:rPr>
            </w:pPr>
            <w:r>
              <w:rPr>
                <w:rFonts w:ascii="Arial" w:cs="Arial" w:eastAsia="Arial" w:hAnsi="Arial"/>
                <w:sz w:val="16"/>
                <w:szCs w:val="16"/>
                <w:color w:val="auto"/>
              </w:rPr>
              <w:t>Corporate notes and</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40"/>
              <w:spacing w:after="0"/>
              <w:rPr>
                <w:sz w:val="20"/>
                <w:szCs w:val="20"/>
                <w:color w:val="auto"/>
              </w:rPr>
            </w:pPr>
            <w:r>
              <w:rPr>
                <w:rFonts w:ascii="Arial" w:cs="Arial" w:eastAsia="Arial" w:hAnsi="Arial"/>
                <w:sz w:val="16"/>
                <w:szCs w:val="16"/>
                <w:color w:val="auto"/>
              </w:rPr>
              <w:t>bonds</w:t>
            </w:r>
          </w:p>
        </w:tc>
        <w:tc>
          <w:tcPr>
            <w:tcW w:w="1180" w:type="dxa"/>
            <w:vAlign w:val="bottom"/>
          </w:tcPr>
          <w:p>
            <w:pPr>
              <w:jc w:val="right"/>
              <w:ind w:right="301"/>
              <w:spacing w:after="0"/>
              <w:rPr>
                <w:sz w:val="20"/>
                <w:szCs w:val="20"/>
                <w:color w:val="auto"/>
              </w:rPr>
            </w:pPr>
            <w:r>
              <w:rPr>
                <w:rFonts w:ascii="Arial" w:cs="Arial" w:eastAsia="Arial" w:hAnsi="Arial"/>
                <w:sz w:val="16"/>
                <w:szCs w:val="16"/>
                <w:color w:val="auto"/>
              </w:rPr>
              <w:t>Level 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20" w:type="dxa"/>
            <w:vAlign w:val="bottom"/>
            <w:shd w:val="clear" w:color="auto" w:fill="E5E5E5"/>
          </w:tcPr>
          <w:p>
            <w:pPr>
              <w:ind w:left="20"/>
              <w:spacing w:after="0"/>
              <w:rPr>
                <w:sz w:val="20"/>
                <w:szCs w:val="20"/>
                <w:color w:val="auto"/>
              </w:rPr>
            </w:pPr>
            <w:r>
              <w:rPr>
                <w:rFonts w:ascii="Arial" w:cs="Arial" w:eastAsia="Arial" w:hAnsi="Arial"/>
                <w:sz w:val="16"/>
                <w:szCs w:val="16"/>
                <w:color w:val="auto"/>
              </w:rPr>
              <w:t>Municipal securities</w:t>
            </w:r>
          </w:p>
        </w:tc>
        <w:tc>
          <w:tcPr>
            <w:tcW w:w="1180" w:type="dxa"/>
            <w:vAlign w:val="bottom"/>
            <w:shd w:val="clear" w:color="auto" w:fill="E5E5E5"/>
          </w:tcPr>
          <w:p>
            <w:pPr>
              <w:jc w:val="right"/>
              <w:ind w:right="301"/>
              <w:spacing w:after="0"/>
              <w:rPr>
                <w:sz w:val="20"/>
                <w:szCs w:val="20"/>
                <w:color w:val="auto"/>
              </w:rPr>
            </w:pPr>
            <w:r>
              <w:rPr>
                <w:rFonts w:ascii="Arial" w:cs="Arial" w:eastAsia="Arial" w:hAnsi="Arial"/>
                <w:sz w:val="16"/>
                <w:szCs w:val="16"/>
                <w:color w:val="auto"/>
              </w:rPr>
              <w:t>Level 2</w:t>
            </w: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285</w:t>
            </w:r>
          </w:p>
        </w:tc>
        <w:tc>
          <w:tcPr>
            <w:tcW w:w="2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(18 )</w:t>
            </w:r>
          </w:p>
        </w:tc>
        <w:tc>
          <w:tcPr>
            <w:tcW w:w="18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268</w:t>
            </w:r>
          </w:p>
        </w:tc>
        <w:tc>
          <w:tcPr>
            <w:tcW w:w="2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261</w:t>
            </w: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2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180" w:type="dxa"/>
            <w:vAlign w:val="bottom"/>
          </w:tcPr>
          <w:p>
            <w:pPr>
              <w:jc w:val="right"/>
              <w:ind w:right="301"/>
              <w:spacing w:after="0"/>
              <w:rPr>
                <w:sz w:val="20"/>
                <w:szCs w:val="20"/>
                <w:color w:val="auto"/>
              </w:rPr>
            </w:pPr>
            <w:r>
              <w:rPr>
                <w:rFonts w:ascii="Arial" w:cs="Arial" w:eastAsia="Arial" w:hAnsi="Arial"/>
                <w:sz w:val="16"/>
                <w:szCs w:val="16"/>
                <w:color w:val="auto"/>
              </w:rPr>
              <w:t>Level 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(16 )</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20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E5E5E5"/>
          </w:tcPr>
          <w:p>
            <w:pPr>
              <w:ind w:left="240"/>
              <w:spacing w:after="0"/>
              <w:rPr>
                <w:sz w:val="20"/>
                <w:szCs w:val="20"/>
                <w:color w:val="auto"/>
              </w:rPr>
            </w:pPr>
            <w:r>
              <w:rPr>
                <w:rFonts w:ascii="Arial" w:cs="Arial" w:eastAsia="Arial" w:hAnsi="Arial"/>
                <w:sz w:val="16"/>
                <w:szCs w:val="16"/>
                <w:color w:val="auto"/>
              </w:rPr>
              <w:t>Total debt investments</w:t>
            </w:r>
          </w:p>
        </w:tc>
        <w:tc>
          <w:tcPr>
            <w:tcW w:w="1180" w:type="dxa"/>
            <w:vAlign w:val="bottom"/>
            <w:shd w:val="clear" w:color="auto" w:fill="E5E5E5"/>
          </w:tcPr>
          <w:p>
            <w:pPr>
              <w:spacing w:after="0"/>
              <w:rPr>
                <w:sz w:val="18"/>
                <w:szCs w:val="18"/>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99,869</w:t>
            </w:r>
          </w:p>
        </w:tc>
        <w:tc>
          <w:tcPr>
            <w:tcW w:w="40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w:t>
            </w:r>
          </w:p>
        </w:tc>
        <w:tc>
          <w:tcPr>
            <w:tcW w:w="3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(4,550 )</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95,332</w:t>
            </w:r>
          </w:p>
        </w:tc>
        <w:tc>
          <w:tcPr>
            <w:tcW w:w="3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18,780</w:t>
            </w:r>
          </w:p>
        </w:tc>
        <w:tc>
          <w:tcPr>
            <w:tcW w:w="3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76,552</w:t>
            </w:r>
          </w:p>
        </w:tc>
        <w:tc>
          <w:tcPr>
            <w:tcW w:w="3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Changes in Fair Value</w:t>
            </w:r>
          </w:p>
        </w:tc>
        <w:tc>
          <w:tcPr>
            <w:tcW w:w="11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2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20" w:type="dxa"/>
            <w:vAlign w:val="bottom"/>
          </w:tcPr>
          <w:p>
            <w:pPr>
              <w:ind w:left="240"/>
              <w:spacing w:after="0"/>
              <w:rPr>
                <w:sz w:val="20"/>
                <w:szCs w:val="20"/>
                <w:color w:val="auto"/>
              </w:rPr>
            </w:pPr>
            <w:r>
              <w:rPr>
                <w:rFonts w:ascii="Arial" w:cs="Arial" w:eastAsia="Arial" w:hAnsi="Arial"/>
                <w:sz w:val="13"/>
                <w:szCs w:val="13"/>
                <w:b w:val="1"/>
                <w:bCs w:val="1"/>
                <w:color w:val="auto"/>
              </w:rPr>
              <w:t>Recorded in Net Income</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E5E5E5"/>
          </w:tcPr>
          <w:p>
            <w:pPr>
              <w:ind w:left="20"/>
              <w:spacing w:after="0"/>
              <w:rPr>
                <w:sz w:val="20"/>
                <w:szCs w:val="20"/>
                <w:color w:val="auto"/>
              </w:rPr>
            </w:pPr>
            <w:r>
              <w:rPr>
                <w:rFonts w:ascii="Arial" w:cs="Arial" w:eastAsia="Arial" w:hAnsi="Arial"/>
                <w:sz w:val="16"/>
                <w:szCs w:val="16"/>
                <w:color w:val="auto"/>
              </w:rPr>
              <w:t>Equity investments</w:t>
            </w:r>
          </w:p>
        </w:tc>
        <w:tc>
          <w:tcPr>
            <w:tcW w:w="1180" w:type="dxa"/>
            <w:vAlign w:val="bottom"/>
            <w:shd w:val="clear" w:color="auto" w:fill="E5E5E5"/>
          </w:tcPr>
          <w:p>
            <w:pPr>
              <w:jc w:val="right"/>
              <w:ind w:right="301"/>
              <w:spacing w:after="0"/>
              <w:rPr>
                <w:sz w:val="20"/>
                <w:szCs w:val="20"/>
                <w:color w:val="auto"/>
              </w:rPr>
            </w:pPr>
            <w:r>
              <w:rPr>
                <w:rFonts w:ascii="Arial" w:cs="Arial" w:eastAsia="Arial" w:hAnsi="Arial"/>
                <w:sz w:val="16"/>
                <w:szCs w:val="16"/>
                <w:color w:val="auto"/>
              </w:rPr>
              <w:t>Level 1</w:t>
            </w: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10,138</w:t>
            </w:r>
          </w:p>
        </w:tc>
        <w:tc>
          <w:tcPr>
            <w:tcW w:w="3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7,446</w:t>
            </w:r>
          </w:p>
        </w:tc>
        <w:tc>
          <w:tcPr>
            <w:tcW w:w="3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3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2,692</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20" w:type="dxa"/>
            <w:vAlign w:val="bottom"/>
          </w:tcPr>
          <w:p>
            <w:pPr>
              <w:ind w:left="20"/>
              <w:spacing w:after="0"/>
              <w:rPr>
                <w:sz w:val="20"/>
                <w:szCs w:val="20"/>
                <w:color w:val="auto"/>
              </w:rPr>
            </w:pPr>
            <w:r>
              <w:rPr>
                <w:rFonts w:ascii="Arial" w:cs="Arial" w:eastAsia="Arial" w:hAnsi="Arial"/>
                <w:sz w:val="16"/>
                <w:szCs w:val="16"/>
                <w:color w:val="auto"/>
              </w:rPr>
              <w:t>Equity investments</w:t>
            </w:r>
          </w:p>
        </w:tc>
        <w:tc>
          <w:tcPr>
            <w:tcW w:w="1180" w:type="dxa"/>
            <w:vAlign w:val="bottom"/>
          </w:tcPr>
          <w:p>
            <w:pPr>
              <w:jc w:val="right"/>
              <w:ind w:right="361"/>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20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20" w:type="dxa"/>
            <w:vAlign w:val="bottom"/>
            <w:shd w:val="clear" w:color="auto" w:fill="E5E5E5"/>
          </w:tcPr>
          <w:p>
            <w:pPr>
              <w:ind w:left="240"/>
              <w:spacing w:after="0"/>
              <w:rPr>
                <w:sz w:val="20"/>
                <w:szCs w:val="20"/>
                <w:color w:val="auto"/>
              </w:rPr>
            </w:pPr>
            <w:r>
              <w:rPr>
                <w:rFonts w:ascii="Arial" w:cs="Arial" w:eastAsia="Arial" w:hAnsi="Arial"/>
                <w:sz w:val="16"/>
                <w:szCs w:val="16"/>
                <w:color w:val="auto"/>
              </w:rPr>
              <w:t>Total equity</w:t>
            </w:r>
          </w:p>
        </w:tc>
        <w:tc>
          <w:tcPr>
            <w:tcW w:w="1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20" w:type="dxa"/>
            <w:vAlign w:val="bottom"/>
            <w:shd w:val="clear" w:color="auto" w:fill="E5E5E5"/>
          </w:tcPr>
          <w:p>
            <w:pPr>
              <w:ind w:left="460"/>
              <w:spacing w:after="0"/>
              <w:rPr>
                <w:sz w:val="20"/>
                <w:szCs w:val="20"/>
                <w:color w:val="auto"/>
              </w:rPr>
            </w:pPr>
            <w:r>
              <w:rPr>
                <w:rFonts w:ascii="Arial" w:cs="Arial" w:eastAsia="Arial" w:hAnsi="Arial"/>
                <w:sz w:val="16"/>
                <w:szCs w:val="16"/>
                <w:color w:val="auto"/>
              </w:rPr>
              <w:t>investments</w:t>
            </w:r>
          </w:p>
        </w:tc>
        <w:tc>
          <w:tcPr>
            <w:tcW w:w="11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17,325</w:t>
            </w:r>
          </w:p>
        </w:tc>
        <w:tc>
          <w:tcPr>
            <w:tcW w:w="3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7,446</w:t>
            </w:r>
          </w:p>
        </w:tc>
        <w:tc>
          <w:tcPr>
            <w:tcW w:w="3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36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9,879</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2020" w:type="dxa"/>
            <w:vAlign w:val="bottom"/>
          </w:tcPr>
          <w:p>
            <w:pPr>
              <w:ind w:left="20"/>
              <w:spacing w:after="0"/>
              <w:rPr>
                <w:sz w:val="20"/>
                <w:szCs w:val="20"/>
                <w:color w:val="auto"/>
              </w:rPr>
            </w:pPr>
            <w:r>
              <w:rPr>
                <w:rFonts w:ascii="Arial" w:cs="Arial" w:eastAsia="Arial" w:hAnsi="Arial"/>
                <w:sz w:val="16"/>
                <w:szCs w:val="16"/>
                <w:color w:val="auto"/>
              </w:rPr>
              <w:t>Cash</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8,478</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8,478</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20" w:type="dxa"/>
            <w:vAlign w:val="bottom"/>
            <w:shd w:val="clear" w:color="auto" w:fill="E5E5E5"/>
          </w:tcPr>
          <w:p>
            <w:pPr>
              <w:ind w:left="20"/>
              <w:spacing w:after="0" w:line="217" w:lineRule="exact"/>
              <w:rPr>
                <w:sz w:val="20"/>
                <w:szCs w:val="20"/>
                <w:color w:val="auto"/>
              </w:rPr>
            </w:pPr>
            <w:r>
              <w:rPr>
                <w:rFonts w:ascii="Arial" w:cs="Arial" w:eastAsia="Arial" w:hAnsi="Arial"/>
                <w:sz w:val="16"/>
                <w:szCs w:val="16"/>
                <w:color w:val="auto"/>
              </w:rPr>
              <w:t xml:space="preserve">Derivatives, net </w:t>
            </w:r>
            <w:r>
              <w:rPr>
                <w:rFonts w:ascii="Arial" w:cs="Arial" w:eastAsia="Arial" w:hAnsi="Arial"/>
                <w:sz w:val="21"/>
                <w:szCs w:val="21"/>
                <w:color w:val="auto"/>
                <w:vertAlign w:val="superscript"/>
              </w:rPr>
              <w:t>(a)</w:t>
            </w:r>
          </w:p>
        </w:tc>
        <w:tc>
          <w:tcPr>
            <w:tcW w:w="11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2020" w:type="dxa"/>
            <w:vAlign w:val="bottom"/>
          </w:tcPr>
          <w:p>
            <w:pPr>
              <w:ind w:left="240"/>
              <w:spacing w:after="0"/>
              <w:rPr>
                <w:sz w:val="20"/>
                <w:szCs w:val="20"/>
                <w:color w:val="auto"/>
              </w:rPr>
            </w:pPr>
            <w:r>
              <w:rPr>
                <w:rFonts w:ascii="Arial" w:cs="Arial" w:eastAsia="Arial" w:hAnsi="Arial"/>
                <w:sz w:val="16"/>
                <w:szCs w:val="16"/>
                <w:color w:val="auto"/>
              </w:rPr>
              <w:t>Total</w:t>
            </w: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121,141</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34,704</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76,558</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9,879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43815</wp:posOffset>
            </wp:positionV>
            <wp:extent cx="28803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80360" cy="17145"/>
                    </a:xfrm>
                    <a:prstGeom prst="rect">
                      <a:avLst/>
                    </a:prstGeom>
                    <a:noFill/>
                  </pic:spPr>
                </pic:pic>
              </a:graphicData>
            </a:graphic>
          </wp:anchor>
        </w:drawing>
      </w:r>
    </w:p>
    <w:p>
      <w:pPr>
        <w:spacing w:after="0" w:line="141"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fair value of our derivative instruments.</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Equity investments presented as “Other” in the tables above include investments without readily determinable fair values measured using the equity method or measured at cost with adjustments for observable changes in price or impairments, and investments measured at fair value using net asset value as a practical expedient which are not categorized in the fair value hierarchy. As of June 30, 2024 and 2023, equity investments without readily determinable fair values measured at cost with adjustments for observable changes in price or impairments were $3.9 billion and $4.2 billion,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1" w:name="page72"/>
    <w:bookmarkEnd w:id="71"/>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 on Debt Investments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Debt investments with continuous unrealized losses for less than 12 months and 12 months or greater and their related fair values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2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rPr>
              <w:t>Less than 12 Months</w:t>
            </w:r>
          </w:p>
        </w:tc>
        <w:tc>
          <w:tcPr>
            <w:tcW w:w="300" w:type="dxa"/>
            <w:vAlign w:val="bottom"/>
          </w:tcPr>
          <w:p>
            <w:pPr>
              <w:spacing w:after="0"/>
              <w:rPr>
                <w:sz w:val="16"/>
                <w:szCs w:val="16"/>
                <w:color w:val="auto"/>
              </w:rPr>
            </w:pPr>
          </w:p>
        </w:tc>
        <w:tc>
          <w:tcPr>
            <w:tcW w:w="238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rPr>
              <w:t>12 Months or Greater</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Unrealized</w:t>
            </w: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80" w:type="dxa"/>
            <w:vAlign w:val="bottom"/>
          </w:tcPr>
          <w:p>
            <w:pPr>
              <w:spacing w:after="0"/>
              <w:rPr>
                <w:sz w:val="5"/>
                <w:szCs w:val="5"/>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Fair Value</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86"/>
        </w:trPr>
        <w:tc>
          <w:tcPr>
            <w:tcW w:w="32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Losses</w:t>
            </w: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58"/>
        </w:trPr>
        <w:tc>
          <w:tcPr>
            <w:tcW w:w="3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3280" w:type="dxa"/>
            <w:vAlign w:val="bottom"/>
          </w:tcPr>
          <w:p>
            <w:pPr>
              <w:ind w:left="20"/>
              <w:spacing w:after="0"/>
              <w:rPr>
                <w:sz w:val="20"/>
                <w:szCs w:val="20"/>
                <w:color w:val="auto"/>
              </w:rPr>
            </w:pPr>
            <w:r>
              <w:rPr>
                <w:rFonts w:ascii="Arial" w:cs="Arial" w:eastAsia="Arial" w:hAnsi="Arial"/>
                <w:sz w:val="13"/>
                <w:szCs w:val="13"/>
                <w:b w:val="1"/>
                <w:bCs w:val="1"/>
                <w:color w:val="auto"/>
              </w:rPr>
              <w:t>June 30, 2024</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3280" w:type="dxa"/>
            <w:vAlign w:val="bottom"/>
            <w:shd w:val="clear" w:color="auto" w:fill="E5E5E5"/>
          </w:tcPr>
          <w:p>
            <w:pPr>
              <w:ind w:left="20"/>
              <w:spacing w:after="0" w:line="197" w:lineRule="exact"/>
              <w:rPr>
                <w:sz w:val="20"/>
                <w:szCs w:val="20"/>
                <w:color w:val="auto"/>
              </w:rPr>
            </w:pPr>
            <w:r>
              <w:rPr>
                <w:rFonts w:ascii="Arial" w:cs="Arial" w:eastAsia="Arial" w:hAnsi="Arial"/>
                <w:sz w:val="18"/>
                <w:szCs w:val="18"/>
                <w:color w:val="auto"/>
              </w:rPr>
              <w:t>U.S. government and agency</w:t>
            </w:r>
          </w:p>
        </w:tc>
        <w:tc>
          <w:tcPr>
            <w:tcW w:w="3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securities</w:t>
            </w:r>
          </w:p>
        </w:tc>
        <w:tc>
          <w:tcPr>
            <w:tcW w:w="30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529</w:t>
            </w:r>
          </w:p>
        </w:tc>
        <w:tc>
          <w:tcPr>
            <w:tcW w:w="5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(12 )</w:t>
            </w:r>
          </w:p>
        </w:tc>
        <w:tc>
          <w:tcPr>
            <w:tcW w:w="30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45,821</w:t>
            </w:r>
          </w:p>
        </w:tc>
        <w:tc>
          <w:tcPr>
            <w:tcW w:w="4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(2,936 )</w:t>
            </w: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46,350</w:t>
            </w:r>
          </w:p>
        </w:tc>
        <w:tc>
          <w:tcPr>
            <w:tcW w:w="4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(2,948 )</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Foreign government bonds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(2 )</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(14 )</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259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(16 )</w:t>
            </w:r>
          </w:p>
        </w:tc>
        <w:tc>
          <w:tcPr>
            <w:tcW w:w="0" w:type="dxa"/>
            <w:vAlign w:val="bottom"/>
          </w:tcPr>
          <w:p>
            <w:pPr>
              <w:spacing w:after="0"/>
              <w:rPr>
                <w:sz w:val="1"/>
                <w:szCs w:val="1"/>
                <w:color w:val="auto"/>
              </w:rPr>
            </w:pPr>
          </w:p>
        </w:tc>
      </w:tr>
      <w:tr>
        <w:trPr>
          <w:trHeight w:val="229"/>
        </w:trPr>
        <w:tc>
          <w:tcPr>
            <w:tcW w:w="3280" w:type="dxa"/>
            <w:vAlign w:val="bottom"/>
            <w:shd w:val="clear" w:color="auto" w:fill="E5E5E5"/>
          </w:tcPr>
          <w:p>
            <w:pPr>
              <w:ind w:left="20"/>
              <w:spacing w:after="0"/>
              <w:rPr>
                <w:sz w:val="20"/>
                <w:szCs w:val="20"/>
                <w:color w:val="auto"/>
              </w:rPr>
            </w:pPr>
            <w:r>
              <w:rPr>
                <w:rFonts w:ascii="Arial" w:cs="Arial" w:eastAsia="Arial" w:hAnsi="Arial"/>
                <w:sz w:val="18"/>
                <w:szCs w:val="18"/>
                <w:color w:val="auto"/>
              </w:rPr>
              <w:t>Mortgage- and asset-backed securities</w:t>
            </w:r>
          </w:p>
        </w:tc>
        <w:tc>
          <w:tcPr>
            <w:tcW w:w="30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201</w:t>
            </w:r>
          </w:p>
        </w:tc>
        <w:tc>
          <w:tcPr>
            <w:tcW w:w="26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11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(1 )</w:t>
            </w:r>
          </w:p>
        </w:tc>
        <w:tc>
          <w:tcPr>
            <w:tcW w:w="30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409</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10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(34 )</w:t>
            </w: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610</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(35 )</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Corporate notes and bonds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1,310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(9 )</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5,779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(310 )</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7,089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(319 )</w:t>
            </w:r>
          </w:p>
        </w:tc>
        <w:tc>
          <w:tcPr>
            <w:tcW w:w="0" w:type="dxa"/>
            <w:vAlign w:val="bottom"/>
          </w:tcPr>
          <w:p>
            <w:pPr>
              <w:spacing w:after="0"/>
              <w:rPr>
                <w:sz w:val="1"/>
                <w:szCs w:val="1"/>
                <w:color w:val="auto"/>
              </w:rPr>
            </w:pPr>
          </w:p>
        </w:tc>
      </w:tr>
      <w:tr>
        <w:trPr>
          <w:trHeight w:val="230"/>
        </w:trPr>
        <w:tc>
          <w:tcPr>
            <w:tcW w:w="3280" w:type="dxa"/>
            <w:vAlign w:val="bottom"/>
            <w:shd w:val="clear" w:color="auto" w:fill="E5E5E5"/>
          </w:tcPr>
          <w:p>
            <w:pPr>
              <w:ind w:left="20"/>
              <w:spacing w:after="0"/>
              <w:rPr>
                <w:sz w:val="20"/>
                <w:szCs w:val="20"/>
                <w:color w:val="auto"/>
              </w:rPr>
            </w:pPr>
            <w:r>
              <w:rPr>
                <w:rFonts w:ascii="Arial" w:cs="Arial" w:eastAsia="Arial" w:hAnsi="Arial"/>
                <w:sz w:val="18"/>
                <w:szCs w:val="18"/>
                <w:color w:val="auto"/>
              </w:rPr>
              <w:t>Municipal securities</w:t>
            </w:r>
          </w:p>
        </w:tc>
        <w:tc>
          <w:tcPr>
            <w:tcW w:w="30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38</w:t>
            </w:r>
          </w:p>
        </w:tc>
        <w:tc>
          <w:tcPr>
            <w:tcW w:w="26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11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(1 )</w:t>
            </w:r>
          </w:p>
        </w:tc>
        <w:tc>
          <w:tcPr>
            <w:tcW w:w="30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243</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10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(29 )</w:t>
            </w: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281</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(30 )</w:t>
            </w:r>
          </w:p>
        </w:tc>
        <w:tc>
          <w:tcPr>
            <w:tcW w:w="0" w:type="dxa"/>
            <w:vAlign w:val="bottom"/>
          </w:tcPr>
          <w:p>
            <w:pPr>
              <w:spacing w:after="0"/>
              <w:rPr>
                <w:sz w:val="1"/>
                <w:szCs w:val="1"/>
                <w:color w:val="auto"/>
              </w:rPr>
            </w:pPr>
          </w:p>
        </w:tc>
      </w:tr>
      <w:tr>
        <w:trPr>
          <w:trHeight w:val="68"/>
        </w:trPr>
        <w:tc>
          <w:tcPr>
            <w:tcW w:w="3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3280" w:type="dxa"/>
            <w:vAlign w:val="bottom"/>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2,157</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(25 )</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52,432</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(3,323 )</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54,589</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(3,348 )</w:t>
            </w:r>
          </w:p>
        </w:tc>
        <w:tc>
          <w:tcPr>
            <w:tcW w:w="0" w:type="dxa"/>
            <w:vAlign w:val="bottom"/>
          </w:tcPr>
          <w:p>
            <w:pPr>
              <w:spacing w:after="0"/>
              <w:rPr>
                <w:sz w:val="1"/>
                <w:szCs w:val="1"/>
                <w:color w:val="auto"/>
              </w:rPr>
            </w:pPr>
          </w:p>
        </w:tc>
      </w:tr>
      <w:tr>
        <w:trPr>
          <w:trHeight w:val="63"/>
        </w:trPr>
        <w:tc>
          <w:tcPr>
            <w:tcW w:w="32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Borders>
              <w:bottom w:val="single" w:sz="8" w:color="auto"/>
            </w:tcBorders>
            <w:gridSpan w:val="2"/>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Borders>
              <w:bottom w:val="single" w:sz="8" w:color="auto"/>
            </w:tcBorders>
            <w:gridSpan w:val="2"/>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4"/>
        </w:trPr>
        <w:tc>
          <w:tcPr>
            <w:tcW w:w="3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rPr>
              <w:t>Less than 12 Months</w:t>
            </w:r>
          </w:p>
        </w:tc>
        <w:tc>
          <w:tcPr>
            <w:tcW w:w="300" w:type="dxa"/>
            <w:vAlign w:val="bottom"/>
          </w:tcPr>
          <w:p>
            <w:pPr>
              <w:spacing w:after="0"/>
              <w:rPr>
                <w:sz w:val="24"/>
                <w:szCs w:val="24"/>
                <w:color w:val="auto"/>
              </w:rPr>
            </w:pPr>
          </w:p>
        </w:tc>
        <w:tc>
          <w:tcPr>
            <w:tcW w:w="238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rPr>
              <w:t>12 Months or Greater</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Unrealized</w:t>
            </w: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80" w:type="dxa"/>
            <w:vAlign w:val="bottom"/>
          </w:tcPr>
          <w:p>
            <w:pPr>
              <w:spacing w:after="0"/>
              <w:rPr>
                <w:sz w:val="5"/>
                <w:szCs w:val="5"/>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Fair Value</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86"/>
        </w:trPr>
        <w:tc>
          <w:tcPr>
            <w:tcW w:w="32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Losses</w:t>
            </w: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58"/>
        </w:trPr>
        <w:tc>
          <w:tcPr>
            <w:tcW w:w="3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3280" w:type="dxa"/>
            <w:vAlign w:val="bottom"/>
          </w:tcPr>
          <w:p>
            <w:pPr>
              <w:ind w:left="20"/>
              <w:spacing w:after="0"/>
              <w:rPr>
                <w:sz w:val="20"/>
                <w:szCs w:val="20"/>
                <w:color w:val="auto"/>
              </w:rPr>
            </w:pPr>
            <w:r>
              <w:rPr>
                <w:rFonts w:ascii="Arial" w:cs="Arial" w:eastAsia="Arial" w:hAnsi="Arial"/>
                <w:sz w:val="13"/>
                <w:szCs w:val="13"/>
                <w:b w:val="1"/>
                <w:bCs w:val="1"/>
                <w:color w:val="auto"/>
              </w:rPr>
              <w:t>June 30, 2023</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3280" w:type="dxa"/>
            <w:vAlign w:val="bottom"/>
            <w:shd w:val="clear" w:color="auto" w:fill="E5E5E5"/>
          </w:tcPr>
          <w:p>
            <w:pPr>
              <w:ind w:left="20"/>
              <w:spacing w:after="0" w:line="197" w:lineRule="exact"/>
              <w:rPr>
                <w:sz w:val="20"/>
                <w:szCs w:val="20"/>
                <w:color w:val="auto"/>
              </w:rPr>
            </w:pPr>
            <w:r>
              <w:rPr>
                <w:rFonts w:ascii="Arial" w:cs="Arial" w:eastAsia="Arial" w:hAnsi="Arial"/>
                <w:sz w:val="18"/>
                <w:szCs w:val="18"/>
                <w:color w:val="auto"/>
              </w:rPr>
              <w:t>U.S. government and agency</w:t>
            </w:r>
          </w:p>
        </w:tc>
        <w:tc>
          <w:tcPr>
            <w:tcW w:w="3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securities</w:t>
            </w:r>
          </w:p>
        </w:tc>
        <w:tc>
          <w:tcPr>
            <w:tcW w:w="30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7,950</w:t>
            </w:r>
          </w:p>
        </w:tc>
        <w:tc>
          <w:tcPr>
            <w:tcW w:w="5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(336 )</w:t>
            </w:r>
          </w:p>
        </w:tc>
        <w:tc>
          <w:tcPr>
            <w:tcW w:w="30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45,273</w:t>
            </w:r>
          </w:p>
        </w:tc>
        <w:tc>
          <w:tcPr>
            <w:tcW w:w="4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(3,534 )</w:t>
            </w: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53,223</w:t>
            </w:r>
          </w:p>
        </w:tc>
        <w:tc>
          <w:tcPr>
            <w:tcW w:w="4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(3,870 )</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Foreign government bonds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(5 )</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(19 )</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0"/>
        </w:trPr>
        <w:tc>
          <w:tcPr>
            <w:tcW w:w="3280" w:type="dxa"/>
            <w:vAlign w:val="bottom"/>
            <w:shd w:val="clear" w:color="auto" w:fill="E5E5E5"/>
          </w:tcPr>
          <w:p>
            <w:pPr>
              <w:ind w:left="20"/>
              <w:spacing w:after="0"/>
              <w:rPr>
                <w:sz w:val="20"/>
                <w:szCs w:val="20"/>
                <w:color w:val="auto"/>
              </w:rPr>
            </w:pPr>
            <w:r>
              <w:rPr>
                <w:rFonts w:ascii="Arial" w:cs="Arial" w:eastAsia="Arial" w:hAnsi="Arial"/>
                <w:sz w:val="18"/>
                <w:szCs w:val="18"/>
                <w:color w:val="auto"/>
              </w:rPr>
              <w:t>Mortgage- and asset-backed securities</w:t>
            </w:r>
          </w:p>
        </w:tc>
        <w:tc>
          <w:tcPr>
            <w:tcW w:w="30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257</w:t>
            </w:r>
          </w:p>
        </w:tc>
        <w:tc>
          <w:tcPr>
            <w:tcW w:w="26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11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(5 )</w:t>
            </w:r>
          </w:p>
        </w:tc>
        <w:tc>
          <w:tcPr>
            <w:tcW w:w="30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412</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10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(34 )</w:t>
            </w: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669</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Corporate notes and bonds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(49 )</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7,336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(534 )</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9,662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(583 )</w:t>
            </w:r>
          </w:p>
        </w:tc>
        <w:tc>
          <w:tcPr>
            <w:tcW w:w="0" w:type="dxa"/>
            <w:vAlign w:val="bottom"/>
          </w:tcPr>
          <w:p>
            <w:pPr>
              <w:spacing w:after="0"/>
              <w:rPr>
                <w:sz w:val="1"/>
                <w:szCs w:val="1"/>
                <w:color w:val="auto"/>
              </w:rPr>
            </w:pPr>
          </w:p>
        </w:tc>
      </w:tr>
      <w:tr>
        <w:trPr>
          <w:trHeight w:val="229"/>
        </w:trPr>
        <w:tc>
          <w:tcPr>
            <w:tcW w:w="3280" w:type="dxa"/>
            <w:vAlign w:val="bottom"/>
            <w:shd w:val="clear" w:color="auto" w:fill="E5E5E5"/>
          </w:tcPr>
          <w:p>
            <w:pPr>
              <w:ind w:left="20"/>
              <w:spacing w:after="0"/>
              <w:rPr>
                <w:sz w:val="20"/>
                <w:szCs w:val="20"/>
                <w:color w:val="auto"/>
              </w:rPr>
            </w:pPr>
            <w:r>
              <w:rPr>
                <w:rFonts w:ascii="Arial" w:cs="Arial" w:eastAsia="Arial" w:hAnsi="Arial"/>
                <w:sz w:val="18"/>
                <w:szCs w:val="18"/>
                <w:color w:val="auto"/>
              </w:rPr>
              <w:t>Municipal securities</w:t>
            </w:r>
          </w:p>
        </w:tc>
        <w:tc>
          <w:tcPr>
            <w:tcW w:w="30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11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(3 )</w:t>
            </w:r>
          </w:p>
        </w:tc>
        <w:tc>
          <w:tcPr>
            <w:tcW w:w="30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186</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10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(31 )</w:t>
            </w: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297</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68"/>
        </w:trPr>
        <w:tc>
          <w:tcPr>
            <w:tcW w:w="3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3280" w:type="dxa"/>
            <w:vAlign w:val="bottom"/>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10,721</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(398 )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53,598</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(4,152 )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64,319</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(4,550 )</w:t>
            </w:r>
          </w:p>
        </w:tc>
        <w:tc>
          <w:tcPr>
            <w:tcW w:w="0" w:type="dxa"/>
            <w:vAlign w:val="bottom"/>
          </w:tcPr>
          <w:p>
            <w:pPr>
              <w:spacing w:after="0"/>
              <w:rPr>
                <w:sz w:val="1"/>
                <w:szCs w:val="1"/>
                <w:color w:val="auto"/>
              </w:rPr>
            </w:pPr>
          </w:p>
        </w:tc>
      </w:tr>
      <w:tr>
        <w:trPr>
          <w:trHeight w:val="70"/>
        </w:trPr>
        <w:tc>
          <w:tcPr>
            <w:tcW w:w="32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Unrealized losses from fixed-income securities are primarily attributable to changes in interest rates. Management does not believe any remaining unrealized losses represent impairments based on our evaluation of available evidence.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Maturities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debt investments as of June 30, 2024: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3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Adjusted</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86"/>
        </w:trPr>
        <w:tc>
          <w:tcPr>
            <w:tcW w:w="4260" w:type="dxa"/>
            <w:vAlign w:val="bottom"/>
            <w:vMerge w:val="continue"/>
          </w:tcPr>
          <w:p>
            <w:pPr>
              <w:spacing w:after="0"/>
              <w:rPr>
                <w:sz w:val="16"/>
                <w:szCs w:val="16"/>
                <w:color w:val="auto"/>
              </w:rPr>
            </w:pPr>
          </w:p>
        </w:tc>
        <w:tc>
          <w:tcPr>
            <w:tcW w:w="3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Cost Basis</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58"/>
        </w:trPr>
        <w:tc>
          <w:tcPr>
            <w:tcW w:w="4260" w:type="dxa"/>
            <w:vAlign w:val="bottom"/>
            <w:tcBorders>
              <w:bottom w:val="single" w:sz="8" w:color="auto"/>
            </w:tcBorders>
          </w:tcPr>
          <w:p>
            <w:pPr>
              <w:spacing w:after="0"/>
              <w:rPr>
                <w:sz w:val="5"/>
                <w:szCs w:val="5"/>
                <w:color w:val="auto"/>
              </w:rPr>
            </w:pPr>
          </w:p>
        </w:tc>
        <w:tc>
          <w:tcPr>
            <w:tcW w:w="37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4260" w:type="dxa"/>
            <w:vAlign w:val="bottom"/>
          </w:tcPr>
          <w:p>
            <w:pPr>
              <w:ind w:left="20"/>
              <w:spacing w:after="0"/>
              <w:rPr>
                <w:sz w:val="20"/>
                <w:szCs w:val="20"/>
                <w:color w:val="auto"/>
              </w:rPr>
            </w:pPr>
            <w:r>
              <w:rPr>
                <w:rFonts w:ascii="Arial" w:cs="Arial" w:eastAsia="Arial" w:hAnsi="Arial"/>
                <w:sz w:val="13"/>
                <w:szCs w:val="13"/>
                <w:b w:val="1"/>
                <w:bCs w:val="1"/>
                <w:color w:val="auto"/>
              </w:rPr>
              <w:t>June 30, 2024</w:t>
            </w:r>
          </w:p>
        </w:tc>
        <w:tc>
          <w:tcPr>
            <w:tcW w:w="3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4260" w:type="dxa"/>
            <w:vAlign w:val="bottom"/>
          </w:tcPr>
          <w:p>
            <w:pPr>
              <w:spacing w:after="0"/>
              <w:rPr>
                <w:sz w:val="5"/>
                <w:szCs w:val="5"/>
                <w:color w:val="auto"/>
              </w:rPr>
            </w:pPr>
          </w:p>
        </w:tc>
        <w:tc>
          <w:tcPr>
            <w:tcW w:w="3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E5E5E5"/>
          </w:tcPr>
          <w:p>
            <w:pPr>
              <w:ind w:left="20"/>
              <w:spacing w:after="0"/>
              <w:rPr>
                <w:sz w:val="20"/>
                <w:szCs w:val="20"/>
                <w:color w:val="auto"/>
              </w:rPr>
            </w:pPr>
            <w:r>
              <w:rPr>
                <w:rFonts w:ascii="Arial" w:cs="Arial" w:eastAsia="Arial" w:hAnsi="Arial"/>
                <w:sz w:val="18"/>
                <w:szCs w:val="18"/>
                <w:color w:val="auto"/>
              </w:rPr>
              <w:t>Due in one year or less</w:t>
            </w:r>
          </w:p>
        </w:tc>
        <w:tc>
          <w:tcPr>
            <w:tcW w:w="4160" w:type="dxa"/>
            <w:vAlign w:val="bottom"/>
            <w:gridSpan w:val="2"/>
            <w:shd w:val="clear" w:color="auto" w:fill="E5E5E5"/>
          </w:tcPr>
          <w:p>
            <w:pPr>
              <w:jc w:val="right"/>
              <w:ind w:right="3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19,815</w:t>
            </w:r>
          </w:p>
        </w:tc>
        <w:tc>
          <w:tcPr>
            <w:tcW w:w="700" w:type="dxa"/>
            <w:vAlign w:val="bottom"/>
            <w:gridSpan w:val="2"/>
            <w:shd w:val="clear" w:color="auto" w:fill="E5E5E5"/>
          </w:tcPr>
          <w:p>
            <w:pPr>
              <w:jc w:val="right"/>
              <w:ind w:right="3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19,596</w:t>
            </w:r>
          </w:p>
        </w:tc>
        <w:tc>
          <w:tcPr>
            <w:tcW w:w="12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3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38,954</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36,779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E5E5E5"/>
          </w:tcPr>
          <w:p>
            <w:pPr>
              <w:ind w:left="20"/>
              <w:spacing w:after="0"/>
              <w:rPr>
                <w:sz w:val="20"/>
                <w:szCs w:val="20"/>
                <w:color w:val="auto"/>
              </w:rPr>
            </w:pPr>
            <w:r>
              <w:rPr>
                <w:rFonts w:ascii="Arial" w:cs="Arial" w:eastAsia="Arial" w:hAnsi="Arial"/>
                <w:sz w:val="18"/>
                <w:szCs w:val="18"/>
                <w:color w:val="auto"/>
              </w:rPr>
              <w:t>Due after five years through 10 years</w:t>
            </w:r>
          </w:p>
        </w:tc>
        <w:tc>
          <w:tcPr>
            <w:tcW w:w="3720" w:type="dxa"/>
            <w:vAlign w:val="bottom"/>
            <w:shd w:val="clear" w:color="auto" w:fill="E5E5E5"/>
          </w:tcPr>
          <w:p>
            <w:pPr>
              <w:spacing w:after="0"/>
              <w:rPr>
                <w:sz w:val="19"/>
                <w:szCs w:val="19"/>
                <w:color w:val="auto"/>
              </w:rPr>
            </w:pPr>
          </w:p>
        </w:tc>
        <w:tc>
          <w:tcPr>
            <w:tcW w:w="44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8,028</w:t>
            </w:r>
          </w:p>
        </w:tc>
        <w:tc>
          <w:tcPr>
            <w:tcW w:w="260" w:type="dxa"/>
            <w:vAlign w:val="bottom"/>
            <w:shd w:val="clear" w:color="auto" w:fill="E5E5E5"/>
          </w:tcPr>
          <w:p>
            <w:pPr>
              <w:spacing w:after="0"/>
              <w:rPr>
                <w:sz w:val="19"/>
                <w:szCs w:val="19"/>
                <w:color w:val="auto"/>
              </w:rPr>
            </w:pPr>
          </w:p>
        </w:tc>
        <w:tc>
          <w:tcPr>
            <w:tcW w:w="440" w:type="dxa"/>
            <w:vAlign w:val="bottom"/>
            <w:shd w:val="clear" w:color="auto" w:fill="E5E5E5"/>
          </w:tcPr>
          <w:p>
            <w:pPr>
              <w:spacing w:after="0"/>
              <w:rPr>
                <w:sz w:val="19"/>
                <w:szCs w:val="19"/>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7,242</w:t>
            </w:r>
          </w:p>
        </w:tc>
        <w:tc>
          <w:tcPr>
            <w:tcW w:w="12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260" w:type="dxa"/>
            <w:vAlign w:val="bottom"/>
          </w:tcPr>
          <w:p>
            <w:pPr>
              <w:ind w:left="20"/>
              <w:spacing w:after="0"/>
              <w:rPr>
                <w:sz w:val="20"/>
                <w:szCs w:val="20"/>
                <w:color w:val="auto"/>
              </w:rPr>
            </w:pPr>
            <w:r>
              <w:rPr>
                <w:rFonts w:ascii="Arial" w:cs="Arial" w:eastAsia="Arial" w:hAnsi="Arial"/>
                <w:sz w:val="18"/>
                <w:szCs w:val="18"/>
                <w:color w:val="auto"/>
              </w:rPr>
              <w:t>Due after 10 years</w:t>
            </w:r>
          </w:p>
        </w:tc>
        <w:tc>
          <w:tcPr>
            <w:tcW w:w="3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1,412</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1,282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4260" w:type="dxa"/>
            <w:vAlign w:val="bottom"/>
            <w:tcBorders>
              <w:bottom w:val="single" w:sz="8" w:color="auto"/>
            </w:tcBorders>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260" w:type="dxa"/>
            <w:vAlign w:val="bottom"/>
          </w:tcPr>
          <w:p>
            <w:pPr>
              <w:spacing w:after="0"/>
              <w:rPr>
                <w:sz w:val="5"/>
                <w:szCs w:val="5"/>
                <w:color w:val="auto"/>
              </w:rPr>
            </w:pPr>
          </w:p>
        </w:tc>
        <w:tc>
          <w:tcPr>
            <w:tcW w:w="3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4160" w:type="dxa"/>
            <w:vAlign w:val="bottom"/>
            <w:gridSpan w:val="2"/>
            <w:shd w:val="clear" w:color="auto" w:fill="E5E5E5"/>
          </w:tcPr>
          <w:p>
            <w:pPr>
              <w:jc w:val="right"/>
              <w:ind w:right="3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68,209</w:t>
            </w:r>
          </w:p>
        </w:tc>
        <w:tc>
          <w:tcPr>
            <w:tcW w:w="700" w:type="dxa"/>
            <w:vAlign w:val="bottom"/>
            <w:gridSpan w:val="2"/>
            <w:shd w:val="clear" w:color="auto" w:fill="E5E5E5"/>
          </w:tcPr>
          <w:p>
            <w:pPr>
              <w:jc w:val="right"/>
              <w:ind w:right="3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64,899</w:t>
            </w:r>
          </w:p>
        </w:tc>
        <w:tc>
          <w:tcPr>
            <w:tcW w:w="12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4260" w:type="dxa"/>
            <w:vAlign w:val="bottom"/>
          </w:tcPr>
          <w:p>
            <w:pPr>
              <w:spacing w:after="0"/>
              <w:rPr>
                <w:sz w:val="6"/>
                <w:szCs w:val="6"/>
                <w:color w:val="auto"/>
              </w:rPr>
            </w:pPr>
          </w:p>
        </w:tc>
        <w:tc>
          <w:tcPr>
            <w:tcW w:w="3720" w:type="dxa"/>
            <w:vAlign w:val="bottom"/>
            <w:vMerge w:val="restart"/>
          </w:tcPr>
          <w:p>
            <w:pPr>
              <w:jc w:val="right"/>
              <w:ind w:right="2196"/>
              <w:spacing w:after="0"/>
              <w:rPr>
                <w:sz w:val="20"/>
                <w:szCs w:val="20"/>
                <w:color w:val="auto"/>
              </w:rPr>
            </w:pPr>
            <w:r>
              <w:rPr>
                <w:rFonts w:ascii="Arial" w:cs="Arial" w:eastAsia="Arial" w:hAnsi="Arial"/>
                <w:sz w:val="14"/>
                <w:szCs w:val="14"/>
                <w:color w:val="auto"/>
              </w:rPr>
              <w:t>72</w:t>
            </w: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3"/>
        </w:trPr>
        <w:tc>
          <w:tcPr>
            <w:tcW w:w="426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42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2" w:name="page73"/>
    <w:bookmarkEnd w:id="72"/>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NOTE 5 — DERIVATIVES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hedge positions.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Foreign currency risks related to certain non-U.S. dollar-denominated investments are hedged using foreign exchange forward contracts that are designated as fair value hedging instruments. Foreign currency risks related to certain Euro-denominated debt are hedged using foreign exchange forward contracts that are designated as cash flow hedging instruments.</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options and forwards not designated as hedging instruments are also used to manage the variability in foreign exchange rates on certain balance sheet amounts and to manage other foreign currency exposures.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rate risks related to certain fixed-rate debt are hedged using interest rate swaps that are designated as fair value hedging instruments to effectively convert the fixed interest rates to floating interest rates.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our fixed-income portfolio to achieve economic returns that correlate to certain broad-based fixed-income indices using option, futures, and swap contracts. These contracts are not designated as hedging instruments and are included in “Other contracts” in the tables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Securities held in our equity investments portfolio are subject to market price risk. At times, we may hold options, futures, and swap contracts. These contracts are not designated as hedging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Certain counterparty agreements for derivative instruments contain provisions that require our issued and outstanding long-term unsecured debt to maintain an investment grade credit rating and require us to maintain minimum liquidity of $1.0 billion. To the extent we fail to meet these requirements, we will be required to post collateral, similar to the standard convention related to over-the-counter derivatives. As of June 30, 2024, our long-term unsecured debt rating was AAA, and cash investments were in excess of $1.0 billion. As a result, no collateral was required to be posted.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3" w:name="page74"/>
    <w:bookmarkEnd w:id="73"/>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notional amounts of our outstanding derivative instruments measured in U.S. dollar equivalents: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June 30,</w:t>
            </w:r>
          </w:p>
        </w:tc>
        <w:tc>
          <w:tcPr>
            <w:tcW w:w="2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5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5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5980" w:type="dxa"/>
            <w:vAlign w:val="bottom"/>
          </w:tcPr>
          <w:p>
            <w:pPr>
              <w:ind w:left="20"/>
              <w:spacing w:after="0"/>
              <w:rPr>
                <w:sz w:val="20"/>
                <w:szCs w:val="20"/>
                <w:color w:val="auto"/>
              </w:rPr>
            </w:pPr>
            <w:r>
              <w:rPr>
                <w:rFonts w:ascii="Arial" w:cs="Arial" w:eastAsia="Arial" w:hAnsi="Arial"/>
                <w:sz w:val="13"/>
                <w:szCs w:val="13"/>
                <w:b w:val="1"/>
                <w:bCs w:val="1"/>
                <w:color w:val="auto"/>
              </w:rPr>
              <w:t>Designated as Hedging Instruments</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5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exchange contracts purchased</w:t>
            </w: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36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1,492</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Interest rate contracts purchased</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1,100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980" w:type="dxa"/>
            <w:vAlign w:val="bottom"/>
          </w:tcPr>
          <w:p>
            <w:pPr>
              <w:ind w:left="20"/>
              <w:spacing w:after="0"/>
              <w:rPr>
                <w:sz w:val="20"/>
                <w:szCs w:val="20"/>
                <w:color w:val="auto"/>
              </w:rPr>
            </w:pPr>
            <w:r>
              <w:rPr>
                <w:rFonts w:ascii="Arial" w:cs="Arial" w:eastAsia="Arial" w:hAnsi="Arial"/>
                <w:sz w:val="13"/>
                <w:szCs w:val="13"/>
                <w:b w:val="1"/>
                <w:bCs w:val="1"/>
                <w:color w:val="auto"/>
              </w:rPr>
              <w:t>Not Designated as Hedging Instruments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5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exchange contracts purchased</w:t>
            </w: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7,167</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7,874</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Foreign exchange contracts sold</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31,793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Equity contracts purchased</w:t>
            </w: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4,016</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3,867</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Equity contracts sold</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2,165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Other contracts purchased</w:t>
            </w: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2,113</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Other contracts sold</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811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59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92"/>
        </w:trPr>
        <w:tc>
          <w:tcPr>
            <w:tcW w:w="5980" w:type="dxa"/>
            <w:vAlign w:val="bottom"/>
          </w:tcPr>
          <w:p>
            <w:pPr>
              <w:spacing w:after="0"/>
              <w:rPr>
                <w:sz w:val="20"/>
                <w:szCs w:val="20"/>
                <w:color w:val="auto"/>
              </w:rPr>
            </w:pPr>
            <w:r>
              <w:rPr>
                <w:rFonts w:ascii="Arial" w:cs="Arial" w:eastAsia="Arial" w:hAnsi="Arial"/>
                <w:sz w:val="18"/>
                <w:szCs w:val="18"/>
                <w:b w:val="1"/>
                <w:bCs w:val="1"/>
                <w:color w:val="auto"/>
              </w:rPr>
              <w:t>Fair Values of Derivative Instruments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980" w:type="dxa"/>
            <w:vAlign w:val="bottom"/>
          </w:tcPr>
          <w:p>
            <w:pPr>
              <w:spacing w:after="0"/>
              <w:rPr>
                <w:sz w:val="20"/>
                <w:szCs w:val="20"/>
                <w:color w:val="auto"/>
              </w:rPr>
            </w:pPr>
            <w:r>
              <w:rPr>
                <w:rFonts w:ascii="Arial" w:cs="Arial" w:eastAsia="Arial" w:hAnsi="Arial"/>
                <w:sz w:val="18"/>
                <w:szCs w:val="18"/>
                <w:color w:val="auto"/>
              </w:rPr>
              <w:t>The following table presents our derivative instruments: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Derivative</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Derivative</w:t>
            </w:r>
          </w:p>
        </w:tc>
        <w:tc>
          <w:tcPr>
            <w:tcW w:w="0" w:type="dxa"/>
            <w:vAlign w:val="bottom"/>
          </w:tcPr>
          <w:p>
            <w:pPr>
              <w:spacing w:after="0"/>
              <w:rPr>
                <w:sz w:val="1"/>
                <w:szCs w:val="1"/>
                <w:color w:val="auto"/>
              </w:rPr>
            </w:pPr>
          </w:p>
        </w:tc>
      </w:tr>
      <w:tr>
        <w:trPr>
          <w:trHeight w:val="186"/>
        </w:trPr>
        <w:tc>
          <w:tcPr>
            <w:tcW w:w="598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Assets</w:t>
            </w:r>
          </w:p>
        </w:tc>
        <w:tc>
          <w:tcPr>
            <w:tcW w:w="28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Liabilities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Assets</w:t>
            </w:r>
          </w:p>
        </w:tc>
        <w:tc>
          <w:tcPr>
            <w:tcW w:w="2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58"/>
        </w:trPr>
        <w:tc>
          <w:tcPr>
            <w:tcW w:w="5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June 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3"/>
                <w:szCs w:val="13"/>
                <w:b w:val="1"/>
                <w:bCs w:val="1"/>
                <w:color w:val="auto"/>
              </w:rPr>
              <w:t>Designated as Hedging Instruments</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5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exchange contracts</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w:t>
            </w:r>
          </w:p>
        </w:tc>
        <w:tc>
          <w:tcPr>
            <w:tcW w:w="26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(76 )</w:t>
            </w:r>
          </w:p>
        </w:tc>
        <w:tc>
          <w:tcPr>
            <w:tcW w:w="36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5980" w:type="dxa"/>
            <w:vAlign w:val="bottom"/>
          </w:tcPr>
          <w:p>
            <w:pPr>
              <w:ind w:left="20"/>
              <w:spacing w:after="0"/>
              <w:rPr>
                <w:sz w:val="20"/>
                <w:szCs w:val="20"/>
                <w:color w:val="auto"/>
              </w:rPr>
            </w:pPr>
            <w:r>
              <w:rPr>
                <w:rFonts w:ascii="Arial" w:cs="Arial" w:eastAsia="Arial" w:hAnsi="Arial"/>
                <w:sz w:val="13"/>
                <w:szCs w:val="13"/>
                <w:b w:val="1"/>
                <w:bCs w:val="1"/>
                <w:color w:val="auto"/>
              </w:rPr>
              <w:t>Not Designated as Hedging Instruments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5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exchange contracts</w:t>
            </w: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213</w:t>
            </w:r>
          </w:p>
        </w:tc>
        <w:tc>
          <w:tcPr>
            <w:tcW w:w="26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(230 )</w:t>
            </w:r>
          </w:p>
        </w:tc>
        <w:tc>
          <w:tcPr>
            <w:tcW w:w="8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(332 )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Equity contracts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(491 )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(400 )</w:t>
            </w:r>
          </w:p>
        </w:tc>
        <w:tc>
          <w:tcPr>
            <w:tcW w:w="0" w:type="dxa"/>
            <w:vAlign w:val="bottom"/>
          </w:tcPr>
          <w:p>
            <w:pPr>
              <w:spacing w:after="0"/>
              <w:rPr>
                <w:sz w:val="1"/>
                <w:szCs w:val="1"/>
                <w:color w:val="auto"/>
              </w:rPr>
            </w:pPr>
          </w:p>
        </w:tc>
      </w:tr>
      <w:tr>
        <w:trPr>
          <w:trHeight w:val="229"/>
        </w:trPr>
        <w:tc>
          <w:tcPr>
            <w:tcW w:w="5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Other contracts</w:t>
            </w: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12</w:t>
            </w:r>
          </w:p>
        </w:tc>
        <w:tc>
          <w:tcPr>
            <w:tcW w:w="26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(3 )</w:t>
            </w:r>
          </w:p>
        </w:tc>
        <w:tc>
          <w:tcPr>
            <w:tcW w:w="8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68"/>
        </w:trPr>
        <w:tc>
          <w:tcPr>
            <w:tcW w:w="5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5980" w:type="dxa"/>
            <w:vAlign w:val="bottom"/>
          </w:tcPr>
          <w:p>
            <w:pPr>
              <w:ind w:left="240"/>
              <w:spacing w:after="0"/>
              <w:rPr>
                <w:sz w:val="20"/>
                <w:szCs w:val="20"/>
                <w:color w:val="auto"/>
              </w:rPr>
            </w:pPr>
            <w:r>
              <w:rPr>
                <w:rFonts w:ascii="Arial" w:cs="Arial" w:eastAsia="Arial" w:hAnsi="Arial"/>
                <w:sz w:val="18"/>
                <w:szCs w:val="18"/>
                <w:color w:val="auto"/>
              </w:rPr>
              <w:t>Gross amounts of derivatives</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331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(800 )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469</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(805 )</w:t>
            </w:r>
          </w:p>
        </w:tc>
        <w:tc>
          <w:tcPr>
            <w:tcW w:w="0" w:type="dxa"/>
            <w:vAlign w:val="bottom"/>
          </w:tcPr>
          <w:p>
            <w:pPr>
              <w:spacing w:after="0"/>
              <w:rPr>
                <w:sz w:val="1"/>
                <w:szCs w:val="1"/>
                <w:color w:val="auto"/>
              </w:rPr>
            </w:pPr>
          </w:p>
        </w:tc>
      </w:tr>
      <w:tr>
        <w:trPr>
          <w:trHeight w:val="229"/>
        </w:trPr>
        <w:tc>
          <w:tcPr>
            <w:tcW w:w="5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Gross amounts of derivatives offset in the balance sheets</w:t>
            </w:r>
          </w:p>
        </w:tc>
        <w:tc>
          <w:tcPr>
            <w:tcW w:w="280" w:type="dxa"/>
            <w:vAlign w:val="bottom"/>
            <w:shd w:val="clear" w:color="auto" w:fill="E5E5E5"/>
          </w:tcPr>
          <w:p>
            <w:pPr>
              <w:spacing w:after="0"/>
              <w:rPr>
                <w:sz w:val="19"/>
                <w:szCs w:val="19"/>
                <w:color w:val="auto"/>
              </w:rPr>
            </w:pPr>
          </w:p>
        </w:tc>
        <w:tc>
          <w:tcPr>
            <w:tcW w:w="110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(151 )</w:t>
            </w: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152</w:t>
            </w:r>
          </w:p>
        </w:tc>
        <w:tc>
          <w:tcPr>
            <w:tcW w:w="14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10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(202 )</w:t>
            </w: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Cash collateral received</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(104 )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50"/>
        </w:trPr>
        <w:tc>
          <w:tcPr>
            <w:tcW w:w="5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9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Net amounts of derivatives</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180</w:t>
            </w:r>
          </w:p>
        </w:tc>
        <w:tc>
          <w:tcPr>
            <w:tcW w:w="26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(752 )</w:t>
            </w:r>
          </w:p>
        </w:tc>
        <w:tc>
          <w:tcPr>
            <w:tcW w:w="36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(724 )</w:t>
            </w:r>
          </w:p>
        </w:tc>
        <w:tc>
          <w:tcPr>
            <w:tcW w:w="0" w:type="dxa"/>
            <w:vAlign w:val="bottom"/>
          </w:tcPr>
          <w:p>
            <w:pPr>
              <w:spacing w:after="0"/>
              <w:rPr>
                <w:sz w:val="1"/>
                <w:szCs w:val="1"/>
                <w:color w:val="auto"/>
              </w:rPr>
            </w:pPr>
          </w:p>
        </w:tc>
      </w:tr>
      <w:tr>
        <w:trPr>
          <w:trHeight w:val="75"/>
        </w:trPr>
        <w:tc>
          <w:tcPr>
            <w:tcW w:w="59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Reported as</w:t>
            </w: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59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5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12</w:t>
            </w:r>
          </w:p>
        </w:tc>
        <w:tc>
          <w:tcPr>
            <w:tcW w:w="26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9"/>
                <w:szCs w:val="19"/>
                <w:color w:val="auto"/>
              </w:rPr>
            </w:pPr>
          </w:p>
        </w:tc>
        <w:tc>
          <w:tcPr>
            <w:tcW w:w="36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Other long-term assets</w:t>
            </w: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19</w:t>
            </w:r>
          </w:p>
        </w:tc>
        <w:tc>
          <w:tcPr>
            <w:tcW w:w="26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(401 )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(341 )</w:t>
            </w:r>
          </w:p>
        </w:tc>
        <w:tc>
          <w:tcPr>
            <w:tcW w:w="0" w:type="dxa"/>
            <w:vAlign w:val="bottom"/>
          </w:tcPr>
          <w:p>
            <w:pPr>
              <w:spacing w:after="0"/>
              <w:rPr>
                <w:sz w:val="1"/>
                <w:szCs w:val="1"/>
                <w:color w:val="auto"/>
              </w:rPr>
            </w:pPr>
          </w:p>
        </w:tc>
      </w:tr>
      <w:tr>
        <w:trPr>
          <w:trHeight w:val="230"/>
        </w:trPr>
        <w:tc>
          <w:tcPr>
            <w:tcW w:w="5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w:t>
            </w:r>
          </w:p>
        </w:tc>
        <w:tc>
          <w:tcPr>
            <w:tcW w:w="26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(351 )</w:t>
            </w:r>
          </w:p>
        </w:tc>
        <w:tc>
          <w:tcPr>
            <w:tcW w:w="8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(383 )</w:t>
            </w:r>
          </w:p>
        </w:tc>
        <w:tc>
          <w:tcPr>
            <w:tcW w:w="0" w:type="dxa"/>
            <w:vAlign w:val="bottom"/>
          </w:tcPr>
          <w:p>
            <w:pPr>
              <w:spacing w:after="0"/>
              <w:rPr>
                <w:sz w:val="1"/>
                <w:szCs w:val="1"/>
                <w:color w:val="auto"/>
              </w:rPr>
            </w:pPr>
          </w:p>
        </w:tc>
      </w:tr>
      <w:tr>
        <w:trPr>
          <w:trHeight w:val="68"/>
        </w:trPr>
        <w:tc>
          <w:tcPr>
            <w:tcW w:w="5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5980" w:type="dxa"/>
            <w:vAlign w:val="bottom"/>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26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(752 )</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(724 )</w:t>
            </w:r>
          </w:p>
        </w:tc>
        <w:tc>
          <w:tcPr>
            <w:tcW w:w="0" w:type="dxa"/>
            <w:vAlign w:val="bottom"/>
          </w:tcPr>
          <w:p>
            <w:pPr>
              <w:spacing w:after="0"/>
              <w:rPr>
                <w:sz w:val="1"/>
                <w:szCs w:val="1"/>
                <w:color w:val="auto"/>
              </w:rPr>
            </w:pPr>
          </w:p>
        </w:tc>
      </w:tr>
      <w:tr>
        <w:trPr>
          <w:trHeight w:val="63"/>
        </w:trPr>
        <w:tc>
          <w:tcPr>
            <w:tcW w:w="59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Gross derivative assets and liabilities subject to legally enforceable master netting agreements for which we have elected to offset were $304 million and $800 million, respectively, as of June 30, 2024, and $442 million and $804 million, respectively, as of June 30, 2023.</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our derivatives instruments on a gross basis: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600" w:type="dxa"/>
            <w:vAlign w:val="bottom"/>
          </w:tcPr>
          <w:p>
            <w:pPr>
              <w:spacing w:after="0"/>
              <w:rPr>
                <w:sz w:val="16"/>
                <w:szCs w:val="16"/>
                <w:color w:val="auto"/>
              </w:rPr>
            </w:pPr>
          </w:p>
        </w:tc>
        <w:tc>
          <w:tcPr>
            <w:tcW w:w="920" w:type="dxa"/>
            <w:vAlign w:val="bottom"/>
          </w:tcPr>
          <w:p>
            <w:pPr>
              <w:jc w:val="right"/>
              <w:ind w:right="95"/>
              <w:spacing w:after="0"/>
              <w:rPr>
                <w:sz w:val="20"/>
                <w:szCs w:val="20"/>
                <w:color w:val="auto"/>
              </w:rPr>
            </w:pPr>
            <w:r>
              <w:rPr>
                <w:rFonts w:ascii="Arial" w:cs="Arial" w:eastAsia="Arial" w:hAnsi="Arial"/>
                <w:sz w:val="13"/>
                <w:szCs w:val="13"/>
                <w:b w:val="1"/>
                <w:bCs w:val="1"/>
                <w:color w:val="auto"/>
              </w:rPr>
              <w:t>Level 1</w:t>
            </w:r>
          </w:p>
        </w:tc>
        <w:tc>
          <w:tcPr>
            <w:tcW w:w="460" w:type="dxa"/>
            <w:vAlign w:val="bottom"/>
          </w:tcPr>
          <w:p>
            <w:pPr>
              <w:spacing w:after="0"/>
              <w:rPr>
                <w:sz w:val="16"/>
                <w:szCs w:val="16"/>
                <w:color w:val="auto"/>
              </w:rPr>
            </w:pPr>
          </w:p>
        </w:tc>
        <w:tc>
          <w:tcPr>
            <w:tcW w:w="900" w:type="dxa"/>
            <w:vAlign w:val="bottom"/>
          </w:tcPr>
          <w:p>
            <w:pPr>
              <w:jc w:val="right"/>
              <w:ind w:right="75"/>
              <w:spacing w:after="0"/>
              <w:rPr>
                <w:sz w:val="20"/>
                <w:szCs w:val="20"/>
                <w:color w:val="auto"/>
              </w:rPr>
            </w:pPr>
            <w:r>
              <w:rPr>
                <w:rFonts w:ascii="Arial" w:cs="Arial" w:eastAsia="Arial" w:hAnsi="Arial"/>
                <w:sz w:val="13"/>
                <w:szCs w:val="13"/>
                <w:b w:val="1"/>
                <w:bCs w:val="1"/>
                <w:color w:val="auto"/>
              </w:rPr>
              <w:t>Level 2</w:t>
            </w:r>
          </w:p>
        </w:tc>
        <w:tc>
          <w:tcPr>
            <w:tcW w:w="440" w:type="dxa"/>
            <w:vAlign w:val="bottom"/>
          </w:tcPr>
          <w:p>
            <w:pPr>
              <w:spacing w:after="0"/>
              <w:rPr>
                <w:sz w:val="16"/>
                <w:szCs w:val="16"/>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b w:val="1"/>
                <w:bCs w:val="1"/>
                <w:color w:val="auto"/>
              </w:rPr>
              <w:t>Level 3</w:t>
            </w:r>
          </w:p>
        </w:tc>
        <w:tc>
          <w:tcPr>
            <w:tcW w:w="5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Total</w:t>
            </w:r>
          </w:p>
        </w:tc>
      </w:tr>
      <w:tr>
        <w:trPr>
          <w:trHeight w:val="58"/>
        </w:trPr>
        <w:tc>
          <w:tcPr>
            <w:tcW w:w="376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46"/>
        </w:trPr>
        <w:tc>
          <w:tcPr>
            <w:tcW w:w="3760" w:type="dxa"/>
            <w:vAlign w:val="bottom"/>
          </w:tcPr>
          <w:p>
            <w:pPr>
              <w:ind w:left="20"/>
              <w:spacing w:after="0"/>
              <w:rPr>
                <w:sz w:val="20"/>
                <w:szCs w:val="20"/>
                <w:color w:val="auto"/>
              </w:rPr>
            </w:pPr>
            <w:r>
              <w:rPr>
                <w:rFonts w:ascii="Arial" w:cs="Arial" w:eastAsia="Arial" w:hAnsi="Arial"/>
                <w:sz w:val="13"/>
                <w:szCs w:val="13"/>
                <w:b w:val="1"/>
                <w:bCs w:val="1"/>
                <w:color w:val="auto"/>
              </w:rPr>
              <w:t>June 30, 2024</w:t>
            </w:r>
          </w:p>
        </w:tc>
        <w:tc>
          <w:tcPr>
            <w:tcW w:w="2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8"/>
        </w:trPr>
        <w:tc>
          <w:tcPr>
            <w:tcW w:w="37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3760" w:type="dxa"/>
            <w:vAlign w:val="bottom"/>
            <w:shd w:val="clear" w:color="auto" w:fill="E5E5E5"/>
          </w:tcPr>
          <w:p>
            <w:pPr>
              <w:ind w:left="20"/>
              <w:spacing w:after="0"/>
              <w:rPr>
                <w:sz w:val="20"/>
                <w:szCs w:val="20"/>
                <w:color w:val="auto"/>
              </w:rPr>
            </w:pPr>
            <w:r>
              <w:rPr>
                <w:rFonts w:ascii="Arial" w:cs="Arial" w:eastAsia="Arial" w:hAnsi="Arial"/>
                <w:sz w:val="18"/>
                <w:szCs w:val="18"/>
                <w:color w:val="auto"/>
              </w:rPr>
              <w:t>Derivative assets</w:t>
            </w:r>
          </w:p>
        </w:tc>
        <w:tc>
          <w:tcPr>
            <w:tcW w:w="260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E5E5"/>
          </w:tcPr>
          <w:p>
            <w:pPr>
              <w:jc w:val="right"/>
              <w:ind w:right="95"/>
              <w:spacing w:after="0"/>
              <w:rPr>
                <w:sz w:val="20"/>
                <w:szCs w:val="20"/>
                <w:color w:val="auto"/>
              </w:rPr>
            </w:pPr>
            <w:r>
              <w:rPr>
                <w:rFonts w:ascii="Arial" w:cs="Arial" w:eastAsia="Arial" w:hAnsi="Arial"/>
                <w:sz w:val="18"/>
                <w:szCs w:val="18"/>
                <w:b w:val="1"/>
                <w:bCs w:val="1"/>
                <w:color w:val="auto"/>
              </w:rPr>
              <w:t>0</w:t>
            </w:r>
          </w:p>
        </w:tc>
        <w:tc>
          <w:tcPr>
            <w:tcW w:w="46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75"/>
              <w:spacing w:after="0"/>
              <w:rPr>
                <w:sz w:val="20"/>
                <w:szCs w:val="20"/>
                <w:color w:val="auto"/>
              </w:rPr>
            </w:pPr>
            <w:r>
              <w:rPr>
                <w:rFonts w:ascii="Arial" w:cs="Arial" w:eastAsia="Arial" w:hAnsi="Arial"/>
                <w:sz w:val="18"/>
                <w:szCs w:val="18"/>
                <w:b w:val="1"/>
                <w:bCs w:val="1"/>
                <w:color w:val="auto"/>
              </w:rPr>
              <w:t>327</w:t>
            </w:r>
          </w:p>
        </w:tc>
        <w:tc>
          <w:tcPr>
            <w:tcW w:w="44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4</w:t>
            </w:r>
          </w:p>
        </w:tc>
        <w:tc>
          <w:tcPr>
            <w:tcW w:w="520" w:type="dxa"/>
            <w:vAlign w:val="bottom"/>
            <w:shd w:val="clear" w:color="auto" w:fill="E5E5E5"/>
          </w:tcPr>
          <w:p>
            <w:pPr>
              <w:jc w:val="right"/>
              <w:ind w:right="21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331</w:t>
            </w:r>
          </w:p>
        </w:tc>
        <w:tc>
          <w:tcPr>
            <w:tcW w:w="100" w:type="dxa"/>
            <w:vAlign w:val="bottom"/>
            <w:shd w:val="clear" w:color="auto" w:fill="E5E5E5"/>
          </w:tcPr>
          <w:p>
            <w:pPr>
              <w:spacing w:after="0"/>
              <w:rPr>
                <w:sz w:val="19"/>
                <w:szCs w:val="19"/>
                <w:color w:val="auto"/>
              </w:rPr>
            </w:pPr>
          </w:p>
        </w:tc>
      </w:tr>
      <w:tr>
        <w:trPr>
          <w:trHeight w:val="247"/>
        </w:trPr>
        <w:tc>
          <w:tcPr>
            <w:tcW w:w="376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26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b w:val="1"/>
                <w:bCs w:val="1"/>
                <w:color w:val="auto"/>
              </w:rPr>
              <w:t>(1 )</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(799 )</w:t>
            </w:r>
          </w:p>
        </w:tc>
        <w:tc>
          <w:tcPr>
            <w:tcW w:w="44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b w:val="1"/>
                <w:bCs w:val="1"/>
                <w:color w:val="auto"/>
              </w:rPr>
              <w:t>0</w:t>
            </w:r>
          </w:p>
        </w:tc>
        <w:tc>
          <w:tcPr>
            <w:tcW w:w="52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(800 )</w:t>
            </w:r>
          </w:p>
        </w:tc>
      </w:tr>
      <w:tr>
        <w:trPr>
          <w:trHeight w:val="235"/>
        </w:trPr>
        <w:tc>
          <w:tcPr>
            <w:tcW w:w="3760" w:type="dxa"/>
            <w:vAlign w:val="bottom"/>
          </w:tcPr>
          <w:p>
            <w:pPr>
              <w:ind w:left="20"/>
              <w:spacing w:after="0"/>
              <w:rPr>
                <w:sz w:val="20"/>
                <w:szCs w:val="20"/>
                <w:color w:val="auto"/>
              </w:rPr>
            </w:pPr>
            <w:r>
              <w:rPr>
                <w:rFonts w:ascii="Arial" w:cs="Arial" w:eastAsia="Arial" w:hAnsi="Arial"/>
                <w:sz w:val="13"/>
                <w:szCs w:val="13"/>
                <w:b w:val="1"/>
                <w:bCs w:val="1"/>
                <w:color w:val="auto"/>
              </w:rPr>
              <w:t>June 30, 2023</w:t>
            </w:r>
          </w:p>
        </w:tc>
        <w:tc>
          <w:tcPr>
            <w:tcW w:w="2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8"/>
        </w:trPr>
        <w:tc>
          <w:tcPr>
            <w:tcW w:w="37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3760" w:type="dxa"/>
            <w:vAlign w:val="bottom"/>
            <w:shd w:val="clear" w:color="auto" w:fill="E5E5E5"/>
          </w:tcPr>
          <w:p>
            <w:pPr>
              <w:ind w:left="20"/>
              <w:spacing w:after="0"/>
              <w:rPr>
                <w:sz w:val="20"/>
                <w:szCs w:val="20"/>
                <w:color w:val="auto"/>
              </w:rPr>
            </w:pPr>
            <w:r>
              <w:rPr>
                <w:rFonts w:ascii="Arial" w:cs="Arial" w:eastAsia="Arial" w:hAnsi="Arial"/>
                <w:sz w:val="18"/>
                <w:szCs w:val="18"/>
                <w:color w:val="auto"/>
              </w:rPr>
              <w:t>Derivative assets</w:t>
            </w:r>
          </w:p>
        </w:tc>
        <w:tc>
          <w:tcPr>
            <w:tcW w:w="260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0</w:t>
            </w:r>
          </w:p>
        </w:tc>
        <w:tc>
          <w:tcPr>
            <w:tcW w:w="46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462</w:t>
            </w:r>
          </w:p>
        </w:tc>
        <w:tc>
          <w:tcPr>
            <w:tcW w:w="44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7</w:t>
            </w:r>
          </w:p>
        </w:tc>
        <w:tc>
          <w:tcPr>
            <w:tcW w:w="520" w:type="dxa"/>
            <w:vAlign w:val="bottom"/>
            <w:shd w:val="clear" w:color="auto" w:fill="E5E5E5"/>
          </w:tcPr>
          <w:p>
            <w:pPr>
              <w:spacing w:after="0"/>
              <w:rPr>
                <w:sz w:val="19"/>
                <w:szCs w:val="19"/>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E5E5E5"/>
          </w:tcPr>
          <w:p>
            <w:pPr>
              <w:spacing w:after="0"/>
              <w:rPr>
                <w:sz w:val="19"/>
                <w:szCs w:val="19"/>
                <w:color w:val="auto"/>
              </w:rPr>
            </w:pPr>
          </w:p>
        </w:tc>
      </w:tr>
      <w:tr>
        <w:trPr>
          <w:trHeight w:val="239"/>
        </w:trPr>
        <w:tc>
          <w:tcPr>
            <w:tcW w:w="376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2600" w:type="dxa"/>
            <w:vAlign w:val="bottom"/>
          </w:tcPr>
          <w:p>
            <w:pPr>
              <w:spacing w:after="0"/>
              <w:rPr>
                <w:sz w:val="20"/>
                <w:szCs w:val="20"/>
                <w:color w:val="auto"/>
              </w:rPr>
            </w:pP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(805 )</w:t>
            </w:r>
          </w:p>
        </w:tc>
        <w:tc>
          <w:tcPr>
            <w:tcW w:w="4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(805 )</w:t>
            </w:r>
          </w:p>
        </w:tc>
      </w:tr>
      <w:tr>
        <w:trPr>
          <w:trHeight w:val="58"/>
        </w:trPr>
        <w:tc>
          <w:tcPr>
            <w:tcW w:w="3760" w:type="dxa"/>
            <w:vAlign w:val="bottom"/>
            <w:tcBorders>
              <w:bottom w:val="single" w:sz="8" w:color="auto"/>
            </w:tcBorders>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240"/>
          </w:cols>
          <w:pgMar w:left="320" w:top="775" w:right="339" w:bottom="1038"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038" w:gutter="0" w:footer="0" w:header="0"/>
          <w:type w:val="continuous"/>
        </w:sectPr>
      </w:pPr>
    </w:p>
    <w:bookmarkStart w:id="74" w:name="page75"/>
    <w:bookmarkEnd w:id="74"/>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Gains (losses) on derivative instruments recognized in other income (expense), net were as follows: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1400" w:type="dxa"/>
            <w:vAlign w:val="bottom"/>
          </w:tcPr>
          <w:p>
            <w:pPr>
              <w:spacing w:after="0"/>
              <w:rPr>
                <w:sz w:val="16"/>
                <w:szCs w:val="16"/>
                <w:color w:val="auto"/>
              </w:rPr>
            </w:pPr>
          </w:p>
        </w:tc>
        <w:tc>
          <w:tcPr>
            <w:tcW w:w="860" w:type="dxa"/>
            <w:vAlign w:val="bottom"/>
          </w:tcPr>
          <w:p>
            <w:pPr>
              <w:jc w:val="right"/>
              <w:ind w:right="92"/>
              <w:spacing w:after="0"/>
              <w:rPr>
                <w:sz w:val="20"/>
                <w:szCs w:val="20"/>
                <w:color w:val="auto"/>
              </w:rPr>
            </w:pPr>
            <w:r>
              <w:rPr>
                <w:rFonts w:ascii="Arial" w:cs="Arial" w:eastAsia="Arial" w:hAnsi="Arial"/>
                <w:sz w:val="13"/>
                <w:szCs w:val="13"/>
                <w:b w:val="1"/>
                <w:bCs w:val="1"/>
                <w:color w:val="auto"/>
              </w:rPr>
              <w:t>2024</w:t>
            </w:r>
          </w:p>
        </w:tc>
        <w:tc>
          <w:tcPr>
            <w:tcW w:w="500" w:type="dxa"/>
            <w:vAlign w:val="bottom"/>
          </w:tcPr>
          <w:p>
            <w:pPr>
              <w:spacing w:after="0"/>
              <w:rPr>
                <w:sz w:val="16"/>
                <w:szCs w:val="16"/>
                <w:color w:val="auto"/>
              </w:rPr>
            </w:pPr>
          </w:p>
        </w:tc>
        <w:tc>
          <w:tcPr>
            <w:tcW w:w="840" w:type="dxa"/>
            <w:vAlign w:val="bottom"/>
          </w:tcPr>
          <w:p>
            <w:pPr>
              <w:jc w:val="right"/>
              <w:ind w:right="72"/>
              <w:spacing w:after="0"/>
              <w:rPr>
                <w:sz w:val="20"/>
                <w:szCs w:val="20"/>
                <w:color w:val="auto"/>
              </w:rPr>
            </w:pPr>
            <w:r>
              <w:rPr>
                <w:rFonts w:ascii="Arial" w:cs="Arial" w:eastAsia="Arial" w:hAnsi="Arial"/>
                <w:sz w:val="13"/>
                <w:szCs w:val="13"/>
                <w:b w:val="1"/>
                <w:bCs w:val="1"/>
                <w:color w:val="auto"/>
              </w:rPr>
              <w:t>2023</w:t>
            </w:r>
          </w:p>
        </w:tc>
        <w:tc>
          <w:tcPr>
            <w:tcW w:w="5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3"/>
                <w:szCs w:val="13"/>
                <w:b w:val="1"/>
                <w:bCs w:val="1"/>
                <w:color w:val="auto"/>
              </w:rPr>
              <w:t>Designated as Fair Value Hedging Instruments</w:t>
            </w: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8"/>
        </w:trPr>
        <w:tc>
          <w:tcPr>
            <w:tcW w:w="6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30"/>
        </w:trPr>
        <w:tc>
          <w:tcPr>
            <w:tcW w:w="636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exchange contracts</w:t>
            </w:r>
          </w:p>
        </w:tc>
        <w:tc>
          <w:tcPr>
            <w:tcW w:w="1400" w:type="dxa"/>
            <w:vAlign w:val="bottom"/>
            <w:shd w:val="clear" w:color="auto" w:fill="E5E5E5"/>
          </w:tcPr>
          <w:p>
            <w:pPr>
              <w:spacing w:after="0"/>
              <w:rPr>
                <w:sz w:val="19"/>
                <w:szCs w:val="19"/>
                <w:color w:val="auto"/>
              </w:rPr>
            </w:pPr>
          </w:p>
        </w:tc>
        <w:tc>
          <w:tcPr>
            <w:tcW w:w="860" w:type="dxa"/>
            <w:vAlign w:val="bottom"/>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66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Derivatives</w:t>
            </w: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b w:val="1"/>
                <w:bCs w:val="1"/>
                <w:color w:val="auto"/>
              </w:rPr>
              <w:t>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0</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r>
      <w:tr>
        <w:trPr>
          <w:trHeight w:val="230"/>
        </w:trPr>
        <w:tc>
          <w:tcPr>
            <w:tcW w:w="63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Hedged items</w:t>
            </w:r>
          </w:p>
        </w:tc>
        <w:tc>
          <w:tcPr>
            <w:tcW w:w="140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0</w:t>
            </w:r>
          </w:p>
        </w:tc>
        <w:tc>
          <w:tcPr>
            <w:tcW w:w="50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0</w:t>
            </w:r>
          </w:p>
        </w:tc>
        <w:tc>
          <w:tcPr>
            <w:tcW w:w="520" w:type="dxa"/>
            <w:vAlign w:val="bottom"/>
            <w:shd w:val="clear" w:color="auto" w:fill="E5E5E5"/>
          </w:tcPr>
          <w:p>
            <w:pPr>
              <w:spacing w:after="0"/>
              <w:rPr>
                <w:sz w:val="19"/>
                <w:szCs w:val="19"/>
                <w:color w:val="auto"/>
              </w:rPr>
            </w:pPr>
          </w:p>
        </w:tc>
        <w:tc>
          <w:tcPr>
            <w:tcW w:w="7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(50 )</w:t>
            </w: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Excluded from effectiveness assessment</w:t>
            </w:r>
          </w:p>
        </w:tc>
        <w:tc>
          <w:tcPr>
            <w:tcW w:w="140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b w:val="1"/>
                <w:bCs w:val="1"/>
                <w:color w:val="auto"/>
              </w:rPr>
              <w:t>0</w:t>
            </w:r>
          </w:p>
        </w:tc>
        <w:tc>
          <w:tcPr>
            <w:tcW w:w="50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29"/>
        </w:trPr>
        <w:tc>
          <w:tcPr>
            <w:tcW w:w="6360" w:type="dxa"/>
            <w:vAlign w:val="bottom"/>
            <w:shd w:val="clear" w:color="auto" w:fill="E5E5E5"/>
          </w:tcPr>
          <w:p>
            <w:pPr>
              <w:ind w:left="20"/>
              <w:spacing w:after="0"/>
              <w:rPr>
                <w:sz w:val="20"/>
                <w:szCs w:val="20"/>
                <w:color w:val="auto"/>
              </w:rPr>
            </w:pPr>
            <w:r>
              <w:rPr>
                <w:rFonts w:ascii="Arial" w:cs="Arial" w:eastAsia="Arial" w:hAnsi="Arial"/>
                <w:sz w:val="18"/>
                <w:szCs w:val="18"/>
                <w:color w:val="auto"/>
              </w:rPr>
              <w:t>Interest rate contracts</w:t>
            </w:r>
          </w:p>
        </w:tc>
        <w:tc>
          <w:tcPr>
            <w:tcW w:w="1400" w:type="dxa"/>
            <w:vAlign w:val="bottom"/>
            <w:shd w:val="clear" w:color="auto" w:fill="E5E5E5"/>
          </w:tcPr>
          <w:p>
            <w:pPr>
              <w:spacing w:after="0"/>
              <w:rPr>
                <w:sz w:val="19"/>
                <w:szCs w:val="19"/>
                <w:color w:val="auto"/>
              </w:rPr>
            </w:pPr>
          </w:p>
        </w:tc>
        <w:tc>
          <w:tcPr>
            <w:tcW w:w="860" w:type="dxa"/>
            <w:vAlign w:val="bottom"/>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66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Derivatives</w:t>
            </w:r>
          </w:p>
        </w:tc>
        <w:tc>
          <w:tcPr>
            <w:tcW w:w="1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(23 )</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(65 )</w:t>
            </w:r>
          </w:p>
        </w:tc>
        <w:tc>
          <w:tcPr>
            <w:tcW w:w="5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(92 )</w:t>
            </w:r>
          </w:p>
        </w:tc>
      </w:tr>
      <w:tr>
        <w:trPr>
          <w:trHeight w:val="229"/>
        </w:trPr>
        <w:tc>
          <w:tcPr>
            <w:tcW w:w="63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Hedged items</w:t>
            </w:r>
          </w:p>
        </w:tc>
        <w:tc>
          <w:tcPr>
            <w:tcW w:w="140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(25 )</w:t>
            </w:r>
          </w:p>
        </w:tc>
        <w:tc>
          <w:tcPr>
            <w:tcW w:w="50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38</w:t>
            </w:r>
          </w:p>
        </w:tc>
        <w:tc>
          <w:tcPr>
            <w:tcW w:w="520" w:type="dxa"/>
            <w:vAlign w:val="bottom"/>
            <w:shd w:val="clear" w:color="auto" w:fill="E5E5E5"/>
          </w:tcPr>
          <w:p>
            <w:pPr>
              <w:spacing w:after="0"/>
              <w:rPr>
                <w:sz w:val="19"/>
                <w:szCs w:val="19"/>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E5E5E5"/>
          </w:tcPr>
          <w:p>
            <w:pPr>
              <w:spacing w:after="0"/>
              <w:rPr>
                <w:sz w:val="19"/>
                <w:szCs w:val="19"/>
                <w:color w:val="auto"/>
              </w:rPr>
            </w:pPr>
          </w:p>
        </w:tc>
      </w:tr>
      <w:tr>
        <w:trPr>
          <w:trHeight w:val="253"/>
        </w:trPr>
        <w:tc>
          <w:tcPr>
            <w:tcW w:w="6360" w:type="dxa"/>
            <w:vAlign w:val="bottom"/>
          </w:tcPr>
          <w:p>
            <w:pPr>
              <w:ind w:left="20"/>
              <w:spacing w:after="0"/>
              <w:rPr>
                <w:sz w:val="20"/>
                <w:szCs w:val="20"/>
                <w:color w:val="auto"/>
              </w:rPr>
            </w:pPr>
            <w:r>
              <w:rPr>
                <w:rFonts w:ascii="Arial" w:cs="Arial" w:eastAsia="Arial" w:hAnsi="Arial"/>
                <w:sz w:val="13"/>
                <w:szCs w:val="13"/>
                <w:b w:val="1"/>
                <w:bCs w:val="1"/>
                <w:color w:val="auto"/>
              </w:rPr>
              <w:t>Designated as Cash Flow Hedging Instruments</w:t>
            </w: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8"/>
        </w:trPr>
        <w:tc>
          <w:tcPr>
            <w:tcW w:w="6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636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exchange contracts</w:t>
            </w:r>
          </w:p>
        </w:tc>
        <w:tc>
          <w:tcPr>
            <w:tcW w:w="1400" w:type="dxa"/>
            <w:vAlign w:val="bottom"/>
            <w:shd w:val="clear" w:color="auto" w:fill="E5E5E5"/>
          </w:tcPr>
          <w:p>
            <w:pPr>
              <w:spacing w:after="0"/>
              <w:rPr>
                <w:sz w:val="19"/>
                <w:szCs w:val="19"/>
                <w:color w:val="auto"/>
              </w:rPr>
            </w:pPr>
          </w:p>
        </w:tc>
        <w:tc>
          <w:tcPr>
            <w:tcW w:w="860" w:type="dxa"/>
            <w:vAlign w:val="bottom"/>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66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r>
      <w:tr>
        <w:trPr>
          <w:trHeight w:val="247"/>
        </w:trPr>
        <w:tc>
          <w:tcPr>
            <w:tcW w:w="6360" w:type="dxa"/>
            <w:vAlign w:val="bottom"/>
          </w:tcPr>
          <w:p>
            <w:pPr>
              <w:ind w:left="240"/>
              <w:spacing w:after="0"/>
              <w:rPr>
                <w:sz w:val="20"/>
                <w:szCs w:val="20"/>
                <w:color w:val="auto"/>
              </w:rPr>
            </w:pPr>
            <w:r>
              <w:rPr>
                <w:rFonts w:ascii="Arial" w:cs="Arial" w:eastAsia="Arial" w:hAnsi="Arial"/>
                <w:sz w:val="18"/>
                <w:szCs w:val="18"/>
                <w:color w:val="auto"/>
              </w:rPr>
              <w:t>Amount reclassified from accumulated other comprehensive loss</w:t>
            </w:r>
          </w:p>
        </w:tc>
        <w:tc>
          <w:tcPr>
            <w:tcW w:w="1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(48 )</w:t>
            </w:r>
          </w:p>
        </w:tc>
        <w:tc>
          <w:tcPr>
            <w:tcW w:w="50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61</w:t>
            </w:r>
          </w:p>
        </w:tc>
        <w:tc>
          <w:tcPr>
            <w:tcW w:w="52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(79 )</w:t>
            </w:r>
          </w:p>
        </w:tc>
      </w:tr>
      <w:tr>
        <w:trPr>
          <w:trHeight w:val="235"/>
        </w:trPr>
        <w:tc>
          <w:tcPr>
            <w:tcW w:w="6360" w:type="dxa"/>
            <w:vAlign w:val="bottom"/>
          </w:tcPr>
          <w:p>
            <w:pPr>
              <w:ind w:left="20"/>
              <w:spacing w:after="0"/>
              <w:rPr>
                <w:sz w:val="20"/>
                <w:szCs w:val="20"/>
                <w:color w:val="auto"/>
              </w:rPr>
            </w:pPr>
            <w:r>
              <w:rPr>
                <w:rFonts w:ascii="Arial" w:cs="Arial" w:eastAsia="Arial" w:hAnsi="Arial"/>
                <w:sz w:val="13"/>
                <w:szCs w:val="13"/>
                <w:b w:val="1"/>
                <w:bCs w:val="1"/>
                <w:color w:val="auto"/>
              </w:rPr>
              <w:t>Not Designated as Hedging Instruments</w:t>
            </w: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8"/>
        </w:trPr>
        <w:tc>
          <w:tcPr>
            <w:tcW w:w="6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636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exchange contracts</w:t>
            </w:r>
          </w:p>
        </w:tc>
        <w:tc>
          <w:tcPr>
            <w:tcW w:w="140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367</w:t>
            </w:r>
          </w:p>
        </w:tc>
        <w:tc>
          <w:tcPr>
            <w:tcW w:w="50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(73 )</w:t>
            </w:r>
          </w:p>
        </w:tc>
        <w:tc>
          <w:tcPr>
            <w:tcW w:w="520" w:type="dxa"/>
            <w:vAlign w:val="bottom"/>
            <w:shd w:val="clear" w:color="auto" w:fill="E5E5E5"/>
          </w:tcPr>
          <w:p>
            <w:pPr>
              <w:spacing w:after="0"/>
              <w:rPr>
                <w:sz w:val="19"/>
                <w:szCs w:val="19"/>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E5E5E5"/>
          </w:tcPr>
          <w:p>
            <w:pPr>
              <w:spacing w:after="0"/>
              <w:rPr>
                <w:sz w:val="19"/>
                <w:szCs w:val="19"/>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Equity contracts</w:t>
            </w:r>
          </w:p>
        </w:tc>
        <w:tc>
          <w:tcPr>
            <w:tcW w:w="1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(177 )</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(420 )</w:t>
            </w: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29"/>
        </w:trPr>
        <w:tc>
          <w:tcPr>
            <w:tcW w:w="6360" w:type="dxa"/>
            <w:vAlign w:val="bottom"/>
            <w:shd w:val="clear" w:color="auto" w:fill="E5E5E5"/>
          </w:tcPr>
          <w:p>
            <w:pPr>
              <w:ind w:left="20"/>
              <w:spacing w:after="0"/>
              <w:rPr>
                <w:sz w:val="20"/>
                <w:szCs w:val="20"/>
                <w:color w:val="auto"/>
              </w:rPr>
            </w:pPr>
            <w:r>
              <w:rPr>
                <w:rFonts w:ascii="Arial" w:cs="Arial" w:eastAsia="Arial" w:hAnsi="Arial"/>
                <w:sz w:val="18"/>
                <w:szCs w:val="18"/>
                <w:color w:val="auto"/>
              </w:rPr>
              <w:t>Other contracts</w:t>
            </w:r>
          </w:p>
        </w:tc>
        <w:tc>
          <w:tcPr>
            <w:tcW w:w="140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(15 )</w:t>
            </w:r>
          </w:p>
        </w:tc>
        <w:tc>
          <w:tcPr>
            <w:tcW w:w="50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(41 )</w:t>
            </w:r>
          </w:p>
        </w:tc>
        <w:tc>
          <w:tcPr>
            <w:tcW w:w="520" w:type="dxa"/>
            <w:vAlign w:val="bottom"/>
            <w:shd w:val="clear" w:color="auto" w:fill="E5E5E5"/>
          </w:tcPr>
          <w:p>
            <w:pPr>
              <w:spacing w:after="0"/>
              <w:rPr>
                <w:sz w:val="19"/>
                <w:szCs w:val="19"/>
                <w:color w:val="auto"/>
              </w:rPr>
            </w:pPr>
          </w:p>
        </w:tc>
        <w:tc>
          <w:tcPr>
            <w:tcW w:w="7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(85 )</w:t>
            </w:r>
          </w:p>
        </w:tc>
      </w:tr>
      <w:tr>
        <w:trPr>
          <w:trHeight w:val="68"/>
        </w:trPr>
        <w:tc>
          <w:tcPr>
            <w:tcW w:w="63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Gains (losses), net of tax, on derivative instruments recognized in our consolidated comprehensive income statements were as follows: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2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jc w:val="right"/>
              <w:ind w:right="156"/>
              <w:spacing w:after="0"/>
              <w:rPr>
                <w:sz w:val="20"/>
                <w:szCs w:val="20"/>
                <w:color w:val="auto"/>
              </w:rPr>
            </w:pPr>
            <w:r>
              <w:rPr>
                <w:rFonts w:ascii="Arial" w:cs="Arial" w:eastAsia="Arial" w:hAnsi="Arial"/>
                <w:sz w:val="13"/>
                <w:szCs w:val="13"/>
                <w:b w:val="1"/>
                <w:bCs w:val="1"/>
                <w:color w:val="auto"/>
              </w:rPr>
              <w:t>2024</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3"/>
                <w:szCs w:val="13"/>
                <w:b w:val="1"/>
                <w:bCs w:val="1"/>
                <w:color w:val="auto"/>
              </w:rPr>
              <w:t>Designated as Cash Flow Hedging Instruments</w:t>
            </w:r>
          </w:p>
        </w:tc>
        <w:tc>
          <w:tcPr>
            <w:tcW w:w="2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45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Foreign exchange contracts</w:t>
            </w:r>
          </w:p>
        </w:tc>
        <w:tc>
          <w:tcPr>
            <w:tcW w:w="214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88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74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560" w:type="dxa"/>
            <w:vAlign w:val="bottom"/>
          </w:tcPr>
          <w:p>
            <w:pPr>
              <w:ind w:left="240"/>
              <w:spacing w:after="0"/>
              <w:rPr>
                <w:sz w:val="20"/>
                <w:szCs w:val="20"/>
                <w:color w:val="auto"/>
              </w:rPr>
            </w:pPr>
            <w:r>
              <w:rPr>
                <w:rFonts w:ascii="Arial" w:cs="Arial" w:eastAsia="Arial" w:hAnsi="Arial"/>
                <w:sz w:val="18"/>
                <w:szCs w:val="18"/>
                <w:color w:val="auto"/>
              </w:rPr>
              <w:t>Included in effectiveness assessment</w:t>
            </w:r>
          </w:p>
        </w:tc>
        <w:tc>
          <w:tcPr>
            <w:tcW w:w="3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 xml:space="preserve">(14 )  </w:t>
            </w: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50"/>
        </w:trPr>
        <w:tc>
          <w:tcPr>
            <w:tcW w:w="456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4560" w:type="dxa"/>
            <w:vAlign w:val="bottom"/>
          </w:tcPr>
          <w:p>
            <w:pPr>
              <w:spacing w:after="0"/>
              <w:rPr>
                <w:sz w:val="24"/>
                <w:szCs w:val="24"/>
                <w:color w:val="auto"/>
              </w:rPr>
            </w:pPr>
          </w:p>
        </w:tc>
        <w:tc>
          <w:tcPr>
            <w:tcW w:w="3240" w:type="dxa"/>
            <w:vAlign w:val="bottom"/>
            <w:gridSpan w:val="2"/>
          </w:tcPr>
          <w:p>
            <w:pPr>
              <w:jc w:val="center"/>
              <w:ind w:right="1100"/>
              <w:spacing w:after="0"/>
              <w:rPr>
                <w:sz w:val="20"/>
                <w:szCs w:val="20"/>
                <w:color w:val="auto"/>
              </w:rPr>
            </w:pPr>
            <w:r>
              <w:rPr>
                <w:rFonts w:ascii="Arial" w:cs="Arial" w:eastAsia="Arial" w:hAnsi="Arial"/>
                <w:sz w:val="18"/>
                <w:szCs w:val="18"/>
                <w:color w:val="auto"/>
                <w:w w:val="99"/>
              </w:rPr>
              <w:t>NOTE 6 — INVENTORIES</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4560" w:type="dxa"/>
            <w:vAlign w:val="bottom"/>
          </w:tcPr>
          <w:p>
            <w:pPr>
              <w:spacing w:after="0"/>
              <w:rPr>
                <w:sz w:val="20"/>
                <w:szCs w:val="20"/>
                <w:color w:val="auto"/>
              </w:rPr>
            </w:pPr>
            <w:r>
              <w:rPr>
                <w:rFonts w:ascii="Arial" w:cs="Arial" w:eastAsia="Arial" w:hAnsi="Arial"/>
                <w:sz w:val="18"/>
                <w:szCs w:val="18"/>
                <w:color w:val="auto"/>
              </w:rPr>
              <w:t>The components of inventories were as follows:</w:t>
            </w:r>
          </w:p>
        </w:tc>
        <w:tc>
          <w:tcPr>
            <w:tcW w:w="214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5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2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456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4560" w:type="dxa"/>
            <w:vAlign w:val="bottom"/>
          </w:tcPr>
          <w:p>
            <w:pPr>
              <w:ind w:left="20"/>
              <w:spacing w:after="0"/>
              <w:rPr>
                <w:sz w:val="20"/>
                <w:szCs w:val="20"/>
                <w:color w:val="auto"/>
              </w:rPr>
            </w:pPr>
            <w:r>
              <w:rPr>
                <w:rFonts w:ascii="Arial" w:cs="Arial" w:eastAsia="Arial" w:hAnsi="Arial"/>
                <w:sz w:val="13"/>
                <w:szCs w:val="13"/>
                <w:b w:val="1"/>
                <w:bCs w:val="1"/>
                <w:color w:val="auto"/>
              </w:rPr>
              <w:t>June 30,</w:t>
            </w:r>
          </w:p>
        </w:tc>
        <w:tc>
          <w:tcPr>
            <w:tcW w:w="2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45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Raw materials</w:t>
            </w:r>
          </w:p>
        </w:tc>
        <w:tc>
          <w:tcPr>
            <w:tcW w:w="214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1280" w:type="dxa"/>
            <w:vAlign w:val="bottom"/>
            <w:gridSpan w:val="2"/>
            <w:shd w:val="clear" w:color="auto" w:fill="E5E5E5"/>
          </w:tcPr>
          <w:p>
            <w:pPr>
              <w:jc w:val="right"/>
              <w:ind w:right="30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394</w:t>
            </w:r>
          </w:p>
        </w:tc>
        <w:tc>
          <w:tcPr>
            <w:tcW w:w="60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E5E5E5"/>
          </w:tcPr>
          <w:p>
            <w:pPr>
              <w:ind w:left="20"/>
              <w:spacing w:after="0"/>
              <w:rPr>
                <w:sz w:val="20"/>
                <w:szCs w:val="20"/>
                <w:color w:val="auto"/>
              </w:rPr>
            </w:pPr>
            <w:r>
              <w:rPr>
                <w:rFonts w:ascii="Arial" w:cs="Arial" w:eastAsia="Arial" w:hAnsi="Arial"/>
                <w:sz w:val="18"/>
                <w:szCs w:val="18"/>
                <w:color w:val="auto"/>
              </w:rPr>
              <w:t>Finished goods</w:t>
            </w:r>
          </w:p>
        </w:tc>
        <w:tc>
          <w:tcPr>
            <w:tcW w:w="214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88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845</w:t>
            </w:r>
          </w:p>
        </w:tc>
        <w:tc>
          <w:tcPr>
            <w:tcW w:w="22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1,768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56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4560" w:type="dxa"/>
            <w:vAlign w:val="bottom"/>
          </w:tcPr>
          <w:p>
            <w:pPr>
              <w:ind w:left="240"/>
              <w:spacing w:after="0"/>
              <w:rPr>
                <w:sz w:val="20"/>
                <w:szCs w:val="20"/>
                <w:color w:val="auto"/>
              </w:rPr>
            </w:pPr>
            <w:r>
              <w:rPr>
                <w:rFonts w:ascii="Arial" w:cs="Arial" w:eastAsia="Arial" w:hAnsi="Arial"/>
                <w:sz w:val="18"/>
                <w:szCs w:val="18"/>
                <w:color w:val="auto"/>
              </w:rPr>
              <w:t>Total</w:t>
            </w:r>
          </w:p>
        </w:tc>
        <w:tc>
          <w:tcPr>
            <w:tcW w:w="2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1,246</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4560" w:type="dxa"/>
            <w:vAlign w:val="bottom"/>
          </w:tcPr>
          <w:p>
            <w:pPr>
              <w:spacing w:after="0"/>
              <w:rPr>
                <w:sz w:val="5"/>
                <w:szCs w:val="5"/>
                <w:color w:val="auto"/>
              </w:rPr>
            </w:pPr>
          </w:p>
        </w:tc>
        <w:tc>
          <w:tcPr>
            <w:tcW w:w="2140" w:type="dxa"/>
            <w:vAlign w:val="bottom"/>
            <w:vMerge w:val="restart"/>
          </w:tcPr>
          <w:p>
            <w:pPr>
              <w:jc w:val="right"/>
              <w:ind w:right="916"/>
              <w:spacing w:after="0"/>
              <w:rPr>
                <w:sz w:val="20"/>
                <w:szCs w:val="20"/>
                <w:color w:val="auto"/>
              </w:rPr>
            </w:pPr>
            <w:r>
              <w:rPr>
                <w:rFonts w:ascii="Arial" w:cs="Arial" w:eastAsia="Arial" w:hAnsi="Arial"/>
                <w:sz w:val="14"/>
                <w:szCs w:val="14"/>
                <w:color w:val="auto"/>
              </w:rPr>
              <w:t>75</w:t>
            </w:r>
          </w:p>
        </w:tc>
        <w:tc>
          <w:tcPr>
            <w:tcW w:w="1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3"/>
        </w:trPr>
        <w:tc>
          <w:tcPr>
            <w:tcW w:w="456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45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5" w:name="page76"/>
    <w:bookmarkEnd w:id="75"/>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51" w:lineRule="exact"/>
        <w:rPr>
          <w:sz w:val="20"/>
          <w:szCs w:val="20"/>
          <w:color w:val="auto"/>
        </w:rPr>
      </w:pPr>
    </w:p>
    <w:p>
      <w:pPr>
        <w:ind w:left="3860"/>
        <w:spacing w:after="0"/>
        <w:rPr>
          <w:sz w:val="20"/>
          <w:szCs w:val="20"/>
          <w:color w:val="auto"/>
        </w:rPr>
      </w:pPr>
      <w:r>
        <w:rPr>
          <w:rFonts w:ascii="Arial" w:cs="Arial" w:eastAsia="Arial" w:hAnsi="Arial"/>
          <w:sz w:val="18"/>
          <w:szCs w:val="18"/>
          <w:u w:val="single" w:color="auto"/>
          <w:color w:val="auto"/>
        </w:rPr>
        <w:t>NOTE 7 — PROPERTY AND EQUIPMENT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were as follows: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ind w:left="20"/>
              <w:spacing w:after="0"/>
              <w:rPr>
                <w:sz w:val="20"/>
                <w:szCs w:val="20"/>
                <w:color w:val="auto"/>
              </w:rPr>
            </w:pPr>
            <w:r>
              <w:rPr>
                <w:rFonts w:ascii="Arial" w:cs="Arial" w:eastAsia="Arial" w:hAnsi="Arial"/>
                <w:sz w:val="13"/>
                <w:szCs w:val="13"/>
                <w:b w:val="1"/>
                <w:bCs w:val="1"/>
                <w:color w:val="auto"/>
              </w:rPr>
              <w:t>June 30,</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r>
      <w:tr>
        <w:trPr>
          <w:trHeight w:val="58"/>
        </w:trPr>
        <w:tc>
          <w:tcPr>
            <w:tcW w:w="8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8680" w:type="dxa"/>
            <w:vAlign w:val="bottom"/>
            <w:shd w:val="clear" w:color="auto" w:fill="E5E5E5"/>
          </w:tcPr>
          <w:p>
            <w:pPr>
              <w:ind w:left="20"/>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8,163</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5,683</w:t>
            </w:r>
          </w:p>
        </w:tc>
        <w:tc>
          <w:tcPr>
            <w:tcW w:w="100" w:type="dxa"/>
            <w:vAlign w:val="bottom"/>
            <w:shd w:val="clear" w:color="auto" w:fill="E5E5E5"/>
          </w:tcPr>
          <w:p>
            <w:pPr>
              <w:spacing w:after="0"/>
              <w:rPr>
                <w:sz w:val="19"/>
                <w:szCs w:val="19"/>
                <w:color w:val="auto"/>
              </w:rPr>
            </w:pP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93,943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68,465</w:t>
            </w:r>
          </w:p>
        </w:tc>
        <w:tc>
          <w:tcPr>
            <w:tcW w:w="100" w:type="dxa"/>
            <w:vAlign w:val="bottom"/>
          </w:tcPr>
          <w:p>
            <w:pPr>
              <w:spacing w:after="0"/>
              <w:rPr>
                <w:sz w:val="19"/>
                <w:szCs w:val="19"/>
                <w:color w:val="auto"/>
              </w:rPr>
            </w:pPr>
          </w:p>
        </w:tc>
      </w:tr>
      <w:tr>
        <w:trPr>
          <w:trHeight w:val="230"/>
        </w:trPr>
        <w:tc>
          <w:tcPr>
            <w:tcW w:w="8680" w:type="dxa"/>
            <w:vAlign w:val="bottom"/>
            <w:shd w:val="clear" w:color="auto" w:fill="E5E5E5"/>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9,594</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8,537</w:t>
            </w:r>
          </w:p>
        </w:tc>
        <w:tc>
          <w:tcPr>
            <w:tcW w:w="100" w:type="dxa"/>
            <w:vAlign w:val="bottom"/>
            <w:shd w:val="clear" w:color="auto" w:fill="E5E5E5"/>
          </w:tcPr>
          <w:p>
            <w:pPr>
              <w:spacing w:after="0"/>
              <w:rPr>
                <w:sz w:val="19"/>
                <w:szCs w:val="19"/>
                <w:color w:val="auto"/>
              </w:rPr>
            </w:pP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93,780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74,961</w:t>
            </w:r>
          </w:p>
        </w:tc>
        <w:tc>
          <w:tcPr>
            <w:tcW w:w="100" w:type="dxa"/>
            <w:vAlign w:val="bottom"/>
          </w:tcPr>
          <w:p>
            <w:pPr>
              <w:spacing w:after="0"/>
              <w:rPr>
                <w:sz w:val="19"/>
                <w:szCs w:val="19"/>
                <w:color w:val="auto"/>
              </w:rPr>
            </w:pPr>
          </w:p>
        </w:tc>
      </w:tr>
      <w:tr>
        <w:trPr>
          <w:trHeight w:val="230"/>
        </w:trPr>
        <w:tc>
          <w:tcPr>
            <w:tcW w:w="8680" w:type="dxa"/>
            <w:vAlign w:val="bottom"/>
            <w:shd w:val="clear" w:color="auto" w:fill="E5E5E5"/>
          </w:tcPr>
          <w:p>
            <w:pPr>
              <w:ind w:left="20"/>
              <w:spacing w:after="0"/>
              <w:rPr>
                <w:sz w:val="20"/>
                <w:szCs w:val="20"/>
                <w:color w:val="auto"/>
              </w:rPr>
            </w:pPr>
            <w:r>
              <w:rPr>
                <w:rFonts w:ascii="Arial" w:cs="Arial" w:eastAsia="Arial" w:hAnsi="Arial"/>
                <w:sz w:val="18"/>
                <w:szCs w:val="18"/>
                <w:color w:val="auto"/>
              </w:rPr>
              <w:t>Furniture and equipment</w:t>
            </w: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6,532</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6,246</w:t>
            </w:r>
          </w:p>
        </w:tc>
        <w:tc>
          <w:tcPr>
            <w:tcW w:w="100" w:type="dxa"/>
            <w:vAlign w:val="bottom"/>
            <w:shd w:val="clear" w:color="auto" w:fill="E5E5E5"/>
          </w:tcPr>
          <w:p>
            <w:pPr>
              <w:spacing w:after="0"/>
              <w:rPr>
                <w:sz w:val="19"/>
                <w:szCs w:val="19"/>
                <w:color w:val="auto"/>
              </w:rPr>
            </w:pPr>
          </w:p>
        </w:tc>
      </w:tr>
      <w:tr>
        <w:trPr>
          <w:trHeight w:val="68"/>
        </w:trPr>
        <w:tc>
          <w:tcPr>
            <w:tcW w:w="86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90"/>
        </w:trPr>
        <w:tc>
          <w:tcPr>
            <w:tcW w:w="8680" w:type="dxa"/>
            <w:vAlign w:val="bottom"/>
          </w:tcPr>
          <w:p>
            <w:pPr>
              <w:ind w:left="240"/>
              <w:spacing w:after="0"/>
              <w:rPr>
                <w:sz w:val="20"/>
                <w:szCs w:val="20"/>
                <w:color w:val="auto"/>
              </w:rPr>
            </w:pPr>
            <w:r>
              <w:rPr>
                <w:rFonts w:ascii="Arial" w:cs="Arial" w:eastAsia="Arial" w:hAnsi="Arial"/>
                <w:sz w:val="18"/>
                <w:szCs w:val="18"/>
                <w:color w:val="auto"/>
              </w:rPr>
              <w:t>Total, at cost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212,012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163,892</w:t>
            </w:r>
          </w:p>
        </w:tc>
        <w:tc>
          <w:tcPr>
            <w:tcW w:w="100" w:type="dxa"/>
            <w:vAlign w:val="bottom"/>
          </w:tcPr>
          <w:p>
            <w:pPr>
              <w:spacing w:after="0"/>
              <w:rPr>
                <w:sz w:val="24"/>
                <w:szCs w:val="24"/>
                <w:color w:val="auto"/>
              </w:rPr>
            </w:pPr>
          </w:p>
        </w:tc>
      </w:tr>
      <w:tr>
        <w:trPr>
          <w:trHeight w:val="230"/>
        </w:trPr>
        <w:tc>
          <w:tcPr>
            <w:tcW w:w="8680" w:type="dxa"/>
            <w:vAlign w:val="bottom"/>
            <w:shd w:val="clear" w:color="auto" w:fill="E5E5E5"/>
          </w:tcPr>
          <w:p>
            <w:pPr>
              <w:ind w:left="20"/>
              <w:spacing w:after="0"/>
              <w:rPr>
                <w:sz w:val="20"/>
                <w:szCs w:val="20"/>
                <w:color w:val="auto"/>
              </w:rPr>
            </w:pPr>
            <w:r>
              <w:rPr>
                <w:rFonts w:ascii="Arial" w:cs="Arial" w:eastAsia="Arial" w:hAnsi="Arial"/>
                <w:sz w:val="18"/>
                <w:szCs w:val="18"/>
                <w:color w:val="auto"/>
              </w:rPr>
              <w:t>Accumulated depreciation</w:t>
            </w:r>
          </w:p>
        </w:tc>
        <w:tc>
          <w:tcPr>
            <w:tcW w:w="280" w:type="dxa"/>
            <w:vAlign w:val="bottom"/>
            <w:shd w:val="clear" w:color="auto" w:fill="E5E5E5"/>
          </w:tcPr>
          <w:p>
            <w:pPr>
              <w:spacing w:after="0"/>
              <w:rPr>
                <w:sz w:val="19"/>
                <w:szCs w:val="19"/>
                <w:color w:val="auto"/>
              </w:rPr>
            </w:pPr>
          </w:p>
        </w:tc>
        <w:tc>
          <w:tcPr>
            <w:tcW w:w="10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(76,421 )</w:t>
            </w:r>
          </w:p>
        </w:tc>
        <w:tc>
          <w:tcPr>
            <w:tcW w:w="28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(68,251 )</w:t>
            </w:r>
          </w:p>
        </w:tc>
      </w:tr>
      <w:tr>
        <w:trPr>
          <w:trHeight w:val="68"/>
        </w:trPr>
        <w:tc>
          <w:tcPr>
            <w:tcW w:w="86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302"/>
        </w:trPr>
        <w:tc>
          <w:tcPr>
            <w:tcW w:w="8680" w:type="dxa"/>
            <w:vAlign w:val="bottom"/>
          </w:tcPr>
          <w:p>
            <w:pPr>
              <w:ind w:left="240"/>
              <w:spacing w:after="0"/>
              <w:rPr>
                <w:sz w:val="20"/>
                <w:szCs w:val="20"/>
                <w:color w:val="auto"/>
              </w:rPr>
            </w:pPr>
            <w:r>
              <w:rPr>
                <w:rFonts w:ascii="Arial" w:cs="Arial" w:eastAsia="Arial" w:hAnsi="Arial"/>
                <w:sz w:val="18"/>
                <w:szCs w:val="18"/>
                <w:color w:val="auto"/>
              </w:rPr>
              <w:t>Total, net</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135,591</w:t>
            </w:r>
          </w:p>
        </w:tc>
        <w:tc>
          <w:tcPr>
            <w:tcW w:w="2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95,641</w:t>
            </w:r>
          </w:p>
        </w:tc>
        <w:tc>
          <w:tcPr>
            <w:tcW w:w="100" w:type="dxa"/>
            <w:vAlign w:val="bottom"/>
          </w:tcPr>
          <w:p>
            <w:pPr>
              <w:spacing w:after="0"/>
              <w:rPr>
                <w:sz w:val="24"/>
                <w:szCs w:val="24"/>
                <w:color w:val="auto"/>
              </w:rPr>
            </w:pPr>
          </w:p>
        </w:tc>
      </w:tr>
      <w:tr>
        <w:trPr>
          <w:trHeight w:val="63"/>
        </w:trPr>
        <w:tc>
          <w:tcPr>
            <w:tcW w:w="86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2024, 2023, and 2022, depreciation expense was $15.2 billion, $11.0 billion, and $12.6 billion, respectively.</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of June 30, 2024, we have committed $35.4 billion for the construction of new buildings, building improvements, and leasehold improvements, primarily related to datacenters.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NOTE 8 — BUSINESS COMBINATIONS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October 13, 2023, we completed our acquisition of Activision Blizzard, Inc. (“Activision Blizzard”) for a total purchase price of $75.4 billion, consisting primarily of cash. Activision Blizzard is a leader in game development and an interactive entertainment content publisher. The acquisition will accelerate the growth in our gaming business across mobile, PC, console, and cloud gaming. The financial results of Activision Blizzard have been included in our consolidated financial statements since the date of the acquisition. Activision Blizzard is reported as part of our More Personal Computing segment.</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purchase price allocation as of the date of acquisition was based on a preliminary valuation and is subject to revision as more detailed analyses are completed and additional information about the fair value of assets acquired and liabilities assumed becomes available. The primary areas that remain preliminary relate to the fair values of goodwill and income taxes.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major classes of assets and liabilities to which we have preliminarily allocated the purchase price were as follows: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294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60" w:type="dxa"/>
            <w:vAlign w:val="bottom"/>
            <w:shd w:val="clear" w:color="auto" w:fill="E5E5E5"/>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12,976</w:t>
            </w:r>
          </w:p>
        </w:tc>
        <w:tc>
          <w:tcPr>
            <w:tcW w:w="160" w:type="dxa"/>
            <w:vAlign w:val="bottom"/>
            <w:shd w:val="clear" w:color="auto" w:fill="E5E5E5"/>
          </w:tcPr>
          <w:p>
            <w:pPr>
              <w:spacing w:after="0"/>
              <w:rPr>
                <w:sz w:val="19"/>
                <w:szCs w:val="19"/>
                <w:color w:val="auto"/>
              </w:rPr>
            </w:pPr>
          </w:p>
        </w:tc>
      </w:tr>
      <w:tr>
        <w:trPr>
          <w:trHeight w:val="230"/>
        </w:trPr>
        <w:tc>
          <w:tcPr>
            <w:tcW w:w="98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50,969</w:t>
            </w:r>
          </w:p>
        </w:tc>
        <w:tc>
          <w:tcPr>
            <w:tcW w:w="160" w:type="dxa"/>
            <w:vAlign w:val="bottom"/>
          </w:tcPr>
          <w:p>
            <w:pPr>
              <w:spacing w:after="0"/>
              <w:rPr>
                <w:sz w:val="19"/>
                <w:szCs w:val="19"/>
                <w:color w:val="auto"/>
              </w:rPr>
            </w:pPr>
          </w:p>
        </w:tc>
      </w:tr>
      <w:tr>
        <w:trPr>
          <w:trHeight w:val="229"/>
        </w:trPr>
        <w:tc>
          <w:tcPr>
            <w:tcW w:w="9860" w:type="dxa"/>
            <w:vAlign w:val="bottom"/>
            <w:shd w:val="clear" w:color="auto" w:fill="E5E5E5"/>
          </w:tcPr>
          <w:p>
            <w:pPr>
              <w:ind w:left="20"/>
              <w:spacing w:after="0"/>
              <w:rPr>
                <w:sz w:val="20"/>
                <w:szCs w:val="20"/>
                <w:color w:val="auto"/>
              </w:rPr>
            </w:pPr>
            <w:r>
              <w:rPr>
                <w:rFonts w:ascii="Arial" w:cs="Arial" w:eastAsia="Arial" w:hAnsi="Arial"/>
                <w:sz w:val="18"/>
                <w:szCs w:val="18"/>
                <w:color w:val="auto"/>
              </w:rPr>
              <w:t>Intangible assets</w:t>
            </w:r>
          </w:p>
        </w:tc>
        <w:tc>
          <w:tcPr>
            <w:tcW w:w="3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21,969</w:t>
            </w:r>
          </w:p>
        </w:tc>
        <w:tc>
          <w:tcPr>
            <w:tcW w:w="160" w:type="dxa"/>
            <w:vAlign w:val="bottom"/>
            <w:shd w:val="clear" w:color="auto" w:fill="E5E5E5"/>
          </w:tcPr>
          <w:p>
            <w:pPr>
              <w:spacing w:after="0"/>
              <w:rPr>
                <w:sz w:val="19"/>
                <w:szCs w:val="19"/>
                <w:color w:val="auto"/>
              </w:rPr>
            </w:pPr>
          </w:p>
        </w:tc>
      </w:tr>
      <w:tr>
        <w:trPr>
          <w:trHeight w:val="230"/>
        </w:trPr>
        <w:tc>
          <w:tcPr>
            <w:tcW w:w="98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2,501</w:t>
            </w:r>
          </w:p>
        </w:tc>
        <w:tc>
          <w:tcPr>
            <w:tcW w:w="160" w:type="dxa"/>
            <w:vAlign w:val="bottom"/>
          </w:tcPr>
          <w:p>
            <w:pPr>
              <w:spacing w:after="0"/>
              <w:rPr>
                <w:sz w:val="19"/>
                <w:szCs w:val="19"/>
                <w:color w:val="auto"/>
              </w:rPr>
            </w:pPr>
          </w:p>
        </w:tc>
      </w:tr>
      <w:tr>
        <w:trPr>
          <w:trHeight w:val="230"/>
        </w:trPr>
        <w:tc>
          <w:tcPr>
            <w:tcW w:w="9860" w:type="dxa"/>
            <w:vAlign w:val="bottom"/>
            <w:shd w:val="clear" w:color="auto" w:fill="E5E5E5"/>
          </w:tcPr>
          <w:p>
            <w:pPr>
              <w:ind w:left="20"/>
              <w:spacing w:after="0"/>
              <w:rPr>
                <w:sz w:val="20"/>
                <w:szCs w:val="20"/>
                <w:color w:val="auto"/>
              </w:rPr>
            </w:pPr>
            <w:r>
              <w:rPr>
                <w:rFonts w:ascii="Arial" w:cs="Arial" w:eastAsia="Arial" w:hAnsi="Arial"/>
                <w:sz w:val="18"/>
                <w:szCs w:val="18"/>
                <w:color w:val="auto"/>
              </w:rPr>
              <w:t>Long-term debt</w:t>
            </w:r>
          </w:p>
        </w:tc>
        <w:tc>
          <w:tcPr>
            <w:tcW w:w="380" w:type="dxa"/>
            <w:vAlign w:val="bottom"/>
            <w:shd w:val="clear" w:color="auto" w:fill="E5E5E5"/>
          </w:tcPr>
          <w:p>
            <w:pPr>
              <w:spacing w:after="0"/>
              <w:rPr>
                <w:sz w:val="19"/>
                <w:szCs w:val="19"/>
                <w:color w:val="auto"/>
              </w:rPr>
            </w:pPr>
          </w:p>
        </w:tc>
        <w:tc>
          <w:tcPr>
            <w:tcW w:w="100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(2,799 )</w:t>
            </w:r>
          </w:p>
        </w:tc>
      </w:tr>
      <w:tr>
        <w:trPr>
          <w:trHeight w:val="230"/>
        </w:trPr>
        <w:tc>
          <w:tcPr>
            <w:tcW w:w="9860" w:type="dxa"/>
            <w:vAlign w:val="bottom"/>
          </w:tcPr>
          <w:p>
            <w:pPr>
              <w:ind w:left="20"/>
              <w:spacing w:after="0"/>
              <w:rPr>
                <w:sz w:val="20"/>
                <w:szCs w:val="20"/>
                <w:color w:val="auto"/>
              </w:rPr>
            </w:pPr>
            <w:r>
              <w:rPr>
                <w:rFonts w:ascii="Arial" w:cs="Arial" w:eastAsia="Arial" w:hAnsi="Arial"/>
                <w:sz w:val="18"/>
                <w:szCs w:val="18"/>
                <w:color w:val="auto"/>
              </w:rPr>
              <w:t>Long-term income taxes</w:t>
            </w: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(1,914 )</w:t>
            </w:r>
          </w:p>
        </w:tc>
      </w:tr>
      <w:tr>
        <w:trPr>
          <w:trHeight w:val="230"/>
        </w:trPr>
        <w:tc>
          <w:tcPr>
            <w:tcW w:w="9860" w:type="dxa"/>
            <w:vAlign w:val="bottom"/>
            <w:shd w:val="clear" w:color="auto" w:fill="E5E5E5"/>
          </w:tcPr>
          <w:p>
            <w:pPr>
              <w:ind w:left="2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E5E5E5"/>
          </w:tcPr>
          <w:p>
            <w:pPr>
              <w:spacing w:after="0"/>
              <w:rPr>
                <w:sz w:val="19"/>
                <w:szCs w:val="19"/>
                <w:color w:val="auto"/>
              </w:rPr>
            </w:pPr>
          </w:p>
        </w:tc>
        <w:tc>
          <w:tcPr>
            <w:tcW w:w="100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(4,677 )</w:t>
            </w:r>
          </w:p>
        </w:tc>
      </w:tr>
      <w:tr>
        <w:trPr>
          <w:trHeight w:val="239"/>
        </w:trPr>
        <w:tc>
          <w:tcPr>
            <w:tcW w:w="98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(3,617 )</w:t>
            </w:r>
          </w:p>
        </w:tc>
      </w:tr>
      <w:tr>
        <w:trPr>
          <w:trHeight w:val="58"/>
        </w:trPr>
        <w:tc>
          <w:tcPr>
            <w:tcW w:w="98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r>
      <w:tr>
        <w:trPr>
          <w:trHeight w:val="61"/>
        </w:trPr>
        <w:tc>
          <w:tcPr>
            <w:tcW w:w="9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r>
      <w:tr>
        <w:trPr>
          <w:trHeight w:val="229"/>
        </w:trPr>
        <w:tc>
          <w:tcPr>
            <w:tcW w:w="98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 purchase price</w:t>
            </w:r>
          </w:p>
        </w:tc>
        <w:tc>
          <w:tcPr>
            <w:tcW w:w="38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75,408</w:t>
            </w:r>
          </w:p>
        </w:tc>
        <w:tc>
          <w:tcPr>
            <w:tcW w:w="160" w:type="dxa"/>
            <w:vAlign w:val="bottom"/>
            <w:shd w:val="clear" w:color="auto" w:fill="E5E5E5"/>
          </w:tcPr>
          <w:p>
            <w:pPr>
              <w:spacing w:after="0"/>
              <w:rPr>
                <w:sz w:val="19"/>
                <w:szCs w:val="19"/>
                <w:color w:val="auto"/>
              </w:rPr>
            </w:pPr>
          </w:p>
        </w:tc>
      </w:tr>
      <w:tr>
        <w:trPr>
          <w:trHeight w:val="75"/>
        </w:trPr>
        <w:tc>
          <w:tcPr>
            <w:tcW w:w="986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Goodwill was assigned to our More Personal Computing segment. The goodwill was primarily attributed to increased synergies that are expected to be achieved from the integration of Activision Blizzard. Substantially all of the goodwill is expected to be non-deductible for income tax purposes.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6" w:name="page77"/>
    <w:bookmarkEnd w:id="76"/>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details of the purchase price allocated to the intangible assets acquired: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except average life)</w:t>
            </w:r>
          </w:p>
        </w:tc>
        <w:tc>
          <w:tcPr>
            <w:tcW w:w="4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5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86"/>
        </w:trPr>
        <w:tc>
          <w:tcPr>
            <w:tcW w:w="84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Average Life</w:t>
            </w:r>
          </w:p>
        </w:tc>
        <w:tc>
          <w:tcPr>
            <w:tcW w:w="0" w:type="dxa"/>
            <w:vAlign w:val="bottom"/>
          </w:tcPr>
          <w:p>
            <w:pPr>
              <w:spacing w:after="0"/>
              <w:rPr>
                <w:sz w:val="1"/>
                <w:szCs w:val="1"/>
                <w:color w:val="auto"/>
              </w:rPr>
            </w:pPr>
          </w:p>
        </w:tc>
      </w:tr>
      <w:tr>
        <w:trPr>
          <w:trHeight w:val="58"/>
        </w:trPr>
        <w:tc>
          <w:tcPr>
            <w:tcW w:w="84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8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E5E5E5"/>
          </w:tcPr>
          <w:p>
            <w:pPr>
              <w:ind w:left="20"/>
              <w:spacing w:after="0"/>
              <w:rPr>
                <w:sz w:val="20"/>
                <w:szCs w:val="20"/>
                <w:color w:val="auto"/>
              </w:rPr>
            </w:pPr>
            <w:r>
              <w:rPr>
                <w:rFonts w:ascii="Arial" w:cs="Arial" w:eastAsia="Arial" w:hAnsi="Arial"/>
                <w:sz w:val="18"/>
                <w:szCs w:val="18"/>
                <w:color w:val="auto"/>
              </w:rPr>
              <w:t>Marketing-related</w:t>
            </w:r>
          </w:p>
        </w:tc>
        <w:tc>
          <w:tcPr>
            <w:tcW w:w="400" w:type="dxa"/>
            <w:vAlign w:val="bottom"/>
            <w:shd w:val="clear" w:color="auto" w:fill="E5E5E5"/>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11,619</w:t>
            </w:r>
          </w:p>
        </w:tc>
        <w:tc>
          <w:tcPr>
            <w:tcW w:w="15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24 years</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Technology-based</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9,689</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29"/>
        </w:trPr>
        <w:tc>
          <w:tcPr>
            <w:tcW w:w="8440" w:type="dxa"/>
            <w:vAlign w:val="bottom"/>
            <w:shd w:val="clear" w:color="auto" w:fill="E5E5E5"/>
          </w:tcPr>
          <w:p>
            <w:pPr>
              <w:ind w:left="20"/>
              <w:spacing w:after="0"/>
              <w:rPr>
                <w:sz w:val="20"/>
                <w:szCs w:val="20"/>
                <w:color w:val="auto"/>
              </w:rPr>
            </w:pPr>
            <w:r>
              <w:rPr>
                <w:rFonts w:ascii="Arial" w:cs="Arial" w:eastAsia="Arial" w:hAnsi="Arial"/>
                <w:sz w:val="18"/>
                <w:szCs w:val="18"/>
                <w:color w:val="auto"/>
              </w:rPr>
              <w:t>Customer-related</w:t>
            </w:r>
          </w:p>
        </w:tc>
        <w:tc>
          <w:tcPr>
            <w:tcW w:w="40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661</w:t>
            </w:r>
          </w:p>
        </w:tc>
        <w:tc>
          <w:tcPr>
            <w:tcW w:w="15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68"/>
        </w:trPr>
        <w:tc>
          <w:tcPr>
            <w:tcW w:w="84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54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8440" w:type="dxa"/>
            <w:vAlign w:val="bottom"/>
          </w:tcPr>
          <w:p>
            <w:pPr>
              <w:ind w:left="240"/>
              <w:spacing w:after="0"/>
              <w:rPr>
                <w:sz w:val="20"/>
                <w:szCs w:val="20"/>
                <w:color w:val="auto"/>
              </w:rPr>
            </w:pPr>
            <w:r>
              <w:rPr>
                <w:rFonts w:ascii="Arial" w:cs="Arial" w:eastAsia="Arial" w:hAnsi="Arial"/>
                <w:sz w:val="18"/>
                <w:szCs w:val="18"/>
                <w:color w:val="auto"/>
              </w:rPr>
              <w:t>Fair value of intangible assets acquired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21,969</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84"/>
        </w:trPr>
        <w:tc>
          <w:tcPr>
            <w:tcW w:w="844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Following is the net impact of the Activision Blizzard acquisition on our consolidated income statements since the date of acquisition:</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46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r>
      <w:tr>
        <w:trPr>
          <w:trHeight w:val="58"/>
        </w:trPr>
        <w:tc>
          <w:tcPr>
            <w:tcW w:w="5660" w:type="dxa"/>
            <w:vAlign w:val="bottom"/>
          </w:tcPr>
          <w:p>
            <w:pPr>
              <w:spacing w:after="0"/>
              <w:rPr>
                <w:sz w:val="5"/>
                <w:szCs w:val="5"/>
                <w:color w:val="auto"/>
              </w:rPr>
            </w:pPr>
          </w:p>
        </w:tc>
        <w:tc>
          <w:tcPr>
            <w:tcW w:w="4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30"/>
        </w:trPr>
        <w:tc>
          <w:tcPr>
            <w:tcW w:w="566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Revenue</w:t>
            </w:r>
          </w:p>
        </w:tc>
        <w:tc>
          <w:tcPr>
            <w:tcW w:w="468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5,729</w:t>
            </w:r>
          </w:p>
        </w:tc>
        <w:tc>
          <w:tcPr>
            <w:tcW w:w="100" w:type="dxa"/>
            <w:vAlign w:val="bottom"/>
            <w:shd w:val="clear" w:color="auto" w:fill="E5E5E5"/>
          </w:tcPr>
          <w:p>
            <w:pPr>
              <w:spacing w:after="0"/>
              <w:rPr>
                <w:sz w:val="19"/>
                <w:szCs w:val="19"/>
                <w:color w:val="auto"/>
              </w:rPr>
            </w:pPr>
          </w:p>
        </w:tc>
      </w:tr>
      <w:tr>
        <w:trPr>
          <w:trHeight w:val="247"/>
        </w:trPr>
        <w:tc>
          <w:tcPr>
            <w:tcW w:w="56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468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(1,362 )</w:t>
            </w:r>
          </w:p>
        </w:tc>
      </w:tr>
      <w:tr>
        <w:trPr>
          <w:trHeight w:val="50"/>
        </w:trPr>
        <w:tc>
          <w:tcPr>
            <w:tcW w:w="5660" w:type="dxa"/>
            <w:vAlign w:val="bottom"/>
            <w:tcBorders>
              <w:bottom w:val="single" w:sz="8" w:color="auto"/>
            </w:tcBorders>
          </w:tcPr>
          <w:p>
            <w:pPr>
              <w:spacing w:after="0"/>
              <w:rPr>
                <w:sz w:val="4"/>
                <w:szCs w:val="4"/>
                <w:color w:val="auto"/>
              </w:rPr>
            </w:pPr>
          </w:p>
        </w:tc>
        <w:tc>
          <w:tcPr>
            <w:tcW w:w="46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 of Activision Blizzard content from third-party to first-party is reflected in the net impact.</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Following are the supplemental consolidated financial results of Microsoft Corporation on an unaudited pro forma basis, as if the acquisition had been consummated on July 1, 2022:</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540" w:type="dxa"/>
            <w:vAlign w:val="bottom"/>
          </w:tcPr>
          <w:p>
            <w:pPr>
              <w:spacing w:after="0"/>
              <w:rPr>
                <w:sz w:val="16"/>
                <w:szCs w:val="16"/>
                <w:color w:val="auto"/>
              </w:rPr>
            </w:pPr>
          </w:p>
        </w:tc>
        <w:tc>
          <w:tcPr>
            <w:tcW w:w="1040" w:type="dxa"/>
            <w:vAlign w:val="bottom"/>
          </w:tcPr>
          <w:p>
            <w:pPr>
              <w:jc w:val="right"/>
              <w:ind w:right="56"/>
              <w:spacing w:after="0"/>
              <w:rPr>
                <w:sz w:val="20"/>
                <w:szCs w:val="20"/>
                <w:color w:val="auto"/>
              </w:rPr>
            </w:pPr>
            <w:r>
              <w:rPr>
                <w:rFonts w:ascii="Arial" w:cs="Arial" w:eastAsia="Arial" w:hAnsi="Arial"/>
                <w:sz w:val="13"/>
                <w:szCs w:val="13"/>
                <w:b w:val="1"/>
                <w:bCs w:val="1"/>
                <w:color w:val="auto"/>
              </w:rPr>
              <w:t>2024</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r>
      <w:tr>
        <w:trPr>
          <w:trHeight w:val="58"/>
        </w:trPr>
        <w:tc>
          <w:tcPr>
            <w:tcW w:w="53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30"/>
        </w:trPr>
        <w:tc>
          <w:tcPr>
            <w:tcW w:w="5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Revenue</w:t>
            </w:r>
          </w:p>
        </w:tc>
        <w:tc>
          <w:tcPr>
            <w:tcW w:w="354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E5E5E5"/>
          </w:tcPr>
          <w:p>
            <w:pPr>
              <w:jc w:val="right"/>
              <w:ind w:right="56"/>
              <w:spacing w:after="0"/>
              <w:rPr>
                <w:sz w:val="20"/>
                <w:szCs w:val="20"/>
                <w:color w:val="auto"/>
              </w:rPr>
            </w:pPr>
            <w:r>
              <w:rPr>
                <w:rFonts w:ascii="Arial" w:cs="Arial" w:eastAsia="Arial" w:hAnsi="Arial"/>
                <w:sz w:val="18"/>
                <w:szCs w:val="18"/>
                <w:b w:val="1"/>
                <w:bCs w:val="1"/>
                <w:color w:val="auto"/>
              </w:rPr>
              <w:t>247,442</w:t>
            </w:r>
          </w:p>
        </w:tc>
        <w:tc>
          <w:tcPr>
            <w:tcW w:w="3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219,790</w:t>
            </w:r>
          </w:p>
        </w:tc>
        <w:tc>
          <w:tcPr>
            <w:tcW w:w="100" w:type="dxa"/>
            <w:vAlign w:val="bottom"/>
            <w:shd w:val="clear" w:color="auto" w:fill="E5E5E5"/>
          </w:tcPr>
          <w:p>
            <w:pPr>
              <w:spacing w:after="0"/>
              <w:rPr>
                <w:sz w:val="19"/>
                <w:szCs w:val="19"/>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540" w:type="dxa"/>
            <w:vAlign w:val="bottom"/>
          </w:tcPr>
          <w:p>
            <w:pPr>
              <w:spacing w:after="0"/>
              <w:rPr>
                <w:sz w:val="19"/>
                <w:szCs w:val="19"/>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b w:val="1"/>
                <w:bCs w:val="1"/>
                <w:color w:val="auto"/>
              </w:rPr>
              <w:t>88,308</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71,383</w:t>
            </w:r>
          </w:p>
        </w:tc>
        <w:tc>
          <w:tcPr>
            <w:tcW w:w="100" w:type="dxa"/>
            <w:vAlign w:val="bottom"/>
          </w:tcPr>
          <w:p>
            <w:pPr>
              <w:spacing w:after="0"/>
              <w:rPr>
                <w:sz w:val="19"/>
                <w:szCs w:val="19"/>
                <w:color w:val="auto"/>
              </w:rPr>
            </w:pPr>
          </w:p>
        </w:tc>
      </w:tr>
      <w:tr>
        <w:trPr>
          <w:trHeight w:val="229"/>
        </w:trPr>
        <w:tc>
          <w:tcPr>
            <w:tcW w:w="5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Diluted earnings per share</w:t>
            </w:r>
          </w:p>
        </w:tc>
        <w:tc>
          <w:tcPr>
            <w:tcW w:w="3540" w:type="dxa"/>
            <w:vAlign w:val="bottom"/>
            <w:shd w:val="clear" w:color="auto" w:fill="E5E5E5"/>
          </w:tcPr>
          <w:p>
            <w:pPr>
              <w:spacing w:after="0"/>
              <w:rPr>
                <w:sz w:val="19"/>
                <w:szCs w:val="19"/>
                <w:color w:val="auto"/>
              </w:rPr>
            </w:pPr>
          </w:p>
        </w:tc>
        <w:tc>
          <w:tcPr>
            <w:tcW w:w="1040" w:type="dxa"/>
            <w:vAlign w:val="bottom"/>
            <w:shd w:val="clear" w:color="auto" w:fill="E5E5E5"/>
          </w:tcPr>
          <w:p>
            <w:pPr>
              <w:jc w:val="right"/>
              <w:ind w:right="56"/>
              <w:spacing w:after="0"/>
              <w:rPr>
                <w:sz w:val="20"/>
                <w:szCs w:val="20"/>
                <w:color w:val="auto"/>
              </w:rPr>
            </w:pPr>
            <w:r>
              <w:rPr>
                <w:rFonts w:ascii="Arial" w:cs="Arial" w:eastAsia="Arial" w:hAnsi="Arial"/>
                <w:sz w:val="18"/>
                <w:szCs w:val="18"/>
                <w:b w:val="1"/>
                <w:bCs w:val="1"/>
                <w:color w:val="auto"/>
              </w:rPr>
              <w:t>11.82</w:t>
            </w:r>
          </w:p>
        </w:tc>
        <w:tc>
          <w:tcPr>
            <w:tcW w:w="38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E5E5E5"/>
          </w:tcPr>
          <w:p>
            <w:pPr>
              <w:spacing w:after="0"/>
              <w:rPr>
                <w:sz w:val="19"/>
                <w:szCs w:val="19"/>
                <w:color w:val="auto"/>
              </w:rPr>
            </w:pPr>
          </w:p>
        </w:tc>
      </w:tr>
      <w:tr>
        <w:trPr>
          <w:trHeight w:val="68"/>
        </w:trPr>
        <w:tc>
          <w:tcPr>
            <w:tcW w:w="5320" w:type="dxa"/>
            <w:vAlign w:val="bottom"/>
            <w:tcBorders>
              <w:bottom w:val="single" w:sz="8" w:color="auto"/>
            </w:tcBorders>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pro forma results were based on estimates and assumptions, which we believe are reasonable. They are not the results that would have been realized had we been a combined company during the periods presented and are not necessarily indicative of our consolidated results of operations in future periods. The pro forma results include adjustments related to purchase accounting, primarily amortization of intangible assets. Acquisition costs and other nonrecurring charges were immaterial and are included in the earliest period presented.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Nuance Communications, Inc.</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March 4, 2022, we completed our acquisition of Nuance Communications, Inc. (“Nuance”) for a total purchase price of $18.8 billion, consisting primarily of cash. Nuance is a cloud and artificial intelligence (“AI”) software provider with healthcare and enterprise AI experience, and the acquisition will build on our industry-specific cloud offerings. The financial results of Nuance have been included in our consolidated financial statements since the date of the acquisition. Nuance is reported as part of our Intelligent Cloud segment.</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allocation of the purchase price to goodwill was completed as of December 31, 2022. The major classes of assets and liabilities to which we have allocated the purchase price were as follows: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465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9880" w:type="dxa"/>
            <w:vAlign w:val="bottom"/>
            <w:shd w:val="clear" w:color="auto" w:fill="E5E5E5"/>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24"/>
                <w:szCs w:val="24"/>
                <w:color w:val="auto"/>
                <w:vertAlign w:val="superscript"/>
              </w:rPr>
              <w:t>(a)</w:t>
            </w:r>
          </w:p>
        </w:tc>
        <w:tc>
          <w:tcPr>
            <w:tcW w:w="38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16,326</w:t>
            </w:r>
          </w:p>
        </w:tc>
        <w:tc>
          <w:tcPr>
            <w:tcW w:w="14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9880" w:type="dxa"/>
            <w:vAlign w:val="bottom"/>
            <w:shd w:val="clear" w:color="auto" w:fill="E5E5E5"/>
          </w:tcPr>
          <w:p>
            <w:pPr>
              <w:spacing w:after="0"/>
              <w:rPr>
                <w:sz w:val="9"/>
                <w:szCs w:val="9"/>
                <w:color w:val="auto"/>
              </w:rPr>
            </w:pPr>
          </w:p>
        </w:tc>
        <w:tc>
          <w:tcPr>
            <w:tcW w:w="380" w:type="dxa"/>
            <w:vAlign w:val="bottom"/>
            <w:shd w:val="clear" w:color="auto" w:fill="E5E5E5"/>
          </w:tcPr>
          <w:p>
            <w:pPr>
              <w:spacing w:after="0"/>
              <w:rPr>
                <w:sz w:val="9"/>
                <w:szCs w:val="9"/>
                <w:color w:val="auto"/>
              </w:rPr>
            </w:pPr>
          </w:p>
        </w:tc>
        <w:tc>
          <w:tcPr>
            <w:tcW w:w="840" w:type="dxa"/>
            <w:vAlign w:val="bottom"/>
            <w:vMerge w:val="continue"/>
            <w:shd w:val="clear" w:color="auto" w:fill="E5E5E5"/>
          </w:tcPr>
          <w:p>
            <w:pPr>
              <w:spacing w:after="0"/>
              <w:rPr>
                <w:sz w:val="9"/>
                <w:szCs w:val="9"/>
                <w:color w:val="auto"/>
              </w:rPr>
            </w:pPr>
          </w:p>
        </w:tc>
        <w:tc>
          <w:tcPr>
            <w:tcW w:w="140" w:type="dxa"/>
            <w:vAlign w:val="bottom"/>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80" w:type="dxa"/>
            <w:vAlign w:val="bottom"/>
            <w:shd w:val="clear" w:color="auto" w:fill="E5E5E5"/>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9880" w:type="dxa"/>
            <w:vAlign w:val="bottom"/>
          </w:tcPr>
          <w:p>
            <w:pPr>
              <w:ind w:left="20"/>
              <w:spacing w:after="0"/>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24"/>
                <w:szCs w:val="24"/>
                <w:color w:val="auto"/>
                <w:vertAlign w:val="superscript"/>
              </w:rPr>
              <w:t>(b)</w:t>
            </w:r>
          </w:p>
        </w:tc>
        <w:tc>
          <w:tcPr>
            <w:tcW w:w="38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(1,972 )</w:t>
            </w:r>
          </w:p>
        </w:tc>
        <w:tc>
          <w:tcPr>
            <w:tcW w:w="0" w:type="dxa"/>
            <w:vAlign w:val="bottom"/>
          </w:tcPr>
          <w:p>
            <w:pPr>
              <w:spacing w:after="0"/>
              <w:rPr>
                <w:sz w:val="1"/>
                <w:szCs w:val="1"/>
                <w:color w:val="auto"/>
              </w:rPr>
            </w:pPr>
          </w:p>
        </w:tc>
      </w:tr>
      <w:tr>
        <w:trPr>
          <w:trHeight w:val="61"/>
        </w:trPr>
        <w:tc>
          <w:tcPr>
            <w:tcW w:w="988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98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18,761</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988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520" w:hanging="512"/>
        <w:spacing w:after="0" w:line="244"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Goodwill was assigned to our Intelligent Cloud segment and was primarily attributed to increased synergies that are expected to be achieved from the integration of Nuance. None of the goodwill is expected to be deductible for income tax purposes.</w:t>
      </w: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Includes $986 million of convertible senior notes issued by Nuance in 2015 and 2017, substantially all of which have been redeemed.</w:t>
      </w:r>
    </w:p>
    <w:p>
      <w:pPr>
        <w:sectPr>
          <w:pgSz w:w="11900" w:h="16838" w:orient="portrait"/>
          <w:cols w:equalWidth="0" w:num="1">
            <w:col w:w="11240"/>
          </w:cols>
          <w:pgMar w:left="320" w:top="775" w:right="3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type w:val="continuous"/>
        </w:sectPr>
      </w:pPr>
    </w:p>
    <w:bookmarkStart w:id="77" w:name="page78"/>
    <w:bookmarkEnd w:id="77"/>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details of the purchase price allocated to the intangible assets acquired: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except average life)</w:t>
            </w: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vMerge w:val="restart"/>
          </w:tcPr>
          <w:p>
            <w:pPr>
              <w:jc w:val="right"/>
              <w:ind w:right="620"/>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86"/>
        </w:trPr>
        <w:tc>
          <w:tcPr>
            <w:tcW w:w="22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Average Life</w:t>
            </w:r>
          </w:p>
        </w:tc>
        <w:tc>
          <w:tcPr>
            <w:tcW w:w="0" w:type="dxa"/>
            <w:vAlign w:val="bottom"/>
          </w:tcPr>
          <w:p>
            <w:pPr>
              <w:spacing w:after="0"/>
              <w:rPr>
                <w:sz w:val="1"/>
                <w:szCs w:val="1"/>
                <w:color w:val="auto"/>
              </w:rPr>
            </w:pPr>
          </w:p>
        </w:tc>
      </w:tr>
      <w:tr>
        <w:trPr>
          <w:trHeight w:val="58"/>
        </w:trPr>
        <w:tc>
          <w:tcPr>
            <w:tcW w:w="22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E5E5E5"/>
          </w:tcPr>
          <w:p>
            <w:pPr>
              <w:ind w:left="20"/>
              <w:spacing w:after="0"/>
              <w:rPr>
                <w:sz w:val="20"/>
                <w:szCs w:val="20"/>
                <w:color w:val="auto"/>
              </w:rPr>
            </w:pPr>
            <w:r>
              <w:rPr>
                <w:rFonts w:ascii="Arial" w:cs="Arial" w:eastAsia="Arial" w:hAnsi="Arial"/>
                <w:sz w:val="18"/>
                <w:szCs w:val="18"/>
                <w:color w:val="auto"/>
              </w:rPr>
              <w:t>Customer-related</w:t>
            </w:r>
          </w:p>
        </w:tc>
        <w:tc>
          <w:tcPr>
            <w:tcW w:w="360" w:type="dxa"/>
            <w:vAlign w:val="bottom"/>
            <w:shd w:val="clear" w:color="auto" w:fill="E5E5E5"/>
          </w:tcPr>
          <w:p>
            <w:pPr>
              <w:spacing w:after="0"/>
              <w:rPr>
                <w:sz w:val="19"/>
                <w:szCs w:val="19"/>
                <w:color w:val="auto"/>
              </w:rPr>
            </w:pPr>
          </w:p>
        </w:tc>
        <w:tc>
          <w:tcPr>
            <w:tcW w:w="68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880" w:type="dxa"/>
            <w:vAlign w:val="bottom"/>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5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5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2,610</w:t>
            </w:r>
          </w:p>
        </w:tc>
        <w:tc>
          <w:tcPr>
            <w:tcW w:w="24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9 years</w:t>
            </w:r>
          </w:p>
        </w:tc>
        <w:tc>
          <w:tcPr>
            <w:tcW w:w="0" w:type="dxa"/>
            <w:vAlign w:val="bottom"/>
          </w:tcPr>
          <w:p>
            <w:pPr>
              <w:spacing w:after="0"/>
              <w:rPr>
                <w:sz w:val="1"/>
                <w:szCs w:val="1"/>
                <w:color w:val="auto"/>
              </w:rPr>
            </w:pP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Technology-based</w:t>
            </w: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1,540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30"/>
        </w:trPr>
        <w:tc>
          <w:tcPr>
            <w:tcW w:w="2260" w:type="dxa"/>
            <w:vAlign w:val="bottom"/>
            <w:shd w:val="clear" w:color="auto" w:fill="E5E5E5"/>
          </w:tcPr>
          <w:p>
            <w:pPr>
              <w:ind w:left="20"/>
              <w:spacing w:after="0"/>
              <w:rPr>
                <w:sz w:val="20"/>
                <w:szCs w:val="20"/>
                <w:color w:val="auto"/>
              </w:rPr>
            </w:pPr>
            <w:r>
              <w:rPr>
                <w:rFonts w:ascii="Arial" w:cs="Arial" w:eastAsia="Arial" w:hAnsi="Arial"/>
                <w:sz w:val="18"/>
                <w:szCs w:val="18"/>
                <w:color w:val="auto"/>
              </w:rPr>
              <w:t>Marketing-related</w:t>
            </w:r>
          </w:p>
        </w:tc>
        <w:tc>
          <w:tcPr>
            <w:tcW w:w="360" w:type="dxa"/>
            <w:vAlign w:val="bottom"/>
            <w:shd w:val="clear" w:color="auto" w:fill="E5E5E5"/>
          </w:tcPr>
          <w:p>
            <w:pPr>
              <w:spacing w:after="0"/>
              <w:rPr>
                <w:sz w:val="19"/>
                <w:szCs w:val="19"/>
                <w:color w:val="auto"/>
              </w:rPr>
            </w:pPr>
          </w:p>
        </w:tc>
        <w:tc>
          <w:tcPr>
            <w:tcW w:w="68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880" w:type="dxa"/>
            <w:vAlign w:val="bottom"/>
            <w:shd w:val="clear" w:color="auto" w:fill="E5E5E5"/>
          </w:tcPr>
          <w:p>
            <w:pPr>
              <w:spacing w:after="0"/>
              <w:rPr>
                <w:sz w:val="19"/>
                <w:szCs w:val="19"/>
                <w:color w:val="auto"/>
              </w:rPr>
            </w:pPr>
          </w:p>
        </w:tc>
        <w:tc>
          <w:tcPr>
            <w:tcW w:w="4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5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5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60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68"/>
        </w:trPr>
        <w:tc>
          <w:tcPr>
            <w:tcW w:w="22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2260" w:type="dxa"/>
            <w:vAlign w:val="bottom"/>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4,365</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71"/>
        </w:trPr>
        <w:tc>
          <w:tcPr>
            <w:tcW w:w="2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920" w:type="dxa"/>
            <w:vAlign w:val="bottom"/>
            <w:gridSpan w:val="7"/>
            <w:vMerge w:val="restart"/>
          </w:tcPr>
          <w:p>
            <w:pPr>
              <w:spacing w:after="0"/>
              <w:rPr>
                <w:sz w:val="20"/>
                <w:szCs w:val="20"/>
                <w:color w:val="auto"/>
              </w:rPr>
            </w:pPr>
            <w:r>
              <w:rPr>
                <w:rFonts w:ascii="Arial" w:cs="Arial" w:eastAsia="Arial" w:hAnsi="Arial"/>
                <w:sz w:val="18"/>
                <w:szCs w:val="18"/>
                <w:color w:val="auto"/>
                <w:w w:val="99"/>
              </w:rPr>
              <w:t>NOTE 9 — GOODWILL</w:t>
            </w: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5"/>
        </w:trPr>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20" w:type="dxa"/>
            <w:vAlign w:val="bottom"/>
            <w:gridSpan w:val="7"/>
            <w:vMerge w:val="continue"/>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40" w:type="dxa"/>
            <w:vAlign w:val="bottom"/>
            <w:gridSpan w:val="6"/>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4920" w:type="dxa"/>
            <w:vAlign w:val="bottom"/>
            <w:gridSpan w:val="8"/>
          </w:tcPr>
          <w:p>
            <w:pPr>
              <w:spacing w:after="0"/>
              <w:rPr>
                <w:sz w:val="20"/>
                <w:szCs w:val="20"/>
                <w:color w:val="auto"/>
              </w:rPr>
            </w:pPr>
            <w:r>
              <w:rPr>
                <w:rFonts w:ascii="Arial" w:cs="Arial" w:eastAsia="Arial" w:hAnsi="Arial"/>
                <w:sz w:val="18"/>
                <w:szCs w:val="18"/>
                <w:color w:val="auto"/>
              </w:rPr>
              <w:t>Changes in the carrying amount of goodwill were as follows:</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Acquisitions</w:t>
            </w:r>
          </w:p>
        </w:tc>
        <w:tc>
          <w:tcPr>
            <w:tcW w:w="320" w:type="dxa"/>
            <w:vAlign w:val="bottom"/>
          </w:tcPr>
          <w:p>
            <w:pPr>
              <w:spacing w:after="0"/>
              <w:rPr>
                <w:sz w:val="24"/>
                <w:szCs w:val="24"/>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Other</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Acquisitions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vMerge w:val="restart"/>
          </w:tcPr>
          <w:p>
            <w:pPr>
              <w:jc w:val="right"/>
              <w:ind w:right="360"/>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22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2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260" w:type="dxa"/>
            <w:vAlign w:val="bottom"/>
            <w:shd w:val="clear" w:color="auto" w:fill="E5E5E5"/>
          </w:tcPr>
          <w:p>
            <w:pPr>
              <w:ind w:left="20"/>
              <w:spacing w:after="0" w:line="197" w:lineRule="exact"/>
              <w:rPr>
                <w:sz w:val="20"/>
                <w:szCs w:val="20"/>
                <w:color w:val="auto"/>
              </w:rPr>
            </w:pPr>
            <w:r>
              <w:rPr>
                <w:rFonts w:ascii="Arial" w:cs="Arial" w:eastAsia="Arial" w:hAnsi="Arial"/>
                <w:sz w:val="18"/>
                <w:szCs w:val="18"/>
                <w:color w:val="auto"/>
              </w:rPr>
              <w:t>Productivity and Business</w:t>
            </w:r>
          </w:p>
        </w:tc>
        <w:tc>
          <w:tcPr>
            <w:tcW w:w="36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2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Processes</w:t>
            </w:r>
          </w:p>
        </w:tc>
        <w:tc>
          <w:tcPr>
            <w:tcW w:w="36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24,811</w:t>
            </w:r>
          </w:p>
        </w:tc>
        <w:tc>
          <w:tcPr>
            <w:tcW w:w="4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E5E5E5"/>
          </w:tcPr>
          <w:p>
            <w:pPr>
              <w:spacing w:after="0"/>
              <w:rPr>
                <w:sz w:val="20"/>
                <w:szCs w:val="20"/>
                <w:color w:val="auto"/>
              </w:rPr>
            </w:pPr>
          </w:p>
        </w:tc>
        <w:tc>
          <w:tcPr>
            <w:tcW w:w="32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(47 )</w:t>
            </w:r>
          </w:p>
        </w:tc>
        <w:tc>
          <w:tcPr>
            <w:tcW w:w="500" w:type="dxa"/>
            <w:vAlign w:val="bottom"/>
            <w:shd w:val="clear" w:color="auto" w:fill="E5E5E5"/>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20" w:type="dxa"/>
            <w:vAlign w:val="bottom"/>
            <w:shd w:val="clear" w:color="auto" w:fill="E5E5E5"/>
          </w:tcPr>
          <w:p>
            <w:pPr>
              <w:spacing w:after="0"/>
              <w:rPr>
                <w:sz w:val="20"/>
                <w:szCs w:val="20"/>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24,775</w:t>
            </w:r>
          </w:p>
        </w:tc>
        <w:tc>
          <w:tcPr>
            <w:tcW w:w="4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0</w:t>
            </w:r>
          </w:p>
        </w:tc>
        <w:tc>
          <w:tcPr>
            <w:tcW w:w="44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2</w:t>
            </w:r>
          </w:p>
        </w:tc>
        <w:tc>
          <w:tcPr>
            <w:tcW w:w="360" w:type="dxa"/>
            <w:vAlign w:val="bottom"/>
            <w:shd w:val="clear" w:color="auto" w:fill="E5E5E5"/>
          </w:tcPr>
          <w:p>
            <w:pPr>
              <w:spacing w:after="0"/>
              <w:rPr>
                <w:sz w:val="20"/>
                <w:szCs w:val="20"/>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24,777</w:t>
            </w:r>
          </w:p>
        </w:tc>
        <w:tc>
          <w:tcPr>
            <w:tcW w:w="10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60" w:type="dxa"/>
            <w:vAlign w:val="bottom"/>
          </w:tcPr>
          <w:p>
            <w:pPr>
              <w:ind w:left="20"/>
              <w:spacing w:after="0"/>
              <w:rPr>
                <w:sz w:val="20"/>
                <w:szCs w:val="20"/>
                <w:color w:val="auto"/>
              </w:rPr>
            </w:pPr>
            <w:r>
              <w:rPr>
                <w:rFonts w:ascii="Arial" w:cs="Arial" w:eastAsia="Arial" w:hAnsi="Arial"/>
                <w:sz w:val="18"/>
                <w:szCs w:val="18"/>
                <w:color w:val="auto"/>
              </w:rPr>
              <w:t>Intelligent Cloud</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30,182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30,469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(28 )</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30,441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E5E5E5"/>
          </w:tcPr>
          <w:p>
            <w:pPr>
              <w:ind w:left="20"/>
              <w:spacing w:after="0"/>
              <w:rPr>
                <w:sz w:val="20"/>
                <w:szCs w:val="20"/>
                <w:color w:val="auto"/>
              </w:rPr>
            </w:pPr>
            <w:r>
              <w:rPr>
                <w:rFonts w:ascii="Arial" w:cs="Arial" w:eastAsia="Arial" w:hAnsi="Arial"/>
                <w:sz w:val="18"/>
                <w:szCs w:val="18"/>
                <w:color w:val="auto"/>
              </w:rPr>
              <w:t>More Personal Computing</w:t>
            </w:r>
          </w:p>
        </w:tc>
        <w:tc>
          <w:tcPr>
            <w:tcW w:w="360" w:type="dxa"/>
            <w:vAlign w:val="bottom"/>
            <w:shd w:val="clear" w:color="auto" w:fill="E5E5E5"/>
          </w:tcPr>
          <w:p>
            <w:pPr>
              <w:spacing w:after="0"/>
              <w:rPr>
                <w:sz w:val="19"/>
                <w:szCs w:val="19"/>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12,531</w:t>
            </w:r>
          </w:p>
        </w:tc>
        <w:tc>
          <w:tcPr>
            <w:tcW w:w="2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9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12,642</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51,235</w:t>
            </w:r>
          </w:p>
        </w:tc>
        <w:tc>
          <w:tcPr>
            <w:tcW w:w="440" w:type="dxa"/>
            <w:vAlign w:val="bottom"/>
            <w:gridSpan w:val="2"/>
            <w:shd w:val="clear" w:color="auto" w:fill="E5E5E5"/>
          </w:tcPr>
          <w:p>
            <w:pPr>
              <w:jc w:val="right"/>
              <w:ind w:right="280"/>
              <w:spacing w:after="0"/>
              <w:rPr>
                <w:sz w:val="20"/>
                <w:szCs w:val="20"/>
                <w:color w:val="auto"/>
              </w:rPr>
            </w:pPr>
            <w:r>
              <w:rPr>
                <w:rFonts w:ascii="Arial" w:cs="Arial" w:eastAsia="Arial" w:hAnsi="Arial"/>
                <w:sz w:val="12"/>
                <w:szCs w:val="12"/>
                <w:b w:val="1"/>
                <w:bCs w:val="1"/>
                <w:color w:val="auto"/>
                <w:w w:val="95"/>
              </w:rPr>
              <w:t>(a)</w:t>
            </w:r>
          </w:p>
        </w:tc>
        <w:tc>
          <w:tcPr>
            <w:tcW w:w="1120" w:type="dxa"/>
            <w:vAlign w:val="bottom"/>
            <w:gridSpan w:val="3"/>
            <w:shd w:val="clear" w:color="auto" w:fill="E5E5E5"/>
          </w:tcPr>
          <w:p>
            <w:pPr>
              <w:jc w:val="right"/>
              <w:ind w:right="200"/>
              <w:spacing w:after="0" w:line="229" w:lineRule="exact"/>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24"/>
                <w:szCs w:val="24"/>
                <w:b w:val="1"/>
                <w:bCs w:val="1"/>
                <w:color w:val="auto"/>
                <w:vertAlign w:val="superscript"/>
              </w:rPr>
              <w:t>(a)</w:t>
            </w:r>
          </w:p>
        </w:tc>
        <w:tc>
          <w:tcPr>
            <w:tcW w:w="14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64,002</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2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gridSpan w:val="2"/>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gridSpan w:val="2"/>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2260" w:type="dxa"/>
            <w:vAlign w:val="bottom"/>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67,524</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67,886</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51,235</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99</w:t>
            </w:r>
          </w:p>
        </w:tc>
        <w:tc>
          <w:tcPr>
            <w:tcW w:w="3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119,220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35560</wp:posOffset>
            </wp:positionV>
            <wp:extent cx="555498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54980" cy="17145"/>
                    </a:xfrm>
                    <a:prstGeom prst="rect">
                      <a:avLst/>
                    </a:prstGeom>
                    <a:noFill/>
                  </pic:spPr>
                </pic:pic>
              </a:graphicData>
            </a:graphic>
          </wp:anchor>
        </w:drawing>
      </w:r>
    </w:p>
    <w:p>
      <w:pPr>
        <w:spacing w:after="0" w:line="127"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Includes goodwill of $51.0 billion related to Activision Blizzard. See Note 8 – Business Combinations for further information.</w:t>
      </w:r>
    </w:p>
    <w:p>
      <w:pPr>
        <w:spacing w:after="0" w:line="15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test goodwill for impairment annually on May 1 at the reporting unit level, primarily using a discounted cash flow methodology with a peer-based, risk-adjusted weighted average cost of capital. We believe use of a discounted cash flow approach is the most reliable indicator of the fair values of the businesses.</w:t>
      </w:r>
    </w:p>
    <w:p>
      <w:pPr>
        <w:spacing w:after="0" w:line="11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No instances of impairment were identified in our May 1, 2024, May 1, 2023, or May 1, 2022 tests. As of June 30, 2024 and 2023, accumulated goodwill impairment was $11.3 billion.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8" w:name="page79"/>
    <w:bookmarkEnd w:id="78"/>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13"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NOTE 10 —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all of which are finite-lived,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Gross</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Net Carrying</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Gross</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3"/>
                <w:szCs w:val="13"/>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48"/>
        </w:trPr>
        <w:tc>
          <w:tcPr>
            <w:tcW w:w="30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3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Carrying</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Carrying</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0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58"/>
        </w:trPr>
        <w:tc>
          <w:tcPr>
            <w:tcW w:w="30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3060" w:type="dxa"/>
            <w:vAlign w:val="bottom"/>
          </w:tcPr>
          <w:p>
            <w:pPr>
              <w:ind w:left="20"/>
              <w:spacing w:after="0"/>
              <w:rPr>
                <w:sz w:val="20"/>
                <w:szCs w:val="20"/>
                <w:color w:val="auto"/>
              </w:rPr>
            </w:pPr>
            <w:r>
              <w:rPr>
                <w:rFonts w:ascii="Arial" w:cs="Arial" w:eastAsia="Arial" w:hAnsi="Arial"/>
                <w:sz w:val="13"/>
                <w:szCs w:val="13"/>
                <w:b w:val="1"/>
                <w:bCs w:val="1"/>
                <w:color w:val="auto"/>
              </w:rPr>
              <w:t>June 30,</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30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E5E5E5"/>
          </w:tcPr>
          <w:p>
            <w:pPr>
              <w:ind w:left="20"/>
              <w:spacing w:after="0"/>
              <w:rPr>
                <w:sz w:val="20"/>
                <w:szCs w:val="20"/>
                <w:color w:val="auto"/>
              </w:rPr>
            </w:pPr>
            <w:r>
              <w:rPr>
                <w:rFonts w:ascii="Arial" w:cs="Arial" w:eastAsia="Arial" w:hAnsi="Arial"/>
                <w:sz w:val="18"/>
                <w:szCs w:val="18"/>
                <w:color w:val="auto"/>
              </w:rPr>
              <w:t>Marketing-related</w:t>
            </w:r>
          </w:p>
        </w:tc>
        <w:tc>
          <w:tcPr>
            <w:tcW w:w="34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16,500</w:t>
            </w:r>
          </w:p>
        </w:tc>
        <w:tc>
          <w:tcPr>
            <w:tcW w:w="340" w:type="dxa"/>
            <w:vAlign w:val="bottom"/>
            <w:shd w:val="clear" w:color="auto" w:fill="E5E5E5"/>
          </w:tcPr>
          <w:p>
            <w:pPr>
              <w:spacing w:after="0"/>
              <w:rPr>
                <w:sz w:val="19"/>
                <w:szCs w:val="19"/>
                <w:color w:val="auto"/>
              </w:rPr>
            </w:pP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(3,101 )</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13,399</w:t>
            </w:r>
          </w:p>
        </w:tc>
        <w:tc>
          <w:tcPr>
            <w:tcW w:w="54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4,935</w:t>
            </w:r>
          </w:p>
        </w:tc>
        <w:tc>
          <w:tcPr>
            <w:tcW w:w="5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(2,473 )</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2,462</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Technology-based</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21,913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(10,741 )</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11,172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11,245</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(7,589 )</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E5E5E5"/>
          </w:tcPr>
          <w:p>
            <w:pPr>
              <w:ind w:left="20"/>
              <w:spacing w:after="0"/>
              <w:rPr>
                <w:sz w:val="20"/>
                <w:szCs w:val="20"/>
                <w:color w:val="auto"/>
              </w:rPr>
            </w:pPr>
            <w:r>
              <w:rPr>
                <w:rFonts w:ascii="Arial" w:cs="Arial" w:eastAsia="Arial" w:hAnsi="Arial"/>
                <w:sz w:val="18"/>
                <w:szCs w:val="18"/>
                <w:color w:val="auto"/>
              </w:rPr>
              <w:t>Customer-related</w:t>
            </w:r>
          </w:p>
        </w:tc>
        <w:tc>
          <w:tcPr>
            <w:tcW w:w="340" w:type="dxa"/>
            <w:vAlign w:val="bottom"/>
            <w:shd w:val="clear" w:color="auto" w:fill="E5E5E5"/>
          </w:tcPr>
          <w:p>
            <w:pPr>
              <w:spacing w:after="0"/>
              <w:rPr>
                <w:sz w:val="19"/>
                <w:szCs w:val="19"/>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6,038</w:t>
            </w:r>
          </w:p>
        </w:tc>
        <w:tc>
          <w:tcPr>
            <w:tcW w:w="34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1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(3,051 )</w:t>
            </w:r>
          </w:p>
        </w:tc>
        <w:tc>
          <w:tcPr>
            <w:tcW w:w="20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2,987</w:t>
            </w:r>
          </w:p>
        </w:tc>
        <w:tc>
          <w:tcPr>
            <w:tcW w:w="22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7,281</w:t>
            </w:r>
          </w:p>
        </w:tc>
        <w:tc>
          <w:tcPr>
            <w:tcW w:w="36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1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(4,047 )</w:t>
            </w:r>
          </w:p>
        </w:tc>
        <w:tc>
          <w:tcPr>
            <w:tcW w:w="200" w:type="dxa"/>
            <w:vAlign w:val="bottom"/>
            <w:shd w:val="clear" w:color="auto" w:fill="E5E5E5"/>
          </w:tcPr>
          <w:p>
            <w:pPr>
              <w:spacing w:after="0"/>
              <w:rPr>
                <w:sz w:val="19"/>
                <w:szCs w:val="19"/>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3,234</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060" w:type="dxa"/>
            <w:vAlign w:val="bottom"/>
          </w:tcPr>
          <w:p>
            <w:pPr>
              <w:ind w:left="20"/>
              <w:spacing w:after="0"/>
              <w:rPr>
                <w:sz w:val="20"/>
                <w:szCs w:val="20"/>
                <w:color w:val="auto"/>
              </w:rPr>
            </w:pPr>
            <w:r>
              <w:rPr>
                <w:rFonts w:ascii="Arial" w:cs="Arial" w:eastAsia="Arial" w:hAnsi="Arial"/>
                <w:sz w:val="18"/>
                <w:szCs w:val="18"/>
                <w:color w:val="auto"/>
              </w:rPr>
              <w:t>Contract-based</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(19 )</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(15 )</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30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0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44,509</w:t>
            </w:r>
          </w:p>
        </w:tc>
        <w:tc>
          <w:tcPr>
            <w:tcW w:w="340" w:type="dxa"/>
            <w:vAlign w:val="bottom"/>
            <w:shd w:val="clear" w:color="auto" w:fill="E5E5E5"/>
          </w:tcPr>
          <w:p>
            <w:pPr>
              <w:spacing w:after="0"/>
              <w:rPr>
                <w:sz w:val="20"/>
                <w:szCs w:val="20"/>
                <w:color w:val="auto"/>
              </w:rPr>
            </w:pPr>
            <w:r>
              <w:rPr>
                <w:rFonts w:ascii="Arial" w:cs="Arial" w:eastAsia="Arial" w:hAnsi="Arial"/>
                <w:sz w:val="12"/>
                <w:szCs w:val="12"/>
                <w:b w:val="1"/>
                <w:bCs w:val="1"/>
                <w:color w:val="auto"/>
              </w:rPr>
              <w:t>(a)</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(16,912 )</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27,597</w:t>
            </w:r>
          </w:p>
        </w:tc>
        <w:tc>
          <w:tcPr>
            <w:tcW w:w="54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23,490</w:t>
            </w:r>
          </w:p>
        </w:tc>
        <w:tc>
          <w:tcPr>
            <w:tcW w:w="5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(14,124 )</w:t>
            </w:r>
          </w:p>
        </w:tc>
        <w:tc>
          <w:tcPr>
            <w:tcW w:w="2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9,366</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306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Includes intangible assets of $22.0 billion related to Activision Blizzard. See Note 8 – Business Combinations for further information.</w:t>
      </w:r>
    </w:p>
    <w:p>
      <w:pPr>
        <w:spacing w:after="0" w:line="15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No material impairments of intangible assets were identified during fiscal years 2024, 2023, or 2022. We estimate that we have no significant residual value related to our intangible assets.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acquired during the periods presented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580" w:type="dxa"/>
            <w:vAlign w:val="bottom"/>
          </w:tcPr>
          <w:p>
            <w:pPr>
              <w:jc w:val="right"/>
              <w:ind w:right="156"/>
              <w:spacing w:after="0"/>
              <w:rPr>
                <w:sz w:val="20"/>
                <w:szCs w:val="20"/>
                <w:color w:val="auto"/>
              </w:rPr>
            </w:pPr>
            <w:r>
              <w:rPr>
                <w:rFonts w:ascii="Arial" w:cs="Arial" w:eastAsia="Arial" w:hAnsi="Arial"/>
                <w:sz w:val="13"/>
                <w:szCs w:val="13"/>
                <w:b w:val="1"/>
                <w:bCs w:val="1"/>
                <w:color w:val="auto"/>
              </w:rPr>
              <w:t>Weighted</w:t>
            </w:r>
          </w:p>
        </w:tc>
        <w:tc>
          <w:tcPr>
            <w:tcW w:w="2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4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86"/>
        </w:trPr>
        <w:tc>
          <w:tcPr>
            <w:tcW w:w="64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580" w:type="dxa"/>
            <w:vAlign w:val="bottom"/>
          </w:tcPr>
          <w:p>
            <w:pPr>
              <w:jc w:val="right"/>
              <w:ind w:right="156"/>
              <w:spacing w:after="0"/>
              <w:rPr>
                <w:sz w:val="20"/>
                <w:szCs w:val="20"/>
                <w:color w:val="auto"/>
              </w:rPr>
            </w:pPr>
            <w:r>
              <w:rPr>
                <w:rFonts w:ascii="Arial" w:cs="Arial" w:eastAsia="Arial" w:hAnsi="Arial"/>
                <w:sz w:val="13"/>
                <w:szCs w:val="13"/>
                <w:b w:val="1"/>
                <w:bCs w:val="1"/>
                <w:color w:val="auto"/>
              </w:rPr>
              <w:t>Average Life</w:t>
            </w:r>
          </w:p>
        </w:tc>
        <w:tc>
          <w:tcPr>
            <w:tcW w:w="2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Average Life</w:t>
            </w:r>
          </w:p>
        </w:tc>
        <w:tc>
          <w:tcPr>
            <w:tcW w:w="0" w:type="dxa"/>
            <w:vAlign w:val="bottom"/>
          </w:tcPr>
          <w:p>
            <w:pPr>
              <w:spacing w:after="0"/>
              <w:rPr>
                <w:sz w:val="1"/>
                <w:szCs w:val="1"/>
                <w:color w:val="auto"/>
              </w:rPr>
            </w:pPr>
          </w:p>
        </w:tc>
      </w:tr>
      <w:tr>
        <w:trPr>
          <w:trHeight w:val="58"/>
        </w:trPr>
        <w:tc>
          <w:tcPr>
            <w:tcW w:w="64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642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6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E5E5E5"/>
          </w:tcPr>
          <w:p>
            <w:pPr>
              <w:ind w:left="20"/>
              <w:spacing w:after="0"/>
              <w:rPr>
                <w:sz w:val="20"/>
                <w:szCs w:val="20"/>
                <w:color w:val="auto"/>
              </w:rPr>
            </w:pPr>
            <w:r>
              <w:rPr>
                <w:rFonts w:ascii="Arial" w:cs="Arial" w:eastAsia="Arial" w:hAnsi="Arial"/>
                <w:sz w:val="18"/>
                <w:szCs w:val="18"/>
                <w:color w:val="auto"/>
              </w:rPr>
              <w:t>Marketing-related</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11,619</w:t>
            </w:r>
          </w:p>
        </w:tc>
        <w:tc>
          <w:tcPr>
            <w:tcW w:w="1580" w:type="dxa"/>
            <w:vAlign w:val="bottom"/>
            <w:shd w:val="clear" w:color="auto" w:fill="E5E5E5"/>
          </w:tcPr>
          <w:p>
            <w:pPr>
              <w:jc w:val="right"/>
              <w:ind w:right="156"/>
              <w:spacing w:after="0"/>
              <w:rPr>
                <w:sz w:val="20"/>
                <w:szCs w:val="20"/>
                <w:color w:val="auto"/>
              </w:rPr>
            </w:pPr>
            <w:r>
              <w:rPr>
                <w:rFonts w:ascii="Arial" w:cs="Arial" w:eastAsia="Arial" w:hAnsi="Arial"/>
                <w:sz w:val="18"/>
                <w:szCs w:val="18"/>
                <w:b w:val="1"/>
                <w:bCs w:val="1"/>
                <w:color w:val="auto"/>
              </w:rPr>
              <w:t>24 years</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14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Technology-based</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10,947</w:t>
            </w:r>
          </w:p>
        </w:tc>
        <w:tc>
          <w:tcPr>
            <w:tcW w:w="1580" w:type="dxa"/>
            <w:vAlign w:val="bottom"/>
          </w:tcPr>
          <w:p>
            <w:pPr>
              <w:jc w:val="right"/>
              <w:ind w:right="156"/>
              <w:spacing w:after="0"/>
              <w:rPr>
                <w:sz w:val="20"/>
                <w:szCs w:val="20"/>
                <w:color w:val="auto"/>
              </w:rPr>
            </w:pPr>
            <w:r>
              <w:rPr>
                <w:rFonts w:ascii="Arial" w:cs="Arial" w:eastAsia="Arial" w:hAnsi="Arial"/>
                <w:sz w:val="18"/>
                <w:szCs w:val="18"/>
                <w:b w:val="1"/>
                <w:bCs w:val="1"/>
                <w:color w:val="auto"/>
              </w:rPr>
              <w:t>4 years</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230"/>
        </w:trPr>
        <w:tc>
          <w:tcPr>
            <w:tcW w:w="6420" w:type="dxa"/>
            <w:vAlign w:val="bottom"/>
            <w:shd w:val="clear" w:color="auto" w:fill="E5E5E5"/>
          </w:tcPr>
          <w:p>
            <w:pPr>
              <w:ind w:left="20"/>
              <w:spacing w:after="0"/>
              <w:rPr>
                <w:sz w:val="20"/>
                <w:szCs w:val="20"/>
                <w:color w:val="auto"/>
              </w:rPr>
            </w:pPr>
            <w:r>
              <w:rPr>
                <w:rFonts w:ascii="Arial" w:cs="Arial" w:eastAsia="Arial" w:hAnsi="Arial"/>
                <w:sz w:val="18"/>
                <w:szCs w:val="18"/>
                <w:color w:val="auto"/>
              </w:rPr>
              <w:t>Customer-related</w:t>
            </w:r>
          </w:p>
        </w:tc>
        <w:tc>
          <w:tcPr>
            <w:tcW w:w="240" w:type="dxa"/>
            <w:vAlign w:val="bottom"/>
            <w:shd w:val="clear" w:color="auto" w:fill="E5E5E5"/>
          </w:tcPr>
          <w:p>
            <w:pPr>
              <w:spacing w:after="0"/>
              <w:rPr>
                <w:sz w:val="19"/>
                <w:szCs w:val="19"/>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660</w:t>
            </w:r>
          </w:p>
        </w:tc>
        <w:tc>
          <w:tcPr>
            <w:tcW w:w="1580" w:type="dxa"/>
            <w:vAlign w:val="bottom"/>
            <w:shd w:val="clear" w:color="auto" w:fill="E5E5E5"/>
          </w:tcPr>
          <w:p>
            <w:pPr>
              <w:jc w:val="right"/>
              <w:ind w:right="156"/>
              <w:spacing w:after="0"/>
              <w:rPr>
                <w:sz w:val="20"/>
                <w:szCs w:val="20"/>
                <w:color w:val="auto"/>
              </w:rPr>
            </w:pPr>
            <w:r>
              <w:rPr>
                <w:rFonts w:ascii="Arial" w:cs="Arial" w:eastAsia="Arial" w:hAnsi="Arial"/>
                <w:sz w:val="18"/>
                <w:szCs w:val="18"/>
                <w:b w:val="1"/>
                <w:bCs w:val="1"/>
                <w:color w:val="auto"/>
              </w:rPr>
              <w:t>4 years</w:t>
            </w:r>
          </w:p>
        </w:tc>
        <w:tc>
          <w:tcPr>
            <w:tcW w:w="24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0 years</w:t>
            </w:r>
          </w:p>
        </w:tc>
        <w:tc>
          <w:tcPr>
            <w:tcW w:w="0" w:type="dxa"/>
            <w:vAlign w:val="bottom"/>
          </w:tcPr>
          <w:p>
            <w:pPr>
              <w:spacing w:after="0"/>
              <w:rPr>
                <w:sz w:val="1"/>
                <w:szCs w:val="1"/>
                <w:color w:val="auto"/>
              </w:rPr>
            </w:pPr>
          </w:p>
        </w:tc>
      </w:tr>
      <w:tr>
        <w:trPr>
          <w:trHeight w:val="247"/>
        </w:trPr>
        <w:tc>
          <w:tcPr>
            <w:tcW w:w="6420" w:type="dxa"/>
            <w:vAlign w:val="bottom"/>
          </w:tcPr>
          <w:p>
            <w:pPr>
              <w:ind w:left="20"/>
              <w:spacing w:after="0"/>
              <w:rPr>
                <w:sz w:val="20"/>
                <w:szCs w:val="20"/>
                <w:color w:val="auto"/>
              </w:rPr>
            </w:pPr>
            <w:r>
              <w:rPr>
                <w:rFonts w:ascii="Arial" w:cs="Arial" w:eastAsia="Arial" w:hAnsi="Arial"/>
                <w:sz w:val="18"/>
                <w:szCs w:val="18"/>
                <w:color w:val="auto"/>
              </w:rPr>
              <w:t>Contract-based</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580" w:type="dxa"/>
            <w:vAlign w:val="bottom"/>
          </w:tcPr>
          <w:p>
            <w:pPr>
              <w:jc w:val="right"/>
              <w:ind w:right="156"/>
              <w:spacing w:after="0"/>
              <w:rPr>
                <w:sz w:val="20"/>
                <w:szCs w:val="20"/>
                <w:color w:val="auto"/>
              </w:rPr>
            </w:pPr>
            <w:r>
              <w:rPr>
                <w:rFonts w:ascii="Arial" w:cs="Arial" w:eastAsia="Arial" w:hAnsi="Arial"/>
                <w:sz w:val="18"/>
                <w:szCs w:val="18"/>
                <w:b w:val="1"/>
                <w:bCs w:val="1"/>
                <w:color w:val="auto"/>
              </w:rPr>
              <w:t>4 years</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50"/>
        </w:trPr>
        <w:tc>
          <w:tcPr>
            <w:tcW w:w="64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5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23,264</w:t>
            </w:r>
          </w:p>
        </w:tc>
        <w:tc>
          <w:tcPr>
            <w:tcW w:w="1580" w:type="dxa"/>
            <w:vAlign w:val="bottom"/>
            <w:shd w:val="clear" w:color="auto" w:fill="E5E5E5"/>
          </w:tcPr>
          <w:p>
            <w:pPr>
              <w:jc w:val="right"/>
              <w:ind w:right="156"/>
              <w:spacing w:after="0"/>
              <w:rPr>
                <w:sz w:val="20"/>
                <w:szCs w:val="20"/>
                <w:color w:val="auto"/>
              </w:rPr>
            </w:pPr>
            <w:r>
              <w:rPr>
                <w:rFonts w:ascii="Arial" w:cs="Arial" w:eastAsia="Arial" w:hAnsi="Arial"/>
                <w:sz w:val="18"/>
                <w:szCs w:val="18"/>
                <w:b w:val="1"/>
                <w:bCs w:val="1"/>
                <w:color w:val="auto"/>
              </w:rPr>
              <w:t>14 years</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541</w:t>
            </w:r>
          </w:p>
        </w:tc>
        <w:tc>
          <w:tcPr>
            <w:tcW w:w="14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r>
        <w:trPr>
          <w:trHeight w:val="74"/>
        </w:trPr>
        <w:tc>
          <w:tcPr>
            <w:tcW w:w="64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amortization expense was $4.8 billion, $2.5 billion, and $2.0 billion for fiscal years 2024, 2023, and 2022,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future amortization expense related to intangible assets held as of June 30, 2024:</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ind w:left="20"/>
              <w:spacing w:after="0"/>
              <w:rPr>
                <w:sz w:val="20"/>
                <w:szCs w:val="20"/>
                <w:color w:val="auto"/>
              </w:rPr>
            </w:pPr>
            <w:r>
              <w:rPr>
                <w:rFonts w:ascii="Arial" w:cs="Arial" w:eastAsia="Arial" w:hAnsi="Arial"/>
                <w:sz w:val="13"/>
                <w:szCs w:val="13"/>
                <w:b w:val="1"/>
                <w:bCs w:val="1"/>
                <w:color w:val="auto"/>
              </w:rPr>
              <w:t>Year Ending June 30,</w:t>
            </w:r>
          </w:p>
        </w:tc>
        <w:tc>
          <w:tcPr>
            <w:tcW w:w="5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3460" w:type="dxa"/>
            <w:vAlign w:val="bottom"/>
          </w:tcPr>
          <w:p>
            <w:pPr>
              <w:spacing w:after="0"/>
              <w:rPr>
                <w:sz w:val="5"/>
                <w:szCs w:val="5"/>
                <w:color w:val="auto"/>
              </w:rPr>
            </w:pPr>
          </w:p>
        </w:tc>
        <w:tc>
          <w:tcPr>
            <w:tcW w:w="58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2025</w:t>
            </w:r>
          </w:p>
        </w:tc>
        <w:tc>
          <w:tcPr>
            <w:tcW w:w="6560" w:type="dxa"/>
            <w:vAlign w:val="bottom"/>
            <w:gridSpan w:val="2"/>
            <w:shd w:val="clear" w:color="auto" w:fill="E5E5E5"/>
          </w:tcPr>
          <w:p>
            <w:pPr>
              <w:jc w:val="right"/>
              <w:ind w:right="56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5,892</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2026</w:t>
            </w:r>
          </w:p>
        </w:tc>
        <w:tc>
          <w:tcPr>
            <w:tcW w:w="5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2027</w:t>
            </w:r>
          </w:p>
        </w:tc>
        <w:tc>
          <w:tcPr>
            <w:tcW w:w="5880" w:type="dxa"/>
            <w:vAlign w:val="bottom"/>
            <w:shd w:val="clear" w:color="auto" w:fill="E5E5E5"/>
          </w:tcPr>
          <w:p>
            <w:pPr>
              <w:spacing w:after="0"/>
              <w:rPr>
                <w:sz w:val="19"/>
                <w:szCs w:val="19"/>
                <w:color w:val="auto"/>
              </w:rPr>
            </w:pPr>
          </w:p>
        </w:tc>
        <w:tc>
          <w:tcPr>
            <w:tcW w:w="680" w:type="dxa"/>
            <w:vAlign w:val="bottom"/>
            <w:shd w:val="clear" w:color="auto" w:fill="E5E5E5"/>
          </w:tcPr>
          <w:p>
            <w:pPr>
              <w:spacing w:after="0"/>
              <w:rPr>
                <w:sz w:val="19"/>
                <w:szCs w:val="19"/>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2,793</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2028</w:t>
            </w:r>
          </w:p>
        </w:tc>
        <w:tc>
          <w:tcPr>
            <w:tcW w:w="5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1,909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2029</w:t>
            </w:r>
          </w:p>
        </w:tc>
        <w:tc>
          <w:tcPr>
            <w:tcW w:w="5880" w:type="dxa"/>
            <w:vAlign w:val="bottom"/>
            <w:shd w:val="clear" w:color="auto" w:fill="E5E5E5"/>
          </w:tcPr>
          <w:p>
            <w:pPr>
              <w:spacing w:after="0"/>
              <w:rPr>
                <w:sz w:val="19"/>
                <w:szCs w:val="19"/>
                <w:color w:val="auto"/>
              </w:rPr>
            </w:pPr>
          </w:p>
        </w:tc>
        <w:tc>
          <w:tcPr>
            <w:tcW w:w="680" w:type="dxa"/>
            <w:vAlign w:val="bottom"/>
            <w:shd w:val="clear" w:color="auto" w:fill="E5E5E5"/>
          </w:tcPr>
          <w:p>
            <w:pPr>
              <w:spacing w:after="0"/>
              <w:rPr>
                <w:sz w:val="19"/>
                <w:szCs w:val="19"/>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1,728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4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8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10,804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3460" w:type="dxa"/>
            <w:vAlign w:val="bottom"/>
            <w:tcBorders>
              <w:bottom w:val="single" w:sz="8" w:color="auto"/>
            </w:tcBorders>
          </w:tcPr>
          <w:p>
            <w:pPr>
              <w:spacing w:after="0"/>
              <w:rPr>
                <w:sz w:val="4"/>
                <w:szCs w:val="4"/>
                <w:color w:val="auto"/>
              </w:rPr>
            </w:pPr>
          </w:p>
        </w:tc>
        <w:tc>
          <w:tcPr>
            <w:tcW w:w="58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460" w:type="dxa"/>
            <w:vAlign w:val="bottom"/>
          </w:tcPr>
          <w:p>
            <w:pPr>
              <w:spacing w:after="0"/>
              <w:rPr>
                <w:sz w:val="5"/>
                <w:szCs w:val="5"/>
                <w:color w:val="auto"/>
              </w:rPr>
            </w:pPr>
          </w:p>
        </w:tc>
        <w:tc>
          <w:tcPr>
            <w:tcW w:w="58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6560" w:type="dxa"/>
            <w:vAlign w:val="bottom"/>
            <w:gridSpan w:val="2"/>
            <w:shd w:val="clear" w:color="auto" w:fill="E5E5E5"/>
          </w:tcPr>
          <w:p>
            <w:pPr>
              <w:jc w:val="right"/>
              <w:ind w:right="56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27,597</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3460" w:type="dxa"/>
            <w:vAlign w:val="bottom"/>
          </w:tcPr>
          <w:p>
            <w:pPr>
              <w:spacing w:after="0"/>
              <w:rPr>
                <w:sz w:val="6"/>
                <w:szCs w:val="6"/>
                <w:color w:val="auto"/>
              </w:rPr>
            </w:pPr>
          </w:p>
        </w:tc>
        <w:tc>
          <w:tcPr>
            <w:tcW w:w="5880" w:type="dxa"/>
            <w:vAlign w:val="bottom"/>
            <w:vMerge w:val="restart"/>
          </w:tcPr>
          <w:p>
            <w:pPr>
              <w:jc w:val="right"/>
              <w:ind w:right="3556"/>
              <w:spacing w:after="0"/>
              <w:rPr>
                <w:sz w:val="20"/>
                <w:szCs w:val="20"/>
                <w:color w:val="auto"/>
              </w:rPr>
            </w:pPr>
            <w:r>
              <w:rPr>
                <w:rFonts w:ascii="Arial" w:cs="Arial" w:eastAsia="Arial" w:hAnsi="Arial"/>
                <w:sz w:val="14"/>
                <w:szCs w:val="14"/>
                <w:color w:val="auto"/>
              </w:rPr>
              <w:t>79</w:t>
            </w:r>
          </w:p>
        </w:tc>
        <w:tc>
          <w:tcPr>
            <w:tcW w:w="6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3"/>
        </w:trPr>
        <w:tc>
          <w:tcPr>
            <w:tcW w:w="346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346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9" w:name="page80"/>
    <w:bookmarkEnd w:id="79"/>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NOTE 11 —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June 30, 2024, we had $6.7 billion of commercial paper issued and outstanding, with a weighted average interest rate of 5.4% and maturities ranging from 28 days to 152 days. The estimated fair value of this commercial paper approximates its carrying value. As of June 30, 2023, we had no commercial paper issued or outstanding.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long-term debt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issuance by calendar year)</w:t>
            </w:r>
          </w:p>
        </w:tc>
        <w:tc>
          <w:tcPr>
            <w:tcW w:w="1680" w:type="dxa"/>
            <w:vAlign w:val="bottom"/>
          </w:tcPr>
          <w:p>
            <w:pPr>
              <w:jc w:val="right"/>
              <w:ind w:right="513"/>
              <w:spacing w:after="0"/>
              <w:rPr>
                <w:sz w:val="20"/>
                <w:szCs w:val="20"/>
                <w:color w:val="auto"/>
              </w:rPr>
            </w:pPr>
            <w:r>
              <w:rPr>
                <w:rFonts w:ascii="Arial" w:cs="Arial" w:eastAsia="Arial" w:hAnsi="Arial"/>
                <w:sz w:val="13"/>
                <w:szCs w:val="13"/>
                <w:b w:val="1"/>
                <w:bCs w:val="1"/>
                <w:color w:val="auto"/>
              </w:rPr>
              <w:t>Maturities</w:t>
            </w:r>
          </w:p>
        </w:tc>
        <w:tc>
          <w:tcPr>
            <w:tcW w:w="1800" w:type="dxa"/>
            <w:vAlign w:val="bottom"/>
          </w:tcPr>
          <w:p>
            <w:pPr>
              <w:jc w:val="right"/>
              <w:ind w:right="453"/>
              <w:spacing w:after="0"/>
              <w:rPr>
                <w:sz w:val="20"/>
                <w:szCs w:val="20"/>
                <w:color w:val="auto"/>
              </w:rPr>
            </w:pPr>
            <w:r>
              <w:rPr>
                <w:rFonts w:ascii="Arial" w:cs="Arial" w:eastAsia="Arial" w:hAnsi="Arial"/>
                <w:sz w:val="13"/>
                <w:szCs w:val="13"/>
                <w:b w:val="1"/>
                <w:bCs w:val="1"/>
                <w:color w:val="auto"/>
              </w:rPr>
              <w:t>Stated Interest</w:t>
            </w:r>
          </w:p>
        </w:tc>
        <w:tc>
          <w:tcPr>
            <w:tcW w:w="1660" w:type="dxa"/>
            <w:vAlign w:val="bottom"/>
          </w:tcPr>
          <w:p>
            <w:pPr>
              <w:jc w:val="right"/>
              <w:ind w:right="193"/>
              <w:spacing w:after="0"/>
              <w:rPr>
                <w:sz w:val="20"/>
                <w:szCs w:val="20"/>
                <w:color w:val="auto"/>
              </w:rPr>
            </w:pPr>
            <w:r>
              <w:rPr>
                <w:rFonts w:ascii="Arial" w:cs="Arial" w:eastAsia="Arial" w:hAnsi="Arial"/>
                <w:sz w:val="13"/>
                <w:szCs w:val="13"/>
                <w:b w:val="1"/>
                <w:bCs w:val="1"/>
                <w:color w:val="auto"/>
              </w:rPr>
              <w:t>Effective Interest</w:t>
            </w:r>
          </w:p>
        </w:tc>
        <w:tc>
          <w:tcPr>
            <w:tcW w:w="46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June 30,</w:t>
            </w:r>
          </w:p>
        </w:tc>
        <w:tc>
          <w:tcPr>
            <w:tcW w:w="26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3600" w:type="dxa"/>
            <w:vAlign w:val="bottom"/>
            <w:vMerge w:val="continue"/>
          </w:tcPr>
          <w:p>
            <w:pPr>
              <w:spacing w:after="0"/>
              <w:rPr>
                <w:sz w:val="16"/>
                <w:szCs w:val="16"/>
                <w:color w:val="auto"/>
              </w:rPr>
            </w:pPr>
          </w:p>
        </w:tc>
        <w:tc>
          <w:tcPr>
            <w:tcW w:w="1680" w:type="dxa"/>
            <w:vAlign w:val="bottom"/>
          </w:tcPr>
          <w:p>
            <w:pPr>
              <w:jc w:val="right"/>
              <w:ind w:right="353"/>
              <w:spacing w:after="0"/>
              <w:rPr>
                <w:sz w:val="20"/>
                <w:szCs w:val="20"/>
                <w:color w:val="auto"/>
              </w:rPr>
            </w:pPr>
            <w:r>
              <w:rPr>
                <w:rFonts w:ascii="Arial" w:cs="Arial" w:eastAsia="Arial" w:hAnsi="Arial"/>
                <w:sz w:val="13"/>
                <w:szCs w:val="13"/>
                <w:b w:val="1"/>
                <w:bCs w:val="1"/>
                <w:color w:val="auto"/>
              </w:rPr>
              <w:t>(calendar year)</w:t>
            </w:r>
          </w:p>
        </w:tc>
        <w:tc>
          <w:tcPr>
            <w:tcW w:w="1800" w:type="dxa"/>
            <w:vAlign w:val="bottom"/>
          </w:tcPr>
          <w:p>
            <w:pPr>
              <w:jc w:val="right"/>
              <w:ind w:right="773"/>
              <w:spacing w:after="0"/>
              <w:rPr>
                <w:sz w:val="20"/>
                <w:szCs w:val="20"/>
                <w:color w:val="auto"/>
              </w:rPr>
            </w:pPr>
            <w:r>
              <w:rPr>
                <w:rFonts w:ascii="Arial" w:cs="Arial" w:eastAsia="Arial" w:hAnsi="Arial"/>
                <w:sz w:val="13"/>
                <w:szCs w:val="13"/>
                <w:b w:val="1"/>
                <w:bCs w:val="1"/>
                <w:color w:val="auto"/>
              </w:rPr>
              <w:t>Rate</w:t>
            </w:r>
          </w:p>
        </w:tc>
        <w:tc>
          <w:tcPr>
            <w:tcW w:w="1660" w:type="dxa"/>
            <w:vAlign w:val="bottom"/>
          </w:tcPr>
          <w:p>
            <w:pPr>
              <w:jc w:val="right"/>
              <w:ind w:right="573"/>
              <w:spacing w:after="0"/>
              <w:rPr>
                <w:sz w:val="20"/>
                <w:szCs w:val="20"/>
                <w:color w:val="auto"/>
              </w:rPr>
            </w:pPr>
            <w:r>
              <w:rPr>
                <w:rFonts w:ascii="Arial" w:cs="Arial" w:eastAsia="Arial" w:hAnsi="Arial"/>
                <w:sz w:val="13"/>
                <w:szCs w:val="13"/>
                <w:b w:val="1"/>
                <w:bCs w:val="1"/>
                <w:color w:val="auto"/>
              </w:rPr>
              <w:t>Rate</w:t>
            </w:r>
          </w:p>
        </w:tc>
        <w:tc>
          <w:tcPr>
            <w:tcW w:w="4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360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36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2009 issuance of $3.8 billion</w:t>
            </w:r>
          </w:p>
        </w:tc>
        <w:tc>
          <w:tcPr>
            <w:tcW w:w="1680" w:type="dxa"/>
            <w:vAlign w:val="bottom"/>
            <w:shd w:val="clear" w:color="auto" w:fill="E5E5E5"/>
          </w:tcPr>
          <w:p>
            <w:pPr>
              <w:jc w:val="right"/>
              <w:ind w:right="253"/>
              <w:spacing w:after="0"/>
              <w:rPr>
                <w:sz w:val="20"/>
                <w:szCs w:val="20"/>
                <w:color w:val="auto"/>
              </w:rPr>
            </w:pPr>
            <w:r>
              <w:rPr>
                <w:rFonts w:ascii="Arial" w:cs="Arial" w:eastAsia="Arial" w:hAnsi="Arial"/>
                <w:sz w:val="18"/>
                <w:szCs w:val="18"/>
                <w:b w:val="1"/>
                <w:bCs w:val="1"/>
                <w:color w:val="auto"/>
              </w:rPr>
              <w:t>2039</w:t>
            </w:r>
          </w:p>
        </w:tc>
        <w:tc>
          <w:tcPr>
            <w:tcW w:w="1800" w:type="dxa"/>
            <w:vAlign w:val="bottom"/>
            <w:shd w:val="clear" w:color="auto" w:fill="E5E5E5"/>
          </w:tcPr>
          <w:p>
            <w:pPr>
              <w:jc w:val="right"/>
              <w:ind w:right="213"/>
              <w:spacing w:after="0"/>
              <w:rPr>
                <w:sz w:val="20"/>
                <w:szCs w:val="20"/>
                <w:color w:val="auto"/>
              </w:rPr>
            </w:pPr>
            <w:r>
              <w:rPr>
                <w:rFonts w:ascii="Arial" w:cs="Arial" w:eastAsia="Arial" w:hAnsi="Arial"/>
                <w:sz w:val="18"/>
                <w:szCs w:val="18"/>
                <w:b w:val="1"/>
                <w:bCs w:val="1"/>
                <w:color w:val="auto"/>
              </w:rPr>
              <w:t>5.20%</w:t>
            </w:r>
          </w:p>
        </w:tc>
        <w:tc>
          <w:tcPr>
            <w:tcW w:w="1660" w:type="dxa"/>
            <w:vAlign w:val="bottom"/>
            <w:shd w:val="clear" w:color="auto" w:fill="E5E5E5"/>
          </w:tcPr>
          <w:p>
            <w:pPr>
              <w:jc w:val="right"/>
              <w:ind w:right="93"/>
              <w:spacing w:after="0"/>
              <w:rPr>
                <w:sz w:val="20"/>
                <w:szCs w:val="20"/>
                <w:color w:val="auto"/>
              </w:rPr>
            </w:pPr>
            <w:r>
              <w:rPr>
                <w:rFonts w:ascii="Arial" w:cs="Arial" w:eastAsia="Arial" w:hAnsi="Arial"/>
                <w:sz w:val="18"/>
                <w:szCs w:val="18"/>
                <w:b w:val="1"/>
                <w:bCs w:val="1"/>
                <w:color w:val="auto"/>
              </w:rPr>
              <w:t>5.24%</w:t>
            </w:r>
          </w:p>
        </w:tc>
        <w:tc>
          <w:tcPr>
            <w:tcW w:w="46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520</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2010 issuance of $4.8 billion</w:t>
            </w:r>
          </w:p>
        </w:tc>
        <w:tc>
          <w:tcPr>
            <w:tcW w:w="1680" w:type="dxa"/>
            <w:vAlign w:val="bottom"/>
          </w:tcPr>
          <w:p>
            <w:pPr>
              <w:jc w:val="right"/>
              <w:ind w:right="253"/>
              <w:spacing w:after="0"/>
              <w:rPr>
                <w:sz w:val="20"/>
                <w:szCs w:val="20"/>
                <w:color w:val="auto"/>
              </w:rPr>
            </w:pPr>
            <w:r>
              <w:rPr>
                <w:rFonts w:ascii="Arial" w:cs="Arial" w:eastAsia="Arial" w:hAnsi="Arial"/>
                <w:sz w:val="18"/>
                <w:szCs w:val="18"/>
                <w:b w:val="1"/>
                <w:bCs w:val="1"/>
                <w:color w:val="auto"/>
              </w:rPr>
              <w:t>2040</w:t>
            </w:r>
          </w:p>
        </w:tc>
        <w:tc>
          <w:tcPr>
            <w:tcW w:w="1800" w:type="dxa"/>
            <w:vAlign w:val="bottom"/>
          </w:tcPr>
          <w:p>
            <w:pPr>
              <w:jc w:val="right"/>
              <w:ind w:right="213"/>
              <w:spacing w:after="0"/>
              <w:rPr>
                <w:sz w:val="20"/>
                <w:szCs w:val="20"/>
                <w:color w:val="auto"/>
              </w:rPr>
            </w:pPr>
            <w:r>
              <w:rPr>
                <w:rFonts w:ascii="Arial" w:cs="Arial" w:eastAsia="Arial" w:hAnsi="Arial"/>
                <w:sz w:val="18"/>
                <w:szCs w:val="18"/>
                <w:b w:val="1"/>
                <w:bCs w:val="1"/>
                <w:color w:val="auto"/>
              </w:rPr>
              <w:t>4.50%</w:t>
            </w:r>
          </w:p>
        </w:tc>
        <w:tc>
          <w:tcPr>
            <w:tcW w:w="1660" w:type="dxa"/>
            <w:vAlign w:val="bottom"/>
          </w:tcPr>
          <w:p>
            <w:pPr>
              <w:jc w:val="right"/>
              <w:ind w:right="93"/>
              <w:spacing w:after="0"/>
              <w:rPr>
                <w:sz w:val="20"/>
                <w:szCs w:val="20"/>
                <w:color w:val="auto"/>
              </w:rPr>
            </w:pPr>
            <w:r>
              <w:rPr>
                <w:rFonts w:ascii="Arial" w:cs="Arial" w:eastAsia="Arial" w:hAnsi="Arial"/>
                <w:sz w:val="18"/>
                <w:szCs w:val="18"/>
                <w:b w:val="1"/>
                <w:bCs w:val="1"/>
                <w:color w:val="auto"/>
              </w:rPr>
              <w:t>4.57%</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486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2011 issuance of $2.3 billion</w:t>
            </w:r>
          </w:p>
        </w:tc>
        <w:tc>
          <w:tcPr>
            <w:tcW w:w="1680" w:type="dxa"/>
            <w:vAlign w:val="bottom"/>
            <w:shd w:val="clear" w:color="auto" w:fill="E5E5E5"/>
          </w:tcPr>
          <w:p>
            <w:pPr>
              <w:jc w:val="right"/>
              <w:ind w:right="253"/>
              <w:spacing w:after="0"/>
              <w:rPr>
                <w:sz w:val="20"/>
                <w:szCs w:val="20"/>
                <w:color w:val="auto"/>
              </w:rPr>
            </w:pPr>
            <w:r>
              <w:rPr>
                <w:rFonts w:ascii="Arial" w:cs="Arial" w:eastAsia="Arial" w:hAnsi="Arial"/>
                <w:sz w:val="18"/>
                <w:szCs w:val="18"/>
                <w:b w:val="1"/>
                <w:bCs w:val="1"/>
                <w:color w:val="auto"/>
              </w:rPr>
              <w:t>2041</w:t>
            </w:r>
          </w:p>
        </w:tc>
        <w:tc>
          <w:tcPr>
            <w:tcW w:w="1800" w:type="dxa"/>
            <w:vAlign w:val="bottom"/>
            <w:shd w:val="clear" w:color="auto" w:fill="E5E5E5"/>
          </w:tcPr>
          <w:p>
            <w:pPr>
              <w:jc w:val="right"/>
              <w:ind w:right="213"/>
              <w:spacing w:after="0"/>
              <w:rPr>
                <w:sz w:val="20"/>
                <w:szCs w:val="20"/>
                <w:color w:val="auto"/>
              </w:rPr>
            </w:pPr>
            <w:r>
              <w:rPr>
                <w:rFonts w:ascii="Arial" w:cs="Arial" w:eastAsia="Arial" w:hAnsi="Arial"/>
                <w:sz w:val="18"/>
                <w:szCs w:val="18"/>
                <w:b w:val="1"/>
                <w:bCs w:val="1"/>
                <w:color w:val="auto"/>
              </w:rPr>
              <w:t>5.30%</w:t>
            </w:r>
          </w:p>
        </w:tc>
        <w:tc>
          <w:tcPr>
            <w:tcW w:w="1660" w:type="dxa"/>
            <w:vAlign w:val="bottom"/>
            <w:shd w:val="clear" w:color="auto" w:fill="E5E5E5"/>
          </w:tcPr>
          <w:p>
            <w:pPr>
              <w:jc w:val="right"/>
              <w:ind w:right="93"/>
              <w:spacing w:after="0"/>
              <w:rPr>
                <w:sz w:val="20"/>
                <w:szCs w:val="20"/>
                <w:color w:val="auto"/>
              </w:rPr>
            </w:pPr>
            <w:r>
              <w:rPr>
                <w:rFonts w:ascii="Arial" w:cs="Arial" w:eastAsia="Arial" w:hAnsi="Arial"/>
                <w:sz w:val="18"/>
                <w:szCs w:val="18"/>
                <w:b w:val="1"/>
                <w:bCs w:val="1"/>
                <w:color w:val="auto"/>
              </w:rPr>
              <w:t>5.36%</w:t>
            </w:r>
          </w:p>
        </w:tc>
        <w:tc>
          <w:tcPr>
            <w:tcW w:w="46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718</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2012 issuance of $2.3 billion</w:t>
            </w:r>
          </w:p>
        </w:tc>
        <w:tc>
          <w:tcPr>
            <w:tcW w:w="1680" w:type="dxa"/>
            <w:vAlign w:val="bottom"/>
          </w:tcPr>
          <w:p>
            <w:pPr>
              <w:jc w:val="right"/>
              <w:ind w:right="253"/>
              <w:spacing w:after="0"/>
              <w:rPr>
                <w:sz w:val="20"/>
                <w:szCs w:val="20"/>
                <w:color w:val="auto"/>
              </w:rPr>
            </w:pPr>
            <w:r>
              <w:rPr>
                <w:rFonts w:ascii="Arial" w:cs="Arial" w:eastAsia="Arial" w:hAnsi="Arial"/>
                <w:sz w:val="18"/>
                <w:szCs w:val="18"/>
                <w:b w:val="1"/>
                <w:bCs w:val="1"/>
                <w:color w:val="auto"/>
              </w:rPr>
              <w:t>2042</w:t>
            </w:r>
          </w:p>
        </w:tc>
        <w:tc>
          <w:tcPr>
            <w:tcW w:w="1800" w:type="dxa"/>
            <w:vAlign w:val="bottom"/>
          </w:tcPr>
          <w:p>
            <w:pPr>
              <w:jc w:val="right"/>
              <w:ind w:right="213"/>
              <w:spacing w:after="0"/>
              <w:rPr>
                <w:sz w:val="20"/>
                <w:szCs w:val="20"/>
                <w:color w:val="auto"/>
              </w:rPr>
            </w:pPr>
            <w:r>
              <w:rPr>
                <w:rFonts w:ascii="Arial" w:cs="Arial" w:eastAsia="Arial" w:hAnsi="Arial"/>
                <w:sz w:val="18"/>
                <w:szCs w:val="18"/>
                <w:b w:val="1"/>
                <w:bCs w:val="1"/>
                <w:color w:val="auto"/>
              </w:rPr>
              <w:t>3.50%</w:t>
            </w:r>
          </w:p>
        </w:tc>
        <w:tc>
          <w:tcPr>
            <w:tcW w:w="1660" w:type="dxa"/>
            <w:vAlign w:val="bottom"/>
          </w:tcPr>
          <w:p>
            <w:pPr>
              <w:jc w:val="right"/>
              <w:ind w:right="93"/>
              <w:spacing w:after="0"/>
              <w:rPr>
                <w:sz w:val="20"/>
                <w:szCs w:val="20"/>
                <w:color w:val="auto"/>
              </w:rPr>
            </w:pPr>
            <w:r>
              <w:rPr>
                <w:rFonts w:ascii="Arial" w:cs="Arial" w:eastAsia="Arial" w:hAnsi="Arial"/>
                <w:sz w:val="18"/>
                <w:szCs w:val="18"/>
                <w:b w:val="1"/>
                <w:bCs w:val="1"/>
                <w:color w:val="auto"/>
              </w:rPr>
              <w:t>3.57%</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454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2013 issuance of $5.2 billion</w:t>
            </w:r>
          </w:p>
        </w:tc>
        <w:tc>
          <w:tcPr>
            <w:tcW w:w="1680" w:type="dxa"/>
            <w:vAlign w:val="bottom"/>
            <w:shd w:val="clear" w:color="auto" w:fill="E5E5E5"/>
          </w:tcPr>
          <w:p>
            <w:pPr>
              <w:jc w:val="right"/>
              <w:ind w:right="253"/>
              <w:spacing w:after="0"/>
              <w:rPr>
                <w:sz w:val="20"/>
                <w:szCs w:val="20"/>
                <w:color w:val="auto"/>
              </w:rPr>
            </w:pPr>
            <w:r>
              <w:rPr>
                <w:rFonts w:ascii="Arial" w:cs="Arial" w:eastAsia="Arial" w:hAnsi="Arial"/>
                <w:sz w:val="18"/>
                <w:szCs w:val="18"/>
                <w:b w:val="1"/>
                <w:bCs w:val="1"/>
                <w:color w:val="auto"/>
              </w:rPr>
              <w:t>2043</w:t>
            </w:r>
          </w:p>
        </w:tc>
        <w:tc>
          <w:tcPr>
            <w:tcW w:w="1800" w:type="dxa"/>
            <w:vAlign w:val="bottom"/>
            <w:shd w:val="clear" w:color="auto" w:fill="E5E5E5"/>
          </w:tcPr>
          <w:p>
            <w:pPr>
              <w:jc w:val="right"/>
              <w:ind w:right="213"/>
              <w:spacing w:after="0"/>
              <w:rPr>
                <w:sz w:val="20"/>
                <w:szCs w:val="20"/>
                <w:color w:val="auto"/>
              </w:rPr>
            </w:pPr>
            <w:r>
              <w:rPr>
                <w:rFonts w:ascii="Arial" w:cs="Arial" w:eastAsia="Arial" w:hAnsi="Arial"/>
                <w:sz w:val="18"/>
                <w:szCs w:val="18"/>
                <w:b w:val="1"/>
                <w:bCs w:val="1"/>
                <w:color w:val="auto"/>
              </w:rPr>
              <w:t>3.75% – 4.88%</w:t>
            </w:r>
          </w:p>
        </w:tc>
        <w:tc>
          <w:tcPr>
            <w:tcW w:w="1660" w:type="dxa"/>
            <w:vAlign w:val="bottom"/>
            <w:shd w:val="clear" w:color="auto" w:fill="E5E5E5"/>
          </w:tcPr>
          <w:p>
            <w:pPr>
              <w:jc w:val="right"/>
              <w:ind w:right="93"/>
              <w:spacing w:after="0"/>
              <w:rPr>
                <w:sz w:val="20"/>
                <w:szCs w:val="20"/>
                <w:color w:val="auto"/>
              </w:rPr>
            </w:pPr>
            <w:r>
              <w:rPr>
                <w:rFonts w:ascii="Arial" w:cs="Arial" w:eastAsia="Arial" w:hAnsi="Arial"/>
                <w:sz w:val="18"/>
                <w:szCs w:val="18"/>
                <w:b w:val="1"/>
                <w:bCs w:val="1"/>
                <w:color w:val="auto"/>
              </w:rPr>
              <w:t>3.83% –4.92%</w:t>
            </w:r>
          </w:p>
        </w:tc>
        <w:tc>
          <w:tcPr>
            <w:tcW w:w="46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314</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1,814</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2013 issuance of €4.1 billion</w:t>
            </w:r>
          </w:p>
        </w:tc>
        <w:tc>
          <w:tcPr>
            <w:tcW w:w="1680" w:type="dxa"/>
            <w:vAlign w:val="bottom"/>
          </w:tcPr>
          <w:p>
            <w:pPr>
              <w:jc w:val="right"/>
              <w:ind w:right="253"/>
              <w:spacing w:after="0"/>
              <w:rPr>
                <w:sz w:val="20"/>
                <w:szCs w:val="20"/>
                <w:color w:val="auto"/>
              </w:rPr>
            </w:pPr>
            <w:r>
              <w:rPr>
                <w:rFonts w:ascii="Arial" w:cs="Arial" w:eastAsia="Arial" w:hAnsi="Arial"/>
                <w:sz w:val="18"/>
                <w:szCs w:val="18"/>
                <w:b w:val="1"/>
                <w:bCs w:val="1"/>
                <w:color w:val="auto"/>
              </w:rPr>
              <w:t>2028 – 2033</w:t>
            </w:r>
          </w:p>
        </w:tc>
        <w:tc>
          <w:tcPr>
            <w:tcW w:w="1800" w:type="dxa"/>
            <w:vAlign w:val="bottom"/>
          </w:tcPr>
          <w:p>
            <w:pPr>
              <w:jc w:val="right"/>
              <w:ind w:right="213"/>
              <w:spacing w:after="0"/>
              <w:rPr>
                <w:sz w:val="20"/>
                <w:szCs w:val="20"/>
                <w:color w:val="auto"/>
              </w:rPr>
            </w:pPr>
            <w:r>
              <w:rPr>
                <w:rFonts w:ascii="Arial" w:cs="Arial" w:eastAsia="Arial" w:hAnsi="Arial"/>
                <w:sz w:val="18"/>
                <w:szCs w:val="18"/>
                <w:b w:val="1"/>
                <w:bCs w:val="1"/>
                <w:color w:val="auto"/>
              </w:rPr>
              <w:t>2.63% – 3.13%</w:t>
            </w:r>
          </w:p>
        </w:tc>
        <w:tc>
          <w:tcPr>
            <w:tcW w:w="1660" w:type="dxa"/>
            <w:vAlign w:val="bottom"/>
          </w:tcPr>
          <w:p>
            <w:pPr>
              <w:jc w:val="right"/>
              <w:ind w:right="93"/>
              <w:spacing w:after="0"/>
              <w:rPr>
                <w:sz w:val="20"/>
                <w:szCs w:val="20"/>
                <w:color w:val="auto"/>
              </w:rPr>
            </w:pPr>
            <w:r>
              <w:rPr>
                <w:rFonts w:ascii="Arial" w:cs="Arial" w:eastAsia="Arial" w:hAnsi="Arial"/>
                <w:sz w:val="18"/>
                <w:szCs w:val="18"/>
                <w:b w:val="1"/>
                <w:bCs w:val="1"/>
                <w:color w:val="auto"/>
              </w:rPr>
              <w:t>2.69% –3.22%</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2,465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2015 issuance of $23.8 billion</w:t>
            </w:r>
          </w:p>
        </w:tc>
        <w:tc>
          <w:tcPr>
            <w:tcW w:w="1680" w:type="dxa"/>
            <w:vAlign w:val="bottom"/>
            <w:shd w:val="clear" w:color="auto" w:fill="E5E5E5"/>
          </w:tcPr>
          <w:p>
            <w:pPr>
              <w:jc w:val="right"/>
              <w:ind w:right="253"/>
              <w:spacing w:after="0"/>
              <w:rPr>
                <w:sz w:val="20"/>
                <w:szCs w:val="20"/>
                <w:color w:val="auto"/>
              </w:rPr>
            </w:pPr>
            <w:r>
              <w:rPr>
                <w:rFonts w:ascii="Arial" w:cs="Arial" w:eastAsia="Arial" w:hAnsi="Arial"/>
                <w:sz w:val="18"/>
                <w:szCs w:val="18"/>
                <w:b w:val="1"/>
                <w:bCs w:val="1"/>
                <w:color w:val="auto"/>
              </w:rPr>
              <w:t>2025 – 2055</w:t>
            </w:r>
          </w:p>
        </w:tc>
        <w:tc>
          <w:tcPr>
            <w:tcW w:w="1800" w:type="dxa"/>
            <w:vAlign w:val="bottom"/>
            <w:shd w:val="clear" w:color="auto" w:fill="E5E5E5"/>
          </w:tcPr>
          <w:p>
            <w:pPr>
              <w:jc w:val="right"/>
              <w:ind w:right="213"/>
              <w:spacing w:after="0"/>
              <w:rPr>
                <w:sz w:val="20"/>
                <w:szCs w:val="20"/>
                <w:color w:val="auto"/>
              </w:rPr>
            </w:pPr>
            <w:r>
              <w:rPr>
                <w:rFonts w:ascii="Arial" w:cs="Arial" w:eastAsia="Arial" w:hAnsi="Arial"/>
                <w:sz w:val="18"/>
                <w:szCs w:val="18"/>
                <w:b w:val="1"/>
                <w:bCs w:val="1"/>
                <w:color w:val="auto"/>
              </w:rPr>
              <w:t>2.70% – 4.75%</w:t>
            </w:r>
          </w:p>
        </w:tc>
        <w:tc>
          <w:tcPr>
            <w:tcW w:w="1660" w:type="dxa"/>
            <w:vAlign w:val="bottom"/>
            <w:shd w:val="clear" w:color="auto" w:fill="E5E5E5"/>
          </w:tcPr>
          <w:p>
            <w:pPr>
              <w:jc w:val="right"/>
              <w:ind w:right="93"/>
              <w:spacing w:after="0"/>
              <w:rPr>
                <w:sz w:val="20"/>
                <w:szCs w:val="20"/>
                <w:color w:val="auto"/>
              </w:rPr>
            </w:pPr>
            <w:r>
              <w:rPr>
                <w:rFonts w:ascii="Arial" w:cs="Arial" w:eastAsia="Arial" w:hAnsi="Arial"/>
                <w:sz w:val="18"/>
                <w:szCs w:val="18"/>
                <w:b w:val="1"/>
                <w:bCs w:val="1"/>
                <w:color w:val="auto"/>
              </w:rPr>
              <w:t>2.77% –4.78%</w:t>
            </w:r>
          </w:p>
        </w:tc>
        <w:tc>
          <w:tcPr>
            <w:tcW w:w="46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9,805</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9,805</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2016 issuance of $19.8 billion</w:t>
            </w:r>
          </w:p>
        </w:tc>
        <w:tc>
          <w:tcPr>
            <w:tcW w:w="1680" w:type="dxa"/>
            <w:vAlign w:val="bottom"/>
          </w:tcPr>
          <w:p>
            <w:pPr>
              <w:jc w:val="right"/>
              <w:ind w:right="253"/>
              <w:spacing w:after="0"/>
              <w:rPr>
                <w:sz w:val="20"/>
                <w:szCs w:val="20"/>
                <w:color w:val="auto"/>
              </w:rPr>
            </w:pPr>
            <w:r>
              <w:rPr>
                <w:rFonts w:ascii="Arial" w:cs="Arial" w:eastAsia="Arial" w:hAnsi="Arial"/>
                <w:sz w:val="18"/>
                <w:szCs w:val="18"/>
                <w:b w:val="1"/>
                <w:bCs w:val="1"/>
                <w:color w:val="auto"/>
              </w:rPr>
              <w:t>2026 – 2056</w:t>
            </w:r>
          </w:p>
        </w:tc>
        <w:tc>
          <w:tcPr>
            <w:tcW w:w="1800" w:type="dxa"/>
            <w:vAlign w:val="bottom"/>
          </w:tcPr>
          <w:p>
            <w:pPr>
              <w:jc w:val="right"/>
              <w:ind w:right="213"/>
              <w:spacing w:after="0"/>
              <w:rPr>
                <w:sz w:val="20"/>
                <w:szCs w:val="20"/>
                <w:color w:val="auto"/>
              </w:rPr>
            </w:pPr>
            <w:r>
              <w:rPr>
                <w:rFonts w:ascii="Arial" w:cs="Arial" w:eastAsia="Arial" w:hAnsi="Arial"/>
                <w:sz w:val="18"/>
                <w:szCs w:val="18"/>
                <w:b w:val="1"/>
                <w:bCs w:val="1"/>
                <w:color w:val="auto"/>
              </w:rPr>
              <w:t>2.40% – 3.95%</w:t>
            </w:r>
          </w:p>
        </w:tc>
        <w:tc>
          <w:tcPr>
            <w:tcW w:w="1660" w:type="dxa"/>
            <w:vAlign w:val="bottom"/>
          </w:tcPr>
          <w:p>
            <w:pPr>
              <w:jc w:val="right"/>
              <w:ind w:right="93"/>
              <w:spacing w:after="0"/>
              <w:rPr>
                <w:sz w:val="20"/>
                <w:szCs w:val="20"/>
                <w:color w:val="auto"/>
              </w:rPr>
            </w:pPr>
            <w:r>
              <w:rPr>
                <w:rFonts w:ascii="Arial" w:cs="Arial" w:eastAsia="Arial" w:hAnsi="Arial"/>
                <w:sz w:val="18"/>
                <w:szCs w:val="18"/>
                <w:b w:val="1"/>
                <w:bCs w:val="1"/>
                <w:color w:val="auto"/>
              </w:rPr>
              <w:t>2.46% –4.03%</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7,930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E5E5E5"/>
          </w:tcPr>
          <w:p>
            <w:pPr>
              <w:ind w:left="20"/>
              <w:spacing w:after="0" w:line="229" w:lineRule="exact"/>
              <w:rPr>
                <w:sz w:val="20"/>
                <w:szCs w:val="20"/>
                <w:color w:val="auto"/>
              </w:rPr>
            </w:pPr>
            <w:r>
              <w:rPr>
                <w:rFonts w:ascii="Arial" w:cs="Arial" w:eastAsia="Arial" w:hAnsi="Arial"/>
                <w:sz w:val="18"/>
                <w:szCs w:val="18"/>
                <w:color w:val="auto"/>
              </w:rPr>
              <w:t xml:space="preserve">2017 issuance of $17.1 billion </w:t>
            </w:r>
            <w:r>
              <w:rPr>
                <w:rFonts w:ascii="Arial" w:cs="Arial" w:eastAsia="Arial" w:hAnsi="Arial"/>
                <w:sz w:val="24"/>
                <w:szCs w:val="24"/>
                <w:color w:val="auto"/>
                <w:vertAlign w:val="superscript"/>
              </w:rPr>
              <w:t>(a)</w:t>
            </w:r>
          </w:p>
        </w:tc>
        <w:tc>
          <w:tcPr>
            <w:tcW w:w="1680" w:type="dxa"/>
            <w:vAlign w:val="bottom"/>
            <w:shd w:val="clear" w:color="auto" w:fill="E5E5E5"/>
          </w:tcPr>
          <w:p>
            <w:pPr>
              <w:jc w:val="right"/>
              <w:ind w:right="253"/>
              <w:spacing w:after="0"/>
              <w:rPr>
                <w:sz w:val="20"/>
                <w:szCs w:val="20"/>
                <w:color w:val="auto"/>
              </w:rPr>
            </w:pPr>
            <w:r>
              <w:rPr>
                <w:rFonts w:ascii="Arial" w:cs="Arial" w:eastAsia="Arial" w:hAnsi="Arial"/>
                <w:sz w:val="18"/>
                <w:szCs w:val="18"/>
                <w:b w:val="1"/>
                <w:bCs w:val="1"/>
                <w:color w:val="auto"/>
              </w:rPr>
              <w:t>2026 – 2057</w:t>
            </w:r>
          </w:p>
        </w:tc>
        <w:tc>
          <w:tcPr>
            <w:tcW w:w="1800" w:type="dxa"/>
            <w:vAlign w:val="bottom"/>
            <w:shd w:val="clear" w:color="auto" w:fill="E5E5E5"/>
          </w:tcPr>
          <w:p>
            <w:pPr>
              <w:jc w:val="right"/>
              <w:ind w:right="213"/>
              <w:spacing w:after="0"/>
              <w:rPr>
                <w:sz w:val="20"/>
                <w:szCs w:val="20"/>
                <w:color w:val="auto"/>
              </w:rPr>
            </w:pPr>
            <w:r>
              <w:rPr>
                <w:rFonts w:ascii="Arial" w:cs="Arial" w:eastAsia="Arial" w:hAnsi="Arial"/>
                <w:sz w:val="18"/>
                <w:szCs w:val="18"/>
                <w:b w:val="1"/>
                <w:bCs w:val="1"/>
                <w:color w:val="auto"/>
              </w:rPr>
              <w:t>3.30% – 4.50%</w:t>
            </w:r>
          </w:p>
        </w:tc>
        <w:tc>
          <w:tcPr>
            <w:tcW w:w="1660" w:type="dxa"/>
            <w:vAlign w:val="bottom"/>
            <w:shd w:val="clear" w:color="auto" w:fill="E5E5E5"/>
          </w:tcPr>
          <w:p>
            <w:pPr>
              <w:jc w:val="right"/>
              <w:ind w:right="93"/>
              <w:spacing w:after="0"/>
              <w:rPr>
                <w:sz w:val="20"/>
                <w:szCs w:val="20"/>
                <w:color w:val="auto"/>
              </w:rPr>
            </w:pPr>
            <w:r>
              <w:rPr>
                <w:rFonts w:ascii="Arial" w:cs="Arial" w:eastAsia="Arial" w:hAnsi="Arial"/>
                <w:sz w:val="18"/>
                <w:szCs w:val="18"/>
                <w:b w:val="1"/>
                <w:bCs w:val="1"/>
                <w:color w:val="auto"/>
              </w:rPr>
              <w:t>3.38% –5.49%</w:t>
            </w:r>
          </w:p>
        </w:tc>
        <w:tc>
          <w:tcPr>
            <w:tcW w:w="46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6,833</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8,945</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2020 issuance of $10.1 billion </w:t>
            </w:r>
            <w:r>
              <w:rPr>
                <w:rFonts w:ascii="Arial" w:cs="Arial" w:eastAsia="Arial" w:hAnsi="Arial"/>
                <w:sz w:val="24"/>
                <w:szCs w:val="24"/>
                <w:color w:val="auto"/>
                <w:vertAlign w:val="superscript"/>
              </w:rPr>
              <w:t>(a)</w:t>
            </w:r>
          </w:p>
        </w:tc>
        <w:tc>
          <w:tcPr>
            <w:tcW w:w="1680" w:type="dxa"/>
            <w:vAlign w:val="bottom"/>
          </w:tcPr>
          <w:p>
            <w:pPr>
              <w:jc w:val="right"/>
              <w:ind w:right="253"/>
              <w:spacing w:after="0"/>
              <w:rPr>
                <w:sz w:val="20"/>
                <w:szCs w:val="20"/>
                <w:color w:val="auto"/>
              </w:rPr>
            </w:pPr>
            <w:r>
              <w:rPr>
                <w:rFonts w:ascii="Arial" w:cs="Arial" w:eastAsia="Arial" w:hAnsi="Arial"/>
                <w:sz w:val="18"/>
                <w:szCs w:val="18"/>
                <w:b w:val="1"/>
                <w:bCs w:val="1"/>
                <w:color w:val="auto"/>
              </w:rPr>
              <w:t>2030 – 2060</w:t>
            </w:r>
          </w:p>
        </w:tc>
        <w:tc>
          <w:tcPr>
            <w:tcW w:w="1800" w:type="dxa"/>
            <w:vAlign w:val="bottom"/>
          </w:tcPr>
          <w:p>
            <w:pPr>
              <w:jc w:val="right"/>
              <w:ind w:right="213"/>
              <w:spacing w:after="0"/>
              <w:rPr>
                <w:sz w:val="20"/>
                <w:szCs w:val="20"/>
                <w:color w:val="auto"/>
              </w:rPr>
            </w:pPr>
            <w:r>
              <w:rPr>
                <w:rFonts w:ascii="Arial" w:cs="Arial" w:eastAsia="Arial" w:hAnsi="Arial"/>
                <w:sz w:val="18"/>
                <w:szCs w:val="18"/>
                <w:b w:val="1"/>
                <w:bCs w:val="1"/>
                <w:color w:val="auto"/>
              </w:rPr>
              <w:t>1.35% – 2.68%</w:t>
            </w:r>
          </w:p>
        </w:tc>
        <w:tc>
          <w:tcPr>
            <w:tcW w:w="1660" w:type="dxa"/>
            <w:vAlign w:val="bottom"/>
          </w:tcPr>
          <w:p>
            <w:pPr>
              <w:jc w:val="right"/>
              <w:ind w:right="93"/>
              <w:spacing w:after="0"/>
              <w:rPr>
                <w:sz w:val="20"/>
                <w:szCs w:val="20"/>
                <w:color w:val="auto"/>
              </w:rPr>
            </w:pPr>
            <w:r>
              <w:rPr>
                <w:rFonts w:ascii="Arial" w:cs="Arial" w:eastAsia="Arial" w:hAnsi="Arial"/>
                <w:sz w:val="18"/>
                <w:szCs w:val="18"/>
                <w:b w:val="1"/>
                <w:bCs w:val="1"/>
                <w:color w:val="auto"/>
              </w:rPr>
              <w:t>2.53% –5.43%</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10,111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2021 issuance of $8.2 billion</w:t>
            </w:r>
          </w:p>
        </w:tc>
        <w:tc>
          <w:tcPr>
            <w:tcW w:w="1680" w:type="dxa"/>
            <w:vAlign w:val="bottom"/>
            <w:shd w:val="clear" w:color="auto" w:fill="E5E5E5"/>
          </w:tcPr>
          <w:p>
            <w:pPr>
              <w:jc w:val="right"/>
              <w:ind w:right="253"/>
              <w:spacing w:after="0"/>
              <w:rPr>
                <w:sz w:val="20"/>
                <w:szCs w:val="20"/>
                <w:color w:val="auto"/>
              </w:rPr>
            </w:pPr>
            <w:r>
              <w:rPr>
                <w:rFonts w:ascii="Arial" w:cs="Arial" w:eastAsia="Arial" w:hAnsi="Arial"/>
                <w:sz w:val="18"/>
                <w:szCs w:val="18"/>
                <w:b w:val="1"/>
                <w:bCs w:val="1"/>
                <w:color w:val="auto"/>
              </w:rPr>
              <w:t>2052 – 2062</w:t>
            </w:r>
          </w:p>
        </w:tc>
        <w:tc>
          <w:tcPr>
            <w:tcW w:w="1800" w:type="dxa"/>
            <w:vAlign w:val="bottom"/>
            <w:shd w:val="clear" w:color="auto" w:fill="E5E5E5"/>
          </w:tcPr>
          <w:p>
            <w:pPr>
              <w:jc w:val="right"/>
              <w:ind w:right="213"/>
              <w:spacing w:after="0"/>
              <w:rPr>
                <w:sz w:val="20"/>
                <w:szCs w:val="20"/>
                <w:color w:val="auto"/>
              </w:rPr>
            </w:pPr>
            <w:r>
              <w:rPr>
                <w:rFonts w:ascii="Arial" w:cs="Arial" w:eastAsia="Arial" w:hAnsi="Arial"/>
                <w:sz w:val="18"/>
                <w:szCs w:val="18"/>
                <w:b w:val="1"/>
                <w:bCs w:val="1"/>
                <w:color w:val="auto"/>
              </w:rPr>
              <w:t>2.92% – 3.04%</w:t>
            </w:r>
          </w:p>
        </w:tc>
        <w:tc>
          <w:tcPr>
            <w:tcW w:w="1660" w:type="dxa"/>
            <w:vAlign w:val="bottom"/>
            <w:shd w:val="clear" w:color="auto" w:fill="E5E5E5"/>
          </w:tcPr>
          <w:p>
            <w:pPr>
              <w:jc w:val="right"/>
              <w:ind w:right="93"/>
              <w:spacing w:after="0"/>
              <w:rPr>
                <w:sz w:val="20"/>
                <w:szCs w:val="20"/>
                <w:color w:val="auto"/>
              </w:rPr>
            </w:pPr>
            <w:r>
              <w:rPr>
                <w:rFonts w:ascii="Arial" w:cs="Arial" w:eastAsia="Arial" w:hAnsi="Arial"/>
                <w:sz w:val="18"/>
                <w:szCs w:val="18"/>
                <w:b w:val="1"/>
                <w:bCs w:val="1"/>
                <w:color w:val="auto"/>
              </w:rPr>
              <w:t>2.92% –3.04%</w:t>
            </w:r>
          </w:p>
        </w:tc>
        <w:tc>
          <w:tcPr>
            <w:tcW w:w="46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8,185</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8,185</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2023 issuance of $0.1 billion </w:t>
            </w:r>
            <w:r>
              <w:rPr>
                <w:rFonts w:ascii="Arial" w:cs="Arial" w:eastAsia="Arial" w:hAnsi="Arial"/>
                <w:sz w:val="24"/>
                <w:szCs w:val="24"/>
                <w:color w:val="auto"/>
                <w:vertAlign w:val="superscript"/>
              </w:rPr>
              <w:t>(a)</w:t>
            </w:r>
          </w:p>
        </w:tc>
        <w:tc>
          <w:tcPr>
            <w:tcW w:w="1680" w:type="dxa"/>
            <w:vAlign w:val="bottom"/>
          </w:tcPr>
          <w:p>
            <w:pPr>
              <w:jc w:val="right"/>
              <w:ind w:right="253"/>
              <w:spacing w:after="0"/>
              <w:rPr>
                <w:sz w:val="20"/>
                <w:szCs w:val="20"/>
                <w:color w:val="auto"/>
              </w:rPr>
            </w:pPr>
            <w:r>
              <w:rPr>
                <w:rFonts w:ascii="Arial" w:cs="Arial" w:eastAsia="Arial" w:hAnsi="Arial"/>
                <w:sz w:val="18"/>
                <w:szCs w:val="18"/>
                <w:b w:val="1"/>
                <w:bCs w:val="1"/>
                <w:color w:val="auto"/>
              </w:rPr>
              <w:t>2026 – 2050</w:t>
            </w:r>
          </w:p>
        </w:tc>
        <w:tc>
          <w:tcPr>
            <w:tcW w:w="1800" w:type="dxa"/>
            <w:vAlign w:val="bottom"/>
          </w:tcPr>
          <w:p>
            <w:pPr>
              <w:jc w:val="right"/>
              <w:ind w:right="213"/>
              <w:spacing w:after="0"/>
              <w:rPr>
                <w:sz w:val="20"/>
                <w:szCs w:val="20"/>
                <w:color w:val="auto"/>
              </w:rPr>
            </w:pPr>
            <w:r>
              <w:rPr>
                <w:rFonts w:ascii="Arial" w:cs="Arial" w:eastAsia="Arial" w:hAnsi="Arial"/>
                <w:sz w:val="18"/>
                <w:szCs w:val="18"/>
                <w:b w:val="1"/>
                <w:bCs w:val="1"/>
                <w:color w:val="auto"/>
              </w:rPr>
              <w:t>1.35% – 4.50%</w:t>
            </w:r>
          </w:p>
        </w:tc>
        <w:tc>
          <w:tcPr>
            <w:tcW w:w="1660" w:type="dxa"/>
            <w:vAlign w:val="bottom"/>
          </w:tcPr>
          <w:p>
            <w:pPr>
              <w:jc w:val="right"/>
              <w:ind w:right="93"/>
              <w:spacing w:after="0"/>
              <w:rPr>
                <w:sz w:val="20"/>
                <w:szCs w:val="20"/>
                <w:color w:val="auto"/>
              </w:rPr>
            </w:pPr>
            <w:r>
              <w:rPr>
                <w:rFonts w:ascii="Arial" w:cs="Arial" w:eastAsia="Arial" w:hAnsi="Arial"/>
                <w:sz w:val="18"/>
                <w:szCs w:val="18"/>
                <w:b w:val="1"/>
                <w:bCs w:val="1"/>
                <w:color w:val="auto"/>
              </w:rPr>
              <w:t>5.16% –5.49%</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E5E5E5"/>
          </w:tcPr>
          <w:p>
            <w:pPr>
              <w:ind w:left="20"/>
              <w:spacing w:after="0" w:line="229" w:lineRule="exact"/>
              <w:rPr>
                <w:sz w:val="20"/>
                <w:szCs w:val="20"/>
                <w:color w:val="auto"/>
              </w:rPr>
            </w:pPr>
            <w:r>
              <w:rPr>
                <w:rFonts w:ascii="Arial" w:cs="Arial" w:eastAsia="Arial" w:hAnsi="Arial"/>
                <w:sz w:val="18"/>
                <w:szCs w:val="18"/>
                <w:color w:val="auto"/>
              </w:rPr>
              <w:t xml:space="preserve">2024 issuance of $3.3 billion </w:t>
            </w:r>
            <w:r>
              <w:rPr>
                <w:rFonts w:ascii="Arial" w:cs="Arial" w:eastAsia="Arial" w:hAnsi="Arial"/>
                <w:sz w:val="24"/>
                <w:szCs w:val="24"/>
                <w:color w:val="auto"/>
                <w:vertAlign w:val="superscript"/>
              </w:rPr>
              <w:t>(a)</w:t>
            </w:r>
          </w:p>
        </w:tc>
        <w:tc>
          <w:tcPr>
            <w:tcW w:w="1680" w:type="dxa"/>
            <w:vAlign w:val="bottom"/>
            <w:shd w:val="clear" w:color="auto" w:fill="E5E5E5"/>
          </w:tcPr>
          <w:p>
            <w:pPr>
              <w:jc w:val="right"/>
              <w:ind w:right="253"/>
              <w:spacing w:after="0"/>
              <w:rPr>
                <w:sz w:val="20"/>
                <w:szCs w:val="20"/>
                <w:color w:val="auto"/>
              </w:rPr>
            </w:pPr>
            <w:r>
              <w:rPr>
                <w:rFonts w:ascii="Arial" w:cs="Arial" w:eastAsia="Arial" w:hAnsi="Arial"/>
                <w:sz w:val="18"/>
                <w:szCs w:val="18"/>
                <w:b w:val="1"/>
                <w:bCs w:val="1"/>
                <w:color w:val="auto"/>
              </w:rPr>
              <w:t>2026 – 2050</w:t>
            </w:r>
          </w:p>
        </w:tc>
        <w:tc>
          <w:tcPr>
            <w:tcW w:w="1800" w:type="dxa"/>
            <w:vAlign w:val="bottom"/>
            <w:shd w:val="clear" w:color="auto" w:fill="E5E5E5"/>
          </w:tcPr>
          <w:p>
            <w:pPr>
              <w:jc w:val="right"/>
              <w:ind w:right="213"/>
              <w:spacing w:after="0"/>
              <w:rPr>
                <w:sz w:val="20"/>
                <w:szCs w:val="20"/>
                <w:color w:val="auto"/>
              </w:rPr>
            </w:pPr>
            <w:r>
              <w:rPr>
                <w:rFonts w:ascii="Arial" w:cs="Arial" w:eastAsia="Arial" w:hAnsi="Arial"/>
                <w:sz w:val="18"/>
                <w:szCs w:val="18"/>
                <w:b w:val="1"/>
                <w:bCs w:val="1"/>
                <w:color w:val="auto"/>
              </w:rPr>
              <w:t>1.35% – 4.50%</w:t>
            </w:r>
          </w:p>
        </w:tc>
        <w:tc>
          <w:tcPr>
            <w:tcW w:w="1660" w:type="dxa"/>
            <w:vAlign w:val="bottom"/>
            <w:shd w:val="clear" w:color="auto" w:fill="E5E5E5"/>
          </w:tcPr>
          <w:p>
            <w:pPr>
              <w:jc w:val="right"/>
              <w:ind w:right="93"/>
              <w:spacing w:after="0"/>
              <w:rPr>
                <w:sz w:val="20"/>
                <w:szCs w:val="20"/>
                <w:color w:val="auto"/>
              </w:rPr>
            </w:pPr>
            <w:r>
              <w:rPr>
                <w:rFonts w:ascii="Arial" w:cs="Arial" w:eastAsia="Arial" w:hAnsi="Arial"/>
                <w:sz w:val="18"/>
                <w:szCs w:val="18"/>
                <w:b w:val="1"/>
                <w:bCs w:val="1"/>
                <w:color w:val="auto"/>
              </w:rPr>
              <w:t>5.16% –5.49%</w:t>
            </w:r>
          </w:p>
        </w:tc>
        <w:tc>
          <w:tcPr>
            <w:tcW w:w="46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3,344</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60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3600" w:type="dxa"/>
            <w:vAlign w:val="bottom"/>
          </w:tcPr>
          <w:p>
            <w:pPr>
              <w:ind w:left="240"/>
              <w:spacing w:after="0"/>
              <w:rPr>
                <w:sz w:val="20"/>
                <w:szCs w:val="20"/>
                <w:color w:val="auto"/>
              </w:rPr>
            </w:pPr>
            <w:r>
              <w:rPr>
                <w:rFonts w:ascii="Arial" w:cs="Arial" w:eastAsia="Arial" w:hAnsi="Arial"/>
                <w:sz w:val="18"/>
                <w:szCs w:val="18"/>
                <w:color w:val="auto"/>
              </w:rPr>
              <w:t>Total face value</w:t>
            </w: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51,221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52,866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E5E5E5"/>
          </w:tcPr>
          <w:p>
            <w:pPr>
              <w:ind w:left="20"/>
              <w:spacing w:after="0"/>
              <w:rPr>
                <w:sz w:val="20"/>
                <w:szCs w:val="20"/>
                <w:color w:val="auto"/>
              </w:rPr>
            </w:pPr>
            <w:r>
              <w:rPr>
                <w:rFonts w:ascii="Arial" w:cs="Arial" w:eastAsia="Arial" w:hAnsi="Arial"/>
                <w:sz w:val="18"/>
                <w:szCs w:val="18"/>
                <w:color w:val="auto"/>
              </w:rPr>
              <w:t>Unamortized discount and issuance costs</w:t>
            </w:r>
          </w:p>
        </w:tc>
        <w:tc>
          <w:tcPr>
            <w:tcW w:w="1680" w:type="dxa"/>
            <w:vAlign w:val="bottom"/>
            <w:shd w:val="clear" w:color="auto" w:fill="E5E5E5"/>
          </w:tcPr>
          <w:p>
            <w:pPr>
              <w:spacing w:after="0"/>
              <w:rPr>
                <w:sz w:val="19"/>
                <w:szCs w:val="19"/>
                <w:color w:val="auto"/>
              </w:rPr>
            </w:pPr>
          </w:p>
        </w:tc>
        <w:tc>
          <w:tcPr>
            <w:tcW w:w="1800" w:type="dxa"/>
            <w:vAlign w:val="bottom"/>
            <w:shd w:val="clear" w:color="auto" w:fill="E5E5E5"/>
          </w:tcPr>
          <w:p>
            <w:pPr>
              <w:spacing w:after="0"/>
              <w:rPr>
                <w:sz w:val="19"/>
                <w:szCs w:val="19"/>
                <w:color w:val="auto"/>
              </w:rPr>
            </w:pPr>
          </w:p>
        </w:tc>
        <w:tc>
          <w:tcPr>
            <w:tcW w:w="166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(1,227 )</w:t>
            </w:r>
          </w:p>
        </w:tc>
        <w:tc>
          <w:tcPr>
            <w:tcW w:w="260" w:type="dxa"/>
            <w:vAlign w:val="bottom"/>
            <w:shd w:val="clear" w:color="auto" w:fill="E5E5E5"/>
          </w:tcPr>
          <w:p>
            <w:pPr>
              <w:spacing w:after="0"/>
              <w:rPr>
                <w:sz w:val="19"/>
                <w:szCs w:val="19"/>
                <w:color w:val="auto"/>
              </w:rPr>
            </w:pPr>
          </w:p>
        </w:tc>
        <w:tc>
          <w:tcPr>
            <w:tcW w:w="8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(438 )</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Hedge fair value adjustments </w:t>
            </w:r>
            <w:r>
              <w:rPr>
                <w:rFonts w:ascii="Arial" w:cs="Arial" w:eastAsia="Arial" w:hAnsi="Arial"/>
                <w:sz w:val="24"/>
                <w:szCs w:val="24"/>
                <w:color w:val="auto"/>
                <w:vertAlign w:val="superscript"/>
              </w:rPr>
              <w:t>(b)</w:t>
            </w:r>
          </w:p>
        </w:tc>
        <w:tc>
          <w:tcPr>
            <w:tcW w:w="1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(81 )</w:t>
            </w:r>
          </w:p>
        </w:tc>
        <w:tc>
          <w:tcPr>
            <w:tcW w:w="2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30"/>
        </w:trPr>
        <w:tc>
          <w:tcPr>
            <w:tcW w:w="360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Premium on debt exchange</w:t>
            </w:r>
          </w:p>
        </w:tc>
        <w:tc>
          <w:tcPr>
            <w:tcW w:w="1680" w:type="dxa"/>
            <w:vAlign w:val="bottom"/>
            <w:shd w:val="clear" w:color="auto" w:fill="E5E5E5"/>
          </w:tcPr>
          <w:p>
            <w:pPr>
              <w:spacing w:after="0"/>
              <w:rPr>
                <w:sz w:val="19"/>
                <w:szCs w:val="19"/>
                <w:color w:val="auto"/>
              </w:rPr>
            </w:pPr>
          </w:p>
        </w:tc>
        <w:tc>
          <w:tcPr>
            <w:tcW w:w="1800" w:type="dxa"/>
            <w:vAlign w:val="bottom"/>
            <w:shd w:val="clear" w:color="auto" w:fill="E5E5E5"/>
          </w:tcPr>
          <w:p>
            <w:pPr>
              <w:spacing w:after="0"/>
              <w:rPr>
                <w:sz w:val="19"/>
                <w:szCs w:val="19"/>
                <w:color w:val="auto"/>
              </w:rPr>
            </w:pPr>
          </w:p>
        </w:tc>
        <w:tc>
          <w:tcPr>
            <w:tcW w:w="166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(4,976 )</w:t>
            </w:r>
          </w:p>
        </w:tc>
        <w:tc>
          <w:tcPr>
            <w:tcW w:w="260" w:type="dxa"/>
            <w:vAlign w:val="bottom"/>
            <w:shd w:val="clear" w:color="auto" w:fill="E5E5E5"/>
          </w:tcPr>
          <w:p>
            <w:pPr>
              <w:spacing w:after="0"/>
              <w:rPr>
                <w:sz w:val="19"/>
                <w:szCs w:val="19"/>
                <w:color w:val="auto"/>
              </w:rPr>
            </w:pPr>
          </w:p>
        </w:tc>
        <w:tc>
          <w:tcPr>
            <w:tcW w:w="8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(5,085 )</w:t>
            </w:r>
          </w:p>
        </w:tc>
        <w:tc>
          <w:tcPr>
            <w:tcW w:w="0" w:type="dxa"/>
            <w:vAlign w:val="bottom"/>
          </w:tcPr>
          <w:p>
            <w:pPr>
              <w:spacing w:after="0"/>
              <w:rPr>
                <w:sz w:val="1"/>
                <w:szCs w:val="1"/>
                <w:color w:val="auto"/>
              </w:rPr>
            </w:pPr>
          </w:p>
        </w:tc>
      </w:tr>
      <w:tr>
        <w:trPr>
          <w:trHeight w:val="68"/>
        </w:trPr>
        <w:tc>
          <w:tcPr>
            <w:tcW w:w="360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3600" w:type="dxa"/>
            <w:vAlign w:val="bottom"/>
          </w:tcPr>
          <w:p>
            <w:pPr>
              <w:ind w:left="240"/>
              <w:spacing w:after="0"/>
              <w:rPr>
                <w:sz w:val="20"/>
                <w:szCs w:val="20"/>
                <w:color w:val="auto"/>
              </w:rPr>
            </w:pPr>
            <w:r>
              <w:rPr>
                <w:rFonts w:ascii="Arial" w:cs="Arial" w:eastAsia="Arial" w:hAnsi="Arial"/>
                <w:sz w:val="18"/>
                <w:szCs w:val="18"/>
                <w:color w:val="auto"/>
              </w:rPr>
              <w:t>Total debt</w:t>
            </w: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44,937</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47,237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E5E5E5"/>
          </w:tcPr>
          <w:p>
            <w:pPr>
              <w:ind w:left="20"/>
              <w:spacing w:after="0"/>
              <w:rPr>
                <w:sz w:val="20"/>
                <w:szCs w:val="20"/>
                <w:color w:val="auto"/>
              </w:rPr>
            </w:pPr>
            <w:r>
              <w:rPr>
                <w:rFonts w:ascii="Arial" w:cs="Arial" w:eastAsia="Arial" w:hAnsi="Arial"/>
                <w:sz w:val="18"/>
                <w:szCs w:val="18"/>
                <w:color w:val="auto"/>
              </w:rPr>
              <w:t>Current portion of long-term debt</w:t>
            </w:r>
          </w:p>
        </w:tc>
        <w:tc>
          <w:tcPr>
            <w:tcW w:w="1680" w:type="dxa"/>
            <w:vAlign w:val="bottom"/>
            <w:shd w:val="clear" w:color="auto" w:fill="E5E5E5"/>
          </w:tcPr>
          <w:p>
            <w:pPr>
              <w:spacing w:after="0"/>
              <w:rPr>
                <w:sz w:val="19"/>
                <w:szCs w:val="19"/>
                <w:color w:val="auto"/>
              </w:rPr>
            </w:pPr>
          </w:p>
        </w:tc>
        <w:tc>
          <w:tcPr>
            <w:tcW w:w="1800" w:type="dxa"/>
            <w:vAlign w:val="bottom"/>
            <w:shd w:val="clear" w:color="auto" w:fill="E5E5E5"/>
          </w:tcPr>
          <w:p>
            <w:pPr>
              <w:spacing w:after="0"/>
              <w:rPr>
                <w:sz w:val="19"/>
                <w:szCs w:val="19"/>
                <w:color w:val="auto"/>
              </w:rPr>
            </w:pPr>
          </w:p>
        </w:tc>
        <w:tc>
          <w:tcPr>
            <w:tcW w:w="166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(2,249 )</w:t>
            </w:r>
          </w:p>
        </w:tc>
        <w:tc>
          <w:tcPr>
            <w:tcW w:w="260" w:type="dxa"/>
            <w:vAlign w:val="bottom"/>
            <w:shd w:val="clear" w:color="auto" w:fill="E5E5E5"/>
          </w:tcPr>
          <w:p>
            <w:pPr>
              <w:spacing w:after="0"/>
              <w:rPr>
                <w:sz w:val="19"/>
                <w:szCs w:val="19"/>
                <w:color w:val="auto"/>
              </w:rPr>
            </w:pPr>
          </w:p>
        </w:tc>
        <w:tc>
          <w:tcPr>
            <w:tcW w:w="8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(5,247 )</w:t>
            </w:r>
          </w:p>
        </w:tc>
        <w:tc>
          <w:tcPr>
            <w:tcW w:w="0" w:type="dxa"/>
            <w:vAlign w:val="bottom"/>
          </w:tcPr>
          <w:p>
            <w:pPr>
              <w:spacing w:after="0"/>
              <w:rPr>
                <w:sz w:val="1"/>
                <w:szCs w:val="1"/>
                <w:color w:val="auto"/>
              </w:rPr>
            </w:pPr>
          </w:p>
        </w:tc>
      </w:tr>
      <w:tr>
        <w:trPr>
          <w:trHeight w:val="68"/>
        </w:trPr>
        <w:tc>
          <w:tcPr>
            <w:tcW w:w="360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3600" w:type="dxa"/>
            <w:vAlign w:val="bottom"/>
          </w:tcPr>
          <w:p>
            <w:pPr>
              <w:ind w:left="240"/>
              <w:spacing w:after="0"/>
              <w:rPr>
                <w:sz w:val="20"/>
                <w:szCs w:val="20"/>
                <w:color w:val="auto"/>
              </w:rPr>
            </w:pPr>
            <w:r>
              <w:rPr>
                <w:rFonts w:ascii="Arial" w:cs="Arial" w:eastAsia="Arial" w:hAnsi="Arial"/>
                <w:sz w:val="18"/>
                <w:szCs w:val="18"/>
                <w:color w:val="auto"/>
              </w:rPr>
              <w:t>Long-term debt</w:t>
            </w: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42,688</w:t>
            </w:r>
          </w:p>
        </w:tc>
        <w:tc>
          <w:tcPr>
            <w:tcW w:w="2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41,990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35560</wp:posOffset>
            </wp:positionV>
            <wp:extent cx="14058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127" w:lineRule="exact"/>
        <w:rPr>
          <w:sz w:val="20"/>
          <w:szCs w:val="20"/>
          <w:color w:val="auto"/>
        </w:rPr>
      </w:pPr>
    </w:p>
    <w:p>
      <w:pPr>
        <w:ind w:left="520" w:hanging="512"/>
        <w:spacing w:after="0" w:line="244"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Includes $3.6 billion of debt at face value related to the Activision Blizzard acquisition, the majority of which was exchanged for Microsoft registered securities in June 2024. See Note 8 – Business Combinations for further information.</w:t>
      </w: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interest rate swaps related to fixed-rate debt.</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June 30, 2024 and 2023, the estimated fair value of long-term debt, including the current portion, was $42.3 billion and $46.2 billion, respectively. The estimated fair values are based on Level 2 inputs.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Debt in the table above is comprised of senior unsecured obligations and ranks equally with our other outstanding obligations. Interest is paid semi-annually, except for the Euro-denominated debt, which is paid annually. Cash paid for interest on our debt for fiscal years 2024, 2023, and 2022 was $1.7 billion, $1.7 billion, and $1.9 billion,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49"/>
        </w:trPr>
        <w:tc>
          <w:tcPr>
            <w:tcW w:w="4440" w:type="dxa"/>
            <w:vAlign w:val="bottom"/>
          </w:tcPr>
          <w:p>
            <w:pPr>
              <w:spacing w:after="0"/>
              <w:rPr>
                <w:sz w:val="13"/>
                <w:szCs w:val="13"/>
                <w:color w:val="auto"/>
              </w:rPr>
            </w:pPr>
          </w:p>
        </w:tc>
        <w:tc>
          <w:tcPr>
            <w:tcW w:w="3220" w:type="dxa"/>
            <w:vAlign w:val="bottom"/>
            <w:gridSpan w:val="4"/>
          </w:tcPr>
          <w:p>
            <w:pPr>
              <w:jc w:val="center"/>
              <w:ind w:right="840"/>
              <w:spacing w:after="0"/>
              <w:rPr>
                <w:sz w:val="20"/>
                <w:szCs w:val="20"/>
                <w:color w:val="auto"/>
              </w:rPr>
            </w:pPr>
            <w:r>
              <w:rPr>
                <w:rFonts w:ascii="Arial" w:cs="Arial" w:eastAsia="Arial" w:hAnsi="Arial"/>
                <w:sz w:val="13"/>
                <w:szCs w:val="13"/>
                <w:color w:val="auto"/>
              </w:rPr>
              <w:t>PART II</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Item 8</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3"/>
        </w:trPr>
        <w:tc>
          <w:tcPr>
            <w:tcW w:w="8920" w:type="dxa"/>
            <w:vAlign w:val="bottom"/>
            <w:gridSpan w:val="8"/>
          </w:tcPr>
          <w:p>
            <w:pPr>
              <w:spacing w:after="0"/>
              <w:rPr>
                <w:sz w:val="20"/>
                <w:szCs w:val="20"/>
                <w:color w:val="auto"/>
              </w:rPr>
            </w:pPr>
            <w:r>
              <w:rPr>
                <w:rFonts w:ascii="Arial" w:cs="Arial" w:eastAsia="Arial" w:hAnsi="Arial"/>
                <w:sz w:val="18"/>
                <w:szCs w:val="18"/>
                <w:color w:val="auto"/>
              </w:rPr>
              <w:t>The following table outlines maturities of our long-term debt, including the current portion, as of June 30, 2024:</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660" w:type="dxa"/>
            <w:vAlign w:val="bottom"/>
            <w:gridSpan w:val="5"/>
          </w:tcPr>
          <w:p>
            <w:pPr>
              <w:ind w:left="20"/>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44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7660" w:type="dxa"/>
            <w:vAlign w:val="bottom"/>
            <w:gridSpan w:val="5"/>
          </w:tcPr>
          <w:p>
            <w:pPr>
              <w:ind w:left="20"/>
              <w:spacing w:after="0"/>
              <w:rPr>
                <w:sz w:val="20"/>
                <w:szCs w:val="20"/>
                <w:color w:val="auto"/>
              </w:rPr>
            </w:pPr>
            <w:r>
              <w:rPr>
                <w:rFonts w:ascii="Arial" w:cs="Arial" w:eastAsia="Arial" w:hAnsi="Arial"/>
                <w:sz w:val="13"/>
                <w:szCs w:val="13"/>
                <w:b w:val="1"/>
                <w:bCs w:val="1"/>
                <w:color w:val="auto"/>
              </w:rPr>
              <w:t>Year Ending June 30,</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4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2025</w:t>
            </w:r>
          </w:p>
        </w:tc>
        <w:tc>
          <w:tcPr>
            <w:tcW w:w="96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96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78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72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2,250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2026</w:t>
            </w: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2027</w:t>
            </w:r>
          </w:p>
        </w:tc>
        <w:tc>
          <w:tcPr>
            <w:tcW w:w="96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96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78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9,250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2028</w:t>
            </w: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2029</w:t>
            </w:r>
          </w:p>
        </w:tc>
        <w:tc>
          <w:tcPr>
            <w:tcW w:w="96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96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78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1,876</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60" w:type="dxa"/>
            <w:vAlign w:val="bottom"/>
            <w:gridSpan w:val="5"/>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34,845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44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660" w:type="dxa"/>
            <w:vAlign w:val="bottom"/>
            <w:gridSpan w:val="5"/>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E5E5E5"/>
          </w:tcPr>
          <w:p>
            <w:pPr>
              <w:spacing w:after="0"/>
              <w:rPr>
                <w:sz w:val="19"/>
                <w:szCs w:val="19"/>
                <w:color w:val="auto"/>
              </w:rPr>
            </w:pPr>
          </w:p>
        </w:tc>
        <w:tc>
          <w:tcPr>
            <w:tcW w:w="78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72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51,221</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4440" w:type="dxa"/>
            <w:vAlign w:val="bottom"/>
          </w:tcPr>
          <w:p>
            <w:pPr>
              <w:spacing w:after="0"/>
              <w:rPr>
                <w:sz w:val="6"/>
                <w:szCs w:val="6"/>
                <w:color w:val="auto"/>
              </w:rPr>
            </w:pPr>
          </w:p>
        </w:tc>
        <w:tc>
          <w:tcPr>
            <w:tcW w:w="2380" w:type="dxa"/>
            <w:vAlign w:val="bottom"/>
            <w:gridSpan w:val="3"/>
            <w:vMerge w:val="restart"/>
          </w:tcPr>
          <w:p>
            <w:pPr>
              <w:jc w:val="center"/>
              <w:spacing w:after="0"/>
              <w:rPr>
                <w:sz w:val="20"/>
                <w:szCs w:val="20"/>
                <w:color w:val="auto"/>
              </w:rPr>
            </w:pPr>
            <w:r>
              <w:rPr>
                <w:rFonts w:ascii="Arial" w:cs="Arial" w:eastAsia="Arial" w:hAnsi="Arial"/>
                <w:sz w:val="18"/>
                <w:szCs w:val="18"/>
                <w:color w:val="auto"/>
                <w:w w:val="99"/>
              </w:rPr>
              <w:t>NOTE 12 — INCOME TAXES</w:t>
            </w:r>
          </w:p>
        </w:tc>
        <w:tc>
          <w:tcPr>
            <w:tcW w:w="840" w:type="dxa"/>
            <w:vAlign w:val="bottom"/>
            <w:vMerge w:val="restart"/>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1"/>
        </w:trPr>
        <w:tc>
          <w:tcPr>
            <w:tcW w:w="4440" w:type="dxa"/>
            <w:vAlign w:val="bottom"/>
          </w:tcPr>
          <w:p>
            <w:pPr>
              <w:spacing w:after="0"/>
              <w:rPr>
                <w:sz w:val="24"/>
                <w:szCs w:val="24"/>
                <w:color w:val="auto"/>
              </w:rPr>
            </w:pPr>
          </w:p>
        </w:tc>
        <w:tc>
          <w:tcPr>
            <w:tcW w:w="2380" w:type="dxa"/>
            <w:vAlign w:val="bottom"/>
            <w:tcBorders>
              <w:bottom w:val="single" w:sz="8" w:color="auto"/>
            </w:tcBorders>
            <w:gridSpan w:val="3"/>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7660" w:type="dxa"/>
            <w:vAlign w:val="bottom"/>
            <w:gridSpan w:val="5"/>
          </w:tcPr>
          <w:p>
            <w:pPr>
              <w:spacing w:after="0"/>
              <w:rPr>
                <w:sz w:val="20"/>
                <w:szCs w:val="20"/>
                <w:color w:val="auto"/>
              </w:rPr>
            </w:pPr>
            <w:r>
              <w:rPr>
                <w:rFonts w:ascii="Arial" w:cs="Arial" w:eastAsia="Arial" w:hAnsi="Arial"/>
                <w:sz w:val="18"/>
                <w:szCs w:val="18"/>
                <w:b w:val="1"/>
                <w:bCs w:val="1"/>
                <w:color w:val="auto"/>
              </w:rPr>
              <w:t>Provision for Income Taxes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7660" w:type="dxa"/>
            <w:vAlign w:val="bottom"/>
            <w:gridSpan w:val="5"/>
          </w:tcPr>
          <w:p>
            <w:pPr>
              <w:spacing w:after="0"/>
              <w:rPr>
                <w:sz w:val="20"/>
                <w:szCs w:val="20"/>
                <w:color w:val="auto"/>
              </w:rPr>
            </w:pPr>
            <w:r>
              <w:rPr>
                <w:rFonts w:ascii="Arial" w:cs="Arial" w:eastAsia="Arial" w:hAnsi="Arial"/>
                <w:sz w:val="18"/>
                <w:szCs w:val="18"/>
                <w:color w:val="auto"/>
              </w:rPr>
              <w:t>The components of the provision for income taxes were as follows: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660" w:type="dxa"/>
            <w:vAlign w:val="bottom"/>
            <w:gridSpan w:val="5"/>
          </w:tcPr>
          <w:p>
            <w:pPr>
              <w:ind w:left="20"/>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44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7660" w:type="dxa"/>
            <w:vAlign w:val="bottom"/>
            <w:gridSpan w:val="5"/>
          </w:tcPr>
          <w:p>
            <w:pPr>
              <w:ind w:left="20"/>
              <w:spacing w:after="0"/>
              <w:rPr>
                <w:sz w:val="20"/>
                <w:szCs w:val="20"/>
                <w:color w:val="auto"/>
              </w:rPr>
            </w:pPr>
            <w:r>
              <w:rPr>
                <w:rFonts w:ascii="Arial" w:cs="Arial" w:eastAsia="Arial" w:hAnsi="Arial"/>
                <w:sz w:val="13"/>
                <w:szCs w:val="13"/>
                <w:b w:val="1"/>
                <w:bCs w:val="1"/>
                <w:color w:val="auto"/>
              </w:rPr>
              <w:t>Year Ended June 30,</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5"/>
          </w:tcPr>
          <w:p>
            <w:pPr>
              <w:ind w:left="20"/>
              <w:spacing w:after="0"/>
              <w:rPr>
                <w:sz w:val="20"/>
                <w:szCs w:val="20"/>
                <w:color w:val="auto"/>
              </w:rPr>
            </w:pPr>
            <w:r>
              <w:rPr>
                <w:rFonts w:ascii="Arial" w:cs="Arial" w:eastAsia="Arial" w:hAnsi="Arial"/>
                <w:sz w:val="13"/>
                <w:szCs w:val="13"/>
                <w:b w:val="1"/>
                <w:bCs w:val="1"/>
                <w:color w:val="auto"/>
              </w:rPr>
              <w:t>Current Taxes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4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660" w:type="dxa"/>
            <w:vAlign w:val="bottom"/>
            <w:gridSpan w:val="5"/>
            <w:shd w:val="clear" w:color="auto" w:fill="E5E5E5"/>
          </w:tcPr>
          <w:p>
            <w:pPr>
              <w:ind w:left="20"/>
              <w:spacing w:after="0"/>
              <w:rPr>
                <w:sz w:val="20"/>
                <w:szCs w:val="20"/>
                <w:color w:val="auto"/>
              </w:rPr>
            </w:pPr>
            <w:r>
              <w:rPr>
                <w:rFonts w:ascii="Arial" w:cs="Arial" w:eastAsia="Arial" w:hAnsi="Arial"/>
                <w:sz w:val="18"/>
                <w:szCs w:val="18"/>
                <w:color w:val="auto"/>
              </w:rPr>
              <w:t>U.S. federal</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12,165</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14,009</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8,329</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5"/>
          </w:tcPr>
          <w:p>
            <w:pPr>
              <w:ind w:left="20"/>
              <w:spacing w:after="0"/>
              <w:rPr>
                <w:sz w:val="20"/>
                <w:szCs w:val="20"/>
                <w:color w:val="auto"/>
              </w:rPr>
            </w:pPr>
            <w:r>
              <w:rPr>
                <w:rFonts w:ascii="Arial" w:cs="Arial" w:eastAsia="Arial" w:hAnsi="Arial"/>
                <w:sz w:val="18"/>
                <w:szCs w:val="18"/>
                <w:color w:val="auto"/>
              </w:rPr>
              <w:t>U.S. state and local</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2,366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2,322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5"/>
            <w:shd w:val="clear" w:color="auto" w:fill="E5E5E5"/>
          </w:tcPr>
          <w:p>
            <w:pPr>
              <w:ind w:left="2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9,858</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72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6,678</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6,672</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4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gridSpan w:val="2"/>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7660" w:type="dxa"/>
            <w:vAlign w:val="bottom"/>
            <w:gridSpan w:val="5"/>
          </w:tcPr>
          <w:p>
            <w:pPr>
              <w:ind w:left="240"/>
              <w:spacing w:after="0"/>
              <w:rPr>
                <w:sz w:val="20"/>
                <w:szCs w:val="20"/>
                <w:color w:val="auto"/>
              </w:rPr>
            </w:pPr>
            <w:r>
              <w:rPr>
                <w:rFonts w:ascii="Arial" w:cs="Arial" w:eastAsia="Arial" w:hAnsi="Arial"/>
                <w:sz w:val="18"/>
                <w:szCs w:val="18"/>
                <w:color w:val="auto"/>
              </w:rPr>
              <w:t>Current taxes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24,389</w:t>
            </w:r>
          </w:p>
        </w:tc>
        <w:tc>
          <w:tcPr>
            <w:tcW w:w="24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23,009</w:t>
            </w:r>
          </w:p>
        </w:tc>
        <w:tc>
          <w:tcPr>
            <w:tcW w:w="2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16,680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660" w:type="dxa"/>
            <w:vAlign w:val="bottom"/>
            <w:gridSpan w:val="5"/>
          </w:tcPr>
          <w:p>
            <w:pPr>
              <w:ind w:left="20"/>
              <w:spacing w:after="0"/>
              <w:rPr>
                <w:sz w:val="20"/>
                <w:szCs w:val="20"/>
                <w:color w:val="auto"/>
              </w:rPr>
            </w:pPr>
            <w:r>
              <w:rPr>
                <w:rFonts w:ascii="Arial" w:cs="Arial" w:eastAsia="Arial" w:hAnsi="Arial"/>
                <w:sz w:val="13"/>
                <w:szCs w:val="13"/>
                <w:b w:val="1"/>
                <w:bCs w:val="1"/>
                <w:color w:val="auto"/>
              </w:rPr>
              <w:t>Deferred Taxes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4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660" w:type="dxa"/>
            <w:vAlign w:val="bottom"/>
            <w:gridSpan w:val="5"/>
            <w:shd w:val="clear" w:color="auto" w:fill="E5E5E5"/>
          </w:tcPr>
          <w:p>
            <w:pPr>
              <w:ind w:left="20"/>
              <w:spacing w:after="0"/>
              <w:rPr>
                <w:sz w:val="20"/>
                <w:szCs w:val="20"/>
                <w:color w:val="auto"/>
              </w:rPr>
            </w:pPr>
            <w:r>
              <w:rPr>
                <w:rFonts w:ascii="Arial" w:cs="Arial" w:eastAsia="Arial" w:hAnsi="Arial"/>
                <w:sz w:val="18"/>
                <w:szCs w:val="18"/>
                <w:color w:val="auto"/>
              </w:rPr>
              <w:t>U.S. federal</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(4,791 )</w:t>
            </w: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E5E5E5"/>
          </w:tcPr>
          <w:p>
            <w:pPr>
              <w:jc w:val="right"/>
              <w:ind w:right="140"/>
              <w:spacing w:after="0"/>
              <w:rPr>
                <w:sz w:val="20"/>
                <w:szCs w:val="20"/>
                <w:color w:val="auto"/>
              </w:rPr>
            </w:pPr>
            <w:r>
              <w:rPr>
                <w:rFonts w:ascii="Arial" w:cs="Arial" w:eastAsia="Arial" w:hAnsi="Arial"/>
                <w:sz w:val="18"/>
                <w:szCs w:val="18"/>
                <w:color w:val="auto"/>
              </w:rPr>
              <w:t>(6,146 )</w:t>
            </w: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(4,815 )</w:t>
            </w:r>
          </w:p>
        </w:tc>
        <w:tc>
          <w:tcPr>
            <w:tcW w:w="0" w:type="dxa"/>
            <w:vAlign w:val="bottom"/>
          </w:tcPr>
          <w:p>
            <w:pPr>
              <w:spacing w:after="0"/>
              <w:rPr>
                <w:sz w:val="1"/>
                <w:szCs w:val="1"/>
                <w:color w:val="auto"/>
              </w:rPr>
            </w:pPr>
          </w:p>
        </w:tc>
      </w:tr>
      <w:tr>
        <w:trPr>
          <w:trHeight w:val="230"/>
        </w:trPr>
        <w:tc>
          <w:tcPr>
            <w:tcW w:w="7660" w:type="dxa"/>
            <w:vAlign w:val="bottom"/>
            <w:gridSpan w:val="5"/>
          </w:tcPr>
          <w:p>
            <w:pPr>
              <w:ind w:left="20"/>
              <w:spacing w:after="0"/>
              <w:rPr>
                <w:sz w:val="20"/>
                <w:szCs w:val="20"/>
                <w:color w:val="auto"/>
              </w:rPr>
            </w:pPr>
            <w:r>
              <w:rPr>
                <w:rFonts w:ascii="Arial" w:cs="Arial" w:eastAsia="Arial" w:hAnsi="Arial"/>
                <w:sz w:val="18"/>
                <w:szCs w:val="18"/>
                <w:color w:val="auto"/>
              </w:rPr>
              <w:t>U.S. state and local</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(379 )</w:t>
            </w:r>
          </w:p>
        </w:tc>
        <w:tc>
          <w:tcPr>
            <w:tcW w:w="280" w:type="dxa"/>
            <w:vAlign w:val="bottom"/>
          </w:tcPr>
          <w:p>
            <w:pPr>
              <w:spacing w:after="0"/>
              <w:rPr>
                <w:sz w:val="19"/>
                <w:szCs w:val="19"/>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(477 )</w:t>
            </w:r>
          </w:p>
        </w:tc>
        <w:tc>
          <w:tcPr>
            <w:tcW w:w="2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(1,062 )</w:t>
            </w:r>
          </w:p>
        </w:tc>
        <w:tc>
          <w:tcPr>
            <w:tcW w:w="0" w:type="dxa"/>
            <w:vAlign w:val="bottom"/>
          </w:tcPr>
          <w:p>
            <w:pPr>
              <w:spacing w:after="0"/>
              <w:rPr>
                <w:sz w:val="1"/>
                <w:szCs w:val="1"/>
                <w:color w:val="auto"/>
              </w:rPr>
            </w:pPr>
          </w:p>
        </w:tc>
      </w:tr>
      <w:tr>
        <w:trPr>
          <w:trHeight w:val="230"/>
        </w:trPr>
        <w:tc>
          <w:tcPr>
            <w:tcW w:w="7660" w:type="dxa"/>
            <w:vAlign w:val="bottom"/>
            <w:gridSpan w:val="5"/>
            <w:shd w:val="clear" w:color="auto" w:fill="E5E5E5"/>
          </w:tcPr>
          <w:p>
            <w:pPr>
              <w:ind w:left="2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432</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72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564</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4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gridSpan w:val="2"/>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7660" w:type="dxa"/>
            <w:vAlign w:val="bottom"/>
            <w:gridSpan w:val="5"/>
          </w:tcPr>
          <w:p>
            <w:pPr>
              <w:ind w:left="240"/>
              <w:spacing w:after="0"/>
              <w:rPr>
                <w:sz w:val="20"/>
                <w:szCs w:val="20"/>
                <w:color w:val="auto"/>
              </w:rPr>
            </w:pPr>
            <w:r>
              <w:rPr>
                <w:rFonts w:ascii="Arial" w:cs="Arial" w:eastAsia="Arial" w:hAnsi="Arial"/>
                <w:sz w:val="18"/>
                <w:szCs w:val="18"/>
                <w:color w:val="auto"/>
              </w:rPr>
              <w:t>Deferred taxes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(4,738 )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(6,059 )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(5,702 )</w:t>
            </w:r>
          </w:p>
        </w:tc>
        <w:tc>
          <w:tcPr>
            <w:tcW w:w="0" w:type="dxa"/>
            <w:vAlign w:val="bottom"/>
          </w:tcPr>
          <w:p>
            <w:pPr>
              <w:spacing w:after="0"/>
              <w:rPr>
                <w:sz w:val="1"/>
                <w:szCs w:val="1"/>
                <w:color w:val="auto"/>
              </w:rPr>
            </w:pPr>
          </w:p>
        </w:tc>
      </w:tr>
      <w:tr>
        <w:trPr>
          <w:trHeight w:val="56"/>
        </w:trPr>
        <w:tc>
          <w:tcPr>
            <w:tcW w:w="44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660" w:type="dxa"/>
            <w:vAlign w:val="bottom"/>
            <w:gridSpan w:val="5"/>
            <w:shd w:val="clear" w:color="auto" w:fill="E5E5E5"/>
          </w:tcPr>
          <w:p>
            <w:pPr>
              <w:ind w:left="440"/>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19,651</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16,950</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10,978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7660" w:type="dxa"/>
            <w:vAlign w:val="bottom"/>
            <w:gridSpan w:val="5"/>
            <w:vMerge w:val="restart"/>
          </w:tcPr>
          <w:p>
            <w:pPr>
              <w:spacing w:after="0"/>
              <w:rPr>
                <w:sz w:val="20"/>
                <w:szCs w:val="20"/>
                <w:color w:val="auto"/>
              </w:rPr>
            </w:pPr>
            <w:r>
              <w:rPr>
                <w:rFonts w:ascii="Arial" w:cs="Arial" w:eastAsia="Arial" w:hAnsi="Arial"/>
                <w:sz w:val="18"/>
                <w:szCs w:val="18"/>
                <w:color w:val="auto"/>
              </w:rPr>
              <w:t>U.S. and foreign components of income before income taxes were as follows:</w:t>
            </w: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9"/>
        </w:trPr>
        <w:tc>
          <w:tcPr>
            <w:tcW w:w="766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7660" w:type="dxa"/>
            <w:vAlign w:val="bottom"/>
            <w:gridSpan w:val="5"/>
          </w:tcPr>
          <w:p>
            <w:pPr>
              <w:ind w:left="20"/>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44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7660" w:type="dxa"/>
            <w:vAlign w:val="bottom"/>
            <w:gridSpan w:val="5"/>
          </w:tcPr>
          <w:p>
            <w:pPr>
              <w:ind w:left="20"/>
              <w:spacing w:after="0"/>
              <w:rPr>
                <w:sz w:val="20"/>
                <w:szCs w:val="20"/>
                <w:color w:val="auto"/>
              </w:rPr>
            </w:pPr>
            <w:r>
              <w:rPr>
                <w:rFonts w:ascii="Arial" w:cs="Arial" w:eastAsia="Arial" w:hAnsi="Arial"/>
                <w:sz w:val="13"/>
                <w:szCs w:val="13"/>
                <w:b w:val="1"/>
                <w:bCs w:val="1"/>
                <w:color w:val="auto"/>
              </w:rPr>
              <w:t>Year Ended June 30,</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4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660" w:type="dxa"/>
            <w:vAlign w:val="bottom"/>
            <w:gridSpan w:val="5"/>
            <w:shd w:val="clear" w:color="auto" w:fill="E5E5E5"/>
          </w:tcPr>
          <w:p>
            <w:pPr>
              <w:ind w:left="20"/>
              <w:spacing w:after="0"/>
              <w:rPr>
                <w:sz w:val="20"/>
                <w:szCs w:val="20"/>
                <w:color w:val="auto"/>
              </w:rPr>
            </w:pPr>
            <w:r>
              <w:rPr>
                <w:rFonts w:ascii="Arial" w:cs="Arial" w:eastAsia="Arial" w:hAnsi="Arial"/>
                <w:sz w:val="18"/>
                <w:szCs w:val="18"/>
                <w:color w:val="auto"/>
              </w:rPr>
              <w:t>U.S.</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62,886</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52,917</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47,837</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60" w:type="dxa"/>
            <w:vAlign w:val="bottom"/>
            <w:gridSpan w:val="5"/>
          </w:tcPr>
          <w:p>
            <w:pPr>
              <w:ind w:left="20"/>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44,901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36,394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35,879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44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660" w:type="dxa"/>
            <w:vAlign w:val="bottom"/>
            <w:gridSpan w:val="5"/>
            <w:shd w:val="clear" w:color="auto" w:fill="E5E5E5"/>
          </w:tcPr>
          <w:p>
            <w:pPr>
              <w:ind w:left="24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107,787</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89,311</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83,716</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5860" w:type="dxa"/>
            <w:vAlign w:val="bottom"/>
            <w:gridSpan w:val="3"/>
            <w:vMerge w:val="restart"/>
          </w:tcPr>
          <w:p>
            <w:pPr>
              <w:jc w:val="center"/>
              <w:ind w:left="5296"/>
              <w:spacing w:after="0"/>
              <w:rPr>
                <w:sz w:val="20"/>
                <w:szCs w:val="20"/>
                <w:color w:val="auto"/>
              </w:rPr>
            </w:pPr>
            <w:r>
              <w:rPr>
                <w:rFonts w:ascii="Arial" w:cs="Arial" w:eastAsia="Arial" w:hAnsi="Arial"/>
                <w:sz w:val="14"/>
                <w:szCs w:val="14"/>
                <w:color w:val="auto"/>
              </w:rPr>
              <w:t>81</w:t>
            </w:r>
          </w:p>
        </w:tc>
        <w:tc>
          <w:tcPr>
            <w:tcW w:w="9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3"/>
        </w:trPr>
        <w:tc>
          <w:tcPr>
            <w:tcW w:w="5860" w:type="dxa"/>
            <w:vAlign w:val="bottom"/>
            <w:gridSpan w:val="3"/>
            <w:vMerge w:val="continue"/>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0"/>
        </w:trPr>
        <w:tc>
          <w:tcPr>
            <w:tcW w:w="4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1" w:name="page82"/>
    <w:bookmarkEnd w:id="81"/>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items accounting for the difference between income taxes computed at the U.S. federal statutory rate and our effective rate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0205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2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2023</w:t>
            </w:r>
          </w:p>
        </w:tc>
        <w:tc>
          <w:tcPr>
            <w:tcW w:w="11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6"/>
                <w:szCs w:val="16"/>
                <w:color w:val="auto"/>
              </w:rPr>
            </w:pPr>
          </w:p>
        </w:tc>
      </w:tr>
      <w:tr>
        <w:trPr>
          <w:trHeight w:val="58"/>
        </w:trPr>
        <w:tc>
          <w:tcPr>
            <w:tcW w:w="7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230"/>
        </w:trPr>
        <w:tc>
          <w:tcPr>
            <w:tcW w:w="7680" w:type="dxa"/>
            <w:vAlign w:val="bottom"/>
            <w:shd w:val="clear" w:color="auto" w:fill="E5E5E5"/>
          </w:tcPr>
          <w:p>
            <w:pPr>
              <w:ind w:left="20"/>
              <w:spacing w:after="0"/>
              <w:rPr>
                <w:sz w:val="20"/>
                <w:szCs w:val="20"/>
                <w:color w:val="auto"/>
              </w:rPr>
            </w:pPr>
            <w:r>
              <w:rPr>
                <w:rFonts w:ascii="Arial" w:cs="Arial" w:eastAsia="Arial" w:hAnsi="Arial"/>
                <w:sz w:val="18"/>
                <w:szCs w:val="18"/>
                <w:color w:val="auto"/>
              </w:rPr>
              <w:t>Federal statutory rate</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21.0%</w:t>
            </w:r>
          </w:p>
        </w:tc>
        <w:tc>
          <w:tcPr>
            <w:tcW w:w="128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21.0%</w:t>
            </w:r>
          </w:p>
        </w:tc>
        <w:tc>
          <w:tcPr>
            <w:tcW w:w="11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E5E5E5"/>
          </w:tcPr>
          <w:p>
            <w:pPr>
              <w:spacing w:after="0"/>
              <w:rPr>
                <w:sz w:val="19"/>
                <w:szCs w:val="19"/>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Effect of:</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6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Foreign earnings taxed at lower rates</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(1.4)%</w:t>
            </w:r>
          </w:p>
        </w:tc>
        <w:tc>
          <w:tcPr>
            <w:tcW w:w="128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(1.8)%</w:t>
            </w:r>
          </w:p>
        </w:tc>
        <w:tc>
          <w:tcPr>
            <w:tcW w:w="11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E5E5E5"/>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Impact of intangible property transfers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r>
      <w:tr>
        <w:trPr>
          <w:trHeight w:val="229"/>
        </w:trPr>
        <w:tc>
          <w:tcPr>
            <w:tcW w:w="76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Foreign-derived intangible income deduction</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(1.1)%</w:t>
            </w:r>
          </w:p>
        </w:tc>
        <w:tc>
          <w:tcPr>
            <w:tcW w:w="128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(1.3)%</w:t>
            </w:r>
          </w:p>
        </w:tc>
        <w:tc>
          <w:tcPr>
            <w:tcW w:w="11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E5E5E5"/>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Arial" w:cs="Arial" w:eastAsia="Arial" w:hAnsi="Arial"/>
                <w:sz w:val="18"/>
                <w:szCs w:val="18"/>
                <w:color w:val="auto"/>
              </w:rPr>
              <w:t>State income taxes, net of federal benefit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r>
      <w:tr>
        <w:trPr>
          <w:trHeight w:val="229"/>
        </w:trPr>
        <w:tc>
          <w:tcPr>
            <w:tcW w:w="76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Research and development credit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(1.1)%</w:t>
            </w:r>
          </w:p>
        </w:tc>
        <w:tc>
          <w:tcPr>
            <w:tcW w:w="128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(1.1)%</w:t>
            </w:r>
          </w:p>
        </w:tc>
        <w:tc>
          <w:tcPr>
            <w:tcW w:w="11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E5E5E5"/>
          </w:tcPr>
          <w:p>
            <w:pPr>
              <w:spacing w:after="0"/>
              <w:rPr>
                <w:sz w:val="19"/>
                <w:szCs w:val="19"/>
                <w:color w:val="auto"/>
              </w:rPr>
            </w:pPr>
          </w:p>
        </w:tc>
      </w:tr>
      <w:tr>
        <w:trPr>
          <w:trHeight w:val="229"/>
        </w:trPr>
        <w:tc>
          <w:tcPr>
            <w:tcW w:w="7680" w:type="dxa"/>
            <w:vAlign w:val="bottom"/>
          </w:tcPr>
          <w:p>
            <w:pPr>
              <w:ind w:left="240"/>
              <w:spacing w:after="0"/>
              <w:rPr>
                <w:sz w:val="20"/>
                <w:szCs w:val="20"/>
                <w:color w:val="auto"/>
              </w:rPr>
            </w:pPr>
            <w:r>
              <w:rPr>
                <w:rFonts w:ascii="Arial" w:cs="Arial" w:eastAsia="Arial" w:hAnsi="Arial"/>
                <w:sz w:val="18"/>
                <w:szCs w:val="18"/>
                <w:color w:val="auto"/>
              </w:rPr>
              <w:t>Excess tax benefits relating to stock-based compensation</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r>
      <w:tr>
        <w:trPr>
          <w:trHeight w:val="230"/>
        </w:trPr>
        <w:tc>
          <w:tcPr>
            <w:tcW w:w="76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Interest, net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1.1%</w:t>
            </w:r>
          </w:p>
        </w:tc>
        <w:tc>
          <w:tcPr>
            <w:tcW w:w="128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0.8%</w:t>
            </w:r>
          </w:p>
        </w:tc>
        <w:tc>
          <w:tcPr>
            <w:tcW w:w="11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E5E5E5"/>
          </w:tcPr>
          <w:p>
            <w:pPr>
              <w:spacing w:after="0"/>
              <w:rPr>
                <w:sz w:val="19"/>
                <w:szCs w:val="19"/>
                <w:color w:val="auto"/>
              </w:rPr>
            </w:pPr>
          </w:p>
        </w:tc>
      </w:tr>
      <w:tr>
        <w:trPr>
          <w:trHeight w:val="247"/>
        </w:trPr>
        <w:tc>
          <w:tcPr>
            <w:tcW w:w="7680" w:type="dxa"/>
            <w:vAlign w:val="bottom"/>
          </w:tcPr>
          <w:p>
            <w:pPr>
              <w:ind w:left="240"/>
              <w:spacing w:after="0"/>
              <w:rPr>
                <w:sz w:val="20"/>
                <w:szCs w:val="20"/>
                <w:color w:val="auto"/>
              </w:rPr>
            </w:pPr>
            <w:r>
              <w:rPr>
                <w:rFonts w:ascii="Arial" w:cs="Arial" w:eastAsia="Arial" w:hAnsi="Arial"/>
                <w:sz w:val="18"/>
                <w:szCs w:val="18"/>
                <w:color w:val="auto"/>
              </w:rPr>
              <w:t>Other reconciling items, net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1"/>
                <w:szCs w:val="21"/>
                <w:color w:val="auto"/>
              </w:rPr>
            </w:pPr>
          </w:p>
        </w:tc>
      </w:tr>
      <w:tr>
        <w:trPr>
          <w:trHeight w:val="50"/>
        </w:trPr>
        <w:tc>
          <w:tcPr>
            <w:tcW w:w="76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r>
      <w:tr>
        <w:trPr>
          <w:trHeight w:val="61"/>
        </w:trPr>
        <w:tc>
          <w:tcPr>
            <w:tcW w:w="7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230"/>
        </w:trPr>
        <w:tc>
          <w:tcPr>
            <w:tcW w:w="76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Effective rate</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18.2%</w:t>
            </w:r>
          </w:p>
        </w:tc>
        <w:tc>
          <w:tcPr>
            <w:tcW w:w="128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19.0%</w:t>
            </w:r>
          </w:p>
        </w:tc>
        <w:tc>
          <w:tcPr>
            <w:tcW w:w="11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E5E5E5"/>
          </w:tcPr>
          <w:p>
            <w:pPr>
              <w:spacing w:after="0"/>
              <w:rPr>
                <w:sz w:val="19"/>
                <w:szCs w:val="19"/>
                <w:color w:val="auto"/>
              </w:rPr>
            </w:pPr>
          </w:p>
        </w:tc>
      </w:tr>
      <w:tr>
        <w:trPr>
          <w:trHeight w:val="74"/>
        </w:trPr>
        <w:tc>
          <w:tcPr>
            <w:tcW w:w="768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first quarter of fiscal year 2022, we transferred certain intangible properties from our Puerto Rico subsidiary to the U.S. The transfer of intangible properties resulted in a $3.3 billion net income tax benefit in the first quarter of fiscal year 2022, as the value of future U.S. tax deductions exceeded the current tax liability from the U.S. global intangible low-taxed income (“GILTI”) tax.</w:t>
      </w:r>
    </w:p>
    <w:p>
      <w:pPr>
        <w:spacing w:after="0" w:line="1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decrease from the federal statutory rate in fiscal year 2024 and 2023 is primarily due to earnings taxed at lower rates in foreign jurisdictions resulting from producing and distributing our products and services through our foreign regional operations center in Ireland. The decrease from the federal statutory rate in fiscal year 2022 is primarily due to the net income tax benefit related to the transfer of intangible properties, earnings taxed at lower rates in foreign jurisdictions resulting from producing and distributing our products and services through our foreign regional operations center in Ireland, and tax benefits relating to stock-based compensation. In fiscal years 2024 and 2023, our foreign regional operating center in Ireland, which is taxed at a rate lower than the U.S. rate, generated 83% and 81% of our foreign income before tax. In fiscal year 2022, our foreign regional operating centers in Ireland and Puerto Rico, which are taxed at rates lower than the U.S. rate, generated 71% of our foreign income before tax. Other reconciling items, net consists primarily of tax credits and GILTI tax, and in fiscal year 2024, includes tax benefits from tax law changes. In fiscal year 2024, tax benefits from tax law changes primarily relates to the issuance of Notice 2023-55 and Notice 2023-80 by the Internal Revenue Service (“IRS”) and U.S. Treasury Department. Notice 2023-55, issued in the first quarter of fiscal year 2024, delayed the effective date of final foreign tax credit regulations to fiscal year 2024 for Microsoft. Notice 2023-80, issued in the second quarter of fiscal year 2024, further delayed the effective date of final foreign tax credit regulations indefinitely. In fiscal years 2024, 2023, and 2022, there were no individually significant other reconciling items.</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decrease in our effective tax rate for fiscal year 2024 compared to fiscal year 2023 was primarily due to tax benefits from tax law changes, including the delay of the effective date of final foreign tax credit regulations. The increase in our effective tax rate for fiscal year 2023 compared to fiscal year 2022 was primarily due to a $3.3 billion net income tax benefit in the first quarter of fiscal year 2022 related to the transfer of intangible properties and a decrease in tax benefits relating to stock-based compensation.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2" w:name="page83"/>
    <w:bookmarkEnd w:id="82"/>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deferred income tax assets and liabilities were as follows: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00" w:type="dxa"/>
            <w:vAlign w:val="bottom"/>
          </w:tcPr>
          <w:p>
            <w:pPr>
              <w:ind w:left="20"/>
              <w:spacing w:after="0"/>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900" w:type="dxa"/>
            <w:vAlign w:val="bottom"/>
          </w:tcPr>
          <w:p>
            <w:pPr>
              <w:ind w:left="20"/>
              <w:spacing w:after="0"/>
              <w:rPr>
                <w:sz w:val="20"/>
                <w:szCs w:val="20"/>
                <w:color w:val="auto"/>
              </w:rPr>
            </w:pPr>
            <w:r>
              <w:rPr>
                <w:rFonts w:ascii="Arial" w:cs="Arial" w:eastAsia="Arial" w:hAnsi="Arial"/>
                <w:sz w:val="13"/>
                <w:szCs w:val="13"/>
                <w:b w:val="1"/>
                <w:bCs w:val="1"/>
                <w:color w:val="auto"/>
              </w:rPr>
              <w:t>Deferred Income Tax Assets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8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E5E5E5"/>
          </w:tcPr>
          <w:p>
            <w:pPr>
              <w:ind w:left="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765</w:t>
            </w:r>
          </w:p>
        </w:tc>
        <w:tc>
          <w:tcPr>
            <w:tcW w:w="220" w:type="dxa"/>
            <w:vAlign w:val="bottom"/>
            <w:shd w:val="clear" w:color="auto" w:fill="E5E5E5"/>
          </w:tcPr>
          <w:p>
            <w:pPr>
              <w:spacing w:after="0"/>
              <w:rPr>
                <w:sz w:val="19"/>
                <w:szCs w:val="19"/>
                <w:color w:val="auto"/>
              </w:rPr>
            </w:pP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color w:val="auto"/>
              </w:rPr>
              <w:t>Accruals, reserves, and other expenses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4,381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E5E5E5"/>
          </w:tcPr>
          <w:p>
            <w:pPr>
              <w:ind w:left="20"/>
              <w:spacing w:after="0"/>
              <w:rPr>
                <w:sz w:val="20"/>
                <w:szCs w:val="20"/>
                <w:color w:val="auto"/>
              </w:rPr>
            </w:pPr>
            <w:r>
              <w:rPr>
                <w:rFonts w:ascii="Arial" w:cs="Arial" w:eastAsia="Arial" w:hAnsi="Arial"/>
                <w:sz w:val="18"/>
                <w:szCs w:val="18"/>
                <w:color w:val="auto"/>
              </w:rPr>
              <w:t>Loss and credit carryforwards</w:t>
            </w:r>
          </w:p>
        </w:tc>
        <w:tc>
          <w:tcPr>
            <w:tcW w:w="24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1,741</w:t>
            </w:r>
          </w:p>
        </w:tc>
        <w:tc>
          <w:tcPr>
            <w:tcW w:w="2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1,441</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4,159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00" w:type="dxa"/>
            <w:vAlign w:val="bottom"/>
            <w:shd w:val="clear" w:color="auto" w:fill="E5E5E5"/>
          </w:tcPr>
          <w:p>
            <w:pPr>
              <w:ind w:left="20"/>
              <w:spacing w:after="0"/>
              <w:rPr>
                <w:sz w:val="20"/>
                <w:szCs w:val="20"/>
                <w:color w:val="auto"/>
              </w:rPr>
            </w:pPr>
            <w:r>
              <w:rPr>
                <w:rFonts w:ascii="Arial" w:cs="Arial" w:eastAsia="Arial" w:hAnsi="Arial"/>
                <w:sz w:val="18"/>
                <w:szCs w:val="18"/>
                <w:color w:val="auto"/>
              </w:rPr>
              <w:t>Leasing liabilities</w:t>
            </w:r>
          </w:p>
        </w:tc>
        <w:tc>
          <w:tcPr>
            <w:tcW w:w="24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6,504</w:t>
            </w:r>
          </w:p>
        </w:tc>
        <w:tc>
          <w:tcPr>
            <w:tcW w:w="2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5,041</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3,717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00" w:type="dxa"/>
            <w:vAlign w:val="bottom"/>
            <w:shd w:val="clear" w:color="auto" w:fill="E5E5E5"/>
          </w:tcPr>
          <w:p>
            <w:pPr>
              <w:ind w:left="20"/>
              <w:spacing w:after="0"/>
              <w:rPr>
                <w:sz w:val="20"/>
                <w:szCs w:val="20"/>
                <w:color w:val="auto"/>
              </w:rPr>
            </w:pPr>
            <w:r>
              <w:rPr>
                <w:rFonts w:ascii="Arial" w:cs="Arial" w:eastAsia="Arial" w:hAnsi="Arial"/>
                <w:sz w:val="18"/>
                <w:szCs w:val="18"/>
                <w:color w:val="auto"/>
              </w:rPr>
              <w:t>Book/tax basis differences in investments and debt</w:t>
            </w:r>
          </w:p>
        </w:tc>
        <w:tc>
          <w:tcPr>
            <w:tcW w:w="24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w:t>
            </w:r>
          </w:p>
        </w:tc>
        <w:tc>
          <w:tcPr>
            <w:tcW w:w="2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color w:val="auto"/>
              </w:rPr>
              <w:t>Capitalized research and development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11,442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E5E5E5"/>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426</w:t>
            </w:r>
          </w:p>
        </w:tc>
        <w:tc>
          <w:tcPr>
            <w:tcW w:w="2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89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900" w:type="dxa"/>
            <w:vAlign w:val="bottom"/>
          </w:tcPr>
          <w:p>
            <w:pPr>
              <w:ind w:left="240"/>
              <w:spacing w:after="0"/>
              <w:rPr>
                <w:sz w:val="20"/>
                <w:szCs w:val="20"/>
                <w:color w:val="auto"/>
              </w:rPr>
            </w:pPr>
            <w:r>
              <w:rPr>
                <w:rFonts w:ascii="Arial" w:cs="Arial" w:eastAsia="Arial" w:hAnsi="Arial"/>
                <w:sz w:val="18"/>
                <w:szCs w:val="18"/>
                <w:color w:val="auto"/>
              </w:rPr>
              <w:t>Deferred income tax assets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33,144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30,850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E5E5E5"/>
          </w:tcPr>
          <w:p>
            <w:pPr>
              <w:ind w:left="20"/>
              <w:spacing w:after="0"/>
              <w:rPr>
                <w:sz w:val="20"/>
                <w:szCs w:val="20"/>
                <w:color w:val="auto"/>
              </w:rPr>
            </w:pPr>
            <w:r>
              <w:rPr>
                <w:rFonts w:ascii="Arial" w:cs="Arial" w:eastAsia="Arial" w:hAnsi="Arial"/>
                <w:sz w:val="18"/>
                <w:szCs w:val="18"/>
                <w:color w:val="auto"/>
              </w:rPr>
              <w:t>Less valuation allowance</w:t>
            </w:r>
          </w:p>
        </w:tc>
        <w:tc>
          <w:tcPr>
            <w:tcW w:w="240" w:type="dxa"/>
            <w:vAlign w:val="bottom"/>
            <w:shd w:val="clear" w:color="auto" w:fill="E5E5E5"/>
          </w:tcPr>
          <w:p>
            <w:pPr>
              <w:spacing w:after="0"/>
              <w:rPr>
                <w:sz w:val="19"/>
                <w:szCs w:val="19"/>
                <w:color w:val="auto"/>
              </w:rPr>
            </w:pPr>
          </w:p>
        </w:tc>
        <w:tc>
          <w:tcPr>
            <w:tcW w:w="10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(1,045 )</w:t>
            </w:r>
          </w:p>
        </w:tc>
        <w:tc>
          <w:tcPr>
            <w:tcW w:w="24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(939 )</w:t>
            </w:r>
          </w:p>
        </w:tc>
        <w:tc>
          <w:tcPr>
            <w:tcW w:w="0" w:type="dxa"/>
            <w:vAlign w:val="bottom"/>
          </w:tcPr>
          <w:p>
            <w:pPr>
              <w:spacing w:after="0"/>
              <w:rPr>
                <w:sz w:val="1"/>
                <w:szCs w:val="1"/>
                <w:color w:val="auto"/>
              </w:rPr>
            </w:pPr>
          </w:p>
        </w:tc>
      </w:tr>
      <w:tr>
        <w:trPr>
          <w:trHeight w:val="68"/>
        </w:trPr>
        <w:tc>
          <w:tcPr>
            <w:tcW w:w="89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8900" w:type="dxa"/>
            <w:vAlign w:val="bottom"/>
          </w:tcPr>
          <w:p>
            <w:pPr>
              <w:ind w:left="240"/>
              <w:spacing w:after="0"/>
              <w:rPr>
                <w:sz w:val="20"/>
                <w:szCs w:val="20"/>
                <w:color w:val="auto"/>
              </w:rPr>
            </w:pPr>
            <w:r>
              <w:rPr>
                <w:rFonts w:ascii="Arial" w:cs="Arial" w:eastAsia="Arial" w:hAnsi="Arial"/>
                <w:sz w:val="18"/>
                <w:szCs w:val="18"/>
                <w:color w:val="auto"/>
              </w:rPr>
              <w:t>Deferred income tax assets, net of valuation allowance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32,099</w:t>
            </w:r>
          </w:p>
        </w:tc>
        <w:tc>
          <w:tcPr>
            <w:tcW w:w="2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29,911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8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8900" w:type="dxa"/>
            <w:vAlign w:val="bottom"/>
          </w:tcPr>
          <w:p>
            <w:pPr>
              <w:ind w:left="20"/>
              <w:spacing w:after="0"/>
              <w:rPr>
                <w:sz w:val="20"/>
                <w:szCs w:val="20"/>
                <w:color w:val="auto"/>
              </w:rPr>
            </w:pPr>
            <w:r>
              <w:rPr>
                <w:rFonts w:ascii="Arial" w:cs="Arial" w:eastAsia="Arial" w:hAnsi="Arial"/>
                <w:sz w:val="13"/>
                <w:szCs w:val="13"/>
                <w:b w:val="1"/>
                <w:bCs w:val="1"/>
                <w:color w:val="auto"/>
              </w:rPr>
              <w:t>Deferred Income Tax Liabilities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8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900" w:type="dxa"/>
            <w:vAlign w:val="bottom"/>
            <w:shd w:val="clear" w:color="auto" w:fill="E5E5E5"/>
          </w:tcPr>
          <w:p>
            <w:pPr>
              <w:ind w:left="20"/>
              <w:spacing w:after="0"/>
              <w:rPr>
                <w:sz w:val="20"/>
                <w:szCs w:val="20"/>
                <w:color w:val="auto"/>
              </w:rPr>
            </w:pPr>
            <w:r>
              <w:rPr>
                <w:rFonts w:ascii="Arial" w:cs="Arial" w:eastAsia="Arial" w:hAnsi="Arial"/>
                <w:sz w:val="18"/>
                <w:szCs w:val="18"/>
                <w:color w:val="auto"/>
              </w:rPr>
              <w:t>Leasing assets</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(6,503 )</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(4,680 )</w:t>
            </w:r>
          </w:p>
        </w:tc>
        <w:tc>
          <w:tcPr>
            <w:tcW w:w="0" w:type="dxa"/>
            <w:vAlign w:val="bottom"/>
          </w:tcPr>
          <w:p>
            <w:pPr>
              <w:spacing w:after="0"/>
              <w:rPr>
                <w:sz w:val="1"/>
                <w:szCs w:val="1"/>
                <w:color w:val="auto"/>
              </w:rPr>
            </w:pP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(3,940 )</w:t>
            </w:r>
          </w:p>
        </w:tc>
        <w:tc>
          <w:tcPr>
            <w:tcW w:w="2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(2,674 )</w:t>
            </w:r>
          </w:p>
        </w:tc>
        <w:tc>
          <w:tcPr>
            <w:tcW w:w="0" w:type="dxa"/>
            <w:vAlign w:val="bottom"/>
          </w:tcPr>
          <w:p>
            <w:pPr>
              <w:spacing w:after="0"/>
              <w:rPr>
                <w:sz w:val="1"/>
                <w:szCs w:val="1"/>
                <w:color w:val="auto"/>
              </w:rPr>
            </w:pPr>
          </w:p>
        </w:tc>
      </w:tr>
      <w:tr>
        <w:trPr>
          <w:trHeight w:val="229"/>
        </w:trPr>
        <w:tc>
          <w:tcPr>
            <w:tcW w:w="8900" w:type="dxa"/>
            <w:vAlign w:val="bottom"/>
            <w:shd w:val="clear" w:color="auto" w:fill="E5E5E5"/>
          </w:tcPr>
          <w:p>
            <w:pPr>
              <w:ind w:left="20"/>
              <w:spacing w:after="0"/>
              <w:rPr>
                <w:sz w:val="20"/>
                <w:szCs w:val="20"/>
                <w:color w:val="auto"/>
              </w:rPr>
            </w:pPr>
            <w:r>
              <w:rPr>
                <w:rFonts w:ascii="Arial" w:cs="Arial" w:eastAsia="Arial" w:hAnsi="Arial"/>
                <w:sz w:val="18"/>
                <w:szCs w:val="18"/>
                <w:color w:val="auto"/>
              </w:rPr>
              <w:t>Deferred tax on foreign earnings</w:t>
            </w:r>
          </w:p>
        </w:tc>
        <w:tc>
          <w:tcPr>
            <w:tcW w:w="240" w:type="dxa"/>
            <w:vAlign w:val="bottom"/>
            <w:shd w:val="clear" w:color="auto" w:fill="E5E5E5"/>
          </w:tcPr>
          <w:p>
            <w:pPr>
              <w:spacing w:after="0"/>
              <w:rPr>
                <w:sz w:val="19"/>
                <w:szCs w:val="19"/>
                <w:color w:val="auto"/>
              </w:rPr>
            </w:pPr>
          </w:p>
        </w:tc>
        <w:tc>
          <w:tcPr>
            <w:tcW w:w="10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(1,837 )</w:t>
            </w:r>
          </w:p>
        </w:tc>
        <w:tc>
          <w:tcPr>
            <w:tcW w:w="24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(2,738 )</w:t>
            </w:r>
          </w:p>
        </w:tc>
        <w:tc>
          <w:tcPr>
            <w:tcW w:w="0" w:type="dxa"/>
            <w:vAlign w:val="bottom"/>
          </w:tcPr>
          <w:p>
            <w:pPr>
              <w:spacing w:after="0"/>
              <w:rPr>
                <w:sz w:val="1"/>
                <w:szCs w:val="1"/>
                <w:color w:val="auto"/>
              </w:rPr>
            </w:pPr>
          </w:p>
        </w:tc>
      </w:tr>
      <w:tr>
        <w:trPr>
          <w:trHeight w:val="247"/>
        </w:trPr>
        <w:tc>
          <w:tcPr>
            <w:tcW w:w="890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(167 )</w:t>
            </w:r>
          </w:p>
        </w:tc>
        <w:tc>
          <w:tcPr>
            <w:tcW w:w="24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50"/>
        </w:trPr>
        <w:tc>
          <w:tcPr>
            <w:tcW w:w="8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9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Deferred income tax liabilities</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(12,447 )</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(10,181 )</w:t>
            </w:r>
          </w:p>
        </w:tc>
        <w:tc>
          <w:tcPr>
            <w:tcW w:w="0" w:type="dxa"/>
            <w:vAlign w:val="bottom"/>
          </w:tcPr>
          <w:p>
            <w:pPr>
              <w:spacing w:after="0"/>
              <w:rPr>
                <w:sz w:val="1"/>
                <w:szCs w:val="1"/>
                <w:color w:val="auto"/>
              </w:rPr>
            </w:pPr>
          </w:p>
        </w:tc>
      </w:tr>
      <w:tr>
        <w:trPr>
          <w:trHeight w:val="68"/>
        </w:trPr>
        <w:tc>
          <w:tcPr>
            <w:tcW w:w="89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8900" w:type="dxa"/>
            <w:vAlign w:val="bottom"/>
          </w:tcPr>
          <w:p>
            <w:pPr>
              <w:ind w:left="440"/>
              <w:spacing w:after="0"/>
              <w:rPr>
                <w:sz w:val="20"/>
                <w:szCs w:val="20"/>
                <w:color w:val="auto"/>
              </w:rPr>
            </w:pPr>
            <w:r>
              <w:rPr>
                <w:rFonts w:ascii="Arial" w:cs="Arial" w:eastAsia="Arial" w:hAnsi="Arial"/>
                <w:sz w:val="18"/>
                <w:szCs w:val="18"/>
                <w:color w:val="auto"/>
              </w:rPr>
              <w:t>Net deferred income tax assets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19,652</w:t>
            </w:r>
          </w:p>
        </w:tc>
        <w:tc>
          <w:tcPr>
            <w:tcW w:w="2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19,730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89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Reported As</w:t>
            </w: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89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8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E5E5E5"/>
          </w:tcPr>
          <w:p>
            <w:pPr>
              <w:ind w:left="20"/>
              <w:spacing w:after="0"/>
              <w:rPr>
                <w:sz w:val="20"/>
                <w:szCs w:val="20"/>
                <w:color w:val="auto"/>
              </w:rPr>
            </w:pPr>
            <w:r>
              <w:rPr>
                <w:rFonts w:ascii="Arial" w:cs="Arial" w:eastAsia="Arial" w:hAnsi="Arial"/>
                <w:sz w:val="18"/>
                <w:szCs w:val="18"/>
                <w:color w:val="auto"/>
              </w:rPr>
              <w:t>Other long-term assets</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22,270</w:t>
            </w:r>
          </w:p>
        </w:tc>
        <w:tc>
          <w:tcPr>
            <w:tcW w:w="220" w:type="dxa"/>
            <w:vAlign w:val="bottom"/>
            <w:shd w:val="clear" w:color="auto" w:fill="E5E5E5"/>
          </w:tcPr>
          <w:p>
            <w:pPr>
              <w:spacing w:after="0"/>
              <w:rPr>
                <w:sz w:val="19"/>
                <w:szCs w:val="19"/>
                <w:color w:val="auto"/>
              </w:rPr>
            </w:pP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20,163</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900" w:type="dxa"/>
            <w:vAlign w:val="bottom"/>
          </w:tcPr>
          <w:p>
            <w:pPr>
              <w:ind w:left="20"/>
              <w:spacing w:after="0"/>
              <w:rPr>
                <w:sz w:val="20"/>
                <w:szCs w:val="20"/>
                <w:color w:val="auto"/>
              </w:rPr>
            </w:pPr>
            <w:r>
              <w:rPr>
                <w:rFonts w:ascii="Arial" w:cs="Arial" w:eastAsia="Arial" w:hAnsi="Arial"/>
                <w:sz w:val="18"/>
                <w:szCs w:val="18"/>
                <w:color w:val="auto"/>
              </w:rPr>
              <w:t>Long-term deferred income tax liabilities</w:t>
            </w:r>
          </w:p>
        </w:tc>
        <w:tc>
          <w:tcPr>
            <w:tcW w:w="2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(2,618 )</w:t>
            </w:r>
          </w:p>
        </w:tc>
        <w:tc>
          <w:tcPr>
            <w:tcW w:w="24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(433 )</w:t>
            </w:r>
          </w:p>
        </w:tc>
        <w:tc>
          <w:tcPr>
            <w:tcW w:w="0" w:type="dxa"/>
            <w:vAlign w:val="bottom"/>
          </w:tcPr>
          <w:p>
            <w:pPr>
              <w:spacing w:after="0"/>
              <w:rPr>
                <w:sz w:val="1"/>
                <w:szCs w:val="1"/>
                <w:color w:val="auto"/>
              </w:rPr>
            </w:pPr>
          </w:p>
        </w:tc>
      </w:tr>
      <w:tr>
        <w:trPr>
          <w:trHeight w:val="50"/>
        </w:trPr>
        <w:tc>
          <w:tcPr>
            <w:tcW w:w="8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Net deferred income tax assets</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19,652</w:t>
            </w:r>
          </w:p>
        </w:tc>
        <w:tc>
          <w:tcPr>
            <w:tcW w:w="220" w:type="dxa"/>
            <w:vAlign w:val="bottom"/>
            <w:shd w:val="clear" w:color="auto" w:fill="E5E5E5"/>
          </w:tcPr>
          <w:p>
            <w:pPr>
              <w:spacing w:after="0"/>
              <w:rPr>
                <w:sz w:val="19"/>
                <w:szCs w:val="19"/>
                <w:color w:val="auto"/>
              </w:rPr>
            </w:pP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19,730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9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Deferred income tax balances reflect the effects of temporary differences between the carrying amounts of assets and liabilities and their tax bases and are stated at enacted tax rates expected to be in effect when the taxes are paid or recovered.</w:t>
      </w:r>
    </w:p>
    <w:p>
      <w:pPr>
        <w:spacing w:after="0" w:line="1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of June 30, 2024, we had federal, state, and foreign net operating loss carryforwards of $476 million, $899 million, and $2.6 billion, respectively. The federal and state net operating loss carryforwards have varying expiration dates ranging from fiscal year 2025 to 2044 or indefinite carryforward periods, if not utilized. The majority of our foreign net operating loss carryforwards do not expire. Certain acquired net operating loss carryforwards are subject to an annual limitation but are expected to be realized with the exception of those which have a valuation allowance. As of June 30, 2024, we had $456 million federal capital loss carryforwards for U.S. tax purposes from our acquisition of Nuance. The federal capital loss carryforwards are subject to an annual limitation and will expire in fiscal year 2025.</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valuation allowance disclosed in the table above relates to the foreign net operating loss carryforwards, federal capital loss carryforwards, and other net deferred tax assets that may not be realized.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Income taxes paid, net of refunds, were $23.4 billion, $23.1 billion, and $16.0 billion in fiscal years 2024, 2023, and 2022,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Gross unrecognized tax benefits related to uncertain tax positions as of June 30, 2024, 2023, and 2022, were $22.8 billion, $17.1 billion, and $15.6 billion, respectively, which were primarily included in long-term income taxes in our consolidated balance sheets. If recognized, the resulting tax benefit would affect our effective tax rates for fiscal years 2024, 2023, and 2022 by $19.6 billion, $14.4 billion, and $13.3 billion, respectively.</w:t>
      </w:r>
    </w:p>
    <w:p>
      <w:pPr>
        <w:sectPr>
          <w:pgSz w:w="11900" w:h="16838" w:orient="portrait"/>
          <w:cols w:equalWidth="0" w:num="1">
            <w:col w:w="11240"/>
          </w:cols>
          <w:pgMar w:left="320" w:top="775" w:right="3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type w:val="continuous"/>
        </w:sectPr>
      </w:pPr>
    </w:p>
    <w:bookmarkStart w:id="83" w:name="page84"/>
    <w:bookmarkEnd w:id="83"/>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June 30, 2024, 2023, and 2022, we had accrued interest expense related to uncertain tax positions of $6.8 billion, $5.2 billion, and $4.3 billion, respectively, net of income tax benefits. The provision for income taxes for fiscal years 2024, 2023, and 2022 included interest expense related to uncertain tax positions of $1.5 billion, $918 million, and $36 million, respectively, net of income tax benefits.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aggregate changes in the gross unrecognized tax benefits related to uncertain tax positions were as follows: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r>
      <w:tr>
        <w:trPr>
          <w:trHeight w:val="58"/>
        </w:trPr>
        <w:tc>
          <w:tcPr>
            <w:tcW w:w="7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30"/>
        </w:trPr>
        <w:tc>
          <w:tcPr>
            <w:tcW w:w="7660" w:type="dxa"/>
            <w:vAlign w:val="bottom"/>
            <w:shd w:val="clear" w:color="auto" w:fill="E5E5E5"/>
          </w:tcPr>
          <w:p>
            <w:pPr>
              <w:ind w:left="20"/>
              <w:spacing w:after="0"/>
              <w:rPr>
                <w:sz w:val="20"/>
                <w:szCs w:val="20"/>
                <w:color w:val="auto"/>
              </w:rPr>
            </w:pPr>
            <w:r>
              <w:rPr>
                <w:rFonts w:ascii="Arial" w:cs="Arial" w:eastAsia="Arial" w:hAnsi="Arial"/>
                <w:sz w:val="18"/>
                <w:szCs w:val="18"/>
                <w:color w:val="auto"/>
              </w:rPr>
              <w:t>Beginning unrecognized tax benefits</w:t>
            </w:r>
          </w:p>
        </w:tc>
        <w:tc>
          <w:tcPr>
            <w:tcW w:w="30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17,120</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15,593</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14,550</w:t>
            </w:r>
          </w:p>
        </w:tc>
        <w:tc>
          <w:tcPr>
            <w:tcW w:w="100" w:type="dxa"/>
            <w:vAlign w:val="bottom"/>
            <w:shd w:val="clear" w:color="auto" w:fill="E5E5E5"/>
          </w:tcPr>
          <w:p>
            <w:pPr>
              <w:spacing w:after="0"/>
              <w:rPr>
                <w:sz w:val="19"/>
                <w:szCs w:val="19"/>
                <w:color w:val="auto"/>
              </w:rPr>
            </w:pPr>
          </w:p>
        </w:tc>
      </w:tr>
      <w:tr>
        <w:trPr>
          <w:trHeight w:val="229"/>
        </w:trPr>
        <w:tc>
          <w:tcPr>
            <w:tcW w:w="7660" w:type="dxa"/>
            <w:vAlign w:val="bottom"/>
          </w:tcPr>
          <w:p>
            <w:pPr>
              <w:ind w:left="240"/>
              <w:spacing w:after="0"/>
              <w:rPr>
                <w:sz w:val="20"/>
                <w:szCs w:val="20"/>
                <w:color w:val="auto"/>
              </w:rPr>
            </w:pPr>
            <w:r>
              <w:rPr>
                <w:rFonts w:ascii="Arial" w:cs="Arial" w:eastAsia="Arial" w:hAnsi="Arial"/>
                <w:sz w:val="18"/>
                <w:szCs w:val="18"/>
                <w:color w:val="auto"/>
              </w:rPr>
              <w:t>Decreases related to settlements</w:t>
            </w:r>
          </w:p>
        </w:tc>
        <w:tc>
          <w:tcPr>
            <w:tcW w:w="3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(76 )</w:t>
            </w:r>
          </w:p>
        </w:tc>
        <w:tc>
          <w:tcPr>
            <w:tcW w:w="2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(329 )</w:t>
            </w:r>
          </w:p>
        </w:tc>
        <w:tc>
          <w:tcPr>
            <w:tcW w:w="2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(317 )</w:t>
            </w:r>
          </w:p>
        </w:tc>
      </w:tr>
      <w:tr>
        <w:trPr>
          <w:trHeight w:val="229"/>
        </w:trPr>
        <w:tc>
          <w:tcPr>
            <w:tcW w:w="76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Increases for tax positions related to the current year</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1,903</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1,051</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E5E5E5"/>
          </w:tcPr>
          <w:p>
            <w:pPr>
              <w:spacing w:after="0"/>
              <w:rPr>
                <w:sz w:val="19"/>
                <w:szCs w:val="19"/>
                <w:color w:val="auto"/>
              </w:rPr>
            </w:pPr>
          </w:p>
        </w:tc>
      </w:tr>
      <w:tr>
        <w:trPr>
          <w:trHeight w:val="230"/>
        </w:trPr>
        <w:tc>
          <w:tcPr>
            <w:tcW w:w="7660" w:type="dxa"/>
            <w:vAlign w:val="bottom"/>
          </w:tcPr>
          <w:p>
            <w:pPr>
              <w:ind w:left="240"/>
              <w:spacing w:after="0" w:line="229" w:lineRule="exact"/>
              <w:rPr>
                <w:sz w:val="20"/>
                <w:szCs w:val="20"/>
                <w:color w:val="auto"/>
              </w:rPr>
            </w:pPr>
            <w:r>
              <w:rPr>
                <w:rFonts w:ascii="Arial" w:cs="Arial" w:eastAsia="Arial" w:hAnsi="Arial"/>
                <w:sz w:val="18"/>
                <w:szCs w:val="18"/>
                <w:color w:val="auto"/>
              </w:rPr>
              <w:t xml:space="preserve">Increases for tax positions related to prior years </w:t>
            </w:r>
            <w:r>
              <w:rPr>
                <w:rFonts w:ascii="Arial" w:cs="Arial" w:eastAsia="Arial" w:hAnsi="Arial"/>
                <w:sz w:val="24"/>
                <w:szCs w:val="24"/>
                <w:color w:val="auto"/>
                <w:vertAlign w:val="superscript"/>
              </w:rPr>
              <w:t>(a)</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4,289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r>
      <w:tr>
        <w:trPr>
          <w:trHeight w:val="229"/>
        </w:trPr>
        <w:tc>
          <w:tcPr>
            <w:tcW w:w="7660" w:type="dxa"/>
            <w:vAlign w:val="bottom"/>
            <w:shd w:val="clear" w:color="auto" w:fill="E5E5E5"/>
          </w:tcPr>
          <w:p>
            <w:pPr>
              <w:ind w:left="240"/>
              <w:spacing w:after="0"/>
              <w:rPr>
                <w:sz w:val="20"/>
                <w:szCs w:val="20"/>
                <w:color w:val="auto"/>
              </w:rPr>
            </w:pPr>
            <w:r>
              <w:rPr>
                <w:rFonts w:ascii="Arial" w:cs="Arial" w:eastAsia="Arial" w:hAnsi="Arial"/>
                <w:sz w:val="18"/>
                <w:szCs w:val="18"/>
                <w:color w:val="auto"/>
              </w:rPr>
              <w:t>Decreases for tax positions related to prior years</w:t>
            </w:r>
          </w:p>
        </w:tc>
        <w:tc>
          <w:tcPr>
            <w:tcW w:w="30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(464 )</w:t>
            </w:r>
          </w:p>
        </w:tc>
        <w:tc>
          <w:tcPr>
            <w:tcW w:w="28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(60 )</w:t>
            </w:r>
          </w:p>
        </w:tc>
        <w:tc>
          <w:tcPr>
            <w:tcW w:w="260" w:type="dxa"/>
            <w:vAlign w:val="bottom"/>
            <w:shd w:val="clear" w:color="auto" w:fill="E5E5E5"/>
          </w:tcPr>
          <w:p>
            <w:pPr>
              <w:spacing w:after="0"/>
              <w:rPr>
                <w:sz w:val="19"/>
                <w:szCs w:val="19"/>
                <w:color w:val="auto"/>
              </w:rPr>
            </w:pPr>
          </w:p>
        </w:tc>
        <w:tc>
          <w:tcPr>
            <w:tcW w:w="8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(246 )</w:t>
            </w:r>
          </w:p>
        </w:tc>
      </w:tr>
      <w:tr>
        <w:trPr>
          <w:trHeight w:val="247"/>
        </w:trPr>
        <w:tc>
          <w:tcPr>
            <w:tcW w:w="7660" w:type="dxa"/>
            <w:vAlign w:val="bottom"/>
          </w:tcPr>
          <w:p>
            <w:pPr>
              <w:ind w:left="240"/>
              <w:spacing w:after="0"/>
              <w:rPr>
                <w:sz w:val="20"/>
                <w:szCs w:val="20"/>
                <w:color w:val="auto"/>
              </w:rPr>
            </w:pPr>
            <w:r>
              <w:rPr>
                <w:rFonts w:ascii="Arial" w:cs="Arial" w:eastAsia="Arial" w:hAnsi="Arial"/>
                <w:sz w:val="18"/>
                <w:szCs w:val="18"/>
                <w:color w:val="auto"/>
              </w:rPr>
              <w:t>Decreases due to lapsed statutes of limitations</w:t>
            </w:r>
          </w:p>
        </w:tc>
        <w:tc>
          <w:tcPr>
            <w:tcW w:w="3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(12 )</w:t>
            </w:r>
          </w:p>
        </w:tc>
        <w:tc>
          <w:tcPr>
            <w:tcW w:w="28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(5 )</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r>
      <w:tr>
        <w:trPr>
          <w:trHeight w:val="50"/>
        </w:trPr>
        <w:tc>
          <w:tcPr>
            <w:tcW w:w="76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7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7660" w:type="dxa"/>
            <w:vAlign w:val="bottom"/>
            <w:shd w:val="clear" w:color="auto" w:fill="E5E5E5"/>
          </w:tcPr>
          <w:p>
            <w:pPr>
              <w:ind w:left="20"/>
              <w:spacing w:after="0"/>
              <w:rPr>
                <w:sz w:val="20"/>
                <w:szCs w:val="20"/>
                <w:color w:val="auto"/>
              </w:rPr>
            </w:pPr>
            <w:r>
              <w:rPr>
                <w:rFonts w:ascii="Arial" w:cs="Arial" w:eastAsia="Arial" w:hAnsi="Arial"/>
                <w:sz w:val="18"/>
                <w:szCs w:val="18"/>
                <w:color w:val="auto"/>
              </w:rPr>
              <w:t>Ending unrecognized tax benefits</w:t>
            </w:r>
          </w:p>
        </w:tc>
        <w:tc>
          <w:tcPr>
            <w:tcW w:w="30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22,760</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17,120</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15,593</w:t>
            </w:r>
          </w:p>
        </w:tc>
        <w:tc>
          <w:tcPr>
            <w:tcW w:w="100" w:type="dxa"/>
            <w:vAlign w:val="bottom"/>
            <w:shd w:val="clear" w:color="auto" w:fill="E5E5E5"/>
          </w:tcPr>
          <w:p>
            <w:pPr>
              <w:spacing w:after="0"/>
              <w:rPr>
                <w:sz w:val="19"/>
                <w:szCs w:val="19"/>
                <w:color w:val="auto"/>
              </w:rPr>
            </w:pPr>
          </w:p>
        </w:tc>
      </w:tr>
      <w:tr>
        <w:trPr>
          <w:trHeight w:val="74"/>
        </w:trPr>
        <w:tc>
          <w:tcPr>
            <w:tcW w:w="76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64" w:lineRule="exact"/>
        <w:rPr>
          <w:sz w:val="20"/>
          <w:szCs w:val="20"/>
          <w:color w:val="auto"/>
        </w:rPr>
      </w:pPr>
    </w:p>
    <w:p>
      <w:pPr>
        <w:ind w:left="520" w:hanging="512"/>
        <w:spacing w:after="0" w:line="269"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Fiscal year 2024 includes unrecognized tax benefits of $3.4 billion related to the acquisition of Activision Blizzard. See Note 8 – Business Combinations for further information.</w:t>
      </w:r>
    </w:p>
    <w:p>
      <w:pPr>
        <w:spacing w:after="0" w:line="10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remain under audit by the IRS for tax years 2014 to 2017. With respect to the audit for tax years 2004 to 2013, on September 26, 2023, we received Notices of Proposed Adjustment (“NOPAs”) from the IRS. The primary issues in the NOPAs relate to intercompany transfer pricing. In the NOPAs, the IRS is seeking an additional tax payment of $28.9 billion plus penalties and interest. As of June 30, 2024, we believe our allowances for income tax contingencies are adequate. We disagree with the proposed adjustments and will vigorously contest the NOPAs through the IRS’s administrative appeals office and, if necessary, judicial proceedings. We do not expect a final resolution of these issues in the next 12 months. Based on the information currently available, we do not anticipate a significant increase or decrease to our income tax contingencies for these issues within the next 12 months.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2023, some of which are currently under audit by local tax authorities. The resolution of each of these audits is not expected to be material to our consolidated financial statements.</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NOTE 13 — UNEARNED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Unearned revenue by segment was as follows: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ind w:left="20"/>
              <w:spacing w:after="0"/>
              <w:rPr>
                <w:sz w:val="20"/>
                <w:szCs w:val="20"/>
                <w:color w:val="auto"/>
              </w:rPr>
            </w:pPr>
            <w:r>
              <w:rPr>
                <w:rFonts w:ascii="Arial" w:cs="Arial" w:eastAsia="Arial" w:hAnsi="Arial"/>
                <w:sz w:val="13"/>
                <w:szCs w:val="13"/>
                <w:b w:val="1"/>
                <w:bCs w:val="1"/>
                <w:color w:val="auto"/>
              </w:rPr>
              <w:t>June 30,</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8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Productivity and Business Processes</w:t>
            </w:r>
          </w:p>
        </w:tc>
        <w:tc>
          <w:tcPr>
            <w:tcW w:w="340" w:type="dxa"/>
            <w:vAlign w:val="bottom"/>
            <w:shd w:val="clear" w:color="auto" w:fill="E5E5E5"/>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30,879</w:t>
            </w:r>
          </w:p>
        </w:tc>
        <w:tc>
          <w:tcPr>
            <w:tcW w:w="4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27,572</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Intelligent Cloud</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23,117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E5E5E5"/>
          </w:tcPr>
          <w:p>
            <w:pPr>
              <w:ind w:left="20"/>
              <w:spacing w:after="0"/>
              <w:rPr>
                <w:sz w:val="20"/>
                <w:szCs w:val="20"/>
                <w:color w:val="auto"/>
              </w:rPr>
            </w:pPr>
            <w:r>
              <w:rPr>
                <w:rFonts w:ascii="Arial" w:cs="Arial" w:eastAsia="Arial" w:hAnsi="Arial"/>
                <w:sz w:val="18"/>
                <w:szCs w:val="18"/>
                <w:color w:val="auto"/>
              </w:rPr>
              <w:t>More Personal Computing</w:t>
            </w:r>
          </w:p>
        </w:tc>
        <w:tc>
          <w:tcPr>
            <w:tcW w:w="34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6,188</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4,678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86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8680" w:type="dxa"/>
            <w:vAlign w:val="bottom"/>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60,184</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53,813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8680" w:type="dxa"/>
            <w:vAlign w:val="bottom"/>
            <w:vMerge w:val="restart"/>
          </w:tcPr>
          <w:p>
            <w:pPr>
              <w:spacing w:after="0"/>
              <w:rPr>
                <w:sz w:val="20"/>
                <w:szCs w:val="20"/>
                <w:color w:val="auto"/>
              </w:rPr>
            </w:pPr>
            <w:r>
              <w:rPr>
                <w:rFonts w:ascii="Arial" w:cs="Arial" w:eastAsia="Arial" w:hAnsi="Arial"/>
                <w:sz w:val="18"/>
                <w:szCs w:val="18"/>
                <w:color w:val="auto"/>
              </w:rPr>
              <w:t>Changes in unearned revenue were as follows:</w:t>
            </w: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9"/>
        </w:trPr>
        <w:tc>
          <w:tcPr>
            <w:tcW w:w="8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68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8680" w:type="dxa"/>
            <w:vAlign w:val="bottom"/>
          </w:tcPr>
          <w:p>
            <w:pPr>
              <w:ind w:left="20"/>
              <w:spacing w:after="0"/>
              <w:rPr>
                <w:sz w:val="20"/>
                <w:szCs w:val="20"/>
                <w:color w:val="auto"/>
              </w:rPr>
            </w:pPr>
            <w:r>
              <w:rPr>
                <w:rFonts w:ascii="Arial" w:cs="Arial" w:eastAsia="Arial" w:hAnsi="Arial"/>
                <w:sz w:val="13"/>
                <w:szCs w:val="13"/>
                <w:b w:val="1"/>
                <w:bCs w:val="1"/>
                <w:color w:val="auto"/>
              </w:rPr>
              <w:t>Year Ended June 30, 2024</w:t>
            </w: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8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beginning of period</w:t>
            </w:r>
          </w:p>
        </w:tc>
        <w:tc>
          <w:tcPr>
            <w:tcW w:w="340" w:type="dxa"/>
            <w:vAlign w:val="bottom"/>
            <w:shd w:val="clear" w:color="auto" w:fill="E5E5E5"/>
          </w:tcPr>
          <w:p>
            <w:pPr>
              <w:spacing w:after="0"/>
              <w:rPr>
                <w:sz w:val="19"/>
                <w:szCs w:val="19"/>
                <w:color w:val="auto"/>
              </w:rPr>
            </w:pPr>
          </w:p>
        </w:tc>
        <w:tc>
          <w:tcPr>
            <w:tcW w:w="780" w:type="dxa"/>
            <w:vAlign w:val="bottom"/>
            <w:shd w:val="clear" w:color="auto" w:fill="E5E5E5"/>
          </w:tcPr>
          <w:p>
            <w:pPr>
              <w:spacing w:after="0"/>
              <w:rPr>
                <w:sz w:val="19"/>
                <w:szCs w:val="19"/>
                <w:color w:val="auto"/>
              </w:rPr>
            </w:pPr>
          </w:p>
        </w:tc>
        <w:tc>
          <w:tcPr>
            <w:tcW w:w="4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53,813</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240"/>
              <w:spacing w:after="0"/>
              <w:rPr>
                <w:sz w:val="20"/>
                <w:szCs w:val="20"/>
                <w:color w:val="auto"/>
              </w:rPr>
            </w:pPr>
            <w:r>
              <w:rPr>
                <w:rFonts w:ascii="Arial" w:cs="Arial" w:eastAsia="Arial" w:hAnsi="Arial"/>
                <w:sz w:val="18"/>
                <w:szCs w:val="18"/>
                <w:color w:val="auto"/>
              </w:rPr>
              <w:t>Deferral of revenue</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148,701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Recognition of unearned revenue</w:t>
            </w:r>
          </w:p>
        </w:tc>
        <w:tc>
          <w:tcPr>
            <w:tcW w:w="340" w:type="dxa"/>
            <w:vAlign w:val="bottom"/>
            <w:shd w:val="clear" w:color="auto" w:fill="E5E5E5"/>
          </w:tcPr>
          <w:p>
            <w:pPr>
              <w:spacing w:after="0"/>
              <w:rPr>
                <w:sz w:val="19"/>
                <w:szCs w:val="19"/>
                <w:color w:val="auto"/>
              </w:rPr>
            </w:pPr>
          </w:p>
        </w:tc>
        <w:tc>
          <w:tcPr>
            <w:tcW w:w="78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(142,330 )</w:t>
            </w:r>
          </w:p>
        </w:tc>
        <w:tc>
          <w:tcPr>
            <w:tcW w:w="0" w:type="dxa"/>
            <w:vAlign w:val="bottom"/>
          </w:tcPr>
          <w:p>
            <w:pPr>
              <w:spacing w:after="0"/>
              <w:rPr>
                <w:sz w:val="1"/>
                <w:szCs w:val="1"/>
                <w:color w:val="auto"/>
              </w:rPr>
            </w:pPr>
          </w:p>
        </w:tc>
      </w:tr>
      <w:tr>
        <w:trPr>
          <w:trHeight w:val="68"/>
        </w:trPr>
        <w:tc>
          <w:tcPr>
            <w:tcW w:w="86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gridSpan w:val="2"/>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868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60,184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8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Revenue allocated to remaining performance obligations, which includes unearned revenue and amounts that will be invoiced and recognized as revenue in future periods, was $275 billion as of June 30, 2024, of which $269 billion is related to the commercial portion of revenue. We expect to recognize approximately 45% of our total company remaining performance obligation revenue over the next 12 months and the remainder thereafter.</w:t>
      </w:r>
    </w:p>
    <w:p>
      <w:pPr>
        <w:sectPr>
          <w:pgSz w:w="11900" w:h="16838" w:orient="portrait"/>
          <w:cols w:equalWidth="0" w:num="1">
            <w:col w:w="11240"/>
          </w:cols>
          <w:pgMar w:left="320" w:top="775" w:right="3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type w:val="continuous"/>
        </w:sectPr>
      </w:pPr>
    </w:p>
    <w:bookmarkStart w:id="84" w:name="page85"/>
    <w:bookmarkEnd w:id="84"/>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NOTE 14 — LEASES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operating and finance leases for datacenters, corporate offices, research and development facilities, Microsoft Experience Centers, and certain equipment. Our leases have remaining lease terms of less than 1 year to 17 years, some of which include options to extend the leases for up to 5 years, and some of which include options to terminate the leases within 1 year.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42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6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Operating lease cost</w:t>
            </w:r>
          </w:p>
        </w:tc>
        <w:tc>
          <w:tcPr>
            <w:tcW w:w="420" w:type="dxa"/>
            <w:vAlign w:val="bottom"/>
            <w:shd w:val="clear" w:color="auto" w:fill="E5E5E5"/>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3,555</w:t>
            </w:r>
          </w:p>
        </w:tc>
        <w:tc>
          <w:tcPr>
            <w:tcW w:w="42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2,875</w:t>
            </w:r>
          </w:p>
        </w:tc>
        <w:tc>
          <w:tcPr>
            <w:tcW w:w="54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2,461</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6980" w:type="dxa"/>
            <w:vAlign w:val="bottom"/>
            <w:vMerge w:val="restart"/>
          </w:tcPr>
          <w:p>
            <w:pPr>
              <w:ind w:left="20"/>
              <w:spacing w:after="0"/>
              <w:rPr>
                <w:sz w:val="20"/>
                <w:szCs w:val="20"/>
                <w:color w:val="auto"/>
              </w:rPr>
            </w:pPr>
            <w:r>
              <w:rPr>
                <w:rFonts w:ascii="Arial" w:cs="Arial" w:eastAsia="Arial" w:hAnsi="Arial"/>
                <w:sz w:val="18"/>
                <w:szCs w:val="18"/>
                <w:color w:val="auto"/>
              </w:rPr>
              <w:t>Finance lease cost:</w:t>
            </w:r>
          </w:p>
        </w:tc>
        <w:tc>
          <w:tcPr>
            <w:tcW w:w="4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69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300"/>
              <w:spacing w:after="0"/>
              <w:rPr>
                <w:sz w:val="20"/>
                <w:szCs w:val="20"/>
                <w:color w:val="auto"/>
              </w:rPr>
            </w:pPr>
            <w:r>
              <w:rPr>
                <w:rFonts w:ascii="Arial" w:cs="Arial" w:eastAsia="Arial" w:hAnsi="Arial"/>
                <w:sz w:val="18"/>
                <w:szCs w:val="18"/>
                <w:color w:val="auto"/>
              </w:rPr>
              <w:t>Amortization of right-of-use assets</w:t>
            </w:r>
          </w:p>
        </w:tc>
        <w:tc>
          <w:tcPr>
            <w:tcW w:w="420" w:type="dxa"/>
            <w:vAlign w:val="bottom"/>
            <w:shd w:val="clear" w:color="auto" w:fill="E5E5E5"/>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1,800</w:t>
            </w:r>
          </w:p>
        </w:tc>
        <w:tc>
          <w:tcPr>
            <w:tcW w:w="42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1,352</w:t>
            </w:r>
          </w:p>
        </w:tc>
        <w:tc>
          <w:tcPr>
            <w:tcW w:w="54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980" w:type="dxa"/>
            <w:vAlign w:val="bottom"/>
          </w:tcPr>
          <w:p>
            <w:pPr>
              <w:ind w:left="300"/>
              <w:spacing w:after="0"/>
              <w:rPr>
                <w:sz w:val="20"/>
                <w:szCs w:val="20"/>
                <w:color w:val="auto"/>
              </w:rPr>
            </w:pPr>
            <w:r>
              <w:rPr>
                <w:rFonts w:ascii="Arial" w:cs="Arial" w:eastAsia="Arial" w:hAnsi="Arial"/>
                <w:sz w:val="18"/>
                <w:szCs w:val="18"/>
                <w:color w:val="auto"/>
              </w:rPr>
              <w:t>Interest on lease liabilities</w:t>
            </w:r>
          </w:p>
        </w:tc>
        <w:tc>
          <w:tcPr>
            <w:tcW w:w="4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69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300"/>
              <w:spacing w:after="0"/>
              <w:rPr>
                <w:sz w:val="20"/>
                <w:szCs w:val="20"/>
                <w:color w:val="auto"/>
              </w:rPr>
            </w:pPr>
            <w:r>
              <w:rPr>
                <w:rFonts w:ascii="Arial" w:cs="Arial" w:eastAsia="Arial" w:hAnsi="Arial"/>
                <w:sz w:val="18"/>
                <w:szCs w:val="18"/>
                <w:color w:val="auto"/>
              </w:rPr>
              <w:t>Total finance lease cost</w:t>
            </w:r>
          </w:p>
        </w:tc>
        <w:tc>
          <w:tcPr>
            <w:tcW w:w="420" w:type="dxa"/>
            <w:vAlign w:val="bottom"/>
            <w:shd w:val="clear" w:color="auto" w:fill="E5E5E5"/>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2,534</w:t>
            </w:r>
          </w:p>
        </w:tc>
        <w:tc>
          <w:tcPr>
            <w:tcW w:w="42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1,853</w:t>
            </w:r>
          </w:p>
        </w:tc>
        <w:tc>
          <w:tcPr>
            <w:tcW w:w="54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698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4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9"/>
        </w:trPr>
        <w:tc>
          <w:tcPr>
            <w:tcW w:w="69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98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69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4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6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20" w:type="dxa"/>
            <w:vAlign w:val="bottom"/>
            <w:shd w:val="clear" w:color="auto" w:fill="E5E5E5"/>
          </w:tcPr>
          <w:p>
            <w:pPr>
              <w:spacing w:after="0"/>
              <w:rPr>
                <w:sz w:val="19"/>
                <w:szCs w:val="19"/>
                <w:color w:val="auto"/>
              </w:rPr>
            </w:pPr>
          </w:p>
        </w:tc>
        <w:tc>
          <w:tcPr>
            <w:tcW w:w="60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8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3,550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2,706</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420" w:type="dxa"/>
            <w:vAlign w:val="bottom"/>
            <w:shd w:val="clear" w:color="auto" w:fill="E5E5E5"/>
          </w:tcPr>
          <w:p>
            <w:pPr>
              <w:spacing w:after="0"/>
              <w:rPr>
                <w:sz w:val="19"/>
                <w:szCs w:val="19"/>
                <w:color w:val="auto"/>
              </w:rPr>
            </w:pPr>
          </w:p>
        </w:tc>
        <w:tc>
          <w:tcPr>
            <w:tcW w:w="8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734</w:t>
            </w:r>
          </w:p>
        </w:tc>
        <w:tc>
          <w:tcPr>
            <w:tcW w:w="2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0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501</w:t>
            </w:r>
          </w:p>
        </w:tc>
        <w:tc>
          <w:tcPr>
            <w:tcW w:w="22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980" w:type="dxa"/>
            <w:vAlign w:val="bottom"/>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4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1,286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1,056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6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420" w:type="dxa"/>
            <w:vAlign w:val="bottom"/>
            <w:shd w:val="clear" w:color="auto" w:fill="E5E5E5"/>
          </w:tcPr>
          <w:p>
            <w:pPr>
              <w:spacing w:after="0"/>
              <w:rPr>
                <w:sz w:val="19"/>
                <w:szCs w:val="19"/>
                <w:color w:val="auto"/>
              </w:rPr>
            </w:pPr>
          </w:p>
        </w:tc>
        <w:tc>
          <w:tcPr>
            <w:tcW w:w="60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8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4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6,703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3,514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Finance leases</w:t>
            </w:r>
          </w:p>
        </w:tc>
        <w:tc>
          <w:tcPr>
            <w:tcW w:w="420" w:type="dxa"/>
            <w:vAlign w:val="bottom"/>
            <w:shd w:val="clear" w:color="auto" w:fill="E5E5E5"/>
          </w:tcPr>
          <w:p>
            <w:pPr>
              <w:spacing w:after="0"/>
              <w:rPr>
                <w:sz w:val="19"/>
                <w:szCs w:val="19"/>
                <w:color w:val="auto"/>
              </w:rPr>
            </w:pPr>
          </w:p>
        </w:tc>
        <w:tc>
          <w:tcPr>
            <w:tcW w:w="8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11,633</w:t>
            </w:r>
          </w:p>
        </w:tc>
        <w:tc>
          <w:tcPr>
            <w:tcW w:w="2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0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3,128</w:t>
            </w:r>
          </w:p>
        </w:tc>
        <w:tc>
          <w:tcPr>
            <w:tcW w:w="22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4,234</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69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3"/>
        </w:trPr>
        <w:tc>
          <w:tcPr>
            <w:tcW w:w="698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6980" w:type="dxa"/>
            <w:vAlign w:val="bottom"/>
          </w:tcPr>
          <w:p>
            <w:pPr>
              <w:ind w:left="20"/>
              <w:spacing w:after="0"/>
              <w:rPr>
                <w:sz w:val="20"/>
                <w:szCs w:val="20"/>
                <w:color w:val="auto"/>
              </w:rPr>
            </w:pPr>
            <w:r>
              <w:rPr>
                <w:rFonts w:ascii="Arial" w:cs="Arial" w:eastAsia="Arial" w:hAnsi="Arial"/>
                <w:sz w:val="13"/>
                <w:szCs w:val="13"/>
                <w:b w:val="1"/>
                <w:bCs w:val="1"/>
                <w:color w:val="auto"/>
              </w:rPr>
              <w:t>(In millions, except lease term and discount rate)</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69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6980" w:type="dxa"/>
            <w:vAlign w:val="bottom"/>
          </w:tcPr>
          <w:p>
            <w:pPr>
              <w:ind w:left="20"/>
              <w:spacing w:after="0"/>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3"/>
                <w:szCs w:val="13"/>
                <w:b w:val="1"/>
                <w:bCs w:val="1"/>
                <w:color w:val="auto"/>
              </w:rPr>
              <w:t>Operating Leases</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6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shd w:val="clear" w:color="auto" w:fill="E5E5E5"/>
          </w:tcPr>
          <w:p>
            <w:pPr>
              <w:spacing w:after="0"/>
              <w:rPr>
                <w:sz w:val="19"/>
                <w:szCs w:val="19"/>
                <w:color w:val="auto"/>
              </w:rPr>
            </w:pPr>
          </w:p>
        </w:tc>
        <w:tc>
          <w:tcPr>
            <w:tcW w:w="8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18,961</w:t>
            </w:r>
          </w:p>
        </w:tc>
        <w:tc>
          <w:tcPr>
            <w:tcW w:w="200" w:type="dxa"/>
            <w:vAlign w:val="bottom"/>
            <w:shd w:val="clear" w:color="auto" w:fill="E5E5E5"/>
          </w:tcPr>
          <w:p>
            <w:pPr>
              <w:spacing w:after="0"/>
              <w:rPr>
                <w:sz w:val="19"/>
                <w:szCs w:val="19"/>
                <w:color w:val="auto"/>
              </w:rPr>
            </w:pPr>
          </w:p>
        </w:tc>
        <w:tc>
          <w:tcPr>
            <w:tcW w:w="2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14,346</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69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69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42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3,580</w:t>
            </w:r>
          </w:p>
        </w:tc>
        <w:tc>
          <w:tcPr>
            <w:tcW w:w="2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Operating lease liabilities</w:t>
            </w:r>
          </w:p>
        </w:tc>
        <w:tc>
          <w:tcPr>
            <w:tcW w:w="420" w:type="dxa"/>
            <w:vAlign w:val="bottom"/>
            <w:shd w:val="clear" w:color="auto" w:fill="E5E5E5"/>
          </w:tcPr>
          <w:p>
            <w:pPr>
              <w:spacing w:after="0"/>
              <w:rPr>
                <w:sz w:val="19"/>
                <w:szCs w:val="19"/>
                <w:color w:val="auto"/>
              </w:rPr>
            </w:pPr>
          </w:p>
        </w:tc>
        <w:tc>
          <w:tcPr>
            <w:tcW w:w="60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15,497</w:t>
            </w:r>
          </w:p>
        </w:tc>
        <w:tc>
          <w:tcPr>
            <w:tcW w:w="20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12,728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69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6980" w:type="dxa"/>
            <w:vAlign w:val="bottom"/>
          </w:tcPr>
          <w:p>
            <w:pPr>
              <w:ind w:left="240"/>
              <w:spacing w:after="0"/>
              <w:rPr>
                <w:sz w:val="20"/>
                <w:szCs w:val="20"/>
                <w:color w:val="auto"/>
              </w:rPr>
            </w:pPr>
            <w:r>
              <w:rPr>
                <w:rFonts w:ascii="Arial" w:cs="Arial" w:eastAsia="Arial" w:hAnsi="Arial"/>
                <w:sz w:val="18"/>
                <w:szCs w:val="18"/>
                <w:color w:val="auto"/>
              </w:rPr>
              <w:t>Total operating lease liabilities</w:t>
            </w:r>
          </w:p>
        </w:tc>
        <w:tc>
          <w:tcPr>
            <w:tcW w:w="42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19,077</w:t>
            </w:r>
          </w:p>
        </w:tc>
        <w:tc>
          <w:tcPr>
            <w:tcW w:w="2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69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Finance Leases</w:t>
            </w: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698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6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Property and equipment, at cost</w:t>
            </w:r>
          </w:p>
        </w:tc>
        <w:tc>
          <w:tcPr>
            <w:tcW w:w="420" w:type="dxa"/>
            <w:vAlign w:val="bottom"/>
            <w:shd w:val="clear" w:color="auto" w:fill="E5E5E5"/>
          </w:tcPr>
          <w:p>
            <w:pPr>
              <w:spacing w:after="0"/>
              <w:rPr>
                <w:sz w:val="19"/>
                <w:szCs w:val="19"/>
                <w:color w:val="auto"/>
              </w:rPr>
            </w:pPr>
          </w:p>
        </w:tc>
        <w:tc>
          <w:tcPr>
            <w:tcW w:w="8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32,248</w:t>
            </w:r>
          </w:p>
        </w:tc>
        <w:tc>
          <w:tcPr>
            <w:tcW w:w="200" w:type="dxa"/>
            <w:vAlign w:val="bottom"/>
            <w:shd w:val="clear" w:color="auto" w:fill="E5E5E5"/>
          </w:tcPr>
          <w:p>
            <w:pPr>
              <w:spacing w:after="0"/>
              <w:rPr>
                <w:sz w:val="19"/>
                <w:szCs w:val="19"/>
                <w:color w:val="auto"/>
              </w:rPr>
            </w:pPr>
          </w:p>
        </w:tc>
        <w:tc>
          <w:tcPr>
            <w:tcW w:w="2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20,538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98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(6,386 )</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(4,647 )</w:t>
            </w:r>
          </w:p>
        </w:tc>
        <w:tc>
          <w:tcPr>
            <w:tcW w:w="0" w:type="dxa"/>
            <w:vAlign w:val="bottom"/>
          </w:tcPr>
          <w:p>
            <w:pPr>
              <w:spacing w:after="0"/>
              <w:rPr>
                <w:sz w:val="1"/>
                <w:szCs w:val="1"/>
                <w:color w:val="auto"/>
              </w:rPr>
            </w:pPr>
          </w:p>
        </w:tc>
      </w:tr>
      <w:tr>
        <w:trPr>
          <w:trHeight w:val="50"/>
        </w:trPr>
        <w:tc>
          <w:tcPr>
            <w:tcW w:w="69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Property and equipment, net</w:t>
            </w:r>
          </w:p>
        </w:tc>
        <w:tc>
          <w:tcPr>
            <w:tcW w:w="420" w:type="dxa"/>
            <w:vAlign w:val="bottom"/>
            <w:shd w:val="clear" w:color="auto" w:fill="E5E5E5"/>
          </w:tcPr>
          <w:p>
            <w:pPr>
              <w:spacing w:after="0"/>
              <w:rPr>
                <w:sz w:val="19"/>
                <w:szCs w:val="19"/>
                <w:color w:val="auto"/>
              </w:rPr>
            </w:pPr>
          </w:p>
        </w:tc>
        <w:tc>
          <w:tcPr>
            <w:tcW w:w="8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25,862</w:t>
            </w:r>
          </w:p>
        </w:tc>
        <w:tc>
          <w:tcPr>
            <w:tcW w:w="200" w:type="dxa"/>
            <w:vAlign w:val="bottom"/>
            <w:shd w:val="clear" w:color="auto" w:fill="E5E5E5"/>
          </w:tcPr>
          <w:p>
            <w:pPr>
              <w:spacing w:after="0"/>
              <w:rPr>
                <w:sz w:val="19"/>
                <w:szCs w:val="19"/>
                <w:color w:val="auto"/>
              </w:rPr>
            </w:pPr>
          </w:p>
        </w:tc>
        <w:tc>
          <w:tcPr>
            <w:tcW w:w="22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15,891</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69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69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42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2,349</w:t>
            </w:r>
          </w:p>
        </w:tc>
        <w:tc>
          <w:tcPr>
            <w:tcW w:w="2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Other long-term liabilities</w:t>
            </w:r>
          </w:p>
        </w:tc>
        <w:tc>
          <w:tcPr>
            <w:tcW w:w="420" w:type="dxa"/>
            <w:vAlign w:val="bottom"/>
            <w:shd w:val="clear" w:color="auto" w:fill="E5E5E5"/>
          </w:tcPr>
          <w:p>
            <w:pPr>
              <w:spacing w:after="0"/>
              <w:rPr>
                <w:sz w:val="19"/>
                <w:szCs w:val="19"/>
                <w:color w:val="auto"/>
              </w:rPr>
            </w:pPr>
          </w:p>
        </w:tc>
        <w:tc>
          <w:tcPr>
            <w:tcW w:w="60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24,796</w:t>
            </w:r>
          </w:p>
        </w:tc>
        <w:tc>
          <w:tcPr>
            <w:tcW w:w="20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15,870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69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6980" w:type="dxa"/>
            <w:vAlign w:val="bottom"/>
          </w:tcPr>
          <w:p>
            <w:pPr>
              <w:ind w:left="240"/>
              <w:spacing w:after="0"/>
              <w:rPr>
                <w:sz w:val="20"/>
                <w:szCs w:val="20"/>
                <w:color w:val="auto"/>
              </w:rPr>
            </w:pPr>
            <w:r>
              <w:rPr>
                <w:rFonts w:ascii="Arial" w:cs="Arial" w:eastAsia="Arial" w:hAnsi="Arial"/>
                <w:sz w:val="18"/>
                <w:szCs w:val="18"/>
                <w:color w:val="auto"/>
              </w:rPr>
              <w:t>Total finance lease liabilities</w:t>
            </w:r>
          </w:p>
        </w:tc>
        <w:tc>
          <w:tcPr>
            <w:tcW w:w="42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27,145</w:t>
            </w:r>
          </w:p>
        </w:tc>
        <w:tc>
          <w:tcPr>
            <w:tcW w:w="2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69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Weighted Average Remaining Lease Term</w:t>
            </w: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698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6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Operating leases</w:t>
            </w:r>
          </w:p>
        </w:tc>
        <w:tc>
          <w:tcPr>
            <w:tcW w:w="420" w:type="dxa"/>
            <w:vAlign w:val="bottom"/>
            <w:shd w:val="clear" w:color="auto" w:fill="E5E5E5"/>
          </w:tcPr>
          <w:p>
            <w:pPr>
              <w:spacing w:after="0"/>
              <w:rPr>
                <w:sz w:val="19"/>
                <w:szCs w:val="19"/>
                <w:color w:val="auto"/>
              </w:rPr>
            </w:pPr>
          </w:p>
        </w:tc>
        <w:tc>
          <w:tcPr>
            <w:tcW w:w="60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02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7 years</w:t>
            </w:r>
          </w:p>
        </w:tc>
        <w:tc>
          <w:tcPr>
            <w:tcW w:w="22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102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47"/>
        </w:trPr>
        <w:tc>
          <w:tcPr>
            <w:tcW w:w="698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 years</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 years</w:t>
            </w:r>
          </w:p>
        </w:tc>
        <w:tc>
          <w:tcPr>
            <w:tcW w:w="0" w:type="dxa"/>
            <w:vAlign w:val="bottom"/>
          </w:tcPr>
          <w:p>
            <w:pPr>
              <w:spacing w:after="0"/>
              <w:rPr>
                <w:sz w:val="1"/>
                <w:szCs w:val="1"/>
                <w:color w:val="auto"/>
              </w:rPr>
            </w:pPr>
          </w:p>
        </w:tc>
      </w:tr>
      <w:tr>
        <w:trPr>
          <w:trHeight w:val="235"/>
        </w:trPr>
        <w:tc>
          <w:tcPr>
            <w:tcW w:w="6980" w:type="dxa"/>
            <w:vAlign w:val="bottom"/>
          </w:tcPr>
          <w:p>
            <w:pPr>
              <w:ind w:left="20"/>
              <w:spacing w:after="0"/>
              <w:rPr>
                <w:sz w:val="20"/>
                <w:szCs w:val="20"/>
                <w:color w:val="auto"/>
              </w:rPr>
            </w:pPr>
            <w:r>
              <w:rPr>
                <w:rFonts w:ascii="Arial" w:cs="Arial" w:eastAsia="Arial" w:hAnsi="Arial"/>
                <w:sz w:val="13"/>
                <w:szCs w:val="13"/>
                <w:b w:val="1"/>
                <w:bCs w:val="1"/>
                <w:color w:val="auto"/>
              </w:rPr>
              <w:t>Weighted Average Discount Rate</w:t>
            </w: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6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Operating leases</w:t>
            </w:r>
          </w:p>
        </w:tc>
        <w:tc>
          <w:tcPr>
            <w:tcW w:w="420" w:type="dxa"/>
            <w:vAlign w:val="bottom"/>
            <w:shd w:val="clear" w:color="auto" w:fill="E5E5E5"/>
          </w:tcPr>
          <w:p>
            <w:pPr>
              <w:spacing w:after="0"/>
              <w:rPr>
                <w:sz w:val="19"/>
                <w:szCs w:val="19"/>
                <w:color w:val="auto"/>
              </w:rPr>
            </w:pPr>
          </w:p>
        </w:tc>
        <w:tc>
          <w:tcPr>
            <w:tcW w:w="60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3.3%</w:t>
            </w:r>
          </w:p>
        </w:tc>
        <w:tc>
          <w:tcPr>
            <w:tcW w:w="20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98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69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75" w:right="339" w:bottom="1051"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051" w:gutter="0" w:footer="0" w:header="0"/>
          <w:type w:val="continuous"/>
        </w:sectPr>
      </w:pPr>
    </w:p>
    <w:bookmarkStart w:id="85" w:name="page86"/>
    <w:bookmarkEnd w:id="85"/>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lease liabilities as of June 30, 2024:</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Year Ending June 30,</w:t>
            </w:r>
          </w:p>
        </w:tc>
        <w:tc>
          <w:tcPr>
            <w:tcW w:w="46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Operating</w:t>
            </w:r>
          </w:p>
        </w:tc>
        <w:tc>
          <w:tcPr>
            <w:tcW w:w="50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Finance</w:t>
            </w:r>
          </w:p>
        </w:tc>
        <w:tc>
          <w:tcPr>
            <w:tcW w:w="0" w:type="dxa"/>
            <w:vAlign w:val="bottom"/>
          </w:tcPr>
          <w:p>
            <w:pPr>
              <w:spacing w:after="0"/>
              <w:rPr>
                <w:sz w:val="1"/>
                <w:szCs w:val="1"/>
                <w:color w:val="auto"/>
              </w:rPr>
            </w:pPr>
          </w:p>
        </w:tc>
      </w:tr>
      <w:tr>
        <w:trPr>
          <w:trHeight w:val="186"/>
        </w:trPr>
        <w:tc>
          <w:tcPr>
            <w:tcW w:w="80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Leases</w:t>
            </w:r>
          </w:p>
        </w:tc>
        <w:tc>
          <w:tcPr>
            <w:tcW w:w="5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Leases</w:t>
            </w:r>
          </w:p>
        </w:tc>
        <w:tc>
          <w:tcPr>
            <w:tcW w:w="0" w:type="dxa"/>
            <w:vAlign w:val="bottom"/>
          </w:tcPr>
          <w:p>
            <w:pPr>
              <w:spacing w:after="0"/>
              <w:rPr>
                <w:sz w:val="1"/>
                <w:szCs w:val="1"/>
                <w:color w:val="auto"/>
              </w:rPr>
            </w:pPr>
          </w:p>
        </w:tc>
      </w:tr>
      <w:tr>
        <w:trPr>
          <w:trHeight w:val="58"/>
        </w:trPr>
        <w:tc>
          <w:tcPr>
            <w:tcW w:w="80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E5E5E5"/>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4,124</w:t>
            </w:r>
          </w:p>
        </w:tc>
        <w:tc>
          <w:tcPr>
            <w:tcW w:w="20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3,311</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3,549</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2027</w:t>
            </w:r>
          </w:p>
        </w:tc>
        <w:tc>
          <w:tcPr>
            <w:tcW w:w="46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2,981</w:t>
            </w:r>
          </w:p>
        </w:tc>
        <w:tc>
          <w:tcPr>
            <w:tcW w:w="200" w:type="dxa"/>
            <w:vAlign w:val="bottom"/>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3,037</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2028</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2,405</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2029</w:t>
            </w:r>
          </w:p>
        </w:tc>
        <w:tc>
          <w:tcPr>
            <w:tcW w:w="46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1,924</w:t>
            </w:r>
          </w:p>
        </w:tc>
        <w:tc>
          <w:tcPr>
            <w:tcW w:w="200" w:type="dxa"/>
            <w:vAlign w:val="bottom"/>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2,638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0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6,587</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19,116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 lease payments</w:t>
            </w:r>
          </w:p>
        </w:tc>
        <w:tc>
          <w:tcPr>
            <w:tcW w:w="460" w:type="dxa"/>
            <w:vAlign w:val="bottom"/>
            <w:shd w:val="clear" w:color="auto" w:fill="E5E5E5"/>
          </w:tcPr>
          <w:p>
            <w:pPr>
              <w:spacing w:after="0"/>
              <w:rPr>
                <w:sz w:val="19"/>
                <w:szCs w:val="19"/>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21,570</w:t>
            </w:r>
          </w:p>
        </w:tc>
        <w:tc>
          <w:tcPr>
            <w:tcW w:w="200" w:type="dxa"/>
            <w:vAlign w:val="bottom"/>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34,149</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00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46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(2,493 )</w:t>
            </w:r>
          </w:p>
        </w:tc>
        <w:tc>
          <w:tcPr>
            <w:tcW w:w="5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(7,004 )</w:t>
            </w:r>
          </w:p>
        </w:tc>
        <w:tc>
          <w:tcPr>
            <w:tcW w:w="0" w:type="dxa"/>
            <w:vAlign w:val="bottom"/>
          </w:tcPr>
          <w:p>
            <w:pPr>
              <w:spacing w:after="0"/>
              <w:rPr>
                <w:sz w:val="1"/>
                <w:szCs w:val="1"/>
                <w:color w:val="auto"/>
              </w:rPr>
            </w:pPr>
          </w:p>
        </w:tc>
      </w:tr>
      <w:tr>
        <w:trPr>
          <w:trHeight w:val="50"/>
        </w:trPr>
        <w:tc>
          <w:tcPr>
            <w:tcW w:w="8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E5E5E5"/>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19,077</w:t>
            </w:r>
          </w:p>
        </w:tc>
        <w:tc>
          <w:tcPr>
            <w:tcW w:w="20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27,145</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0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As of June 30, 2024, we had additional operating and finance leases, primarily for datacenters, that had not yet commenced of $8.6 billion and $108.4 billion, respectively. These operating and finance leases will commence between fiscal year 2025 and fiscal year 2030 with lease terms of 1 year to 20 years.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15 —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Cell Phone Litigation</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Microsoft Mobile Oy, a subsidiary of Microsoft, along with other handset manufacturers and network operators, is a defendant in 45 lawsuits filed in the Superior Court for the District of Columbia by individual plaintiffs who allege that radio emissions from cellular handsets caused their brain tumors and other adverse health effects. We assumed responsibility for these claims in our agreement to acquire Nokia’s Devices and Services business and have been substituted for the Nokia defendants. Twelve of these cases were consolidated for certain pre-trial proceedings; the remaining cases are stayed. In a separate 2009 decision, the Court of Appeals for the District of Columbia held that adverse health effect claims arising from the use of cellular handsets that operate within the U.S. Federal Communications Commission radio frequency emission guidelines (“FCC Guidelines”) are pre-empted by federal law. The plaintiffs allege that their handsets either operated outside the FCC Guidelines or were manufactured before the FCC Guidelines went into effect. The lawsuits also allege an industry-wide conspiracy to manipulate the science and testing around emission guidelines.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2013, the defendants in the consolidated cases moved to exclude the plaintiffs’ expert evidence of general causation on the basis of flawed scientific methodologies. In 2014, the trial court granted in part and denied in part the defendants’ motion to exclude the plaintiffs’ general causation experts. The defendants filed an interlocutory appeal to the District of Columbia Court of Appeals challenging the standard for evaluating expert scientific evidence. In October 2016, the Court of Appeals issued its decision adopting the standard advocated by the defendants and remanding the cases to the trial court for further proceedings under that standard. The plaintiffs have filed supplemental expert evidence, portions of which were stricken by the court. A hearing on general causation took place in September of 2022. In April of 2023, the court granted defendants’ motion to strike the testimony of plaintiffs’ experts that cell phones cause brain cancer and entered an order excluding all of plaintiffs’ experts from testifying. The parties agreed to a stipulated dismissal of the consolidated cases to allow plaintiffs to appeal the expert testimony order. Plaintiffs appealed the court’s order in August of 2023, and the parties have filed their briefs on the appeal. A hearing on the status of the stayed cases occurred in December of 2023. In July 2024, the court entered summary judgment in nine of the stayed cases on the grounds that plaintiffs had agreed to be bound by the general causation outcome in the consolidated cases.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6" w:name="page87"/>
    <w:bookmarkEnd w:id="86"/>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Data Protection Commission Matter</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2018, the Irish Data Protection Commission (“IDPC”) began investigating a complaint against LinkedIn as to whether LinkedIn’s targeted advertising practices violated the recently implemented European Union General Data Protection Regulation (“GDPR”). Microsoft cooperated throughout the period of inquiry. In April 2023, the IDPC provided LinkedIn with a non-public preliminary draft decision alleging GDPR violations and proposing a fine. In July 2024, the IDPC provided LinkedIn with a revised non-public draft decision. There is no set timeline for the IDPC to issue a final decision, at which time Microsoft will consider its options to appeal.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June 30, 2024, we accrued aggregate legal liabilities of $641 million. While we intend to defend these matters vigorously, adverse outcomes that we estimate could reach approximately $600 million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NOTE 16 — STOCKHOLDERS’ EQUITY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outstanding were as follows: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r>
      <w:tr>
        <w:trPr>
          <w:trHeight w:val="58"/>
        </w:trPr>
        <w:tc>
          <w:tcPr>
            <w:tcW w:w="7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30"/>
        </w:trPr>
        <w:tc>
          <w:tcPr>
            <w:tcW w:w="710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beginning of year</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7,432</w:t>
            </w:r>
          </w:p>
        </w:tc>
        <w:tc>
          <w:tcPr>
            <w:tcW w:w="320" w:type="dxa"/>
            <w:vAlign w:val="bottom"/>
            <w:shd w:val="clear" w:color="auto" w:fill="E5E5E5"/>
          </w:tcPr>
          <w:p>
            <w:pPr>
              <w:spacing w:after="0"/>
              <w:rPr>
                <w:sz w:val="19"/>
                <w:szCs w:val="19"/>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7,464</w:t>
            </w:r>
          </w:p>
        </w:tc>
        <w:tc>
          <w:tcPr>
            <w:tcW w:w="340" w:type="dxa"/>
            <w:vAlign w:val="bottom"/>
            <w:shd w:val="clear" w:color="auto" w:fill="E5E5E5"/>
          </w:tcPr>
          <w:p>
            <w:pPr>
              <w:spacing w:after="0"/>
              <w:rPr>
                <w:sz w:val="19"/>
                <w:szCs w:val="19"/>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7,519</w:t>
            </w:r>
          </w:p>
        </w:tc>
        <w:tc>
          <w:tcPr>
            <w:tcW w:w="100" w:type="dxa"/>
            <w:vAlign w:val="bottom"/>
            <w:shd w:val="clear" w:color="auto" w:fill="E5E5E5"/>
          </w:tcPr>
          <w:p>
            <w:pPr>
              <w:spacing w:after="0"/>
              <w:rPr>
                <w:sz w:val="19"/>
                <w:szCs w:val="19"/>
                <w:color w:val="auto"/>
              </w:rPr>
            </w:pPr>
          </w:p>
        </w:tc>
      </w:tr>
      <w:tr>
        <w:trPr>
          <w:trHeight w:val="229"/>
        </w:trPr>
        <w:tc>
          <w:tcPr>
            <w:tcW w:w="7100" w:type="dxa"/>
            <w:vAlign w:val="bottom"/>
          </w:tcPr>
          <w:p>
            <w:pPr>
              <w:ind w:left="240"/>
              <w:spacing w:after="0"/>
              <w:rPr>
                <w:sz w:val="20"/>
                <w:szCs w:val="20"/>
                <w:color w:val="auto"/>
              </w:rPr>
            </w:pPr>
            <w:r>
              <w:rPr>
                <w:rFonts w:ascii="Arial" w:cs="Arial" w:eastAsia="Arial" w:hAnsi="Arial"/>
                <w:sz w:val="18"/>
                <w:szCs w:val="18"/>
                <w:color w:val="auto"/>
              </w:rPr>
              <w:t>Issued</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r>
      <w:tr>
        <w:trPr>
          <w:trHeight w:val="230"/>
        </w:trPr>
        <w:tc>
          <w:tcPr>
            <w:tcW w:w="71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Repurchased</w:t>
            </w:r>
          </w:p>
        </w:tc>
        <w:tc>
          <w:tcPr>
            <w:tcW w:w="146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(32 )</w:t>
            </w:r>
          </w:p>
        </w:tc>
        <w:tc>
          <w:tcPr>
            <w:tcW w:w="146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(69 )</w:t>
            </w:r>
          </w:p>
        </w:tc>
        <w:tc>
          <w:tcPr>
            <w:tcW w:w="122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(95 )</w:t>
            </w:r>
          </w:p>
        </w:tc>
      </w:tr>
      <w:tr>
        <w:trPr>
          <w:trHeight w:val="68"/>
        </w:trPr>
        <w:tc>
          <w:tcPr>
            <w:tcW w:w="7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303"/>
        </w:trPr>
        <w:tc>
          <w:tcPr>
            <w:tcW w:w="7100" w:type="dxa"/>
            <w:vAlign w:val="bottom"/>
          </w:tcPr>
          <w:p>
            <w:pPr>
              <w:ind w:left="20"/>
              <w:spacing w:after="0"/>
              <w:rPr>
                <w:sz w:val="20"/>
                <w:szCs w:val="20"/>
                <w:color w:val="auto"/>
              </w:rPr>
            </w:pPr>
            <w:r>
              <w:rPr>
                <w:rFonts w:ascii="Arial" w:cs="Arial" w:eastAsia="Arial" w:hAnsi="Arial"/>
                <w:sz w:val="18"/>
                <w:szCs w:val="18"/>
                <w:color w:val="auto"/>
              </w:rPr>
              <w:t>Balance, end of year</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7,434</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7,432</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7,464</w:t>
            </w:r>
          </w:p>
        </w:tc>
        <w:tc>
          <w:tcPr>
            <w:tcW w:w="100" w:type="dxa"/>
            <w:vAlign w:val="bottom"/>
          </w:tcPr>
          <w:p>
            <w:pPr>
              <w:spacing w:after="0"/>
              <w:rPr>
                <w:sz w:val="24"/>
                <w:szCs w:val="24"/>
                <w:color w:val="auto"/>
              </w:rPr>
            </w:pPr>
          </w:p>
        </w:tc>
      </w:tr>
      <w:tr>
        <w:trPr>
          <w:trHeight w:val="63"/>
        </w:trPr>
        <w:tc>
          <w:tcPr>
            <w:tcW w:w="710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 September 18, 2019, our Board of Directors approved a share repurchase program authorizing up to $40.0 billion in share repurchases.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This share repurchase program commenced in February 2020 and was completed in November 2021.</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September 14, 2021, our Board of Directors approved a share repurchase program authorizing up to $60.0 billion in share repurchases. This share repurchase program commenced in November 2021, following completion of the program approved on September 18, 2019, has no expiration date, and may be terminated at any time. As of June 30, 2024, $10.3 billion remained of this $60.0 billion share repurchase program.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the following shares of common stock under the share repurchase programs: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tcPr>
          <w:p>
            <w:pPr>
              <w:ind w:left="200"/>
              <w:spacing w:after="0"/>
              <w:rPr>
                <w:sz w:val="20"/>
                <w:szCs w:val="20"/>
                <w:color w:val="auto"/>
              </w:rPr>
            </w:pPr>
            <w:r>
              <w:rPr>
                <w:rFonts w:ascii="Arial" w:cs="Arial" w:eastAsia="Arial" w:hAnsi="Arial"/>
                <w:sz w:val="13"/>
                <w:szCs w:val="13"/>
                <w:b w:val="1"/>
                <w:bCs w:val="1"/>
                <w:color w:val="auto"/>
              </w:rPr>
              <w:t>Amount</w:t>
            </w:r>
          </w:p>
        </w:tc>
      </w:tr>
      <w:tr>
        <w:trPr>
          <w:trHeight w:val="58"/>
        </w:trPr>
        <w:tc>
          <w:tcPr>
            <w:tcW w:w="40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46"/>
        </w:trPr>
        <w:tc>
          <w:tcPr>
            <w:tcW w:w="408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1"/>
                <w:szCs w:val="21"/>
                <w:color w:val="auto"/>
              </w:rPr>
            </w:pPr>
          </w:p>
        </w:tc>
      </w:tr>
      <w:tr>
        <w:trPr>
          <w:trHeight w:val="58"/>
        </w:trPr>
        <w:tc>
          <w:tcPr>
            <w:tcW w:w="40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30"/>
        </w:trPr>
        <w:tc>
          <w:tcPr>
            <w:tcW w:w="4080" w:type="dxa"/>
            <w:vAlign w:val="bottom"/>
            <w:shd w:val="clear" w:color="auto" w:fill="E5E5E5"/>
          </w:tcPr>
          <w:p>
            <w:pPr>
              <w:ind w:left="20"/>
              <w:spacing w:after="0"/>
              <w:rPr>
                <w:sz w:val="20"/>
                <w:szCs w:val="20"/>
                <w:color w:val="auto"/>
              </w:rPr>
            </w:pPr>
            <w:r>
              <w:rPr>
                <w:rFonts w:ascii="Arial" w:cs="Arial" w:eastAsia="Arial" w:hAnsi="Arial"/>
                <w:sz w:val="18"/>
                <w:szCs w:val="18"/>
                <w:color w:val="auto"/>
              </w:rPr>
              <w:t>First Quarter</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11</w:t>
            </w:r>
          </w:p>
        </w:tc>
        <w:tc>
          <w:tcPr>
            <w:tcW w:w="4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3,560</w:t>
            </w:r>
          </w:p>
        </w:tc>
        <w:tc>
          <w:tcPr>
            <w:tcW w:w="12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17</w:t>
            </w:r>
          </w:p>
        </w:tc>
        <w:tc>
          <w:tcPr>
            <w:tcW w:w="5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4,600</w:t>
            </w:r>
          </w:p>
        </w:tc>
        <w:tc>
          <w:tcPr>
            <w:tcW w:w="12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21</w:t>
            </w:r>
          </w:p>
        </w:tc>
        <w:tc>
          <w:tcPr>
            <w:tcW w:w="4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6,200</w:t>
            </w:r>
          </w:p>
        </w:tc>
        <w:tc>
          <w:tcPr>
            <w:tcW w:w="100" w:type="dxa"/>
            <w:vAlign w:val="bottom"/>
            <w:shd w:val="clear" w:color="auto" w:fill="E5E5E5"/>
          </w:tcPr>
          <w:p>
            <w:pPr>
              <w:spacing w:after="0"/>
              <w:rPr>
                <w:sz w:val="19"/>
                <w:szCs w:val="19"/>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6,233</w:t>
            </w:r>
          </w:p>
        </w:tc>
        <w:tc>
          <w:tcPr>
            <w:tcW w:w="100" w:type="dxa"/>
            <w:vAlign w:val="bottom"/>
          </w:tcPr>
          <w:p>
            <w:pPr>
              <w:spacing w:after="0"/>
              <w:rPr>
                <w:sz w:val="19"/>
                <w:szCs w:val="19"/>
                <w:color w:val="auto"/>
              </w:rPr>
            </w:pPr>
          </w:p>
        </w:tc>
      </w:tr>
      <w:tr>
        <w:trPr>
          <w:trHeight w:val="230"/>
        </w:trPr>
        <w:tc>
          <w:tcPr>
            <w:tcW w:w="4080" w:type="dxa"/>
            <w:vAlign w:val="bottom"/>
            <w:shd w:val="clear" w:color="auto" w:fill="E5E5E5"/>
          </w:tcPr>
          <w:p>
            <w:pPr>
              <w:ind w:left="20"/>
              <w:spacing w:after="0"/>
              <w:rPr>
                <w:sz w:val="20"/>
                <w:szCs w:val="20"/>
                <w:color w:val="auto"/>
              </w:rPr>
            </w:pPr>
            <w:r>
              <w:rPr>
                <w:rFonts w:ascii="Arial" w:cs="Arial" w:eastAsia="Arial" w:hAnsi="Arial"/>
                <w:sz w:val="18"/>
                <w:szCs w:val="18"/>
                <w:color w:val="auto"/>
              </w:rPr>
              <w:t>Third Quarter</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shd w:val="clear" w:color="auto" w:fill="E5E5E5"/>
          </w:tcPr>
          <w:p>
            <w:pPr>
              <w:spacing w:after="0"/>
              <w:rPr>
                <w:sz w:val="19"/>
                <w:szCs w:val="19"/>
                <w:color w:val="auto"/>
              </w:rPr>
            </w:pPr>
          </w:p>
        </w:tc>
        <w:tc>
          <w:tcPr>
            <w:tcW w:w="220" w:type="dxa"/>
            <w:vAlign w:val="bottom"/>
            <w:shd w:val="clear" w:color="auto" w:fill="E5E5E5"/>
          </w:tcPr>
          <w:p>
            <w:pPr>
              <w:spacing w:after="0"/>
              <w:rPr>
                <w:sz w:val="19"/>
                <w:szCs w:val="19"/>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2,800</w:t>
            </w:r>
          </w:p>
        </w:tc>
        <w:tc>
          <w:tcPr>
            <w:tcW w:w="12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4,600</w:t>
            </w:r>
          </w:p>
        </w:tc>
        <w:tc>
          <w:tcPr>
            <w:tcW w:w="12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7,800</w:t>
            </w:r>
          </w:p>
        </w:tc>
        <w:tc>
          <w:tcPr>
            <w:tcW w:w="100" w:type="dxa"/>
            <w:vAlign w:val="bottom"/>
            <w:shd w:val="clear" w:color="auto" w:fill="E5E5E5"/>
          </w:tcPr>
          <w:p>
            <w:pPr>
              <w:spacing w:after="0"/>
              <w:rPr>
                <w:sz w:val="19"/>
                <w:szCs w:val="19"/>
                <w:color w:val="auto"/>
              </w:rPr>
            </w:pPr>
          </w:p>
        </w:tc>
      </w:tr>
      <w:tr>
        <w:trPr>
          <w:trHeight w:val="247"/>
        </w:trPr>
        <w:tc>
          <w:tcPr>
            <w:tcW w:w="408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21"/>
                <w:szCs w:val="21"/>
                <w:color w:val="auto"/>
              </w:rPr>
            </w:pPr>
          </w:p>
        </w:tc>
      </w:tr>
      <w:tr>
        <w:trPr>
          <w:trHeight w:val="50"/>
        </w:trPr>
        <w:tc>
          <w:tcPr>
            <w:tcW w:w="40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40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30"/>
        </w:trPr>
        <w:tc>
          <w:tcPr>
            <w:tcW w:w="40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32</w:t>
            </w:r>
          </w:p>
        </w:tc>
        <w:tc>
          <w:tcPr>
            <w:tcW w:w="4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11,960</w:t>
            </w:r>
          </w:p>
        </w:tc>
        <w:tc>
          <w:tcPr>
            <w:tcW w:w="12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69</w:t>
            </w:r>
          </w:p>
        </w:tc>
        <w:tc>
          <w:tcPr>
            <w:tcW w:w="5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18,400</w:t>
            </w:r>
          </w:p>
        </w:tc>
        <w:tc>
          <w:tcPr>
            <w:tcW w:w="12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95</w:t>
            </w:r>
          </w:p>
        </w:tc>
        <w:tc>
          <w:tcPr>
            <w:tcW w:w="4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28,033</w:t>
            </w:r>
          </w:p>
        </w:tc>
        <w:tc>
          <w:tcPr>
            <w:tcW w:w="100" w:type="dxa"/>
            <w:vAlign w:val="bottom"/>
            <w:shd w:val="clear" w:color="auto" w:fill="E5E5E5"/>
          </w:tcPr>
          <w:p>
            <w:pPr>
              <w:spacing w:after="0"/>
              <w:rPr>
                <w:sz w:val="19"/>
                <w:szCs w:val="19"/>
                <w:color w:val="auto"/>
              </w:rPr>
            </w:pPr>
          </w:p>
        </w:tc>
      </w:tr>
      <w:tr>
        <w:trPr>
          <w:trHeight w:val="74"/>
        </w:trPr>
        <w:tc>
          <w:tcPr>
            <w:tcW w:w="408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613"/>
        </w:trPr>
        <w:tc>
          <w:tcPr>
            <w:tcW w:w="4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458"/>
              <w:spacing w:after="0"/>
              <w:rPr>
                <w:sz w:val="20"/>
                <w:szCs w:val="20"/>
                <w:color w:val="auto"/>
              </w:rPr>
            </w:pPr>
            <w:r>
              <w:rPr>
                <w:rFonts w:ascii="Arial" w:cs="Arial" w:eastAsia="Arial" w:hAnsi="Arial"/>
                <w:sz w:val="14"/>
                <w:szCs w:val="14"/>
                <w:color w:val="auto"/>
              </w:rPr>
              <w:t>87</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0"/>
        </w:trPr>
        <w:tc>
          <w:tcPr>
            <w:tcW w:w="40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7" w:name="page88"/>
    <w:bookmarkEnd w:id="87"/>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All repurchases were made using cash resources. Shares repurchased during the first quarter of fiscal year 2022 were under the share repurchase program approved on September 18, 2019. Shares repurchased during the second quarter of fiscal year 2022 were under the share repurchase programs approved on September 18, 2019 and September 14, 2021. All other shares repurchased were under the share repurchase program approved on September 14, 2021. The above table excludes shares repurchased to settle employee tax withholding related to the vesting of stock awards of $5.3 billion, $3.8 billion, and $4.7 billion for fiscal years 2024, 2023, and 2022,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Declaration Date</w:t>
            </w:r>
          </w:p>
        </w:tc>
        <w:tc>
          <w:tcPr>
            <w:tcW w:w="2860" w:type="dxa"/>
            <w:vAlign w:val="bottom"/>
            <w:vMerge w:val="restart"/>
          </w:tcPr>
          <w:p>
            <w:pPr>
              <w:jc w:val="right"/>
              <w:ind w:right="433"/>
              <w:spacing w:after="0"/>
              <w:rPr>
                <w:sz w:val="20"/>
                <w:szCs w:val="20"/>
                <w:color w:val="auto"/>
              </w:rPr>
            </w:pPr>
            <w:r>
              <w:rPr>
                <w:rFonts w:ascii="Arial" w:cs="Arial" w:eastAsia="Arial" w:hAnsi="Arial"/>
                <w:sz w:val="13"/>
                <w:szCs w:val="13"/>
                <w:b w:val="1"/>
                <w:bCs w:val="1"/>
                <w:color w:val="auto"/>
              </w:rPr>
              <w:t>Record Date</w:t>
            </w:r>
          </w:p>
        </w:tc>
        <w:tc>
          <w:tcPr>
            <w:tcW w:w="242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Payment Date</w:t>
            </w:r>
          </w:p>
        </w:tc>
        <w:tc>
          <w:tcPr>
            <w:tcW w:w="5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Dividend</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gridSpan w:val="2"/>
            <w:vMerge w:val="restart"/>
          </w:tcPr>
          <w:p>
            <w:pPr>
              <w:ind w:left="54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86"/>
        </w:trPr>
        <w:tc>
          <w:tcPr>
            <w:tcW w:w="2440" w:type="dxa"/>
            <w:vAlign w:val="bottom"/>
            <w:vMerge w:val="continue"/>
          </w:tcPr>
          <w:p>
            <w:pPr>
              <w:spacing w:after="0"/>
              <w:rPr>
                <w:sz w:val="16"/>
                <w:szCs w:val="16"/>
                <w:color w:val="auto"/>
              </w:rPr>
            </w:pPr>
          </w:p>
        </w:tc>
        <w:tc>
          <w:tcPr>
            <w:tcW w:w="2860" w:type="dxa"/>
            <w:vAlign w:val="bottom"/>
            <w:vMerge w:val="continue"/>
          </w:tcPr>
          <w:p>
            <w:pPr>
              <w:spacing w:after="0"/>
              <w:rPr>
                <w:sz w:val="16"/>
                <w:szCs w:val="16"/>
                <w:color w:val="auto"/>
              </w:rPr>
            </w:pPr>
          </w:p>
        </w:tc>
        <w:tc>
          <w:tcPr>
            <w:tcW w:w="24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Per Share</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440" w:type="dxa"/>
            <w:vAlign w:val="bottom"/>
            <w:tcBorders>
              <w:bottom w:val="single" w:sz="8" w:color="auto"/>
            </w:tcBorders>
          </w:tcPr>
          <w:p>
            <w:pPr>
              <w:spacing w:after="0"/>
              <w:rPr>
                <w:sz w:val="5"/>
                <w:szCs w:val="5"/>
                <w:color w:val="auto"/>
              </w:rPr>
            </w:pPr>
          </w:p>
        </w:tc>
        <w:tc>
          <w:tcPr>
            <w:tcW w:w="286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440" w:type="dxa"/>
            <w:vAlign w:val="bottom"/>
          </w:tcPr>
          <w:p>
            <w:pPr>
              <w:ind w:left="20"/>
              <w:spacing w:after="0"/>
              <w:rPr>
                <w:sz w:val="20"/>
                <w:szCs w:val="20"/>
                <w:color w:val="auto"/>
              </w:rPr>
            </w:pPr>
            <w:r>
              <w:rPr>
                <w:rFonts w:ascii="Arial" w:cs="Arial" w:eastAsia="Arial" w:hAnsi="Arial"/>
                <w:sz w:val="13"/>
                <w:szCs w:val="13"/>
                <w:b w:val="1"/>
                <w:bCs w:val="1"/>
                <w:color w:val="auto"/>
              </w:rPr>
              <w:t>Fiscal Year 2024</w:t>
            </w:r>
          </w:p>
        </w:tc>
        <w:tc>
          <w:tcPr>
            <w:tcW w:w="28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gridSpan w:val="2"/>
          </w:tcPr>
          <w:p>
            <w:pPr>
              <w:ind w:left="32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58"/>
        </w:trPr>
        <w:tc>
          <w:tcPr>
            <w:tcW w:w="2440" w:type="dxa"/>
            <w:vAlign w:val="bottom"/>
          </w:tcPr>
          <w:p>
            <w:pPr>
              <w:spacing w:after="0"/>
              <w:rPr>
                <w:sz w:val="5"/>
                <w:szCs w:val="5"/>
                <w:color w:val="auto"/>
              </w:rPr>
            </w:pPr>
          </w:p>
        </w:tc>
        <w:tc>
          <w:tcPr>
            <w:tcW w:w="2860" w:type="dxa"/>
            <w:vAlign w:val="bottom"/>
          </w:tcPr>
          <w:p>
            <w:pPr>
              <w:spacing w:after="0"/>
              <w:rPr>
                <w:sz w:val="5"/>
                <w:szCs w:val="5"/>
                <w:color w:val="auto"/>
              </w:rPr>
            </w:pPr>
          </w:p>
        </w:tc>
        <w:tc>
          <w:tcPr>
            <w:tcW w:w="2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44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September 19, 2023</w:t>
            </w:r>
          </w:p>
        </w:tc>
        <w:tc>
          <w:tcPr>
            <w:tcW w:w="2860" w:type="dxa"/>
            <w:vAlign w:val="bottom"/>
            <w:shd w:val="clear" w:color="auto" w:fill="E5E5E5"/>
          </w:tcPr>
          <w:p>
            <w:pPr>
              <w:jc w:val="right"/>
              <w:ind w:right="393"/>
              <w:spacing w:after="0"/>
              <w:rPr>
                <w:sz w:val="20"/>
                <w:szCs w:val="20"/>
                <w:color w:val="auto"/>
              </w:rPr>
            </w:pPr>
            <w:r>
              <w:rPr>
                <w:rFonts w:ascii="Arial" w:cs="Arial" w:eastAsia="Arial" w:hAnsi="Arial"/>
                <w:sz w:val="18"/>
                <w:szCs w:val="18"/>
                <w:b w:val="1"/>
                <w:bCs w:val="1"/>
                <w:color w:val="auto"/>
              </w:rPr>
              <w:t>November 16, 2023</w:t>
            </w:r>
          </w:p>
        </w:tc>
        <w:tc>
          <w:tcPr>
            <w:tcW w:w="2420" w:type="dxa"/>
            <w:vAlign w:val="bottom"/>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December 14, 2023</w:t>
            </w:r>
          </w:p>
        </w:tc>
        <w:tc>
          <w:tcPr>
            <w:tcW w:w="540" w:type="dxa"/>
            <w:vAlign w:val="bottom"/>
            <w:shd w:val="clear" w:color="auto" w:fill="E5E5E5"/>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0.75</w:t>
            </w:r>
          </w:p>
        </w:tc>
        <w:tc>
          <w:tcPr>
            <w:tcW w:w="660" w:type="dxa"/>
            <w:vAlign w:val="bottom"/>
            <w:gridSpan w:val="2"/>
            <w:shd w:val="clear" w:color="auto" w:fill="E5E5E5"/>
          </w:tcPr>
          <w:p>
            <w:pPr>
              <w:jc w:val="right"/>
              <w:ind w:right="34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5,574</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b w:val="1"/>
                <w:bCs w:val="1"/>
                <w:color w:val="auto"/>
              </w:rPr>
              <w:t>November 28, 2023</w:t>
            </w:r>
          </w:p>
        </w:tc>
        <w:tc>
          <w:tcPr>
            <w:tcW w:w="2860" w:type="dxa"/>
            <w:vAlign w:val="bottom"/>
          </w:tcPr>
          <w:p>
            <w:pPr>
              <w:jc w:val="right"/>
              <w:ind w:right="393"/>
              <w:spacing w:after="0"/>
              <w:rPr>
                <w:sz w:val="20"/>
                <w:szCs w:val="20"/>
                <w:color w:val="auto"/>
              </w:rPr>
            </w:pPr>
            <w:r>
              <w:rPr>
                <w:rFonts w:ascii="Arial" w:cs="Arial" w:eastAsia="Arial" w:hAnsi="Arial"/>
                <w:sz w:val="18"/>
                <w:szCs w:val="18"/>
                <w:b w:val="1"/>
                <w:bCs w:val="1"/>
                <w:color w:val="auto"/>
              </w:rPr>
              <w:t>February 15, 2024</w:t>
            </w:r>
          </w:p>
        </w:tc>
        <w:tc>
          <w:tcPr>
            <w:tcW w:w="2420" w:type="dxa"/>
            <w:vAlign w:val="bottom"/>
          </w:tcPr>
          <w:p>
            <w:pPr>
              <w:jc w:val="right"/>
              <w:ind w:right="153"/>
              <w:spacing w:after="0"/>
              <w:rPr>
                <w:sz w:val="20"/>
                <w:szCs w:val="20"/>
                <w:color w:val="auto"/>
              </w:rPr>
            </w:pPr>
            <w:r>
              <w:rPr>
                <w:rFonts w:ascii="Arial" w:cs="Arial" w:eastAsia="Arial" w:hAnsi="Arial"/>
                <w:sz w:val="18"/>
                <w:szCs w:val="18"/>
                <w:b w:val="1"/>
                <w:bCs w:val="1"/>
                <w:color w:val="auto"/>
              </w:rPr>
              <w:t>March 14, 2024</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0.75</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E5E5E5"/>
          </w:tcPr>
          <w:p>
            <w:pPr>
              <w:ind w:left="20"/>
              <w:spacing w:after="0"/>
              <w:rPr>
                <w:sz w:val="20"/>
                <w:szCs w:val="20"/>
                <w:color w:val="auto"/>
              </w:rPr>
            </w:pPr>
            <w:r>
              <w:rPr>
                <w:rFonts w:ascii="Arial" w:cs="Arial" w:eastAsia="Arial" w:hAnsi="Arial"/>
                <w:sz w:val="18"/>
                <w:szCs w:val="18"/>
                <w:b w:val="1"/>
                <w:bCs w:val="1"/>
                <w:color w:val="auto"/>
              </w:rPr>
              <w:t>March 12, 2024</w:t>
            </w:r>
          </w:p>
        </w:tc>
        <w:tc>
          <w:tcPr>
            <w:tcW w:w="2860" w:type="dxa"/>
            <w:vAlign w:val="bottom"/>
            <w:shd w:val="clear" w:color="auto" w:fill="E5E5E5"/>
          </w:tcPr>
          <w:p>
            <w:pPr>
              <w:jc w:val="right"/>
              <w:ind w:right="393"/>
              <w:spacing w:after="0"/>
              <w:rPr>
                <w:sz w:val="20"/>
                <w:szCs w:val="20"/>
                <w:color w:val="auto"/>
              </w:rPr>
            </w:pPr>
            <w:r>
              <w:rPr>
                <w:rFonts w:ascii="Arial" w:cs="Arial" w:eastAsia="Arial" w:hAnsi="Arial"/>
                <w:sz w:val="18"/>
                <w:szCs w:val="18"/>
                <w:b w:val="1"/>
                <w:bCs w:val="1"/>
                <w:color w:val="auto"/>
              </w:rPr>
              <w:t>May 16, 2024</w:t>
            </w:r>
          </w:p>
        </w:tc>
        <w:tc>
          <w:tcPr>
            <w:tcW w:w="2420" w:type="dxa"/>
            <w:vAlign w:val="bottom"/>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June 13, 2024</w:t>
            </w:r>
          </w:p>
        </w:tc>
        <w:tc>
          <w:tcPr>
            <w:tcW w:w="540" w:type="dxa"/>
            <w:vAlign w:val="bottom"/>
            <w:shd w:val="clear" w:color="auto" w:fill="E5E5E5"/>
          </w:tcPr>
          <w:p>
            <w:pPr>
              <w:spacing w:after="0"/>
              <w:rPr>
                <w:sz w:val="19"/>
                <w:szCs w:val="19"/>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0.75</w:t>
            </w:r>
          </w:p>
        </w:tc>
        <w:tc>
          <w:tcPr>
            <w:tcW w:w="220" w:type="dxa"/>
            <w:vAlign w:val="bottom"/>
            <w:shd w:val="clear" w:color="auto" w:fill="E5E5E5"/>
          </w:tcPr>
          <w:p>
            <w:pPr>
              <w:spacing w:after="0"/>
              <w:rPr>
                <w:sz w:val="19"/>
                <w:szCs w:val="19"/>
                <w:color w:val="auto"/>
              </w:rPr>
            </w:pPr>
          </w:p>
        </w:tc>
        <w:tc>
          <w:tcPr>
            <w:tcW w:w="440" w:type="dxa"/>
            <w:vAlign w:val="bottom"/>
            <w:shd w:val="clear" w:color="auto" w:fill="E5E5E5"/>
          </w:tcPr>
          <w:p>
            <w:pPr>
              <w:spacing w:after="0"/>
              <w:rPr>
                <w:sz w:val="19"/>
                <w:szCs w:val="19"/>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5,574</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440" w:type="dxa"/>
            <w:vAlign w:val="bottom"/>
          </w:tcPr>
          <w:p>
            <w:pPr>
              <w:ind w:left="20"/>
              <w:spacing w:after="0"/>
              <w:rPr>
                <w:sz w:val="20"/>
                <w:szCs w:val="20"/>
                <w:color w:val="auto"/>
              </w:rPr>
            </w:pPr>
            <w:r>
              <w:rPr>
                <w:rFonts w:ascii="Arial" w:cs="Arial" w:eastAsia="Arial" w:hAnsi="Arial"/>
                <w:sz w:val="18"/>
                <w:szCs w:val="18"/>
                <w:b w:val="1"/>
                <w:bCs w:val="1"/>
                <w:color w:val="auto"/>
              </w:rPr>
              <w:t>June 12, 2024</w:t>
            </w:r>
          </w:p>
        </w:tc>
        <w:tc>
          <w:tcPr>
            <w:tcW w:w="2860" w:type="dxa"/>
            <w:vAlign w:val="bottom"/>
          </w:tcPr>
          <w:p>
            <w:pPr>
              <w:jc w:val="right"/>
              <w:ind w:right="393"/>
              <w:spacing w:after="0"/>
              <w:rPr>
                <w:sz w:val="20"/>
                <w:szCs w:val="20"/>
                <w:color w:val="auto"/>
              </w:rPr>
            </w:pPr>
            <w:r>
              <w:rPr>
                <w:rFonts w:ascii="Arial" w:cs="Arial" w:eastAsia="Arial" w:hAnsi="Arial"/>
                <w:sz w:val="18"/>
                <w:szCs w:val="18"/>
                <w:b w:val="1"/>
                <w:bCs w:val="1"/>
                <w:color w:val="auto"/>
              </w:rPr>
              <w:t>August 15, 2024</w:t>
            </w:r>
          </w:p>
        </w:tc>
        <w:tc>
          <w:tcPr>
            <w:tcW w:w="2420" w:type="dxa"/>
            <w:vAlign w:val="bottom"/>
          </w:tcPr>
          <w:p>
            <w:pPr>
              <w:jc w:val="right"/>
              <w:ind w:right="153"/>
              <w:spacing w:after="0"/>
              <w:rPr>
                <w:sz w:val="20"/>
                <w:szCs w:val="20"/>
                <w:color w:val="auto"/>
              </w:rPr>
            </w:pPr>
            <w:r>
              <w:rPr>
                <w:rFonts w:ascii="Arial" w:cs="Arial" w:eastAsia="Arial" w:hAnsi="Arial"/>
                <w:sz w:val="18"/>
                <w:szCs w:val="18"/>
                <w:b w:val="1"/>
                <w:bCs w:val="1"/>
                <w:color w:val="auto"/>
              </w:rPr>
              <w:t>September 12, 2024</w:t>
            </w: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0.75</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5,575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244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440" w:type="dxa"/>
            <w:vAlign w:val="bottom"/>
          </w:tcPr>
          <w:p>
            <w:pPr>
              <w:spacing w:after="0"/>
              <w:rPr>
                <w:sz w:val="5"/>
                <w:szCs w:val="5"/>
                <w:color w:val="auto"/>
              </w:rPr>
            </w:pPr>
          </w:p>
        </w:tc>
        <w:tc>
          <w:tcPr>
            <w:tcW w:w="2860" w:type="dxa"/>
            <w:vAlign w:val="bottom"/>
          </w:tcPr>
          <w:p>
            <w:pPr>
              <w:spacing w:after="0"/>
              <w:rPr>
                <w:sz w:val="5"/>
                <w:szCs w:val="5"/>
                <w:color w:val="auto"/>
              </w:rPr>
            </w:pPr>
          </w:p>
        </w:tc>
        <w:tc>
          <w:tcPr>
            <w:tcW w:w="2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E5E5E5"/>
          </w:tcPr>
          <w:p>
            <w:pPr>
              <w:ind w:left="240"/>
              <w:spacing w:after="0"/>
              <w:rPr>
                <w:sz w:val="20"/>
                <w:szCs w:val="20"/>
                <w:color w:val="auto"/>
              </w:rPr>
            </w:pPr>
            <w:r>
              <w:rPr>
                <w:rFonts w:ascii="Arial" w:cs="Arial" w:eastAsia="Arial" w:hAnsi="Arial"/>
                <w:sz w:val="18"/>
                <w:szCs w:val="18"/>
                <w:b w:val="1"/>
                <w:bCs w:val="1"/>
                <w:color w:val="auto"/>
              </w:rPr>
              <w:t>Total</w:t>
            </w:r>
          </w:p>
        </w:tc>
        <w:tc>
          <w:tcPr>
            <w:tcW w:w="2860" w:type="dxa"/>
            <w:vAlign w:val="bottom"/>
            <w:shd w:val="clear" w:color="auto" w:fill="E5E5E5"/>
          </w:tcPr>
          <w:p>
            <w:pPr>
              <w:spacing w:after="0"/>
              <w:rPr>
                <w:sz w:val="19"/>
                <w:szCs w:val="19"/>
                <w:color w:val="auto"/>
              </w:rPr>
            </w:pPr>
          </w:p>
        </w:tc>
        <w:tc>
          <w:tcPr>
            <w:tcW w:w="2420" w:type="dxa"/>
            <w:vAlign w:val="bottom"/>
            <w:shd w:val="clear" w:color="auto" w:fill="E5E5E5"/>
          </w:tcPr>
          <w:p>
            <w:pPr>
              <w:spacing w:after="0"/>
              <w:rPr>
                <w:sz w:val="19"/>
                <w:szCs w:val="19"/>
                <w:color w:val="auto"/>
              </w:rPr>
            </w:pPr>
          </w:p>
        </w:tc>
        <w:tc>
          <w:tcPr>
            <w:tcW w:w="540" w:type="dxa"/>
            <w:vAlign w:val="bottom"/>
            <w:shd w:val="clear" w:color="auto" w:fill="E5E5E5"/>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3.00</w:t>
            </w:r>
          </w:p>
        </w:tc>
        <w:tc>
          <w:tcPr>
            <w:tcW w:w="660" w:type="dxa"/>
            <w:vAlign w:val="bottom"/>
            <w:gridSpan w:val="2"/>
            <w:shd w:val="clear" w:color="auto" w:fill="E5E5E5"/>
          </w:tcPr>
          <w:p>
            <w:pPr>
              <w:jc w:val="right"/>
              <w:ind w:right="34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22,296</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24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Fiscal Year 2023</w:t>
            </w:r>
          </w:p>
        </w:tc>
        <w:tc>
          <w:tcPr>
            <w:tcW w:w="2860" w:type="dxa"/>
            <w:vAlign w:val="bottom"/>
          </w:tcPr>
          <w:p>
            <w:pPr>
              <w:spacing w:after="0"/>
              <w:rPr>
                <w:sz w:val="6"/>
                <w:szCs w:val="6"/>
                <w:color w:val="auto"/>
              </w:rPr>
            </w:pPr>
          </w:p>
        </w:tc>
        <w:tc>
          <w:tcPr>
            <w:tcW w:w="24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440" w:type="dxa"/>
            <w:vAlign w:val="bottom"/>
            <w:vMerge w:val="continue"/>
          </w:tcPr>
          <w:p>
            <w:pPr>
              <w:spacing w:after="0"/>
              <w:rPr>
                <w:sz w:val="21"/>
                <w:szCs w:val="21"/>
                <w:color w:val="auto"/>
              </w:rPr>
            </w:pPr>
          </w:p>
        </w:tc>
        <w:tc>
          <w:tcPr>
            <w:tcW w:w="28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2"/>
        </w:trPr>
        <w:tc>
          <w:tcPr>
            <w:tcW w:w="24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E5E5E5"/>
          </w:tcPr>
          <w:p>
            <w:pPr>
              <w:ind w:left="20"/>
              <w:spacing w:after="0"/>
              <w:rPr>
                <w:sz w:val="20"/>
                <w:szCs w:val="20"/>
                <w:color w:val="auto"/>
              </w:rPr>
            </w:pPr>
            <w:r>
              <w:rPr>
                <w:rFonts w:ascii="Arial" w:cs="Arial" w:eastAsia="Arial" w:hAnsi="Arial"/>
                <w:sz w:val="18"/>
                <w:szCs w:val="18"/>
                <w:color w:val="auto"/>
              </w:rPr>
              <w:t>September 20, 2022</w:t>
            </w:r>
          </w:p>
        </w:tc>
        <w:tc>
          <w:tcPr>
            <w:tcW w:w="2860" w:type="dxa"/>
            <w:vAlign w:val="bottom"/>
            <w:shd w:val="clear" w:color="auto" w:fill="E5E5E5"/>
          </w:tcPr>
          <w:p>
            <w:pPr>
              <w:jc w:val="right"/>
              <w:ind w:right="393"/>
              <w:spacing w:after="0"/>
              <w:rPr>
                <w:sz w:val="20"/>
                <w:szCs w:val="20"/>
                <w:color w:val="auto"/>
              </w:rPr>
            </w:pPr>
            <w:r>
              <w:rPr>
                <w:rFonts w:ascii="Arial" w:cs="Arial" w:eastAsia="Arial" w:hAnsi="Arial"/>
                <w:sz w:val="18"/>
                <w:szCs w:val="18"/>
                <w:color w:val="auto"/>
              </w:rPr>
              <w:t>November 17, 2022</w:t>
            </w:r>
          </w:p>
        </w:tc>
        <w:tc>
          <w:tcPr>
            <w:tcW w:w="24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December 8, 2022</w:t>
            </w:r>
          </w:p>
        </w:tc>
        <w:tc>
          <w:tcPr>
            <w:tcW w:w="540" w:type="dxa"/>
            <w:vAlign w:val="bottom"/>
            <w:shd w:val="clear" w:color="auto" w:fill="E5E5E5"/>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0.68</w:t>
            </w:r>
          </w:p>
        </w:tc>
        <w:tc>
          <w:tcPr>
            <w:tcW w:w="660" w:type="dxa"/>
            <w:vAlign w:val="bottom"/>
            <w:gridSpan w:val="2"/>
            <w:shd w:val="clear" w:color="auto" w:fill="E5E5E5"/>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5,066</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November 29, 2022</w:t>
            </w:r>
          </w:p>
        </w:tc>
        <w:tc>
          <w:tcPr>
            <w:tcW w:w="2860" w:type="dxa"/>
            <w:vAlign w:val="bottom"/>
          </w:tcPr>
          <w:p>
            <w:pPr>
              <w:jc w:val="right"/>
              <w:ind w:right="393"/>
              <w:spacing w:after="0"/>
              <w:rPr>
                <w:sz w:val="20"/>
                <w:szCs w:val="20"/>
                <w:color w:val="auto"/>
              </w:rPr>
            </w:pPr>
            <w:r>
              <w:rPr>
                <w:rFonts w:ascii="Arial" w:cs="Arial" w:eastAsia="Arial" w:hAnsi="Arial"/>
                <w:sz w:val="18"/>
                <w:szCs w:val="18"/>
                <w:color w:val="auto"/>
              </w:rPr>
              <w:t>February 16, 2023</w:t>
            </w:r>
          </w:p>
        </w:tc>
        <w:tc>
          <w:tcPr>
            <w:tcW w:w="2420" w:type="dxa"/>
            <w:vAlign w:val="bottom"/>
          </w:tcPr>
          <w:p>
            <w:pPr>
              <w:jc w:val="right"/>
              <w:ind w:right="153"/>
              <w:spacing w:after="0"/>
              <w:rPr>
                <w:sz w:val="20"/>
                <w:szCs w:val="20"/>
                <w:color w:val="auto"/>
              </w:rPr>
            </w:pPr>
            <w:r>
              <w:rPr>
                <w:rFonts w:ascii="Arial" w:cs="Arial" w:eastAsia="Arial" w:hAnsi="Arial"/>
                <w:sz w:val="18"/>
                <w:szCs w:val="18"/>
                <w:color w:val="auto"/>
              </w:rPr>
              <w:t>March 9, 2023</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0.68</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E5E5E5"/>
          </w:tcPr>
          <w:p>
            <w:pPr>
              <w:ind w:left="20"/>
              <w:spacing w:after="0"/>
              <w:rPr>
                <w:sz w:val="20"/>
                <w:szCs w:val="20"/>
                <w:color w:val="auto"/>
              </w:rPr>
            </w:pPr>
            <w:r>
              <w:rPr>
                <w:rFonts w:ascii="Arial" w:cs="Arial" w:eastAsia="Arial" w:hAnsi="Arial"/>
                <w:sz w:val="18"/>
                <w:szCs w:val="18"/>
                <w:color w:val="auto"/>
              </w:rPr>
              <w:t>March 14, 2023</w:t>
            </w:r>
          </w:p>
        </w:tc>
        <w:tc>
          <w:tcPr>
            <w:tcW w:w="2860" w:type="dxa"/>
            <w:vAlign w:val="bottom"/>
            <w:shd w:val="clear" w:color="auto" w:fill="E5E5E5"/>
          </w:tcPr>
          <w:p>
            <w:pPr>
              <w:jc w:val="right"/>
              <w:ind w:right="393"/>
              <w:spacing w:after="0"/>
              <w:rPr>
                <w:sz w:val="20"/>
                <w:szCs w:val="20"/>
                <w:color w:val="auto"/>
              </w:rPr>
            </w:pPr>
            <w:r>
              <w:rPr>
                <w:rFonts w:ascii="Arial" w:cs="Arial" w:eastAsia="Arial" w:hAnsi="Arial"/>
                <w:sz w:val="18"/>
                <w:szCs w:val="18"/>
                <w:color w:val="auto"/>
              </w:rPr>
              <w:t>May 18, 2023</w:t>
            </w:r>
          </w:p>
        </w:tc>
        <w:tc>
          <w:tcPr>
            <w:tcW w:w="24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June 8, 2023</w:t>
            </w:r>
          </w:p>
        </w:tc>
        <w:tc>
          <w:tcPr>
            <w:tcW w:w="540" w:type="dxa"/>
            <w:vAlign w:val="bottom"/>
            <w:shd w:val="clear" w:color="auto" w:fill="E5E5E5"/>
          </w:tcPr>
          <w:p>
            <w:pPr>
              <w:spacing w:after="0"/>
              <w:rPr>
                <w:sz w:val="19"/>
                <w:szCs w:val="19"/>
                <w:color w:val="auto"/>
              </w:rPr>
            </w:pPr>
          </w:p>
        </w:tc>
        <w:tc>
          <w:tcPr>
            <w:tcW w:w="11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0.68</w:t>
            </w:r>
          </w:p>
        </w:tc>
        <w:tc>
          <w:tcPr>
            <w:tcW w:w="220" w:type="dxa"/>
            <w:vAlign w:val="bottom"/>
            <w:shd w:val="clear" w:color="auto" w:fill="E5E5E5"/>
          </w:tcPr>
          <w:p>
            <w:pPr>
              <w:spacing w:after="0"/>
              <w:rPr>
                <w:sz w:val="19"/>
                <w:szCs w:val="19"/>
                <w:color w:val="auto"/>
              </w:rPr>
            </w:pPr>
          </w:p>
        </w:tc>
        <w:tc>
          <w:tcPr>
            <w:tcW w:w="440" w:type="dxa"/>
            <w:vAlign w:val="bottom"/>
            <w:shd w:val="clear" w:color="auto" w:fill="E5E5E5"/>
          </w:tcPr>
          <w:p>
            <w:pPr>
              <w:spacing w:after="0"/>
              <w:rPr>
                <w:sz w:val="19"/>
                <w:szCs w:val="19"/>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5,054</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440" w:type="dxa"/>
            <w:vAlign w:val="bottom"/>
          </w:tcPr>
          <w:p>
            <w:pPr>
              <w:ind w:left="20"/>
              <w:spacing w:after="0"/>
              <w:rPr>
                <w:sz w:val="20"/>
                <w:szCs w:val="20"/>
                <w:color w:val="auto"/>
              </w:rPr>
            </w:pPr>
            <w:r>
              <w:rPr>
                <w:rFonts w:ascii="Arial" w:cs="Arial" w:eastAsia="Arial" w:hAnsi="Arial"/>
                <w:sz w:val="18"/>
                <w:szCs w:val="18"/>
                <w:color w:val="auto"/>
              </w:rPr>
              <w:t>June 13, 2023</w:t>
            </w:r>
          </w:p>
        </w:tc>
        <w:tc>
          <w:tcPr>
            <w:tcW w:w="2860" w:type="dxa"/>
            <w:vAlign w:val="bottom"/>
          </w:tcPr>
          <w:p>
            <w:pPr>
              <w:jc w:val="right"/>
              <w:ind w:right="393"/>
              <w:spacing w:after="0"/>
              <w:rPr>
                <w:sz w:val="20"/>
                <w:szCs w:val="20"/>
                <w:color w:val="auto"/>
              </w:rPr>
            </w:pPr>
            <w:r>
              <w:rPr>
                <w:rFonts w:ascii="Arial" w:cs="Arial" w:eastAsia="Arial" w:hAnsi="Arial"/>
                <w:sz w:val="18"/>
                <w:szCs w:val="18"/>
                <w:color w:val="auto"/>
              </w:rPr>
              <w:t>August 17, 2023</w:t>
            </w:r>
          </w:p>
        </w:tc>
        <w:tc>
          <w:tcPr>
            <w:tcW w:w="2420" w:type="dxa"/>
            <w:vAlign w:val="bottom"/>
          </w:tcPr>
          <w:p>
            <w:pPr>
              <w:jc w:val="right"/>
              <w:ind w:right="153"/>
              <w:spacing w:after="0"/>
              <w:rPr>
                <w:sz w:val="20"/>
                <w:szCs w:val="20"/>
                <w:color w:val="auto"/>
              </w:rPr>
            </w:pPr>
            <w:r>
              <w:rPr>
                <w:rFonts w:ascii="Arial" w:cs="Arial" w:eastAsia="Arial" w:hAnsi="Arial"/>
                <w:sz w:val="18"/>
                <w:szCs w:val="18"/>
                <w:color w:val="auto"/>
              </w:rPr>
              <w:t>September 14, 2023</w:t>
            </w:r>
          </w:p>
        </w:tc>
        <w:tc>
          <w:tcPr>
            <w:tcW w:w="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0.68</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2440" w:type="dxa"/>
            <w:vAlign w:val="bottom"/>
            <w:tcBorders>
              <w:bottom w:val="single" w:sz="8" w:color="auto"/>
            </w:tcBorders>
          </w:tcPr>
          <w:p>
            <w:pPr>
              <w:spacing w:after="0"/>
              <w:rPr>
                <w:sz w:val="5"/>
                <w:szCs w:val="5"/>
                <w:color w:val="auto"/>
              </w:rPr>
            </w:pPr>
          </w:p>
        </w:tc>
        <w:tc>
          <w:tcPr>
            <w:tcW w:w="286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440" w:type="dxa"/>
            <w:vAlign w:val="bottom"/>
          </w:tcPr>
          <w:p>
            <w:pPr>
              <w:spacing w:after="0"/>
              <w:rPr>
                <w:sz w:val="5"/>
                <w:szCs w:val="5"/>
                <w:color w:val="auto"/>
              </w:rPr>
            </w:pPr>
          </w:p>
        </w:tc>
        <w:tc>
          <w:tcPr>
            <w:tcW w:w="2860" w:type="dxa"/>
            <w:vAlign w:val="bottom"/>
          </w:tcPr>
          <w:p>
            <w:pPr>
              <w:spacing w:after="0"/>
              <w:rPr>
                <w:sz w:val="5"/>
                <w:szCs w:val="5"/>
                <w:color w:val="auto"/>
              </w:rPr>
            </w:pPr>
          </w:p>
        </w:tc>
        <w:tc>
          <w:tcPr>
            <w:tcW w:w="2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2860" w:type="dxa"/>
            <w:vAlign w:val="bottom"/>
            <w:shd w:val="clear" w:color="auto" w:fill="E5E5E5"/>
          </w:tcPr>
          <w:p>
            <w:pPr>
              <w:spacing w:after="0"/>
              <w:rPr>
                <w:sz w:val="19"/>
                <w:szCs w:val="19"/>
                <w:color w:val="auto"/>
              </w:rPr>
            </w:pPr>
          </w:p>
        </w:tc>
        <w:tc>
          <w:tcPr>
            <w:tcW w:w="2420" w:type="dxa"/>
            <w:vAlign w:val="bottom"/>
            <w:shd w:val="clear" w:color="auto" w:fill="E5E5E5"/>
          </w:tcPr>
          <w:p>
            <w:pPr>
              <w:spacing w:after="0"/>
              <w:rPr>
                <w:sz w:val="19"/>
                <w:szCs w:val="19"/>
                <w:color w:val="auto"/>
              </w:rPr>
            </w:pPr>
          </w:p>
        </w:tc>
        <w:tc>
          <w:tcPr>
            <w:tcW w:w="540" w:type="dxa"/>
            <w:vAlign w:val="bottom"/>
            <w:shd w:val="clear" w:color="auto" w:fill="E5E5E5"/>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2.72</w:t>
            </w:r>
          </w:p>
        </w:tc>
        <w:tc>
          <w:tcPr>
            <w:tcW w:w="660" w:type="dxa"/>
            <w:vAlign w:val="bottom"/>
            <w:gridSpan w:val="2"/>
            <w:shd w:val="clear" w:color="auto" w:fill="E5E5E5"/>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20,230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440" w:type="dxa"/>
            <w:vAlign w:val="bottom"/>
          </w:tcPr>
          <w:p>
            <w:pPr>
              <w:spacing w:after="0"/>
              <w:rPr>
                <w:sz w:val="6"/>
                <w:szCs w:val="6"/>
                <w:color w:val="auto"/>
              </w:rPr>
            </w:pPr>
          </w:p>
        </w:tc>
        <w:tc>
          <w:tcPr>
            <w:tcW w:w="2860" w:type="dxa"/>
            <w:vAlign w:val="bottom"/>
          </w:tcPr>
          <w:p>
            <w:pPr>
              <w:spacing w:after="0"/>
              <w:rPr>
                <w:sz w:val="6"/>
                <w:szCs w:val="6"/>
                <w:color w:val="auto"/>
              </w:rPr>
            </w:pPr>
          </w:p>
        </w:tc>
        <w:tc>
          <w:tcPr>
            <w:tcW w:w="24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dividend declared on June 12, 2024 was included in other current liabilities as of June 30, 2024.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8" w:name="page89"/>
    <w:bookmarkEnd w:id="88"/>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45" w:lineRule="exact"/>
        <w:rPr>
          <w:sz w:val="20"/>
          <w:szCs w:val="20"/>
          <w:color w:val="auto"/>
        </w:rPr>
      </w:pPr>
    </w:p>
    <w:p>
      <w:pPr>
        <w:ind w:left="2560"/>
        <w:spacing w:after="0"/>
        <w:rPr>
          <w:sz w:val="20"/>
          <w:szCs w:val="20"/>
          <w:color w:val="auto"/>
        </w:rPr>
      </w:pPr>
      <w:r>
        <w:rPr>
          <w:rFonts w:ascii="Arial" w:cs="Arial" w:eastAsia="Arial" w:hAnsi="Arial"/>
          <w:sz w:val="18"/>
          <w:szCs w:val="18"/>
          <w:u w:val="single" w:color="auto"/>
          <w:color w:val="auto"/>
        </w:rPr>
        <w:t>NOTE 17 —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(loss) by component:</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3"/>
                <w:szCs w:val="13"/>
                <w:b w:val="1"/>
                <w:bCs w:val="1"/>
                <w:color w:val="auto"/>
              </w:rPr>
              <w:t>Derivatives</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8"/>
        </w:trPr>
        <w:tc>
          <w:tcPr>
            <w:tcW w:w="8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30"/>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(27 )</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(13 )</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(19 )</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$(4)</w:t>
            </w:r>
            <w:r>
              <w:rPr>
                <w:rFonts w:ascii="Arial" w:cs="Arial" w:eastAsia="Arial" w:hAnsi="Arial"/>
                <w:sz w:val="18"/>
                <w:szCs w:val="18"/>
                <w:color w:val="auto"/>
              </w:rPr>
              <w:t>, $9, and $(15)</w:t>
            </w:r>
          </w:p>
        </w:tc>
        <w:tc>
          <w:tcPr>
            <w:tcW w:w="2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(57 )</w:t>
            </w: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Reclassification adjustments for (gains) losses included in other income (expense), net</w:t>
            </w:r>
          </w:p>
        </w:tc>
        <w:tc>
          <w:tcPr>
            <w:tcW w:w="260" w:type="dxa"/>
            <w:vAlign w:val="bottom"/>
            <w:shd w:val="clear" w:color="auto" w:fill="E5E5E5"/>
          </w:tcPr>
          <w:p>
            <w:pPr>
              <w:spacing w:after="0"/>
              <w:rPr>
                <w:sz w:val="19"/>
                <w:szCs w:val="19"/>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48</w:t>
            </w:r>
          </w:p>
        </w:tc>
        <w:tc>
          <w:tcPr>
            <w:tcW w:w="2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(61 )</w:t>
            </w:r>
          </w:p>
        </w:tc>
        <w:tc>
          <w:tcPr>
            <w:tcW w:w="240" w:type="dxa"/>
            <w:vAlign w:val="bottom"/>
            <w:shd w:val="clear" w:color="auto" w:fill="E5E5E5"/>
          </w:tcPr>
          <w:p>
            <w:pPr>
              <w:spacing w:after="0"/>
              <w:rPr>
                <w:sz w:val="19"/>
                <w:szCs w:val="19"/>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E5E5E5"/>
          </w:tcPr>
          <w:p>
            <w:pPr>
              <w:spacing w:after="0"/>
              <w:rPr>
                <w:sz w:val="19"/>
                <w:szCs w:val="19"/>
                <w:color w:val="auto"/>
              </w:rPr>
            </w:pPr>
          </w:p>
        </w:tc>
      </w:tr>
      <w:tr>
        <w:trPr>
          <w:trHeight w:val="247"/>
        </w:trPr>
        <w:tc>
          <w:tcPr>
            <w:tcW w:w="8000" w:type="dxa"/>
            <w:vAlign w:val="bottom"/>
          </w:tcPr>
          <w:p>
            <w:pPr>
              <w:ind w:left="20"/>
              <w:spacing w:after="0"/>
              <w:rPr>
                <w:sz w:val="20"/>
                <w:szCs w:val="20"/>
                <w:color w:val="auto"/>
              </w:rPr>
            </w:pPr>
            <w:r>
              <w:rPr>
                <w:rFonts w:ascii="Arial" w:cs="Arial" w:eastAsia="Arial" w:hAnsi="Arial"/>
                <w:sz w:val="18"/>
                <w:szCs w:val="18"/>
                <w:color w:val="auto"/>
              </w:rPr>
              <w:t>Tax expense (benefit) included in provision for income taxes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(10 )</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(16 )</w:t>
            </w:r>
          </w:p>
        </w:tc>
      </w:tr>
      <w:tr>
        <w:trPr>
          <w:trHeight w:val="50"/>
        </w:trPr>
        <w:tc>
          <w:tcPr>
            <w:tcW w:w="8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8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80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Amounts reclassified from accumulated other comprehensive loss</w:t>
            </w:r>
          </w:p>
        </w:tc>
        <w:tc>
          <w:tcPr>
            <w:tcW w:w="260" w:type="dxa"/>
            <w:vAlign w:val="bottom"/>
            <w:shd w:val="clear" w:color="auto" w:fill="E5E5E5"/>
          </w:tcPr>
          <w:p>
            <w:pPr>
              <w:spacing w:after="0"/>
              <w:rPr>
                <w:sz w:val="19"/>
                <w:szCs w:val="19"/>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38</w:t>
            </w:r>
          </w:p>
        </w:tc>
        <w:tc>
          <w:tcPr>
            <w:tcW w:w="2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(48 )</w:t>
            </w:r>
          </w:p>
        </w:tc>
        <w:tc>
          <w:tcPr>
            <w:tcW w:w="240" w:type="dxa"/>
            <w:vAlign w:val="bottom"/>
            <w:shd w:val="clear" w:color="auto" w:fill="E5E5E5"/>
          </w:tcPr>
          <w:p>
            <w:pPr>
              <w:spacing w:after="0"/>
              <w:rPr>
                <w:sz w:val="19"/>
                <w:szCs w:val="19"/>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E5E5E5"/>
          </w:tcPr>
          <w:p>
            <w:pPr>
              <w:spacing w:after="0"/>
              <w:rPr>
                <w:sz w:val="19"/>
                <w:szCs w:val="19"/>
                <w:color w:val="auto"/>
              </w:rPr>
            </w:pPr>
          </w:p>
        </w:tc>
      </w:tr>
      <w:tr>
        <w:trPr>
          <w:trHeight w:val="68"/>
        </w:trPr>
        <w:tc>
          <w:tcPr>
            <w:tcW w:w="8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303"/>
        </w:trPr>
        <w:tc>
          <w:tcPr>
            <w:tcW w:w="8000" w:type="dxa"/>
            <w:vAlign w:val="bottom"/>
          </w:tcPr>
          <w:p>
            <w:pPr>
              <w:ind w:left="20"/>
              <w:spacing w:after="0"/>
              <w:rPr>
                <w:sz w:val="20"/>
                <w:szCs w:val="20"/>
                <w:color w:val="auto"/>
              </w:rPr>
            </w:pPr>
            <w:r>
              <w:rPr>
                <w:rFonts w:ascii="Arial" w:cs="Arial" w:eastAsia="Arial" w:hAnsi="Arial"/>
                <w:sz w:val="18"/>
                <w:szCs w:val="18"/>
                <w:color w:val="auto"/>
              </w:rPr>
              <w:t xml:space="preserve">Net change related to derivatives, net of tax of </w:t>
            </w:r>
            <w:r>
              <w:rPr>
                <w:rFonts w:ascii="Arial" w:cs="Arial" w:eastAsia="Arial" w:hAnsi="Arial"/>
                <w:sz w:val="18"/>
                <w:szCs w:val="18"/>
                <w:b w:val="1"/>
                <w:bCs w:val="1"/>
                <w:color w:val="auto"/>
              </w:rPr>
              <w:t>$6</w:t>
            </w:r>
            <w:r>
              <w:rPr>
                <w:rFonts w:ascii="Arial" w:cs="Arial" w:eastAsia="Arial" w:hAnsi="Arial"/>
                <w:sz w:val="18"/>
                <w:szCs w:val="18"/>
                <w:color w:val="auto"/>
              </w:rPr>
              <w:t>, $(4), and $1</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(14 )</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r>
      <w:tr>
        <w:trPr>
          <w:trHeight w:val="56"/>
        </w:trPr>
        <w:tc>
          <w:tcPr>
            <w:tcW w:w="8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8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end of period</w:t>
            </w:r>
          </w:p>
        </w:tc>
        <w:tc>
          <w:tcPr>
            <w:tcW w:w="26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(3 )</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(27 )</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(13 )</w:t>
            </w:r>
          </w:p>
        </w:tc>
      </w:tr>
      <w:tr>
        <w:trPr>
          <w:trHeight w:val="68"/>
        </w:trPr>
        <w:tc>
          <w:tcPr>
            <w:tcW w:w="8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46"/>
        </w:trPr>
        <w:tc>
          <w:tcPr>
            <w:tcW w:w="8000" w:type="dxa"/>
            <w:vAlign w:val="bottom"/>
          </w:tcPr>
          <w:p>
            <w:pPr>
              <w:ind w:left="20"/>
              <w:spacing w:after="0"/>
              <w:rPr>
                <w:sz w:val="20"/>
                <w:szCs w:val="20"/>
                <w:color w:val="auto"/>
              </w:rPr>
            </w:pPr>
            <w:r>
              <w:rPr>
                <w:rFonts w:ascii="Arial" w:cs="Arial" w:eastAsia="Arial" w:hAnsi="Arial"/>
                <w:sz w:val="13"/>
                <w:szCs w:val="13"/>
                <w:b w:val="1"/>
                <w:bCs w:val="1"/>
                <w:color w:val="auto"/>
              </w:rPr>
              <w:t>Investments</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8"/>
        </w:trPr>
        <w:tc>
          <w:tcPr>
            <w:tcW w:w="8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(3,582 )</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(2,138 )</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3,222</w:t>
            </w:r>
          </w:p>
        </w:tc>
        <w:tc>
          <w:tcPr>
            <w:tcW w:w="100" w:type="dxa"/>
            <w:vAlign w:val="bottom"/>
            <w:shd w:val="clear" w:color="auto" w:fill="E5E5E5"/>
          </w:tcPr>
          <w:p>
            <w:pPr>
              <w:spacing w:after="0"/>
              <w:rPr>
                <w:sz w:val="19"/>
                <w:szCs w:val="19"/>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$247</w:t>
            </w:r>
            <w:r>
              <w:rPr>
                <w:rFonts w:ascii="Arial" w:cs="Arial" w:eastAsia="Arial" w:hAnsi="Arial"/>
                <w:sz w:val="18"/>
                <w:szCs w:val="18"/>
                <w:color w:val="auto"/>
              </w:rPr>
              <w:t>, $(393), and $(1,440)</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(1,523 )</w:t>
            </w:r>
          </w:p>
        </w:tc>
        <w:tc>
          <w:tcPr>
            <w:tcW w:w="2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(5,405 )</w:t>
            </w:r>
          </w:p>
        </w:tc>
      </w:tr>
      <w:tr>
        <w:trPr>
          <w:trHeight w:val="229"/>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Reclassification adjustments for losses included in other income (expense), net</w:t>
            </w:r>
          </w:p>
        </w:tc>
        <w:tc>
          <w:tcPr>
            <w:tcW w:w="260" w:type="dxa"/>
            <w:vAlign w:val="bottom"/>
            <w:shd w:val="clear" w:color="auto" w:fill="E5E5E5"/>
          </w:tcPr>
          <w:p>
            <w:pPr>
              <w:spacing w:after="0"/>
              <w:rPr>
                <w:sz w:val="19"/>
                <w:szCs w:val="19"/>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53</w:t>
            </w:r>
          </w:p>
        </w:tc>
        <w:tc>
          <w:tcPr>
            <w:tcW w:w="2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E5E5E5"/>
          </w:tcPr>
          <w:p>
            <w:pPr>
              <w:spacing w:after="0"/>
              <w:rPr>
                <w:sz w:val="19"/>
                <w:szCs w:val="19"/>
                <w:color w:val="auto"/>
              </w:rPr>
            </w:pPr>
          </w:p>
        </w:tc>
      </w:tr>
      <w:tr>
        <w:trPr>
          <w:trHeight w:val="247"/>
        </w:trPr>
        <w:tc>
          <w:tcPr>
            <w:tcW w:w="8000" w:type="dxa"/>
            <w:vAlign w:val="bottom"/>
          </w:tcPr>
          <w:p>
            <w:pPr>
              <w:ind w:left="20"/>
              <w:spacing w:after="0"/>
              <w:rPr>
                <w:sz w:val="20"/>
                <w:szCs w:val="20"/>
                <w:color w:val="auto"/>
              </w:rPr>
            </w:pPr>
            <w:r>
              <w:rPr>
                <w:rFonts w:ascii="Arial" w:cs="Arial" w:eastAsia="Arial" w:hAnsi="Arial"/>
                <w:sz w:val="18"/>
                <w:szCs w:val="18"/>
                <w:color w:val="auto"/>
              </w:rPr>
              <w:t>Tax benefit included in provision for income taxes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(11 )</w:t>
            </w:r>
          </w:p>
        </w:tc>
        <w:tc>
          <w:tcPr>
            <w:tcW w:w="24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(20 )</w:t>
            </w:r>
          </w:p>
        </w:tc>
        <w:tc>
          <w:tcPr>
            <w:tcW w:w="24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(12 )</w:t>
            </w:r>
          </w:p>
        </w:tc>
      </w:tr>
      <w:tr>
        <w:trPr>
          <w:trHeight w:val="50"/>
        </w:trPr>
        <w:tc>
          <w:tcPr>
            <w:tcW w:w="8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8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80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Amounts reclassified from accumulated other comprehensive loss</w:t>
            </w:r>
          </w:p>
        </w:tc>
        <w:tc>
          <w:tcPr>
            <w:tcW w:w="260" w:type="dxa"/>
            <w:vAlign w:val="bottom"/>
            <w:shd w:val="clear" w:color="auto" w:fill="E5E5E5"/>
          </w:tcPr>
          <w:p>
            <w:pPr>
              <w:spacing w:after="0"/>
              <w:rPr>
                <w:sz w:val="19"/>
                <w:szCs w:val="19"/>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42</w:t>
            </w:r>
          </w:p>
        </w:tc>
        <w:tc>
          <w:tcPr>
            <w:tcW w:w="2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E5E5E5"/>
          </w:tcPr>
          <w:p>
            <w:pPr>
              <w:spacing w:after="0"/>
              <w:rPr>
                <w:sz w:val="19"/>
                <w:szCs w:val="19"/>
                <w:color w:val="auto"/>
              </w:rPr>
            </w:pPr>
          </w:p>
        </w:tc>
      </w:tr>
      <w:tr>
        <w:trPr>
          <w:trHeight w:val="68"/>
        </w:trPr>
        <w:tc>
          <w:tcPr>
            <w:tcW w:w="8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303"/>
        </w:trPr>
        <w:tc>
          <w:tcPr>
            <w:tcW w:w="8000" w:type="dxa"/>
            <w:vAlign w:val="bottom"/>
          </w:tcPr>
          <w:p>
            <w:pPr>
              <w:ind w:left="20"/>
              <w:spacing w:after="0"/>
              <w:rPr>
                <w:sz w:val="20"/>
                <w:szCs w:val="20"/>
                <w:color w:val="auto"/>
              </w:rPr>
            </w:pPr>
            <w:r>
              <w:rPr>
                <w:rFonts w:ascii="Arial" w:cs="Arial" w:eastAsia="Arial" w:hAnsi="Arial"/>
                <w:sz w:val="18"/>
                <w:szCs w:val="18"/>
                <w:color w:val="auto"/>
              </w:rPr>
              <w:t xml:space="preserve">Net change related to investments, net of tax of </w:t>
            </w:r>
            <w:r>
              <w:rPr>
                <w:rFonts w:ascii="Arial" w:cs="Arial" w:eastAsia="Arial" w:hAnsi="Arial"/>
                <w:sz w:val="18"/>
                <w:szCs w:val="18"/>
                <w:b w:val="1"/>
                <w:bCs w:val="1"/>
                <w:color w:val="auto"/>
              </w:rPr>
              <w:t>$258</w:t>
            </w:r>
            <w:r>
              <w:rPr>
                <w:rFonts w:ascii="Arial" w:cs="Arial" w:eastAsia="Arial" w:hAnsi="Arial"/>
                <w:sz w:val="18"/>
                <w:szCs w:val="18"/>
                <w:color w:val="auto"/>
              </w:rPr>
              <w:t>, $(373), and $(1,428)</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957</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(1,444 )</w:t>
            </w:r>
          </w:p>
        </w:tc>
        <w:tc>
          <w:tcPr>
            <w:tcW w:w="24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(5,360 )</w:t>
            </w:r>
          </w:p>
        </w:tc>
      </w:tr>
      <w:tr>
        <w:trPr>
          <w:trHeight w:val="56"/>
        </w:trPr>
        <w:tc>
          <w:tcPr>
            <w:tcW w:w="8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8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30"/>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end of period</w:t>
            </w:r>
          </w:p>
        </w:tc>
        <w:tc>
          <w:tcPr>
            <w:tcW w:w="26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(2,625 )</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(3,582 )</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(2,138 )</w:t>
            </w:r>
          </w:p>
        </w:tc>
      </w:tr>
      <w:tr>
        <w:trPr>
          <w:trHeight w:val="68"/>
        </w:trPr>
        <w:tc>
          <w:tcPr>
            <w:tcW w:w="8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46"/>
        </w:trPr>
        <w:tc>
          <w:tcPr>
            <w:tcW w:w="8000" w:type="dxa"/>
            <w:vAlign w:val="bottom"/>
          </w:tcPr>
          <w:p>
            <w:pPr>
              <w:ind w:left="20"/>
              <w:spacing w:after="0"/>
              <w:rPr>
                <w:sz w:val="20"/>
                <w:szCs w:val="20"/>
                <w:color w:val="auto"/>
              </w:rPr>
            </w:pPr>
            <w:r>
              <w:rPr>
                <w:rFonts w:ascii="Arial" w:cs="Arial" w:eastAsia="Arial" w:hAnsi="Arial"/>
                <w:sz w:val="13"/>
                <w:szCs w:val="13"/>
                <w:b w:val="1"/>
                <w:bCs w:val="1"/>
                <w:color w:val="auto"/>
              </w:rPr>
              <w:t>Translation Adjustments and Other</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58"/>
        </w:trPr>
        <w:tc>
          <w:tcPr>
            <w:tcW w:w="8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30"/>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(2,734 )</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(2,527 )</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(1,381 )</w:t>
            </w:r>
          </w:p>
        </w:tc>
      </w:tr>
      <w:tr>
        <w:trPr>
          <w:trHeight w:val="247"/>
        </w:trPr>
        <w:tc>
          <w:tcPr>
            <w:tcW w:w="8000" w:type="dxa"/>
            <w:vAlign w:val="bottom"/>
          </w:tcPr>
          <w:p>
            <w:pPr>
              <w:ind w:left="20"/>
              <w:spacing w:after="0"/>
              <w:rPr>
                <w:sz w:val="20"/>
                <w:szCs w:val="20"/>
                <w:color w:val="auto"/>
              </w:rPr>
            </w:pPr>
            <w:r>
              <w:rPr>
                <w:rFonts w:ascii="Arial" w:cs="Arial" w:eastAsia="Arial" w:hAnsi="Arial"/>
                <w:sz w:val="18"/>
                <w:szCs w:val="18"/>
                <w:color w:val="auto"/>
              </w:rPr>
              <w:t xml:space="preserve">Translation adjustments and other, net of tax of </w:t>
            </w:r>
            <w:r>
              <w:rPr>
                <w:rFonts w:ascii="Arial" w:cs="Arial" w:eastAsia="Arial" w:hAnsi="Arial"/>
                <w:sz w:val="18"/>
                <w:szCs w:val="18"/>
                <w:b w:val="1"/>
                <w:bCs w:val="1"/>
                <w:color w:val="auto"/>
              </w:rPr>
              <w:t>$0</w:t>
            </w:r>
            <w:r>
              <w:rPr>
                <w:rFonts w:ascii="Arial" w:cs="Arial" w:eastAsia="Arial" w:hAnsi="Arial"/>
                <w:sz w:val="18"/>
                <w:szCs w:val="18"/>
                <w:color w:val="auto"/>
              </w:rPr>
              <w:t>, $0, and $0</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(228 )</w:t>
            </w:r>
          </w:p>
        </w:tc>
        <w:tc>
          <w:tcPr>
            <w:tcW w:w="24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(207 )</w:t>
            </w:r>
          </w:p>
        </w:tc>
        <w:tc>
          <w:tcPr>
            <w:tcW w:w="24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(1,146 )</w:t>
            </w:r>
          </w:p>
        </w:tc>
      </w:tr>
      <w:tr>
        <w:trPr>
          <w:trHeight w:val="50"/>
        </w:trPr>
        <w:tc>
          <w:tcPr>
            <w:tcW w:w="8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8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30"/>
        </w:trPr>
        <w:tc>
          <w:tcPr>
            <w:tcW w:w="8000" w:type="dxa"/>
            <w:vAlign w:val="bottom"/>
            <w:shd w:val="clear" w:color="auto" w:fill="E5E5E5"/>
          </w:tcPr>
          <w:p>
            <w:pPr>
              <w:ind w:left="20"/>
              <w:spacing w:after="0"/>
              <w:rPr>
                <w:sz w:val="20"/>
                <w:szCs w:val="20"/>
                <w:color w:val="auto"/>
              </w:rPr>
            </w:pPr>
            <w:r>
              <w:rPr>
                <w:rFonts w:ascii="Arial" w:cs="Arial" w:eastAsia="Arial" w:hAnsi="Arial"/>
                <w:sz w:val="18"/>
                <w:szCs w:val="18"/>
                <w:color w:val="auto"/>
              </w:rPr>
              <w:t>Balance, end of period</w:t>
            </w:r>
          </w:p>
        </w:tc>
        <w:tc>
          <w:tcPr>
            <w:tcW w:w="26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(2,962 )</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(2,734 )</w:t>
            </w:r>
          </w:p>
        </w:tc>
        <w:tc>
          <w:tcPr>
            <w:tcW w:w="2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(2,527 )</w:t>
            </w:r>
          </w:p>
        </w:tc>
      </w:tr>
      <w:tr>
        <w:trPr>
          <w:trHeight w:val="68"/>
        </w:trPr>
        <w:tc>
          <w:tcPr>
            <w:tcW w:w="80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302"/>
        </w:trPr>
        <w:tc>
          <w:tcPr>
            <w:tcW w:w="8000" w:type="dxa"/>
            <w:vAlign w:val="bottom"/>
          </w:tcPr>
          <w:p>
            <w:pPr>
              <w:ind w:left="20"/>
              <w:spacing w:after="0"/>
              <w:rPr>
                <w:sz w:val="20"/>
                <w:szCs w:val="20"/>
                <w:color w:val="auto"/>
              </w:rPr>
            </w:pPr>
            <w:r>
              <w:rPr>
                <w:rFonts w:ascii="Arial" w:cs="Arial" w:eastAsia="Arial" w:hAnsi="Arial"/>
                <w:sz w:val="18"/>
                <w:szCs w:val="18"/>
                <w:color w:val="auto"/>
              </w:rPr>
              <w:t>Accumulated other comprehensive loss, end of period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(5,590 )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(6,343 )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(4,678 )</w:t>
            </w:r>
          </w:p>
        </w:tc>
      </w:tr>
      <w:tr>
        <w:trPr>
          <w:trHeight w:val="63"/>
        </w:trPr>
        <w:tc>
          <w:tcPr>
            <w:tcW w:w="80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18 — EMPLOYEE STOCK AND SAVINGS PLANS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grant stock-based compensation to employees and directors. Awards that expire or are canceled without delivery of shares generally become available for issuance under the plans. We issue new shares of Microsoft common stock to satisfy vesting of awards granted under our stock plans. We also have an ESPP for all eligible employees.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and related income tax benefits were as follows: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2740" w:type="dxa"/>
            <w:vAlign w:val="bottom"/>
          </w:tcPr>
          <w:p>
            <w:pPr>
              <w:jc w:val="right"/>
              <w:ind w:right="38"/>
              <w:spacing w:after="0"/>
              <w:rPr>
                <w:sz w:val="20"/>
                <w:szCs w:val="20"/>
                <w:color w:val="auto"/>
              </w:rPr>
            </w:pPr>
            <w:r>
              <w:rPr>
                <w:rFonts w:ascii="Arial" w:cs="Arial" w:eastAsia="Arial" w:hAnsi="Arial"/>
                <w:sz w:val="13"/>
                <w:szCs w:val="13"/>
                <w:b w:val="1"/>
                <w:bCs w:val="1"/>
                <w:color w:val="auto"/>
              </w:rPr>
              <w:t>2024</w:t>
            </w:r>
          </w:p>
        </w:tc>
        <w:tc>
          <w:tcPr>
            <w:tcW w:w="380" w:type="dxa"/>
            <w:vAlign w:val="bottom"/>
          </w:tcPr>
          <w:p>
            <w:pPr>
              <w:spacing w:after="0"/>
              <w:rPr>
                <w:sz w:val="16"/>
                <w:szCs w:val="16"/>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b w:val="1"/>
                <w:bCs w:val="1"/>
                <w:color w:val="auto"/>
              </w:rPr>
              <w:t>2023</w:t>
            </w:r>
          </w:p>
        </w:tc>
        <w:tc>
          <w:tcPr>
            <w:tcW w:w="3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r>
      <w:tr>
        <w:trPr>
          <w:trHeight w:val="58"/>
        </w:trPr>
        <w:tc>
          <w:tcPr>
            <w:tcW w:w="6280" w:type="dxa"/>
            <w:vAlign w:val="bottom"/>
          </w:tcPr>
          <w:p>
            <w:pPr>
              <w:spacing w:after="0"/>
              <w:rPr>
                <w:sz w:val="5"/>
                <w:szCs w:val="5"/>
                <w:color w:val="auto"/>
              </w:rPr>
            </w:pPr>
          </w:p>
        </w:tc>
        <w:tc>
          <w:tcPr>
            <w:tcW w:w="2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30"/>
        </w:trPr>
        <w:tc>
          <w:tcPr>
            <w:tcW w:w="6280" w:type="dxa"/>
            <w:vAlign w:val="bottom"/>
            <w:shd w:val="clear" w:color="auto" w:fill="E5E5E5"/>
          </w:tcPr>
          <w:p>
            <w:pPr>
              <w:ind w:left="20"/>
              <w:spacing w:after="0"/>
              <w:rPr>
                <w:sz w:val="20"/>
                <w:szCs w:val="20"/>
                <w:color w:val="auto"/>
              </w:rPr>
            </w:pPr>
            <w:r>
              <w:rPr>
                <w:rFonts w:ascii="Arial" w:cs="Arial" w:eastAsia="Arial" w:hAnsi="Arial"/>
                <w:sz w:val="18"/>
                <w:szCs w:val="18"/>
                <w:color w:val="auto"/>
              </w:rPr>
              <w:t>Stock-based compensation expense</w:t>
            </w:r>
          </w:p>
        </w:tc>
        <w:tc>
          <w:tcPr>
            <w:tcW w:w="2740" w:type="dxa"/>
            <w:vAlign w:val="bottom"/>
            <w:shd w:val="clear" w:color="auto" w:fill="E5E5E5"/>
          </w:tcPr>
          <w:p>
            <w:pPr>
              <w:jc w:val="right"/>
              <w:ind w:right="38"/>
              <w:spacing w:after="0"/>
              <w:rPr>
                <w:sz w:val="20"/>
                <w:szCs w:val="20"/>
                <w:color w:val="auto"/>
              </w:rPr>
            </w:pPr>
            <w:r>
              <w:rPr>
                <w:rFonts w:ascii="Arial" w:cs="Arial" w:eastAsia="Arial" w:hAnsi="Arial"/>
                <w:sz w:val="18"/>
                <w:szCs w:val="18"/>
                <w:b w:val="1"/>
                <w:bCs w:val="1"/>
                <w:color w:val="auto"/>
              </w:rPr>
              <w:t>$   10,734</w:t>
            </w:r>
          </w:p>
        </w:tc>
        <w:tc>
          <w:tcPr>
            <w:tcW w:w="3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rPr>
              <w:t>9,611</w:t>
            </w:r>
          </w:p>
        </w:tc>
        <w:tc>
          <w:tcPr>
            <w:tcW w:w="38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7,502</w:t>
            </w:r>
          </w:p>
        </w:tc>
        <w:tc>
          <w:tcPr>
            <w:tcW w:w="100" w:type="dxa"/>
            <w:vAlign w:val="bottom"/>
            <w:shd w:val="clear" w:color="auto" w:fill="E5E5E5"/>
          </w:tcPr>
          <w:p>
            <w:pPr>
              <w:spacing w:after="0"/>
              <w:rPr>
                <w:sz w:val="19"/>
                <w:szCs w:val="19"/>
                <w:color w:val="auto"/>
              </w:rPr>
            </w:pPr>
          </w:p>
        </w:tc>
      </w:tr>
      <w:tr>
        <w:trPr>
          <w:trHeight w:val="247"/>
        </w:trPr>
        <w:tc>
          <w:tcPr>
            <w:tcW w:w="6280" w:type="dxa"/>
            <w:vAlign w:val="bottom"/>
          </w:tcPr>
          <w:p>
            <w:pPr>
              <w:ind w:left="20"/>
              <w:spacing w:after="0"/>
              <w:rPr>
                <w:sz w:val="20"/>
                <w:szCs w:val="20"/>
                <w:color w:val="auto"/>
              </w:rPr>
            </w:pPr>
            <w:r>
              <w:rPr>
                <w:rFonts w:ascii="Arial" w:cs="Arial" w:eastAsia="Arial" w:hAnsi="Arial"/>
                <w:sz w:val="18"/>
                <w:szCs w:val="18"/>
                <w:color w:val="auto"/>
              </w:rPr>
              <w:t>Income tax benefits related to stock-based compensation</w:t>
            </w:r>
          </w:p>
        </w:tc>
        <w:tc>
          <w:tcPr>
            <w:tcW w:w="2740" w:type="dxa"/>
            <w:vAlign w:val="bottom"/>
          </w:tcPr>
          <w:p>
            <w:pPr>
              <w:jc w:val="right"/>
              <w:ind w:right="38"/>
              <w:spacing w:after="0"/>
              <w:rPr>
                <w:sz w:val="20"/>
                <w:szCs w:val="20"/>
                <w:color w:val="auto"/>
              </w:rPr>
            </w:pPr>
            <w:r>
              <w:rPr>
                <w:rFonts w:ascii="Arial" w:cs="Arial" w:eastAsia="Arial" w:hAnsi="Arial"/>
                <w:sz w:val="18"/>
                <w:szCs w:val="18"/>
                <w:b w:val="1"/>
                <w:bCs w:val="1"/>
                <w:color w:val="auto"/>
              </w:rPr>
              <w:t>1,826</w:t>
            </w:r>
          </w:p>
        </w:tc>
        <w:tc>
          <w:tcPr>
            <w:tcW w:w="380" w:type="dxa"/>
            <w:vAlign w:val="bottom"/>
          </w:tcPr>
          <w:p>
            <w:pPr>
              <w:spacing w:after="0"/>
              <w:rPr>
                <w:sz w:val="21"/>
                <w:szCs w:val="21"/>
                <w:color w:val="auto"/>
              </w:rPr>
            </w:pPr>
          </w:p>
        </w:tc>
        <w:tc>
          <w:tcPr>
            <w:tcW w:w="740" w:type="dxa"/>
            <w:vAlign w:val="bottom"/>
          </w:tcPr>
          <w:p>
            <w:pPr>
              <w:jc w:val="right"/>
              <w:ind w:right="38"/>
              <w:spacing w:after="0"/>
              <w:rPr>
                <w:sz w:val="20"/>
                <w:szCs w:val="20"/>
                <w:color w:val="auto"/>
              </w:rPr>
            </w:pPr>
            <w:r>
              <w:rPr>
                <w:rFonts w:ascii="Arial" w:cs="Arial" w:eastAsia="Arial" w:hAnsi="Arial"/>
                <w:sz w:val="18"/>
                <w:szCs w:val="18"/>
                <w:color w:val="auto"/>
              </w:rPr>
              <w:t>1,651</w:t>
            </w: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1"/>
                <w:szCs w:val="21"/>
                <w:color w:val="auto"/>
              </w:rPr>
            </w:pPr>
          </w:p>
        </w:tc>
      </w:tr>
      <w:tr>
        <w:trPr>
          <w:trHeight w:val="50"/>
        </w:trPr>
        <w:tc>
          <w:tcPr>
            <w:tcW w:w="628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Stock awards entitle the holder to receive shares of Microsoft common stock as the award vests. Stock awards generally vest over a service period of four years or five years.</w:t>
      </w:r>
    </w:p>
    <w:p>
      <w:pPr>
        <w:sectPr>
          <w:pgSz w:w="11900" w:h="16838" w:orient="portrait"/>
          <w:cols w:equalWidth="0" w:num="1">
            <w:col w:w="11240"/>
          </w:cols>
          <w:pgMar w:left="320" w:top="775" w:right="339"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type w:val="continuous"/>
        </w:sectPr>
      </w:pPr>
    </w:p>
    <w:bookmarkStart w:id="89" w:name="page90"/>
    <w:bookmarkEnd w:id="89"/>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Incentive Plan</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Executive Incentive Plan, the Compensation Committee approves stock awards to executive officers and certain senior executives. RSUs generally vest ratably over a service period of four years. PSUs generally vest over a performance period of three years. The number of shares the PSU holder receives is based on the extent to which the corresponding performance goals have been achieved.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Activity for All Stock Plans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stock awards was estimated on the date of grant using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0637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280" w:type="dxa"/>
            <w:vAlign w:val="bottom"/>
          </w:tcPr>
          <w:p>
            <w:pPr>
              <w:spacing w:after="0"/>
              <w:rPr>
                <w:sz w:val="20"/>
                <w:szCs w:val="20"/>
                <w:color w:val="auto"/>
              </w:rPr>
            </w:pPr>
            <w:r>
              <w:rPr>
                <w:rFonts w:ascii="Arial" w:cs="Arial" w:eastAsia="Arial" w:hAnsi="Arial"/>
                <w:sz w:val="13"/>
                <w:szCs w:val="13"/>
                <w:b w:val="1"/>
                <w:bCs w:val="1"/>
                <w:color w:val="auto"/>
              </w:rPr>
              <w:t>Year ended June 30,</w:t>
            </w:r>
          </w:p>
        </w:tc>
        <w:tc>
          <w:tcPr>
            <w:tcW w:w="4020" w:type="dxa"/>
            <w:vAlign w:val="bottom"/>
          </w:tcPr>
          <w:p>
            <w:pPr>
              <w:jc w:val="right"/>
              <w:ind w:right="653"/>
              <w:spacing w:after="0"/>
              <w:rPr>
                <w:sz w:val="20"/>
                <w:szCs w:val="20"/>
                <w:color w:val="auto"/>
              </w:rPr>
            </w:pPr>
            <w:r>
              <w:rPr>
                <w:rFonts w:ascii="Arial" w:cs="Arial" w:eastAsia="Arial" w:hAnsi="Arial"/>
                <w:sz w:val="13"/>
                <w:szCs w:val="13"/>
                <w:b w:val="1"/>
                <w:bCs w:val="1"/>
                <w:color w:val="auto"/>
              </w:rPr>
              <w:t>2024</w:t>
            </w:r>
          </w:p>
        </w:tc>
        <w:tc>
          <w:tcPr>
            <w:tcW w:w="1780" w:type="dxa"/>
            <w:vAlign w:val="bottom"/>
          </w:tcPr>
          <w:p>
            <w:pPr>
              <w:jc w:val="right"/>
              <w:ind w:right="673"/>
              <w:spacing w:after="0"/>
              <w:rPr>
                <w:sz w:val="20"/>
                <w:szCs w:val="20"/>
                <w:color w:val="auto"/>
              </w:rPr>
            </w:pPr>
            <w:r>
              <w:rPr>
                <w:rFonts w:ascii="Arial" w:cs="Arial" w:eastAsia="Arial" w:hAnsi="Arial"/>
                <w:sz w:val="13"/>
                <w:szCs w:val="13"/>
                <w:b w:val="1"/>
                <w:bCs w:val="1"/>
                <w:color w:val="auto"/>
              </w:rPr>
              <w:t>2023</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r>
    </w:tbl>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shd w:val="clear" w:color="auto" w:fill="E5E5E5"/>
          </w:tcPr>
          <w:p>
            <w:pPr>
              <w:ind w:left="20"/>
              <w:spacing w:after="0"/>
              <w:rPr>
                <w:sz w:val="20"/>
                <w:szCs w:val="20"/>
                <w:color w:val="auto"/>
              </w:rPr>
            </w:pPr>
            <w:r>
              <w:rPr>
                <w:rFonts w:ascii="Arial" w:cs="Arial" w:eastAsia="Arial" w:hAnsi="Arial"/>
                <w:sz w:val="18"/>
                <w:szCs w:val="18"/>
                <w:color w:val="auto"/>
              </w:rPr>
              <w:t>Dividends per share (quarterly amounts)</w:t>
            </w:r>
          </w:p>
        </w:tc>
        <w:tc>
          <w:tcPr>
            <w:tcW w:w="172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E5E5E5"/>
          </w:tcPr>
          <w:p>
            <w:pPr>
              <w:jc w:val="right"/>
              <w:ind w:right="30"/>
              <w:spacing w:after="0"/>
              <w:rPr>
                <w:sz w:val="20"/>
                <w:szCs w:val="20"/>
                <w:color w:val="auto"/>
              </w:rPr>
            </w:pPr>
            <w:r>
              <w:rPr>
                <w:rFonts w:ascii="Arial" w:cs="Arial" w:eastAsia="Arial" w:hAnsi="Arial"/>
                <w:sz w:val="18"/>
                <w:szCs w:val="18"/>
                <w:b w:val="1"/>
                <w:bCs w:val="1"/>
                <w:color w:val="auto"/>
              </w:rPr>
              <w:t>0.68 – 0.75</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0.62 – 0.68</w:t>
            </w:r>
          </w:p>
        </w:tc>
        <w:tc>
          <w:tcPr>
            <w:tcW w:w="30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0.56 – 0.62</w:t>
            </w:r>
          </w:p>
        </w:tc>
        <w:tc>
          <w:tcPr>
            <w:tcW w:w="0" w:type="dxa"/>
            <w:vAlign w:val="bottom"/>
          </w:tcPr>
          <w:p>
            <w:pPr>
              <w:spacing w:after="0"/>
              <w:rPr>
                <w:sz w:val="1"/>
                <w:szCs w:val="1"/>
                <w:color w:val="auto"/>
              </w:rPr>
            </w:pPr>
          </w:p>
        </w:tc>
      </w:tr>
      <w:tr>
        <w:trPr>
          <w:trHeight w:val="247"/>
        </w:trPr>
        <w:tc>
          <w:tcPr>
            <w:tcW w:w="4620" w:type="dxa"/>
            <w:vAlign w:val="bottom"/>
          </w:tcPr>
          <w:p>
            <w:pPr>
              <w:ind w:left="20"/>
              <w:spacing w:after="0"/>
              <w:rPr>
                <w:sz w:val="20"/>
                <w:szCs w:val="20"/>
                <w:color w:val="auto"/>
              </w:rPr>
            </w:pPr>
            <w:r>
              <w:rPr>
                <w:rFonts w:ascii="Arial" w:cs="Arial" w:eastAsia="Arial" w:hAnsi="Arial"/>
                <w:sz w:val="18"/>
                <w:szCs w:val="18"/>
                <w:color w:val="auto"/>
              </w:rPr>
              <w:t>Interest rates</w:t>
            </w:r>
          </w:p>
        </w:tc>
        <w:tc>
          <w:tcPr>
            <w:tcW w:w="17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3.8% – 5.6%</w:t>
            </w:r>
          </w:p>
        </w:tc>
        <w:tc>
          <w:tcPr>
            <w:tcW w:w="28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2.0% – 5.4%</w:t>
            </w:r>
          </w:p>
        </w:tc>
        <w:tc>
          <w:tcPr>
            <w:tcW w:w="30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0.03% – 3.6%</w:t>
            </w:r>
          </w:p>
        </w:tc>
        <w:tc>
          <w:tcPr>
            <w:tcW w:w="0" w:type="dxa"/>
            <w:vAlign w:val="bottom"/>
          </w:tcPr>
          <w:p>
            <w:pPr>
              <w:spacing w:after="0"/>
              <w:rPr>
                <w:sz w:val="1"/>
                <w:szCs w:val="1"/>
                <w:color w:val="auto"/>
              </w:rPr>
            </w:pPr>
          </w:p>
        </w:tc>
      </w:tr>
      <w:tr>
        <w:trPr>
          <w:trHeight w:val="50"/>
        </w:trPr>
        <w:tc>
          <w:tcPr>
            <w:tcW w:w="6340" w:type="dxa"/>
            <w:vAlign w:val="bottom"/>
            <w:tcBorders>
              <w:bottom w:val="single" w:sz="8" w:color="auto"/>
            </w:tcBorders>
            <w:gridSpan w:val="2"/>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3"/>
        </w:trPr>
        <w:tc>
          <w:tcPr>
            <w:tcW w:w="6340" w:type="dxa"/>
            <w:vAlign w:val="bottom"/>
            <w:gridSpan w:val="2"/>
          </w:tcPr>
          <w:p>
            <w:pPr>
              <w:spacing w:after="0"/>
              <w:rPr>
                <w:sz w:val="20"/>
                <w:szCs w:val="20"/>
                <w:color w:val="auto"/>
              </w:rPr>
            </w:pPr>
            <w:r>
              <w:rPr>
                <w:rFonts w:ascii="Arial" w:cs="Arial" w:eastAsia="Arial" w:hAnsi="Arial"/>
                <w:sz w:val="18"/>
                <w:szCs w:val="18"/>
                <w:color w:val="auto"/>
              </w:rPr>
              <w:t>During fiscal year 2024, the following activity occurred under our stock plans:</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Weighted Average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2"/>
                <w:szCs w:val="12"/>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Grant-Date Fair</w:t>
            </w: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58"/>
        </w:trPr>
        <w:tc>
          <w:tcPr>
            <w:tcW w:w="46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4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3"/>
                <w:szCs w:val="13"/>
                <w:b w:val="1"/>
                <w:bCs w:val="1"/>
                <w:color w:val="auto"/>
              </w:rPr>
              <w:t>Stock Awards</w:t>
            </w:r>
          </w:p>
        </w:tc>
        <w:tc>
          <w:tcPr>
            <w:tcW w:w="1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46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E5E5E5"/>
          </w:tcPr>
          <w:p>
            <w:pPr>
              <w:ind w:left="20"/>
              <w:spacing w:after="0"/>
              <w:rPr>
                <w:sz w:val="20"/>
                <w:szCs w:val="20"/>
                <w:color w:val="auto"/>
              </w:rPr>
            </w:pPr>
            <w:r>
              <w:rPr>
                <w:rFonts w:ascii="Arial" w:cs="Arial" w:eastAsia="Arial" w:hAnsi="Arial"/>
                <w:sz w:val="18"/>
                <w:szCs w:val="18"/>
                <w:color w:val="auto"/>
              </w:rPr>
              <w:t>Nonvested balance, beginning of year</w:t>
            </w:r>
          </w:p>
        </w:tc>
        <w:tc>
          <w:tcPr>
            <w:tcW w:w="1720" w:type="dxa"/>
            <w:vAlign w:val="bottom"/>
            <w:shd w:val="clear" w:color="auto" w:fill="E5E5E5"/>
          </w:tcPr>
          <w:p>
            <w:pPr>
              <w:spacing w:after="0"/>
              <w:rPr>
                <w:sz w:val="19"/>
                <w:szCs w:val="19"/>
                <w:color w:val="auto"/>
              </w:rPr>
            </w:pPr>
          </w:p>
        </w:tc>
        <w:tc>
          <w:tcPr>
            <w:tcW w:w="138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shd w:val="clear" w:color="auto" w:fill="E5E5E5"/>
          </w:tcPr>
          <w:p>
            <w:pPr>
              <w:spacing w:after="0"/>
              <w:rPr>
                <w:sz w:val="19"/>
                <w:szCs w:val="19"/>
                <w:color w:val="auto"/>
              </w:rPr>
            </w:pP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250.37</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40"/>
              <w:spacing w:after="0" w:line="229"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4"/>
                <w:szCs w:val="24"/>
                <w:color w:val="auto"/>
                <w:vertAlign w:val="superscript"/>
              </w:rPr>
              <w:t>(a)</w:t>
            </w:r>
          </w:p>
        </w:tc>
        <w:tc>
          <w:tcPr>
            <w:tcW w:w="17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339.46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Vested</w:t>
            </w:r>
          </w:p>
        </w:tc>
        <w:tc>
          <w:tcPr>
            <w:tcW w:w="1720" w:type="dxa"/>
            <w:vAlign w:val="bottom"/>
            <w:shd w:val="clear" w:color="auto" w:fill="E5E5E5"/>
          </w:tcPr>
          <w:p>
            <w:pPr>
              <w:spacing w:after="0"/>
              <w:rPr>
                <w:sz w:val="19"/>
                <w:szCs w:val="19"/>
                <w:color w:val="auto"/>
              </w:rPr>
            </w:pPr>
          </w:p>
        </w:tc>
        <w:tc>
          <w:tcPr>
            <w:tcW w:w="138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15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(42 )</w:t>
            </w:r>
          </w:p>
        </w:tc>
        <w:tc>
          <w:tcPr>
            <w:tcW w:w="300" w:type="dxa"/>
            <w:vAlign w:val="bottom"/>
            <w:shd w:val="clear" w:color="auto" w:fill="E5E5E5"/>
          </w:tcPr>
          <w:p>
            <w:pPr>
              <w:spacing w:after="0"/>
              <w:rPr>
                <w:sz w:val="19"/>
                <w:szCs w:val="19"/>
                <w:color w:val="auto"/>
              </w:rPr>
            </w:pP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246.71</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6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(7 )</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270.59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46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6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E5E5E5"/>
          </w:tcPr>
          <w:p>
            <w:pPr>
              <w:ind w:left="20"/>
              <w:spacing w:after="0"/>
              <w:rPr>
                <w:sz w:val="20"/>
                <w:szCs w:val="20"/>
                <w:color w:val="auto"/>
              </w:rPr>
            </w:pPr>
            <w:r>
              <w:rPr>
                <w:rFonts w:ascii="Arial" w:cs="Arial" w:eastAsia="Arial" w:hAnsi="Arial"/>
                <w:sz w:val="18"/>
                <w:szCs w:val="18"/>
                <w:color w:val="auto"/>
              </w:rPr>
              <w:t>Nonvested balance, end of year</w:t>
            </w:r>
          </w:p>
        </w:tc>
        <w:tc>
          <w:tcPr>
            <w:tcW w:w="1720" w:type="dxa"/>
            <w:vAlign w:val="bottom"/>
            <w:shd w:val="clear" w:color="auto" w:fill="E5E5E5"/>
          </w:tcPr>
          <w:p>
            <w:pPr>
              <w:spacing w:after="0"/>
              <w:rPr>
                <w:sz w:val="19"/>
                <w:szCs w:val="19"/>
                <w:color w:val="auto"/>
              </w:rPr>
            </w:pPr>
          </w:p>
        </w:tc>
        <w:tc>
          <w:tcPr>
            <w:tcW w:w="138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88</w:t>
            </w:r>
          </w:p>
        </w:tc>
        <w:tc>
          <w:tcPr>
            <w:tcW w:w="100" w:type="dxa"/>
            <w:vAlign w:val="bottom"/>
            <w:shd w:val="clear" w:color="auto" w:fill="E5E5E5"/>
          </w:tcPr>
          <w:p>
            <w:pPr>
              <w:spacing w:after="0"/>
              <w:rPr>
                <w:sz w:val="19"/>
                <w:szCs w:val="19"/>
                <w:color w:val="auto"/>
              </w:rPr>
            </w:pP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292.28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46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520" w:right="20" w:hanging="512"/>
        <w:spacing w:after="0" w:line="269"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Includes 1 million of PSUs granted at target and performance adjustments above target levels for each of the fiscal years 2024, 2023, and 2022.</w:t>
      </w:r>
    </w:p>
    <w:p>
      <w:pPr>
        <w:spacing w:after="0" w:line="12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of June 30, 2024, total unrecognized compensation costs related to stock awards were $20.3 billion. These costs are expected to be recognized over a weighted average period of three years. The weighted average grant-date fair value of stock awards granted was $339.46, $252.59, and $291.22 for fiscal years 2024, 2023, and 2022, respectively. The fair value of stock awards vested was $16.0 billion, $11.9 billion, and $14.1 billion, for fiscal years 2024, 2023, and 2022, respectively. As of June 30, 2024, an aggregate of 129 million shares were authorized for future grant under our stock plans.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an ESPP for all eligible employees. Shares of our common stock may be purchased by employees at three-month intervals at 90% of the fair market value on the last trading day of each three-month period. Employees may purchase shares having a value not exceeding 15% of their gross compensation during an offering period.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Employees purchased the following shares during the periods presented:</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(Shares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4040" w:type="dxa"/>
            <w:vAlign w:val="bottom"/>
          </w:tcPr>
          <w:p>
            <w:pPr>
              <w:jc w:val="right"/>
              <w:ind w:right="38"/>
              <w:spacing w:after="0"/>
              <w:rPr>
                <w:sz w:val="20"/>
                <w:szCs w:val="20"/>
                <w:color w:val="auto"/>
              </w:rPr>
            </w:pPr>
            <w:r>
              <w:rPr>
                <w:rFonts w:ascii="Arial" w:cs="Arial" w:eastAsia="Arial" w:hAnsi="Arial"/>
                <w:sz w:val="13"/>
                <w:szCs w:val="13"/>
                <w:b w:val="1"/>
                <w:bCs w:val="1"/>
                <w:color w:val="auto"/>
              </w:rPr>
              <w:t>2024</w:t>
            </w:r>
          </w:p>
        </w:tc>
        <w:tc>
          <w:tcPr>
            <w:tcW w:w="1120" w:type="dxa"/>
            <w:vAlign w:val="bottom"/>
          </w:tcPr>
          <w:p>
            <w:pPr>
              <w:jc w:val="right"/>
              <w:ind w:right="38"/>
              <w:spacing w:after="0"/>
              <w:rPr>
                <w:sz w:val="20"/>
                <w:szCs w:val="20"/>
                <w:color w:val="auto"/>
              </w:rPr>
            </w:pPr>
            <w:r>
              <w:rPr>
                <w:rFonts w:ascii="Arial" w:cs="Arial" w:eastAsia="Arial" w:hAnsi="Arial"/>
                <w:sz w:val="13"/>
                <w:szCs w:val="13"/>
                <w:b w:val="1"/>
                <w:bCs w:val="1"/>
                <w:color w:val="auto"/>
              </w:rPr>
              <w:t>2023</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r>
      <w:tr>
        <w:trPr>
          <w:trHeight w:val="58"/>
        </w:trPr>
        <w:tc>
          <w:tcPr>
            <w:tcW w:w="4980" w:type="dxa"/>
            <w:vAlign w:val="bottom"/>
          </w:tcPr>
          <w:p>
            <w:pPr>
              <w:spacing w:after="0"/>
              <w:rPr>
                <w:sz w:val="5"/>
                <w:szCs w:val="5"/>
                <w:color w:val="auto"/>
              </w:rPr>
            </w:pPr>
          </w:p>
        </w:tc>
        <w:tc>
          <w:tcPr>
            <w:tcW w:w="4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30"/>
        </w:trPr>
        <w:tc>
          <w:tcPr>
            <w:tcW w:w="4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Shares purchased</w:t>
            </w:r>
          </w:p>
        </w:tc>
        <w:tc>
          <w:tcPr>
            <w:tcW w:w="4040" w:type="dxa"/>
            <w:vAlign w:val="bottom"/>
            <w:shd w:val="clear" w:color="auto" w:fill="E5E5E5"/>
          </w:tcPr>
          <w:p>
            <w:pPr>
              <w:jc w:val="right"/>
              <w:ind w:right="38"/>
              <w:spacing w:after="0"/>
              <w:rPr>
                <w:sz w:val="20"/>
                <w:szCs w:val="20"/>
                <w:color w:val="auto"/>
              </w:rPr>
            </w:pPr>
            <w:r>
              <w:rPr>
                <w:rFonts w:ascii="Arial" w:cs="Arial" w:eastAsia="Arial" w:hAnsi="Arial"/>
                <w:sz w:val="18"/>
                <w:szCs w:val="18"/>
                <w:b w:val="1"/>
                <w:bCs w:val="1"/>
                <w:color w:val="auto"/>
              </w:rPr>
              <w:t>6</w:t>
            </w:r>
          </w:p>
        </w:tc>
        <w:tc>
          <w:tcPr>
            <w:tcW w:w="112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rPr>
              <w:t>7</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E5E5E5"/>
          </w:tcPr>
          <w:p>
            <w:pPr>
              <w:spacing w:after="0"/>
              <w:rPr>
                <w:sz w:val="19"/>
                <w:szCs w:val="19"/>
                <w:color w:val="auto"/>
              </w:rPr>
            </w:pPr>
          </w:p>
        </w:tc>
      </w:tr>
      <w:tr>
        <w:trPr>
          <w:trHeight w:val="247"/>
        </w:trPr>
        <w:tc>
          <w:tcPr>
            <w:tcW w:w="4980" w:type="dxa"/>
            <w:vAlign w:val="bottom"/>
          </w:tcPr>
          <w:p>
            <w:pPr>
              <w:ind w:left="20"/>
              <w:spacing w:after="0"/>
              <w:rPr>
                <w:sz w:val="20"/>
                <w:szCs w:val="20"/>
                <w:color w:val="auto"/>
              </w:rPr>
            </w:pPr>
            <w:r>
              <w:rPr>
                <w:rFonts w:ascii="Arial" w:cs="Arial" w:eastAsia="Arial" w:hAnsi="Arial"/>
                <w:sz w:val="18"/>
                <w:szCs w:val="18"/>
                <w:color w:val="auto"/>
              </w:rPr>
              <w:t>Average price per share</w:t>
            </w:r>
          </w:p>
        </w:tc>
        <w:tc>
          <w:tcPr>
            <w:tcW w:w="4040" w:type="dxa"/>
            <w:vAlign w:val="bottom"/>
          </w:tcPr>
          <w:p>
            <w:pPr>
              <w:jc w:val="right"/>
              <w:ind w:right="38"/>
              <w:spacing w:after="0"/>
              <w:rPr>
                <w:sz w:val="20"/>
                <w:szCs w:val="20"/>
                <w:color w:val="auto"/>
              </w:rPr>
            </w:pPr>
            <w:r>
              <w:rPr>
                <w:rFonts w:ascii="Arial" w:cs="Arial" w:eastAsia="Arial" w:hAnsi="Arial"/>
                <w:sz w:val="18"/>
                <w:szCs w:val="18"/>
                <w:b w:val="1"/>
                <w:bCs w:val="1"/>
                <w:color w:val="auto"/>
              </w:rPr>
              <w:t>$   339.46</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  245.59</w:t>
            </w:r>
          </w:p>
        </w:tc>
        <w:tc>
          <w:tcPr>
            <w:tcW w:w="1000" w:type="dxa"/>
            <w:vAlign w:val="bottom"/>
          </w:tcPr>
          <w:p>
            <w:pPr>
              <w:jc w:val="right"/>
              <w:spacing w:after="0"/>
              <w:rPr>
                <w:sz w:val="20"/>
                <w:szCs w:val="20"/>
                <w:color w:val="auto"/>
              </w:rPr>
            </w:pPr>
            <w:r>
              <w:rPr>
                <w:rFonts w:ascii="Arial" w:cs="Arial" w:eastAsia="Arial" w:hAnsi="Arial"/>
                <w:sz w:val="18"/>
                <w:szCs w:val="18"/>
                <w:color w:val="auto"/>
              </w:rPr>
              <w:t>$  259.55</w:t>
            </w:r>
          </w:p>
        </w:tc>
        <w:tc>
          <w:tcPr>
            <w:tcW w:w="100" w:type="dxa"/>
            <w:vAlign w:val="bottom"/>
          </w:tcPr>
          <w:p>
            <w:pPr>
              <w:spacing w:after="0"/>
              <w:rPr>
                <w:sz w:val="21"/>
                <w:szCs w:val="21"/>
                <w:color w:val="auto"/>
              </w:rPr>
            </w:pPr>
          </w:p>
        </w:tc>
      </w:tr>
      <w:tr>
        <w:trPr>
          <w:trHeight w:val="50"/>
        </w:trPr>
        <w:tc>
          <w:tcPr>
            <w:tcW w:w="4980" w:type="dxa"/>
            <w:vAlign w:val="bottom"/>
            <w:tcBorders>
              <w:bottom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170" w:lineRule="exact"/>
        <w:rPr>
          <w:sz w:val="20"/>
          <w:szCs w:val="20"/>
          <w:color w:val="auto"/>
        </w:rPr>
      </w:pPr>
    </w:p>
    <w:p>
      <w:pPr>
        <w:ind w:left="5540" w:right="2220" w:hanging="5535"/>
        <w:spacing w:after="0" w:line="476" w:lineRule="auto"/>
        <w:rPr>
          <w:sz w:val="20"/>
          <w:szCs w:val="20"/>
          <w:color w:val="auto"/>
        </w:rPr>
      </w:pPr>
      <w:r>
        <w:rPr>
          <w:rFonts w:ascii="Arial" w:cs="Arial" w:eastAsia="Arial" w:hAnsi="Arial"/>
          <w:sz w:val="18"/>
          <w:szCs w:val="18"/>
          <w:color w:val="auto"/>
        </w:rPr>
        <w:t xml:space="preserve">As of June 30, 2024, 68 million shares of our common stock were reserved for future issuance through the ESPP. </w:t>
      </w: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90" w:name="page91"/>
    <w:bookmarkEnd w:id="90"/>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Savings Plans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savings plans in the U.S. that qualify under Section 401(k) of the Internal Revenue Code, and a number of savings plans in international locations. Eligible U.S. employees may contribute a portion of their salary into the savings plans, subject to certain limitations. We match a portion of each dollar a participant contributes into the plans. Employer-funded retirement benefits for all plans were $1.7 billion, $1.6 billion, and $1.4 billion in fiscal years 2024, 2023, and 2022, respectively, and were expensed as contributed.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19 — SEGMENT INFORMATION AND GEOGRAPHIC DATA</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its operation of the business, management, including our chief operating decision maker, who is also our Chief Executive Officer, reviews certain financial information, including segmented internal profit and loss statements prepared on a basis not consistent with GAAP. During the periods presented, we reported our financial performance based on the following segments: Productivity and Business Processes, Intelligent Cloud, and More Personal Computing.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19" w:lineRule="exact"/>
        <w:rPr>
          <w:sz w:val="20"/>
          <w:szCs w:val="20"/>
          <w:color w:val="auto"/>
        </w:rPr>
      </w:pPr>
    </w:p>
    <w:p>
      <w:pPr>
        <w:jc w:val="both"/>
        <w:ind w:left="1020" w:hanging="368"/>
        <w:spacing w:after="0" w:line="252"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Office Commercial (Office 365 subscriptions, the Office 365 portion of Microsoft 365 Commercial subscriptions, and Office licensed on-premises), comprising Office, Exchange, SharePoint, Microsoft Teams, Office 365 Security and Compliance, Microsoft Viva, and Copilot for Microsoft 365.</w:t>
      </w:r>
    </w:p>
    <w:p>
      <w:pPr>
        <w:spacing w:after="0" w:line="35"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Office Consumer, including Microsoft 365 Consumer and Copilot Pro subscriptions, Office licensed on-premises, and other Office services.</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LinkedIn, including Talent Solutions, Marketing Solutions, Premium Subscriptions, and Sales Solutions.</w:t>
      </w:r>
    </w:p>
    <w:p>
      <w:pPr>
        <w:spacing w:after="0" w:line="89"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Dynamics business solutions, including Dynamics 365, comprising a set of intelligent, cloud-based applications across ERP, CRM, Power Apps, and Power Automate; and on-premises ERP and CRM applications.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 and developers. This segment primarily comprises:</w:t>
      </w:r>
    </w:p>
    <w:p>
      <w:pPr>
        <w:spacing w:after="0" w:line="19" w:lineRule="exact"/>
        <w:rPr>
          <w:sz w:val="20"/>
          <w:szCs w:val="20"/>
          <w:color w:val="auto"/>
        </w:rPr>
      </w:pPr>
    </w:p>
    <w:p>
      <w:pPr>
        <w:ind w:left="1020" w:hanging="368"/>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Server products and cloud services, including Azure and other cloud services; SQL Server, Windows Server, Visual Studio, System Center, and related Client Access Licenses (“CALs”); and Nuance and GitHub.</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Enterprise and partner services, including Enterprise Support Services, Industry Solutions, Nuance professional services, Microsoft Partner Network, and Learning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More Personal Computing segment consists of products and services that put customers at the center of the experience with our technology. This segment primarily comprises:</w:t>
      </w:r>
    </w:p>
    <w:p>
      <w:pPr>
        <w:spacing w:after="0" w:line="19" w:lineRule="exact"/>
        <w:rPr>
          <w:sz w:val="20"/>
          <w:szCs w:val="20"/>
          <w:color w:val="auto"/>
        </w:rPr>
      </w:pPr>
    </w:p>
    <w:p>
      <w:pPr>
        <w:jc w:val="both"/>
        <w:ind w:left="1020" w:hanging="368"/>
        <w:spacing w:after="0" w:line="252"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Windows, including Windows OEM licensing and other non-volume licensing of the Windows operating system; Windows Commercial, comprising volume licensing of the Windows operating system, Windows cloud services, and other Windows commercial offerings; patent licensing; and Windows Internet of Things.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Devices, including Surface, HoloLens, and PC accessories.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91" w:name="page92"/>
    <w:bookmarkEnd w:id="91"/>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251" w:lineRule="exact"/>
        <w:rPr>
          <w:sz w:val="20"/>
          <w:szCs w:val="20"/>
          <w:color w:val="auto"/>
        </w:rPr>
      </w:pPr>
    </w:p>
    <w:p>
      <w:pPr>
        <w:jc w:val="both"/>
        <w:ind w:left="1020" w:hanging="368"/>
        <w:spacing w:after="0" w:line="252"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Gaming, including Xbox hardware and Xbox content and services, comprising first-party content (such as Activision Blizzard) and third-party content, including games and in-game content; Xbox Game Pass and other subscriptions; Xbox Cloud Gaming; advertising; third-party disc royalties; and other cloud services.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Search and news advertising, comprising Bing (including Copilot), Microsoft News, Microsoft Edge, and third-party affiliates.</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spacing w:after="0" w:line="1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certain costs are incurred at a corporate level and allocated to our segments. These allocated costs generally include legal, including settlements and fines, information technology, human resources, finance, excise taxes, field selling, shared facilities services, customer service and support, and severance incurred as part of a corporate program. Each allocation is measured differently based on the specific facts and circumstances of the costs being allocated and is generally based on relative gross margin or relative headcount.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operating income were as follows during the periods presented:</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Revenue</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7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Productivity and Business Processes</w:t>
            </w:r>
          </w:p>
        </w:tc>
        <w:tc>
          <w:tcPr>
            <w:tcW w:w="30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77,728</w:t>
            </w:r>
          </w:p>
        </w:tc>
        <w:tc>
          <w:tcPr>
            <w:tcW w:w="5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69,274</w:t>
            </w:r>
          </w:p>
        </w:tc>
        <w:tc>
          <w:tcPr>
            <w:tcW w:w="5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63,364</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Intelligent Cloud</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105,362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87,907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More Personal Computing</w:t>
            </w:r>
          </w:p>
        </w:tc>
        <w:tc>
          <w:tcPr>
            <w:tcW w:w="30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62,032</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54,734</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59,941</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73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7320" w:type="dxa"/>
            <w:vAlign w:val="bottom"/>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245,122</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211,915</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198,270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7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Operating Income</w:t>
            </w: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73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7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Productivity and Business Processes</w:t>
            </w:r>
          </w:p>
        </w:tc>
        <w:tc>
          <w:tcPr>
            <w:tcW w:w="30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40,540</w:t>
            </w:r>
          </w:p>
        </w:tc>
        <w:tc>
          <w:tcPr>
            <w:tcW w:w="5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34,189</w:t>
            </w:r>
          </w:p>
        </w:tc>
        <w:tc>
          <w:tcPr>
            <w:tcW w:w="5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29,690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Intelligent Cloud</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49,584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37,884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More Personal Computing</w:t>
            </w:r>
          </w:p>
        </w:tc>
        <w:tc>
          <w:tcPr>
            <w:tcW w:w="30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19,309</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16,450</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20,490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73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7320" w:type="dxa"/>
            <w:vAlign w:val="bottom"/>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109,433</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88,523</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83,383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73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 sales to an individual customer or country other than the United States accounted for more than 10% of revenue for fiscal years 2024, 2023, or 2022. Revenue, classified by the major geographic areas in which our customers were located, was as follows: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r>
      <w:tr>
        <w:trPr>
          <w:trHeight w:val="58"/>
        </w:trPr>
        <w:tc>
          <w:tcPr>
            <w:tcW w:w="7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30"/>
        </w:trPr>
        <w:tc>
          <w:tcPr>
            <w:tcW w:w="7320" w:type="dxa"/>
            <w:vAlign w:val="bottom"/>
            <w:shd w:val="clear" w:color="auto" w:fill="E5E5E5"/>
          </w:tcPr>
          <w:p>
            <w:pPr>
              <w:ind w:left="20"/>
              <w:spacing w:after="0" w:line="229"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24"/>
                <w:szCs w:val="24"/>
                <w:color w:val="auto"/>
                <w:vertAlign w:val="superscript"/>
              </w:rPr>
              <w:t>(a)</w:t>
            </w:r>
          </w:p>
        </w:tc>
        <w:tc>
          <w:tcPr>
            <w:tcW w:w="30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124,704</w:t>
            </w:r>
          </w:p>
        </w:tc>
        <w:tc>
          <w:tcPr>
            <w:tcW w:w="5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106,744</w:t>
            </w:r>
          </w:p>
        </w:tc>
        <w:tc>
          <w:tcPr>
            <w:tcW w:w="5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100,218</w:t>
            </w:r>
          </w:p>
        </w:tc>
        <w:tc>
          <w:tcPr>
            <w:tcW w:w="100" w:type="dxa"/>
            <w:vAlign w:val="bottom"/>
            <w:shd w:val="clear" w:color="auto" w:fill="E5E5E5"/>
          </w:tcPr>
          <w:p>
            <w:pPr>
              <w:spacing w:after="0"/>
              <w:rPr>
                <w:sz w:val="19"/>
                <w:szCs w:val="19"/>
                <w:color w:val="auto"/>
              </w:rPr>
            </w:pPr>
          </w:p>
        </w:tc>
      </w:tr>
      <w:tr>
        <w:trPr>
          <w:trHeight w:val="247"/>
        </w:trPr>
        <w:tc>
          <w:tcPr>
            <w:tcW w:w="7320" w:type="dxa"/>
            <w:vAlign w:val="bottom"/>
          </w:tcPr>
          <w:p>
            <w:pPr>
              <w:ind w:left="20"/>
              <w:spacing w:after="0"/>
              <w:rPr>
                <w:sz w:val="20"/>
                <w:szCs w:val="20"/>
                <w:color w:val="auto"/>
              </w:rPr>
            </w:pPr>
            <w:r>
              <w:rPr>
                <w:rFonts w:ascii="Arial" w:cs="Arial" w:eastAsia="Arial" w:hAnsi="Arial"/>
                <w:sz w:val="18"/>
                <w:szCs w:val="18"/>
                <w:color w:val="auto"/>
              </w:rPr>
              <w:t>Other countries</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120,418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105,171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98,052</w:t>
            </w:r>
          </w:p>
        </w:tc>
        <w:tc>
          <w:tcPr>
            <w:tcW w:w="100" w:type="dxa"/>
            <w:vAlign w:val="bottom"/>
          </w:tcPr>
          <w:p>
            <w:pPr>
              <w:spacing w:after="0"/>
              <w:rPr>
                <w:sz w:val="21"/>
                <w:szCs w:val="21"/>
                <w:color w:val="auto"/>
              </w:rPr>
            </w:pPr>
          </w:p>
        </w:tc>
      </w:tr>
      <w:tr>
        <w:trPr>
          <w:trHeight w:val="50"/>
        </w:trPr>
        <w:tc>
          <w:tcPr>
            <w:tcW w:w="7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7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73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245,122</w:t>
            </w:r>
          </w:p>
        </w:tc>
        <w:tc>
          <w:tcPr>
            <w:tcW w:w="5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211,915</w:t>
            </w:r>
          </w:p>
        </w:tc>
        <w:tc>
          <w:tcPr>
            <w:tcW w:w="5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198,270</w:t>
            </w:r>
          </w:p>
        </w:tc>
        <w:tc>
          <w:tcPr>
            <w:tcW w:w="100" w:type="dxa"/>
            <w:vAlign w:val="bottom"/>
            <w:shd w:val="clear" w:color="auto" w:fill="E5E5E5"/>
          </w:tcPr>
          <w:p>
            <w:pPr>
              <w:spacing w:after="0"/>
              <w:rPr>
                <w:sz w:val="19"/>
                <w:szCs w:val="19"/>
                <w:color w:val="auto"/>
              </w:rPr>
            </w:pPr>
          </w:p>
        </w:tc>
      </w:tr>
      <w:tr>
        <w:trPr>
          <w:trHeight w:val="75"/>
        </w:trPr>
        <w:tc>
          <w:tcPr>
            <w:tcW w:w="73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64" w:lineRule="exact"/>
        <w:rPr>
          <w:sz w:val="20"/>
          <w:szCs w:val="20"/>
          <w:color w:val="auto"/>
        </w:rPr>
      </w:pPr>
    </w:p>
    <w:p>
      <w:pPr>
        <w:ind w:left="520" w:hanging="512"/>
        <w:spacing w:after="0" w:line="269"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Includes billings to OEMs and certain multinational organizations because of the nature of these businesses and the impracticability of determining the geographic source of the revenue.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92" w:name="page93"/>
    <w:bookmarkEnd w:id="92"/>
    <w:p>
      <w:pPr>
        <w:ind w:left="54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Revenue, classified by significant product and service offerings, was as follows:</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Year Ended June 30,</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r>
      <w:tr>
        <w:trPr>
          <w:trHeight w:val="58"/>
        </w:trPr>
        <w:tc>
          <w:tcPr>
            <w:tcW w:w="7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7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Server products and cloud services</w:t>
            </w:r>
          </w:p>
        </w:tc>
        <w:tc>
          <w:tcPr>
            <w:tcW w:w="30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97,726</w:t>
            </w:r>
          </w:p>
        </w:tc>
        <w:tc>
          <w:tcPr>
            <w:tcW w:w="5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79,970</w:t>
            </w:r>
          </w:p>
        </w:tc>
        <w:tc>
          <w:tcPr>
            <w:tcW w:w="5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67,350</w:t>
            </w:r>
          </w:p>
        </w:tc>
        <w:tc>
          <w:tcPr>
            <w:tcW w:w="100" w:type="dxa"/>
            <w:vAlign w:val="bottom"/>
            <w:shd w:val="clear" w:color="auto" w:fill="E5E5E5"/>
          </w:tcPr>
          <w:p>
            <w:pPr>
              <w:spacing w:after="0"/>
              <w:rPr>
                <w:sz w:val="19"/>
                <w:szCs w:val="19"/>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Office products and cloud services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54,875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48,848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44,970</w:t>
            </w:r>
          </w:p>
        </w:tc>
        <w:tc>
          <w:tcPr>
            <w:tcW w:w="100" w:type="dxa"/>
            <w:vAlign w:val="bottom"/>
          </w:tcPr>
          <w:p>
            <w:pPr>
              <w:spacing w:after="0"/>
              <w:rPr>
                <w:sz w:val="19"/>
                <w:szCs w:val="19"/>
                <w:color w:val="auto"/>
              </w:rPr>
            </w:pPr>
          </w:p>
        </w:tc>
      </w:tr>
      <w:tr>
        <w:trPr>
          <w:trHeight w:val="229"/>
        </w:trPr>
        <w:tc>
          <w:tcPr>
            <w:tcW w:w="7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Windows</w:t>
            </w:r>
          </w:p>
        </w:tc>
        <w:tc>
          <w:tcPr>
            <w:tcW w:w="30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23,244</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21,507</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24,732</w:t>
            </w:r>
          </w:p>
        </w:tc>
        <w:tc>
          <w:tcPr>
            <w:tcW w:w="100" w:type="dxa"/>
            <w:vAlign w:val="bottom"/>
            <w:shd w:val="clear" w:color="auto" w:fill="E5E5E5"/>
          </w:tcPr>
          <w:p>
            <w:pPr>
              <w:spacing w:after="0"/>
              <w:rPr>
                <w:sz w:val="19"/>
                <w:szCs w:val="19"/>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Gaming</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21,503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15,466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16,230</w:t>
            </w:r>
          </w:p>
        </w:tc>
        <w:tc>
          <w:tcPr>
            <w:tcW w:w="100" w:type="dxa"/>
            <w:vAlign w:val="bottom"/>
          </w:tcPr>
          <w:p>
            <w:pPr>
              <w:spacing w:after="0"/>
              <w:rPr>
                <w:sz w:val="19"/>
                <w:szCs w:val="19"/>
                <w:color w:val="auto"/>
              </w:rPr>
            </w:pPr>
          </w:p>
        </w:tc>
      </w:tr>
      <w:tr>
        <w:trPr>
          <w:trHeight w:val="230"/>
        </w:trPr>
        <w:tc>
          <w:tcPr>
            <w:tcW w:w="7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LinkedIn</w:t>
            </w:r>
          </w:p>
        </w:tc>
        <w:tc>
          <w:tcPr>
            <w:tcW w:w="30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16,372</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14,989</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13,631</w:t>
            </w:r>
          </w:p>
        </w:tc>
        <w:tc>
          <w:tcPr>
            <w:tcW w:w="100" w:type="dxa"/>
            <w:vAlign w:val="bottom"/>
            <w:shd w:val="clear" w:color="auto" w:fill="E5E5E5"/>
          </w:tcPr>
          <w:p>
            <w:pPr>
              <w:spacing w:after="0"/>
              <w:rPr>
                <w:sz w:val="19"/>
                <w:szCs w:val="19"/>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Search and news advertising</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12,576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12,158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11,526</w:t>
            </w:r>
          </w:p>
        </w:tc>
        <w:tc>
          <w:tcPr>
            <w:tcW w:w="100" w:type="dxa"/>
            <w:vAlign w:val="bottom"/>
          </w:tcPr>
          <w:p>
            <w:pPr>
              <w:spacing w:after="0"/>
              <w:rPr>
                <w:sz w:val="19"/>
                <w:szCs w:val="19"/>
                <w:color w:val="auto"/>
              </w:rPr>
            </w:pPr>
          </w:p>
        </w:tc>
      </w:tr>
      <w:tr>
        <w:trPr>
          <w:trHeight w:val="230"/>
        </w:trPr>
        <w:tc>
          <w:tcPr>
            <w:tcW w:w="7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Enterprise and partner services</w:t>
            </w:r>
          </w:p>
        </w:tc>
        <w:tc>
          <w:tcPr>
            <w:tcW w:w="30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7,594</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7,900</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7,605</w:t>
            </w:r>
          </w:p>
        </w:tc>
        <w:tc>
          <w:tcPr>
            <w:tcW w:w="100" w:type="dxa"/>
            <w:vAlign w:val="bottom"/>
            <w:shd w:val="clear" w:color="auto" w:fill="E5E5E5"/>
          </w:tcPr>
          <w:p>
            <w:pPr>
              <w:spacing w:after="0"/>
              <w:rPr>
                <w:sz w:val="19"/>
                <w:szCs w:val="19"/>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Dynamics products and cloud services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6,481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5,437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4,687</w:t>
            </w:r>
          </w:p>
        </w:tc>
        <w:tc>
          <w:tcPr>
            <w:tcW w:w="100" w:type="dxa"/>
            <w:vAlign w:val="bottom"/>
          </w:tcPr>
          <w:p>
            <w:pPr>
              <w:spacing w:after="0"/>
              <w:rPr>
                <w:sz w:val="19"/>
                <w:szCs w:val="19"/>
                <w:color w:val="auto"/>
              </w:rPr>
            </w:pPr>
          </w:p>
        </w:tc>
      </w:tr>
      <w:tr>
        <w:trPr>
          <w:trHeight w:val="229"/>
        </w:trPr>
        <w:tc>
          <w:tcPr>
            <w:tcW w:w="7320" w:type="dxa"/>
            <w:vAlign w:val="bottom"/>
            <w:shd w:val="clear" w:color="auto" w:fill="E5E5E5"/>
          </w:tcPr>
          <w:p>
            <w:pPr>
              <w:ind w:left="20"/>
              <w:spacing w:after="0"/>
              <w:rPr>
                <w:sz w:val="20"/>
                <w:szCs w:val="20"/>
                <w:color w:val="auto"/>
              </w:rPr>
            </w:pPr>
            <w:r>
              <w:rPr>
                <w:rFonts w:ascii="Arial" w:cs="Arial" w:eastAsia="Arial" w:hAnsi="Arial"/>
                <w:sz w:val="18"/>
                <w:szCs w:val="18"/>
                <w:color w:val="auto"/>
              </w:rPr>
              <w:t>Devices</w:t>
            </w:r>
          </w:p>
        </w:tc>
        <w:tc>
          <w:tcPr>
            <w:tcW w:w="30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4,706</w:t>
            </w:r>
          </w:p>
        </w:tc>
        <w:tc>
          <w:tcPr>
            <w:tcW w:w="2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5,521</w:t>
            </w:r>
          </w:p>
        </w:tc>
        <w:tc>
          <w:tcPr>
            <w:tcW w:w="2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7,306</w:t>
            </w:r>
          </w:p>
        </w:tc>
        <w:tc>
          <w:tcPr>
            <w:tcW w:w="100" w:type="dxa"/>
            <w:vAlign w:val="bottom"/>
            <w:shd w:val="clear" w:color="auto" w:fill="E5E5E5"/>
          </w:tcPr>
          <w:p>
            <w:pPr>
              <w:spacing w:after="0"/>
              <w:rPr>
                <w:sz w:val="19"/>
                <w:szCs w:val="19"/>
                <w:color w:val="auto"/>
              </w:rPr>
            </w:pPr>
          </w:p>
        </w:tc>
      </w:tr>
      <w:tr>
        <w:trPr>
          <w:trHeight w:val="247"/>
        </w:trPr>
        <w:tc>
          <w:tcPr>
            <w:tcW w:w="732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r>
      <w:tr>
        <w:trPr>
          <w:trHeight w:val="50"/>
        </w:trPr>
        <w:tc>
          <w:tcPr>
            <w:tcW w:w="7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61"/>
        </w:trPr>
        <w:tc>
          <w:tcPr>
            <w:tcW w:w="7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9"/>
        </w:trPr>
        <w:tc>
          <w:tcPr>
            <w:tcW w:w="73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245,122</w:t>
            </w:r>
          </w:p>
        </w:tc>
        <w:tc>
          <w:tcPr>
            <w:tcW w:w="5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211,915</w:t>
            </w:r>
          </w:p>
        </w:tc>
        <w:tc>
          <w:tcPr>
            <w:tcW w:w="5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198,270</w:t>
            </w:r>
          </w:p>
        </w:tc>
        <w:tc>
          <w:tcPr>
            <w:tcW w:w="100" w:type="dxa"/>
            <w:vAlign w:val="bottom"/>
            <w:shd w:val="clear" w:color="auto" w:fill="E5E5E5"/>
          </w:tcPr>
          <w:p>
            <w:pPr>
              <w:spacing w:after="0"/>
              <w:rPr>
                <w:sz w:val="19"/>
                <w:szCs w:val="19"/>
                <w:color w:val="auto"/>
              </w:rPr>
            </w:pPr>
          </w:p>
        </w:tc>
      </w:tr>
      <w:tr>
        <w:trPr>
          <w:trHeight w:val="75"/>
        </w:trPr>
        <w:tc>
          <w:tcPr>
            <w:tcW w:w="73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recast certain prior period amounts to conform to the way we internally manage and monitor our business.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Microsoft Cloud revenue, which includes Azure and other cloud services, Office 365 Commercial, the commercial portion of LinkedIn, Dynamics 365, and other commercial cloud properties, was $137.4 billion, $111.6 billion, and $91.4 billion in fiscal years 2024, 2023, and 2022, respectively. These amounts are primarily included in Server products and cloud services, Office products and cloud services, LinkedIn, and Dynamics products and cloud services in the table above.</w:t>
      </w:r>
    </w:p>
    <w:p>
      <w:pPr>
        <w:spacing w:after="0" w:line="12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Long-lived assets, excluding financial instruments and tax assets, classified by the location of the controlling statutory company and with countries over 10% of the total shown separately, were as follows: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637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340" w:type="dxa"/>
            <w:vAlign w:val="bottom"/>
          </w:tcPr>
          <w:p>
            <w:pPr>
              <w:spacing w:after="0"/>
              <w:rPr>
                <w:sz w:val="20"/>
                <w:szCs w:val="20"/>
                <w:color w:val="auto"/>
              </w:rPr>
            </w:pPr>
            <w:r>
              <w:rPr>
                <w:rFonts w:ascii="Arial" w:cs="Arial" w:eastAsia="Arial" w:hAnsi="Arial"/>
                <w:sz w:val="13"/>
                <w:szCs w:val="13"/>
                <w:b w:val="1"/>
                <w:bCs w:val="1"/>
                <w:color w:val="auto"/>
              </w:rPr>
              <w:t>June 30,</w:t>
            </w:r>
          </w:p>
        </w:tc>
        <w:tc>
          <w:tcPr>
            <w:tcW w:w="4620" w:type="dxa"/>
            <w:vAlign w:val="bottom"/>
          </w:tcPr>
          <w:p>
            <w:pPr>
              <w:jc w:val="right"/>
              <w:ind w:right="473"/>
              <w:spacing w:after="0"/>
              <w:rPr>
                <w:sz w:val="20"/>
                <w:szCs w:val="20"/>
                <w:color w:val="auto"/>
              </w:rPr>
            </w:pPr>
            <w:r>
              <w:rPr>
                <w:rFonts w:ascii="Arial" w:cs="Arial" w:eastAsia="Arial" w:hAnsi="Arial"/>
                <w:sz w:val="13"/>
                <w:szCs w:val="13"/>
                <w:b w:val="1"/>
                <w:bCs w:val="1"/>
                <w:color w:val="auto"/>
              </w:rPr>
              <w:t>2024</w:t>
            </w:r>
          </w:p>
        </w:tc>
        <w:tc>
          <w:tcPr>
            <w:tcW w:w="1320" w:type="dxa"/>
            <w:vAlign w:val="bottom"/>
          </w:tcPr>
          <w:p>
            <w:pPr>
              <w:jc w:val="right"/>
              <w:ind w:right="433"/>
              <w:spacing w:after="0"/>
              <w:rPr>
                <w:sz w:val="20"/>
                <w:szCs w:val="20"/>
                <w:color w:val="auto"/>
              </w:rPr>
            </w:pPr>
            <w:r>
              <w:rPr>
                <w:rFonts w:ascii="Arial" w:cs="Arial" w:eastAsia="Arial" w:hAnsi="Arial"/>
                <w:sz w:val="13"/>
                <w:szCs w:val="13"/>
                <w:b w:val="1"/>
                <w:bCs w:val="1"/>
                <w:color w:val="auto"/>
              </w:rPr>
              <w:t>2023</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r>
    </w:tbl>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shd w:val="clear" w:color="auto" w:fill="E5E5E5"/>
          </w:tcPr>
          <w:p>
            <w:pPr>
              <w:ind w:left="20"/>
              <w:spacing w:after="0"/>
              <w:rPr>
                <w:sz w:val="20"/>
                <w:szCs w:val="20"/>
                <w:color w:val="auto"/>
              </w:rPr>
            </w:pPr>
            <w:r>
              <w:rPr>
                <w:rFonts w:ascii="Arial" w:cs="Arial" w:eastAsia="Arial" w:hAnsi="Arial"/>
                <w:sz w:val="18"/>
                <w:szCs w:val="18"/>
                <w:color w:val="auto"/>
              </w:rPr>
              <w:t>United States</w:t>
            </w:r>
          </w:p>
        </w:tc>
        <w:tc>
          <w:tcPr>
            <w:tcW w:w="422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186,106</w:t>
            </w:r>
          </w:p>
        </w:tc>
        <w:tc>
          <w:tcPr>
            <w:tcW w:w="5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114,380</w:t>
            </w:r>
          </w:p>
        </w:tc>
        <w:tc>
          <w:tcPr>
            <w:tcW w:w="5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106,430</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400" w:type="dxa"/>
            <w:vAlign w:val="bottom"/>
          </w:tcPr>
          <w:p>
            <w:pPr>
              <w:ind w:left="20"/>
              <w:spacing w:after="0"/>
              <w:rPr>
                <w:sz w:val="20"/>
                <w:szCs w:val="20"/>
                <w:color w:val="auto"/>
              </w:rPr>
            </w:pPr>
            <w:r>
              <w:rPr>
                <w:rFonts w:ascii="Arial" w:cs="Arial" w:eastAsia="Arial" w:hAnsi="Arial"/>
                <w:sz w:val="18"/>
                <w:szCs w:val="18"/>
                <w:color w:val="auto"/>
              </w:rPr>
              <w:t>Other countries</w:t>
            </w:r>
          </w:p>
        </w:tc>
        <w:tc>
          <w:tcPr>
            <w:tcW w:w="3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115,263</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72,859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59,938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3400" w:type="dxa"/>
            <w:vAlign w:val="bottom"/>
            <w:tcBorders>
              <w:bottom w:val="single" w:sz="8" w:color="auto"/>
            </w:tcBorders>
          </w:tcPr>
          <w:p>
            <w:pPr>
              <w:spacing w:after="0"/>
              <w:rPr>
                <w:sz w:val="4"/>
                <w:szCs w:val="4"/>
                <w:color w:val="auto"/>
              </w:rPr>
            </w:pPr>
          </w:p>
        </w:tc>
        <w:tc>
          <w:tcPr>
            <w:tcW w:w="39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400" w:type="dxa"/>
            <w:vAlign w:val="bottom"/>
          </w:tcPr>
          <w:p>
            <w:pPr>
              <w:spacing w:after="0"/>
              <w:rPr>
                <w:sz w:val="5"/>
                <w:szCs w:val="5"/>
                <w:color w:val="auto"/>
              </w:rPr>
            </w:pPr>
          </w:p>
        </w:tc>
        <w:tc>
          <w:tcPr>
            <w:tcW w:w="3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Total</w:t>
            </w:r>
          </w:p>
        </w:tc>
        <w:tc>
          <w:tcPr>
            <w:tcW w:w="422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301,369</w:t>
            </w:r>
          </w:p>
        </w:tc>
        <w:tc>
          <w:tcPr>
            <w:tcW w:w="5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187,239</w:t>
            </w:r>
          </w:p>
        </w:tc>
        <w:tc>
          <w:tcPr>
            <w:tcW w:w="5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166,368</w:t>
            </w: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3400" w:type="dxa"/>
            <w:vAlign w:val="bottom"/>
          </w:tcPr>
          <w:p>
            <w:pPr>
              <w:spacing w:after="0"/>
              <w:rPr>
                <w:sz w:val="6"/>
                <w:szCs w:val="6"/>
                <w:color w:val="auto"/>
              </w:rPr>
            </w:pPr>
          </w:p>
        </w:tc>
        <w:tc>
          <w:tcPr>
            <w:tcW w:w="3920" w:type="dxa"/>
            <w:vAlign w:val="bottom"/>
            <w:vMerge w:val="restart"/>
          </w:tcPr>
          <w:p>
            <w:pPr>
              <w:jc w:val="right"/>
              <w:ind w:right="1536"/>
              <w:spacing w:after="0"/>
              <w:rPr>
                <w:sz w:val="20"/>
                <w:szCs w:val="20"/>
                <w:color w:val="auto"/>
              </w:rPr>
            </w:pPr>
            <w:r>
              <w:rPr>
                <w:rFonts w:ascii="Arial" w:cs="Arial" w:eastAsia="Arial" w:hAnsi="Arial"/>
                <w:sz w:val="14"/>
                <w:szCs w:val="14"/>
                <w:color w:val="auto"/>
              </w:rPr>
              <w:t>93</w:t>
            </w: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3"/>
        </w:trPr>
        <w:tc>
          <w:tcPr>
            <w:tcW w:w="340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34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93" w:name="page94"/>
    <w:bookmarkEnd w:id="93"/>
    <w:p>
      <w:pPr>
        <w:ind w:left="52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240"/>
        <w:spacing w:after="0"/>
        <w:rPr>
          <w:sz w:val="20"/>
          <w:szCs w:val="20"/>
          <w:color w:val="auto"/>
        </w:rPr>
      </w:pPr>
      <w:r>
        <w:rPr>
          <w:rFonts w:ascii="Arial" w:cs="Arial" w:eastAsia="Arial" w:hAnsi="Arial"/>
          <w:sz w:val="13"/>
          <w:szCs w:val="13"/>
          <w:color w:val="auto"/>
        </w:rPr>
        <w:t>Item 8</w:t>
      </w:r>
    </w:p>
    <w:p>
      <w:pPr>
        <w:spacing w:after="0" w:line="170" w:lineRule="exact"/>
        <w:rPr>
          <w:sz w:val="20"/>
          <w:szCs w:val="20"/>
          <w:color w:val="auto"/>
        </w:rPr>
      </w:pPr>
    </w:p>
    <w:p>
      <w:pPr>
        <w:ind w:right="4600"/>
        <w:spacing w:after="0" w:line="422"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Microsoft Corporation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audited the accompanying consolidated balance sheets of Microsoft Corporation and subsidiaries (the "Company") as of June 30, 2024 and 2023, the related consolidated statements of income, comprehensive income, cash flows, and stockholders' equity, for each of the three years in the period ended June 30, 2024, and the related notes (collectively referred to as the "financial statements"). In our opinion, the financial statements present fairly, in all material respects, the financial position of the Company as of June 30, 2024 and 2023, and the results of its operations and its cash flows for each of the three years in the period ended June 30, 2024, in conformity with accounting principles generally accepted in the United States of America.</w:t>
      </w:r>
    </w:p>
    <w:p>
      <w:pPr>
        <w:spacing w:after="0" w:line="12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June 30, 2024, based on criteria established in </w:t>
      </w:r>
      <w:r>
        <w:rPr>
          <w:rFonts w:ascii="Arial" w:cs="Arial" w:eastAsia="Arial" w:hAnsi="Arial"/>
          <w:sz w:val="18"/>
          <w:szCs w:val="18"/>
          <w:i w:val="1"/>
          <w:iCs w:val="1"/>
          <w:color w:val="auto"/>
        </w:rPr>
        <w:t>Internal Control</w:t>
      </w:r>
    </w:p>
    <w:p>
      <w:pPr>
        <w:ind w:right="20"/>
        <w:spacing w:after="0" w:line="250" w:lineRule="auto"/>
        <w:rPr>
          <w:sz w:val="20"/>
          <w:szCs w:val="20"/>
          <w:color w:val="auto"/>
        </w:rPr>
      </w:pPr>
      <w:r>
        <w:rPr>
          <w:rFonts w:ascii="Arial" w:cs="Arial" w:eastAsia="Arial" w:hAnsi="Arial"/>
          <w:sz w:val="18"/>
          <w:szCs w:val="18"/>
          <w:i w:val="1"/>
          <w:iCs w:val="1"/>
          <w:color w:val="auto"/>
        </w:rPr>
        <w:t xml:space="preserve">— Integrated Framework (2013) </w:t>
      </w:r>
      <w:r>
        <w:rPr>
          <w:rFonts w:ascii="Arial" w:cs="Arial" w:eastAsia="Arial" w:hAnsi="Arial"/>
          <w:sz w:val="18"/>
          <w:szCs w:val="18"/>
          <w:color w:val="auto"/>
        </w:rPr>
        <w:t>issued by the Committee of Sponsoring Organizations of the Treadway Commission and our report</w:t>
      </w:r>
      <w:r>
        <w:rPr>
          <w:rFonts w:ascii="Arial" w:cs="Arial" w:eastAsia="Arial" w:hAnsi="Arial"/>
          <w:sz w:val="18"/>
          <w:szCs w:val="18"/>
          <w:i w:val="1"/>
          <w:iCs w:val="1"/>
          <w:color w:val="auto"/>
        </w:rPr>
        <w:t xml:space="preserve"> </w:t>
      </w:r>
      <w:r>
        <w:rPr>
          <w:rFonts w:ascii="Arial" w:cs="Arial" w:eastAsia="Arial" w:hAnsi="Arial"/>
          <w:sz w:val="18"/>
          <w:szCs w:val="18"/>
          <w:color w:val="auto"/>
        </w:rPr>
        <w:t>dated July 30, 2024, expressed an unqualified opinion on the Company's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27" w:lineRule="exact"/>
        <w:rPr>
          <w:sz w:val="20"/>
          <w:szCs w:val="20"/>
          <w:color w:val="auto"/>
        </w:rPr>
      </w:pPr>
    </w:p>
    <w:p>
      <w:pPr>
        <w:ind w:right="5060"/>
        <w:spacing w:after="0" w:line="421" w:lineRule="auto"/>
        <w:rPr>
          <w:sz w:val="20"/>
          <w:szCs w:val="20"/>
          <w:color w:val="auto"/>
        </w:rPr>
      </w:pPr>
      <w:r>
        <w:rPr>
          <w:rFonts w:ascii="Arial" w:cs="Arial" w:eastAsia="Arial" w:hAnsi="Arial"/>
          <w:sz w:val="18"/>
          <w:szCs w:val="18"/>
          <w:b w:val="1"/>
          <w:bCs w:val="1"/>
          <w:i w:val="1"/>
          <w:iCs w:val="1"/>
          <w:color w:val="auto"/>
        </w:rPr>
        <w:t xml:space="preserve">Revenue Recognition – Refer to Note 1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recognizes revenue upon transfer of control of promised products or services to customers in an amount that reflects the consideration the Company expects to receive in exchange for those products or services. The Company offers customers the ability to acquire multiple licenses of software products and services, including cloud-based services, in its customer agreements through its volume licensing programs.</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473710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520" w:top="775" w:right="679" w:bottom="1440" w:gutter="0" w:footer="0" w:header="0"/>
        </w:sectPr>
      </w:pPr>
    </w:p>
    <w:bookmarkStart w:id="94" w:name="page95"/>
    <w:bookmarkEnd w:id="94"/>
    <w:p>
      <w:pPr>
        <w:ind w:left="52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2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Significant judgment is exercised by the Company in determining revenue recognition for certain customer agreements, and includes the following:</w:t>
      </w:r>
    </w:p>
    <w:p>
      <w:pPr>
        <w:spacing w:after="0" w:line="100" w:lineRule="exact"/>
        <w:rPr>
          <w:sz w:val="20"/>
          <w:szCs w:val="20"/>
          <w:color w:val="auto"/>
        </w:rPr>
      </w:pPr>
    </w:p>
    <w:p>
      <w:pPr>
        <w:ind w:left="360" w:hanging="358"/>
        <w:spacing w:after="0" w:line="270" w:lineRule="auto"/>
        <w:tabs>
          <w:tab w:leader="none" w:pos="3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Determination of whether products and services are considered distinct performance obligations that should be accounted for separately versus together, such as software licenses and related services that are sold with cloud-based services.</w:t>
      </w:r>
    </w:p>
    <w:p>
      <w:pPr>
        <w:spacing w:after="0" w:line="100" w:lineRule="exact"/>
        <w:rPr>
          <w:rFonts w:ascii="Times New Roman" w:cs="Times New Roman" w:eastAsia="Times New Roman" w:hAnsi="Times New Roman"/>
          <w:sz w:val="18"/>
          <w:szCs w:val="18"/>
          <w:color w:val="auto"/>
        </w:rPr>
      </w:pPr>
    </w:p>
    <w:p>
      <w:pPr>
        <w:ind w:left="360" w:hanging="358"/>
        <w:spacing w:after="0"/>
        <w:tabs>
          <w:tab w:leader="none" w:pos="3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pattern of delivery (i.e., timing of when revenue is recognized) for each distinct performance obligation.</w:t>
      </w:r>
    </w:p>
    <w:p>
      <w:pPr>
        <w:spacing w:after="0" w:line="170" w:lineRule="exact"/>
        <w:rPr>
          <w:rFonts w:ascii="Times New Roman" w:cs="Times New Roman" w:eastAsia="Times New Roman" w:hAnsi="Times New Roman"/>
          <w:sz w:val="18"/>
          <w:szCs w:val="18"/>
          <w:color w:val="auto"/>
        </w:rPr>
      </w:pPr>
    </w:p>
    <w:p>
      <w:pPr>
        <w:ind w:left="360" w:hanging="358"/>
        <w:spacing w:after="0" w:line="270" w:lineRule="auto"/>
        <w:tabs>
          <w:tab w:leader="none" w:pos="3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Identification and treatment of contract terms that may impact the timing and amount of revenue recognized (e.g., variable consideration, optional purchases, and free services).</w:t>
      </w:r>
    </w:p>
    <w:p>
      <w:pPr>
        <w:spacing w:after="0" w:line="100" w:lineRule="exact"/>
        <w:rPr>
          <w:rFonts w:ascii="Times New Roman" w:cs="Times New Roman" w:eastAsia="Times New Roman" w:hAnsi="Times New Roman"/>
          <w:sz w:val="18"/>
          <w:szCs w:val="18"/>
          <w:color w:val="auto"/>
        </w:rPr>
      </w:pPr>
    </w:p>
    <w:p>
      <w:pPr>
        <w:ind w:left="360" w:hanging="358"/>
        <w:spacing w:after="0" w:line="270" w:lineRule="auto"/>
        <w:tabs>
          <w:tab w:leader="none" w:pos="3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Determination of stand-alone selling prices for each distinct performance obligation and for products and services that are not sold separately.</w:t>
      </w:r>
    </w:p>
    <w:p>
      <w:pPr>
        <w:spacing w:after="0" w:line="10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Given these factors and due to the volume of transactions, the related audit effort in evaluating management's judgments in determining revenue recognition for certain customer agreements was extensive and required a high degree of auditor judgment.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audit procedures related to the Company's revenue recognition for certain customer agreements included the following:</w:t>
      </w:r>
    </w:p>
    <w:p>
      <w:pPr>
        <w:spacing w:after="0" w:line="158" w:lineRule="exact"/>
        <w:rPr>
          <w:sz w:val="20"/>
          <w:szCs w:val="20"/>
          <w:color w:val="auto"/>
        </w:rPr>
      </w:pPr>
    </w:p>
    <w:p>
      <w:pPr>
        <w:ind w:left="360" w:hanging="358"/>
        <w:spacing w:after="0" w:line="270" w:lineRule="auto"/>
        <w:tabs>
          <w:tab w:leader="none" w:pos="3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the effectiveness of controls related to the identification of distinct performance obligations, the determination of the timing of revenue recognition, and the estimation of variable consideration.</w:t>
      </w:r>
    </w:p>
    <w:p>
      <w:pPr>
        <w:spacing w:after="0" w:line="100" w:lineRule="exact"/>
        <w:rPr>
          <w:rFonts w:ascii="Times New Roman" w:cs="Times New Roman" w:eastAsia="Times New Roman" w:hAnsi="Times New Roman"/>
          <w:sz w:val="18"/>
          <w:szCs w:val="18"/>
          <w:color w:val="auto"/>
        </w:rPr>
      </w:pPr>
    </w:p>
    <w:p>
      <w:pPr>
        <w:ind w:left="360" w:hanging="358"/>
        <w:spacing w:after="0"/>
        <w:tabs>
          <w:tab w:leader="none" w:pos="3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We evaluated management's significant accounting policies related to certain customer agreements for reasonableness.</w:t>
      </w:r>
    </w:p>
    <w:p>
      <w:pPr>
        <w:spacing w:after="0" w:line="170" w:lineRule="exact"/>
        <w:rPr>
          <w:rFonts w:ascii="Times New Roman" w:cs="Times New Roman" w:eastAsia="Times New Roman" w:hAnsi="Times New Roman"/>
          <w:sz w:val="18"/>
          <w:szCs w:val="18"/>
          <w:color w:val="auto"/>
        </w:rPr>
      </w:pPr>
    </w:p>
    <w:p>
      <w:pPr>
        <w:ind w:left="360" w:hanging="358"/>
        <w:spacing w:after="0"/>
        <w:tabs>
          <w:tab w:leader="none" w:pos="3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We selected a sample of customer agreements and performed the following procedures:</w:t>
      </w:r>
    </w:p>
    <w:p>
      <w:pPr>
        <w:spacing w:after="0" w:line="170" w:lineRule="exact"/>
        <w:rPr>
          <w:sz w:val="20"/>
          <w:szCs w:val="20"/>
          <w:color w:val="auto"/>
        </w:rPr>
      </w:pPr>
    </w:p>
    <w:p>
      <w:pPr>
        <w:ind w:left="360" w:hanging="358"/>
        <w:spacing w:after="0" w:line="270" w:lineRule="auto"/>
        <w:tabs>
          <w:tab w:leader="none" w:pos="3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Obtained and read contract source documents for each selection, including master agreements, and other documents that were part of the agreement.</w:t>
      </w:r>
    </w:p>
    <w:p>
      <w:pPr>
        <w:spacing w:after="0" w:line="100" w:lineRule="exact"/>
        <w:rPr>
          <w:rFonts w:ascii="Times New Roman" w:cs="Times New Roman" w:eastAsia="Times New Roman" w:hAnsi="Times New Roman"/>
          <w:sz w:val="18"/>
          <w:szCs w:val="18"/>
          <w:color w:val="auto"/>
        </w:rPr>
      </w:pPr>
    </w:p>
    <w:p>
      <w:pPr>
        <w:ind w:left="360" w:hanging="358"/>
        <w:spacing w:after="0"/>
        <w:tabs>
          <w:tab w:leader="none" w:pos="3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Tested management's identification and treatment of contract terms.</w:t>
      </w:r>
    </w:p>
    <w:p>
      <w:pPr>
        <w:spacing w:after="0" w:line="170" w:lineRule="exact"/>
        <w:rPr>
          <w:rFonts w:ascii="Times New Roman" w:cs="Times New Roman" w:eastAsia="Times New Roman" w:hAnsi="Times New Roman"/>
          <w:sz w:val="18"/>
          <w:szCs w:val="18"/>
          <w:color w:val="auto"/>
        </w:rPr>
      </w:pPr>
    </w:p>
    <w:p>
      <w:pPr>
        <w:ind w:left="360" w:right="20" w:hanging="358"/>
        <w:spacing w:after="0" w:line="270" w:lineRule="auto"/>
        <w:tabs>
          <w:tab w:leader="none" w:pos="3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Assessed the terms in the customer agreement and evaluated the appropriateness of management's application of their accounting policies, along with their use of estimates, in the determination of revenue recognition conclusions.</w:t>
      </w:r>
    </w:p>
    <w:p>
      <w:pPr>
        <w:spacing w:after="0" w:line="100" w:lineRule="exact"/>
        <w:rPr>
          <w:sz w:val="20"/>
          <w:szCs w:val="20"/>
          <w:color w:val="auto"/>
        </w:rPr>
      </w:pPr>
    </w:p>
    <w:p>
      <w:pPr>
        <w:ind w:left="360" w:right="20" w:hanging="358"/>
        <w:spacing w:after="0" w:line="270" w:lineRule="auto"/>
        <w:tabs>
          <w:tab w:leader="none" w:pos="3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We evaluated the reasonableness of management's estimate of stand-alone selling prices for products and services that are not sold separately.</w:t>
      </w:r>
    </w:p>
    <w:p>
      <w:pPr>
        <w:spacing w:after="0" w:line="100" w:lineRule="exact"/>
        <w:rPr>
          <w:rFonts w:ascii="Times New Roman" w:cs="Times New Roman" w:eastAsia="Times New Roman" w:hAnsi="Times New Roman"/>
          <w:sz w:val="18"/>
          <w:szCs w:val="18"/>
          <w:color w:val="auto"/>
        </w:rPr>
      </w:pPr>
    </w:p>
    <w:p>
      <w:pPr>
        <w:ind w:left="360" w:hanging="358"/>
        <w:spacing w:after="0" w:line="270" w:lineRule="auto"/>
        <w:tabs>
          <w:tab w:leader="none" w:pos="3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the mathematical accuracy of management's calculations of revenue and the associated timing of revenue recognized in the financial statements.</w:t>
      </w:r>
    </w:p>
    <w:p>
      <w:pPr>
        <w:spacing w:after="0" w:line="102" w:lineRule="exact"/>
        <w:rPr>
          <w:sz w:val="20"/>
          <w:szCs w:val="20"/>
          <w:color w:val="auto"/>
        </w:rPr>
      </w:pPr>
    </w:p>
    <w:p>
      <w:pPr>
        <w:ind w:right="3380"/>
        <w:spacing w:after="0" w:line="421" w:lineRule="auto"/>
        <w:rPr>
          <w:sz w:val="20"/>
          <w:szCs w:val="20"/>
          <w:color w:val="auto"/>
        </w:rPr>
      </w:pPr>
      <w:r>
        <w:rPr>
          <w:rFonts w:ascii="Arial" w:cs="Arial" w:eastAsia="Arial" w:hAnsi="Arial"/>
          <w:sz w:val="18"/>
          <w:szCs w:val="18"/>
          <w:b w:val="1"/>
          <w:bCs w:val="1"/>
          <w:i w:val="1"/>
          <w:iCs w:val="1"/>
          <w:color w:val="auto"/>
        </w:rPr>
        <w:t xml:space="preserve">Income Taxes – Uncertain Tax Positions – Refer to Note 12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Company's long-term income taxes liability includes uncertain tax positions related to transfer pricing issues that remain unresolved with the Internal Revenue Service ("IRS"). The Company remains under IRS audit, or subject to IRS audit, for tax years subsequent to 2003. In the current fiscal year, the Company received Notices of Proposed Adjustments (“NOPAs”) for the tax years 2004 to 2013, primarily related to intercompany transfer pricing. While the Company has settled a portion of the IRS audits, resolution of the remaining matters could have a material impact on the Company's financial statements.</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473710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520" w:top="775" w:right="679" w:bottom="1440" w:gutter="0" w:footer="0" w:header="0"/>
        </w:sectPr>
      </w:pPr>
    </w:p>
    <w:bookmarkStart w:id="95" w:name="page96"/>
    <w:bookmarkEnd w:id="95"/>
    <w:p>
      <w:pPr>
        <w:ind w:left="52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2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Conclusions on recognizing and measuring uncertain tax positions involve significant estimates and management judgment and include complex considerations of the Internal Revenue Code, related regulations, tax case laws, and prior-year audit settlements. Given the complexity and the subjective nature of certain transfer pricing issues that remain unresolved with the IRS, evaluating management's estimates relating to their determination of uncertain tax positions required extensive audit effort and a high degree of auditor judgment, including involvement of our tax specialists.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principal audit procedures to evaluate management's estimates of uncertain tax positions related to unresolved transfer pricing issues included the following:</w:t>
      </w:r>
    </w:p>
    <w:p>
      <w:pPr>
        <w:spacing w:after="0" w:line="100" w:lineRule="exact"/>
        <w:rPr>
          <w:sz w:val="20"/>
          <w:szCs w:val="20"/>
          <w:color w:val="auto"/>
        </w:rPr>
      </w:pPr>
    </w:p>
    <w:p>
      <w:pPr>
        <w:jc w:val="both"/>
        <w:ind w:left="360" w:right="20" w:hanging="358"/>
        <w:spacing w:after="0" w:line="252" w:lineRule="auto"/>
        <w:tabs>
          <w:tab w:leader="none" w:pos="3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We evaluated the appropriateness and consistency of management's methods and assumptions used in the identification, recognition, measurement, and disclosure of uncertain tax positions, which included testing the effectiveness of the related internal controls.</w:t>
      </w:r>
    </w:p>
    <w:p>
      <w:pPr>
        <w:spacing w:after="0" w:line="116" w:lineRule="exact"/>
        <w:rPr>
          <w:rFonts w:ascii="Times New Roman" w:cs="Times New Roman" w:eastAsia="Times New Roman" w:hAnsi="Times New Roman"/>
          <w:sz w:val="18"/>
          <w:szCs w:val="18"/>
          <w:color w:val="auto"/>
        </w:rPr>
      </w:pPr>
    </w:p>
    <w:p>
      <w:pPr>
        <w:ind w:left="360" w:hanging="358"/>
        <w:spacing w:after="0" w:line="270" w:lineRule="auto"/>
        <w:tabs>
          <w:tab w:leader="none" w:pos="3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We read and evaluated management's documentation, including relevant accounting policies and information obtained by management from outside tax specialists, that detailed the basis of the uncertain tax positions.</w:t>
      </w:r>
    </w:p>
    <w:p>
      <w:pPr>
        <w:spacing w:after="0" w:line="100" w:lineRule="exact"/>
        <w:rPr>
          <w:rFonts w:ascii="Times New Roman" w:cs="Times New Roman" w:eastAsia="Times New Roman" w:hAnsi="Times New Roman"/>
          <w:sz w:val="18"/>
          <w:szCs w:val="18"/>
          <w:color w:val="auto"/>
        </w:rPr>
      </w:pPr>
    </w:p>
    <w:p>
      <w:pPr>
        <w:ind w:left="360" w:hanging="358"/>
        <w:spacing w:after="0" w:line="270" w:lineRule="auto"/>
        <w:tabs>
          <w:tab w:leader="none" w:pos="3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the reasonableness of management's judgments regarding the future resolution of the uncertain tax positions, including an evaluation of the technical merits of the uncertain tax positions.</w:t>
      </w:r>
    </w:p>
    <w:p>
      <w:pPr>
        <w:spacing w:after="0" w:line="100" w:lineRule="exact"/>
        <w:rPr>
          <w:rFonts w:ascii="Times New Roman" w:cs="Times New Roman" w:eastAsia="Times New Roman" w:hAnsi="Times New Roman"/>
          <w:sz w:val="18"/>
          <w:szCs w:val="18"/>
          <w:color w:val="auto"/>
        </w:rPr>
      </w:pPr>
    </w:p>
    <w:p>
      <w:pPr>
        <w:jc w:val="both"/>
        <w:ind w:left="360" w:hanging="358"/>
        <w:spacing w:after="0" w:line="252" w:lineRule="auto"/>
        <w:tabs>
          <w:tab w:leader="none" w:pos="3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For those uncertain tax positions that had not been effectively settled, we evaluated whether management had appropriately considered new information, including the NOPAs received in the current fiscal year, that could significantly change the recognition, measurement, or disclosure of the uncertain tax positions.</w:t>
      </w:r>
    </w:p>
    <w:p>
      <w:pPr>
        <w:spacing w:after="0" w:line="116" w:lineRule="exact"/>
        <w:rPr>
          <w:rFonts w:ascii="Times New Roman" w:cs="Times New Roman" w:eastAsia="Times New Roman" w:hAnsi="Times New Roman"/>
          <w:sz w:val="18"/>
          <w:szCs w:val="18"/>
          <w:color w:val="auto"/>
        </w:rPr>
      </w:pPr>
    </w:p>
    <w:p>
      <w:pPr>
        <w:ind w:left="360" w:right="20" w:hanging="358"/>
        <w:spacing w:after="0" w:line="270" w:lineRule="auto"/>
        <w:tabs>
          <w:tab w:leader="none" w:pos="3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We evaluated the reasonableness of management's estimates by considering how tax law, including statutes, regulations, and case law, impacted management's judgments.</w:t>
      </w:r>
    </w:p>
    <w:p>
      <w:pPr>
        <w:spacing w:after="0" w:line="102" w:lineRule="exact"/>
        <w:rPr>
          <w:sz w:val="20"/>
          <w:szCs w:val="20"/>
          <w:color w:val="auto"/>
        </w:rPr>
      </w:pPr>
    </w:p>
    <w:p>
      <w:pPr>
        <w:ind w:right="160"/>
        <w:spacing w:after="0" w:line="421" w:lineRule="auto"/>
        <w:rPr>
          <w:sz w:val="20"/>
          <w:szCs w:val="20"/>
          <w:color w:val="auto"/>
        </w:rPr>
      </w:pPr>
      <w:r>
        <w:rPr>
          <w:rFonts w:ascii="Arial" w:cs="Arial" w:eastAsia="Arial" w:hAnsi="Arial"/>
          <w:sz w:val="18"/>
          <w:szCs w:val="18"/>
          <w:b w:val="1"/>
          <w:bCs w:val="1"/>
          <w:i w:val="1"/>
          <w:iCs w:val="1"/>
          <w:color w:val="auto"/>
        </w:rPr>
        <w:t xml:space="preserve">Business Combinations – Estimate for Valuation of Acquired Intangible Assets – Refer to Note 8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On October 13, 2023, the Company completed the acquisition of Activision Blizzard, Inc. The Company accounted for the Activision Blizzard, Inc., acquisition as a business combination and, accordingly, allocated the purchase price to the assets acquired and liabilities assumed based on their respective estimated fair values as of the date of acquisition. Identifiable intangible assets acquired included marketing-related intangible assets, technology-based intangible assets, and customer-related intangible assets. The excess of the purchase consideration over the fair value of identifiable assets acquired and liabilities assumed was recorded as goodwill.</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identified the fair value determination of certain marketing-related and technology-based intangible assets for the business combination as a critical audit matter due to the significant judgment required in determining their estimated fair values. Management’s estimates of fair value included assumptions for revenue and expense forecasts and the selection of appropriate discount rates. There was a high degree of auditor judgment and subjectivity in applying audit procedures and evaluating the significant assumptions relating to the estimates, including involvement of our fair value specialists.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audit procedures related to management’s estimates of the fair value of certain marketing-related and technology-based intangible assets acquired included the following, among others:</w:t>
      </w:r>
    </w:p>
    <w:p>
      <w:pPr>
        <w:spacing w:after="0" w:line="100" w:lineRule="exact"/>
        <w:rPr>
          <w:sz w:val="20"/>
          <w:szCs w:val="20"/>
          <w:color w:val="auto"/>
        </w:rPr>
      </w:pPr>
    </w:p>
    <w:p>
      <w:pPr>
        <w:ind w:left="360" w:right="20" w:hanging="358"/>
        <w:spacing w:after="0" w:line="270" w:lineRule="auto"/>
        <w:tabs>
          <w:tab w:leader="none" w:pos="3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We tested the operating effectiveness of internal controls over the business combination, including internal controls over the revenue and expense forecasts and the selection of appropriate discount rates.</w:t>
      </w:r>
    </w:p>
    <w:p>
      <w:pPr>
        <w:spacing w:after="0" w:line="100" w:lineRule="exact"/>
        <w:rPr>
          <w:rFonts w:ascii="Times New Roman" w:cs="Times New Roman" w:eastAsia="Times New Roman" w:hAnsi="Times New Roman"/>
          <w:sz w:val="18"/>
          <w:szCs w:val="18"/>
          <w:color w:val="auto"/>
        </w:rPr>
      </w:pPr>
    </w:p>
    <w:p>
      <w:pPr>
        <w:ind w:left="360" w:hanging="358"/>
        <w:spacing w:after="0" w:line="270" w:lineRule="auto"/>
        <w:tabs>
          <w:tab w:leader="none" w:pos="3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We assessed the knowledge, skills, abilities, and objectivity of management’s valuation specialist and evaluated the work performed.</w:t>
      </w: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473710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520" w:top="775" w:right="679" w:bottom="1440" w:gutter="0" w:footer="0" w:header="0"/>
        </w:sectPr>
      </w:pPr>
    </w:p>
    <w:bookmarkStart w:id="96" w:name="page97"/>
    <w:bookmarkEnd w:id="96"/>
    <w:p>
      <w:pPr>
        <w:ind w:left="52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240"/>
        <w:spacing w:after="0"/>
        <w:rPr>
          <w:sz w:val="20"/>
          <w:szCs w:val="20"/>
          <w:color w:val="auto"/>
        </w:rPr>
      </w:pPr>
      <w:r>
        <w:rPr>
          <w:rFonts w:ascii="Arial" w:cs="Arial" w:eastAsia="Arial" w:hAnsi="Arial"/>
          <w:sz w:val="13"/>
          <w:szCs w:val="13"/>
          <w:color w:val="auto"/>
        </w:rPr>
        <w:t>Item 8</w:t>
      </w:r>
    </w:p>
    <w:p>
      <w:pPr>
        <w:spacing w:after="0" w:line="332" w:lineRule="exact"/>
        <w:rPr>
          <w:sz w:val="20"/>
          <w:szCs w:val="20"/>
          <w:color w:val="auto"/>
        </w:rPr>
      </w:pPr>
    </w:p>
    <w:p>
      <w:pPr>
        <w:jc w:val="both"/>
        <w:ind w:left="360" w:hanging="358"/>
        <w:spacing w:after="0" w:line="252" w:lineRule="auto"/>
        <w:tabs>
          <w:tab w:leader="none" w:pos="3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When assessing the reasonableness of assumptions related to forecasted revenue and expenses, we evaluated whether the assumptions used were reasonable considering historical financial information of Activision Blizzard, Inc., and the Company’s forecasted financial information.</w:t>
      </w:r>
    </w:p>
    <w:p>
      <w:pPr>
        <w:spacing w:after="0" w:line="116" w:lineRule="exact"/>
        <w:rPr>
          <w:rFonts w:ascii="Times New Roman" w:cs="Times New Roman" w:eastAsia="Times New Roman" w:hAnsi="Times New Roman"/>
          <w:sz w:val="18"/>
          <w:szCs w:val="18"/>
          <w:color w:val="auto"/>
        </w:rPr>
      </w:pPr>
    </w:p>
    <w:p>
      <w:pPr>
        <w:ind w:left="360" w:hanging="358"/>
        <w:spacing w:after="0"/>
        <w:tabs>
          <w:tab w:leader="none" w:pos="3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With the assistance of our fair value specialists, we evaluated the reasonableness of the discount rates by:</w:t>
      </w:r>
    </w:p>
    <w:p>
      <w:pPr>
        <w:spacing w:after="0" w:line="170" w:lineRule="exact"/>
        <w:rPr>
          <w:sz w:val="20"/>
          <w:szCs w:val="20"/>
          <w:color w:val="auto"/>
        </w:rPr>
      </w:pPr>
    </w:p>
    <w:p>
      <w:pPr>
        <w:ind w:left="360" w:hanging="358"/>
        <w:spacing w:after="0"/>
        <w:tabs>
          <w:tab w:leader="none" w:pos="3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Testing the source information underlying the discount rates and testing the mathematical accuracy of the calculations.</w:t>
      </w:r>
    </w:p>
    <w:p>
      <w:pPr>
        <w:spacing w:after="0" w:line="170" w:lineRule="exact"/>
        <w:rPr>
          <w:rFonts w:ascii="Times New Roman" w:cs="Times New Roman" w:eastAsia="Times New Roman" w:hAnsi="Times New Roman"/>
          <w:sz w:val="18"/>
          <w:szCs w:val="18"/>
          <w:color w:val="auto"/>
        </w:rPr>
      </w:pPr>
    </w:p>
    <w:p>
      <w:pPr>
        <w:ind w:left="360" w:hanging="358"/>
        <w:spacing w:after="0"/>
        <w:tabs>
          <w:tab w:leader="none" w:pos="3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 range of independent estimates and comparing those to the discount rates selected by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July 30,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1983.</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473710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520" w:top="775" w:right="679" w:bottom="1440" w:gutter="0" w:footer="0" w:header="0"/>
        </w:sectPr>
      </w:pPr>
    </w:p>
    <w:bookmarkStart w:id="97" w:name="page98"/>
    <w:bookmarkEnd w:id="97"/>
    <w:p>
      <w:pPr>
        <w:jc w:val="center"/>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Item 9, 9A</w:t>
      </w:r>
    </w:p>
    <w:p>
      <w:pPr>
        <w:spacing w:after="0" w:line="160" w:lineRule="exact"/>
        <w:rPr>
          <w:sz w:val="20"/>
          <w:szCs w:val="20"/>
          <w:color w:val="auto"/>
        </w:rPr>
      </w:pPr>
    </w:p>
    <w:p>
      <w:pPr>
        <w:jc w:val="center"/>
        <w:ind w:right="60"/>
        <w:spacing w:after="0" w:line="272"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ITEM 9A. CONTROLS AND PROCEDURES</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the Company. Internal control over financial reporting is a process to provide reasonable assurance regarding the reliability of our financial reporting for external purposes in accordance with accounting principles generally accepted in the United States of America. Internal control over financial reporting includes maintaining records that in reasonable detail accurately and fairly reflect our transactions; providing reasonable assurance that transactions are recorded as necessary for preparation of our consolidated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consolidated financial statements would be prevented or detected on a timely basis. Because of its inherent limitations, internal control over financial reporting is not intended to provide absolute assurance that a misstatement of our consolidated financial statements would be prevented or detected.</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Management conducted an evaluation of the effectiveness of our internal control over financial reporting based on the framework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 Our</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of, and conclusion on, the effectiveness of internal control over financial reporting did not include the internal controls of Activision Blizzard, Inc., acquired on October 13, 2023, which is included in our consolidated financial statements since the date of acquisition and represented less than 1% of our total assets as of June 30, 2024 after excluding goodwill and intangible assets acquired, and 2% of our total revenues for the year ended June 30, 2024. Based on this evaluation, management concluded that the Company’s internal control over financial reporting was effective as of June 30, 2024. There were no changes in our internal control over financial reporting during the quarter ended June 30, 2024 that have materially affected, or are reasonably likely to materially affect, our internal control over financial reporting. Deloitte &amp; Touche LLP has audited our internal control over financial reporting as of June 30, 2024; their report is included in Item 9A.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98" w:name="page99"/>
    <w:bookmarkEnd w:id="98"/>
    <w:p>
      <w:pPr>
        <w:ind w:left="52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Item 9A</w:t>
      </w:r>
    </w:p>
    <w:p>
      <w:pPr>
        <w:spacing w:after="0" w:line="170" w:lineRule="exact"/>
        <w:rPr>
          <w:sz w:val="20"/>
          <w:szCs w:val="20"/>
          <w:color w:val="auto"/>
        </w:rPr>
      </w:pPr>
    </w:p>
    <w:p>
      <w:pPr>
        <w:ind w:right="4600"/>
        <w:spacing w:after="0" w:line="422"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Microsoft Corporation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We have audited the internal control over financial reporting of Microsoft Corporation and subsidiaries (the "Company") as of June 30, 2024,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June 30, 2024,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COSO.</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June 30, 2024, of the Company and our report dated July 30, 2024, expressed an unqualified opinion on those financial statements.</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described in the Report of Management on Internal Control over Financial Reporting, management excluded from its assessment the internal control over financial reporting at Activision Blizzard, Inc., which was acquired on October 13, 2023, and whose financial statements constitute less than 1 percent of total assets as of June 30, 2024 after excluding goodwill and intangible assets acquired, and 2 percent of total revenues for the year ended June 30, 2024. Accordingly, our audit did not include the internal control over financial reporting at Activision Blizzard, Inc.</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55"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473710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520" w:top="775" w:right="679" w:bottom="1440" w:gutter="0" w:footer="0" w:header="0"/>
        </w:sectPr>
      </w:pPr>
    </w:p>
    <w:bookmarkStart w:id="99" w:name="page100"/>
    <w:bookmarkEnd w:id="99"/>
    <w:p>
      <w:pPr>
        <w:ind w:left="520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Item 9A</w:t>
      </w:r>
    </w:p>
    <w:p>
      <w:pPr>
        <w:spacing w:after="0" w:line="3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July 30, 2024</w:t>
      </w: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473710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520" w:top="775" w:right="699" w:bottom="1440" w:gutter="0" w:footer="0" w:header="0"/>
        </w:sectPr>
      </w:pPr>
    </w:p>
    <w:bookmarkStart w:id="100" w:name="page101"/>
    <w:bookmarkEnd w:id="100"/>
    <w:p>
      <w:pPr>
        <w:ind w:left="5280"/>
        <w:spacing w:after="0"/>
        <w:rPr>
          <w:sz w:val="20"/>
          <w:szCs w:val="20"/>
          <w:color w:val="auto"/>
        </w:rPr>
      </w:pPr>
      <w:r>
        <w:rPr>
          <w:rFonts w:ascii="Arial" w:cs="Arial" w:eastAsia="Arial" w:hAnsi="Arial"/>
          <w:sz w:val="13"/>
          <w:szCs w:val="13"/>
          <w:u w:val="single" w:color="auto"/>
          <w:color w:val="auto"/>
        </w:rPr>
        <w:t>PART II, III</w:t>
      </w:r>
    </w:p>
    <w:p>
      <w:pPr>
        <w:spacing w:after="0" w:line="11"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Item 9B, 9C, 10</w:t>
      </w:r>
    </w:p>
    <w:p>
      <w:pPr>
        <w:spacing w:after="0" w:line="16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ITEM 9B.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None of our officers or directors, as defined in Rule 16a-1(f) of the Securities Exchange Act of 1934, adopted, modified, or terminated a “Rule 10b5-1 trading arrangement” or a “non-Rule 10b5-1 trading arrangement,” as defined in Item 408 of Regulation S-K, during the three months ended June 30, 2024.</w:t>
      </w:r>
    </w:p>
    <w:p>
      <w:pPr>
        <w:spacing w:after="0" w:line="186"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ITEM 9C. DISCLOSURE REGARDING FOREIGN JURISDICTIONS THAT PREVENT INSPECTIONS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list of our executive officers and biographical information appears in Part I, Item 1 of this Form 10-K. Information about our directors may be found under the caption “Our Director Nominees” in our Proxy Statement for the Annual Meeting of Shareholders to be held December 10, 2024 (the “Proxy Statement”). Information about our Audit Committee may be found under the caption “Board Committees” in the Proxy Statement. That information is incorporated herein by reference.</w:t>
      </w:r>
    </w:p>
    <w:p>
      <w:pPr>
        <w:spacing w:after="0" w:line="12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adopted the Microsoft Finance Code of Professional Conduct (the “finance code of ethics”), a code of ethics that applies to our Chief Executive Officer, Chief Financial Officer, Chief Accounting Officer, and other finance organization employees. The finance code of ethics is publicly available on our website at https://aka.ms/FinanceCodeProfessionalConduct. If we make any substantive amendments to the finance code of ethics or grant any waiver, including any implicit waiver, from a provision of the code to our Chief Executive Officer, Chief Financial Officer, or Chief Accounting Officer, we will disclose the nature of the amendment or waiver on that website or in a report on Form 8-K.</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adopted insider trading policies and procedures applicable to our directors, officers, and employees, and have implemented processes for the company, that we believe are reasonably designed to promote compliance with insider trading laws, rules, and regulations, and the Nasdaq Stock Market LLC listing standards.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General Insider Trading Policy prohibits our employees and related persons and entities from trading in securities of Microsoft and other companies while in possession of material, nonpublic information. Our General Insider Trading Policy also prohibits our employees from disclosing material, nonpublic information Microsoft, or another publicly traded company, to others who may trade on the basis of that information. A copy of our General Insider Trading Policy is filed as Exhibit 19.1 to this Form 10-K.</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Restricted Trading Window Policy requires that certain officers of the company (corporate vice presidents and above) and other designated employees only transact in Microsoft securities during an open window period, subject to limited exceptions. In addition, certain officers of the company are required to obtain approval in advance of transactions in Microsoft securities. A copy of our Restricted Trading Window Policy is filed as Exhibit 19.2 to this Form 10-K.</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executive officers and directors must also comply with additional trading restrictions. A copy of our Insider Trading Compliance and Preclearance Policies for Section 16 Officers and Directors of Microsoft is filed as Exhibit 19.3 to this Form 10-K.</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3"/>
          <w:szCs w:val="13"/>
          <w:u w:val="single" w:color="auto"/>
          <w:color w:val="auto"/>
        </w:rPr>
        <w:t>PART III</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Item 11, 12, 13, 14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11. EXECUTIVE COMPENSATION</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in the Proxy Statement set forth under the captions “Director Compensation,” “Named Executive Officer Compensation,” “Compensation Committee Report,” and, if required, “Compensation Committee Interlocks and Insider Participation,” is incorporated herein by reference.</w:t>
      </w:r>
    </w:p>
    <w:p>
      <w:pPr>
        <w:spacing w:after="0" w:line="186" w:lineRule="exact"/>
        <w:rPr>
          <w:sz w:val="20"/>
          <w:szCs w:val="20"/>
          <w:color w:val="auto"/>
        </w:rPr>
      </w:pPr>
    </w:p>
    <w:p>
      <w:pPr>
        <w:jc w:val="center"/>
        <w:ind w:right="40"/>
        <w:spacing w:after="0" w:line="272"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information in the Proxy Statement set forth under the captions “Stock Ownership Information,” “Principal Shareholders,” and “Equity Compensation Plan Information” is incorporated herein by reference.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16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information set forth in the Proxy Statement under the captions “Director Independence Guidelines” and “Certain Relationships and Related Transactions” is incorporated herein by reference.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Information concerning fees and services provided by our principal accountant, Deloitte &amp; Touche LLP (PCAOB ID No. 34), appears in the Proxy Statement under the headings “Fees Billed by Deloitte &amp; Touche” and “Policy on Audit Committee Pre-Approval of Audit and Permissible Non-Audit Services of Independent Auditor” and is incorporated herein by reference.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02" w:name="page103"/>
    <w:bookmarkEnd w:id="102"/>
    <w:p>
      <w:pPr>
        <w:ind w:left="5360"/>
        <w:spacing w:after="0"/>
        <w:rPr>
          <w:sz w:val="20"/>
          <w:szCs w:val="20"/>
          <w:color w:val="auto"/>
        </w:rPr>
      </w:pPr>
      <w:r>
        <w:rPr>
          <w:rFonts w:ascii="Arial" w:cs="Arial" w:eastAsia="Arial" w:hAnsi="Arial"/>
          <w:sz w:val="13"/>
          <w:szCs w:val="13"/>
          <w:u w:val="single" w:color="auto"/>
          <w:color w:val="auto"/>
        </w:rPr>
        <w:t>PART IV</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15</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148"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ITEM 15. EXHIBIT AND FINANCIAL STATEMENT SCHEDULES</w:t>
      </w:r>
    </w:p>
    <w:p>
      <w:pPr>
        <w:spacing w:after="0" w:line="16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7"/>
          <w:szCs w:val="17"/>
          <w:b w:val="1"/>
          <w:bCs w:val="1"/>
          <w:color w:val="auto"/>
        </w:rPr>
        <w:t>Financial Statements and Schedules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financial statements are set forth under Part II, Item 8 of this Form 10-K, as indexed below. Financial statement schedules have been omitted since they either are not required, not applicable, or the information is otherwise included.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Borders>
              <w:bottom w:val="single" w:sz="8" w:color="auto"/>
            </w:tcBorders>
          </w:tcPr>
          <w:p>
            <w:pPr>
              <w:spacing w:after="0"/>
              <w:rPr>
                <w:sz w:val="15"/>
                <w:szCs w:val="15"/>
                <w:color w:val="auto"/>
              </w:rPr>
            </w:pPr>
          </w:p>
        </w:tc>
        <w:tc>
          <w:tcPr>
            <w:tcW w:w="4720" w:type="dxa"/>
            <w:vAlign w:val="bottom"/>
            <w:tcBorders>
              <w:bottom w:val="single" w:sz="8" w:color="auto"/>
            </w:tcBorders>
            <w:gridSpan w:val="28"/>
          </w:tcPr>
          <w:p>
            <w:pPr>
              <w:spacing w:after="0"/>
              <w:rPr>
                <w:sz w:val="20"/>
                <w:szCs w:val="20"/>
                <w:color w:val="auto"/>
              </w:rPr>
            </w:pPr>
            <w:r>
              <w:rPr>
                <w:rFonts w:ascii="Arial" w:cs="Arial" w:eastAsia="Arial" w:hAnsi="Arial"/>
                <w:sz w:val="13"/>
                <w:szCs w:val="13"/>
                <w:b w:val="1"/>
                <w:bCs w:val="1"/>
                <w:color w:val="auto"/>
              </w:rPr>
              <w:t>Index to Financial Statements</w:t>
            </w:r>
          </w:p>
        </w:tc>
        <w:tc>
          <w:tcPr>
            <w:tcW w:w="9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60" w:type="dxa"/>
            <w:vAlign w:val="bottom"/>
            <w:tcBorders>
              <w:bottom w:val="single" w:sz="8" w:color="0000EE"/>
            </w:tcBorders>
            <w:gridSpan w:val="5"/>
          </w:tcPr>
          <w:p>
            <w:pPr>
              <w:spacing w:after="0" w:line="182" w:lineRule="exact"/>
              <w:rPr>
                <w:sz w:val="20"/>
                <w:szCs w:val="20"/>
                <w:color w:val="auto"/>
              </w:rPr>
            </w:pPr>
            <w:r>
              <w:rPr>
                <w:rFonts w:ascii="Arial" w:cs="Arial" w:eastAsia="Arial" w:hAnsi="Arial"/>
                <w:sz w:val="18"/>
                <w:szCs w:val="18"/>
                <w:color w:val="auto"/>
                <w:w w:val="99"/>
              </w:rPr>
              <w:t>Income Statements</w:t>
            </w:r>
          </w:p>
        </w:tc>
        <w:tc>
          <w:tcPr>
            <w:tcW w:w="3160" w:type="dxa"/>
            <w:vAlign w:val="bottom"/>
            <w:gridSpan w:val="23"/>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720" w:type="dxa"/>
            <w:vAlign w:val="bottom"/>
            <w:gridSpan w:val="28"/>
          </w:tcPr>
          <w:p>
            <w:pPr>
              <w:spacing w:after="0"/>
              <w:rPr>
                <w:sz w:val="20"/>
                <w:szCs w:val="20"/>
                <w:color w:val="auto"/>
              </w:rPr>
            </w:pPr>
            <w:r>
              <w:rPr>
                <w:rFonts w:ascii="Arial" w:cs="Arial" w:eastAsia="Arial" w:hAnsi="Arial"/>
                <w:sz w:val="18"/>
                <w:szCs w:val="18"/>
                <w:color w:val="auto"/>
              </w:rPr>
              <w:t>Comprehensive Income Statements</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86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Balance Sheets</w:t>
            </w:r>
          </w:p>
        </w:tc>
        <w:tc>
          <w:tcPr>
            <w:tcW w:w="1860" w:type="dxa"/>
            <w:vAlign w:val="bottom"/>
            <w:gridSpan w:val="18"/>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720" w:type="dxa"/>
            <w:vAlign w:val="bottom"/>
            <w:gridSpan w:val="28"/>
          </w:tcPr>
          <w:p>
            <w:pPr>
              <w:spacing w:after="0"/>
              <w:rPr>
                <w:sz w:val="20"/>
                <w:szCs w:val="20"/>
                <w:color w:val="auto"/>
              </w:rPr>
            </w:pPr>
            <w:r>
              <w:rPr>
                <w:rFonts w:ascii="Arial" w:cs="Arial" w:eastAsia="Arial" w:hAnsi="Arial"/>
                <w:sz w:val="18"/>
                <w:szCs w:val="18"/>
                <w:color w:val="auto"/>
              </w:rPr>
              <w:t>Cash Flows Statements</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6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auto"/>
                <w:w w:val="99"/>
              </w:rPr>
              <w:t>Stockholders’ Equity Statements</w:t>
            </w:r>
          </w:p>
        </w:tc>
        <w:tc>
          <w:tcPr>
            <w:tcW w:w="2120" w:type="dxa"/>
            <w:vAlign w:val="bottom"/>
            <w:gridSpan w:val="20"/>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720" w:type="dxa"/>
            <w:vAlign w:val="bottom"/>
            <w:gridSpan w:val="28"/>
          </w:tcPr>
          <w:p>
            <w:pPr>
              <w:spacing w:after="0"/>
              <w:rPr>
                <w:sz w:val="20"/>
                <w:szCs w:val="20"/>
                <w:color w:val="auto"/>
              </w:rPr>
            </w:pPr>
            <w:r>
              <w:rPr>
                <w:rFonts w:ascii="Arial" w:cs="Arial" w:eastAsia="Arial" w:hAnsi="Arial"/>
                <w:sz w:val="18"/>
                <w:szCs w:val="18"/>
                <w:color w:val="auto"/>
              </w:rPr>
              <w:t>Notes to Financial Statements</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720" w:type="dxa"/>
            <w:vAlign w:val="bottom"/>
            <w:gridSpan w:val="28"/>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4740" w:type="dxa"/>
            <w:vAlign w:val="bottom"/>
            <w:gridSpan w:val="29"/>
          </w:tcPr>
          <w:p>
            <w:pPr>
              <w:spacing w:after="0"/>
              <w:rPr>
                <w:sz w:val="20"/>
                <w:szCs w:val="20"/>
                <w:color w:val="auto"/>
              </w:rPr>
            </w:pPr>
            <w:r>
              <w:rPr>
                <w:rFonts w:ascii="Arial" w:cs="Arial" w:eastAsia="Arial" w:hAnsi="Arial"/>
                <w:sz w:val="18"/>
                <w:szCs w:val="18"/>
                <w:b w:val="1"/>
                <w:bCs w:val="1"/>
                <w:color w:val="auto"/>
              </w:rPr>
              <w:t>(b)  Exhibit Listing</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jc w:val="right"/>
              <w:ind w:right="554"/>
              <w:spacing w:after="0"/>
              <w:rPr>
                <w:sz w:val="20"/>
                <w:szCs w:val="20"/>
                <w:color w:val="auto"/>
              </w:rPr>
            </w:pPr>
            <w:r>
              <w:rPr>
                <w:rFonts w:ascii="Arial" w:cs="Arial" w:eastAsia="Arial" w:hAnsi="Arial"/>
                <w:sz w:val="13"/>
                <w:szCs w:val="13"/>
                <w:b w:val="1"/>
                <w:bCs w:val="1"/>
                <w:color w:val="auto"/>
              </w:rPr>
              <w:t>Incorporated by Reference</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20" w:type="dxa"/>
            <w:vAlign w:val="bottom"/>
          </w:tcPr>
          <w:p>
            <w:pPr>
              <w:spacing w:after="0" w:line="141" w:lineRule="exact"/>
              <w:rPr>
                <w:sz w:val="20"/>
                <w:szCs w:val="20"/>
                <w:color w:val="auto"/>
              </w:rPr>
            </w:pPr>
            <w:r>
              <w:rPr>
                <w:rFonts w:ascii="Arial" w:cs="Arial" w:eastAsia="Arial" w:hAnsi="Arial"/>
                <w:sz w:val="13"/>
                <w:szCs w:val="13"/>
                <w:b w:val="1"/>
                <w:bCs w:val="1"/>
                <w:color w:val="auto"/>
              </w:rPr>
              <w:t>Exhibit</w:t>
            </w:r>
          </w:p>
        </w:tc>
        <w:tc>
          <w:tcPr>
            <w:tcW w:w="3900" w:type="dxa"/>
            <w:vAlign w:val="bottom"/>
            <w:gridSpan w:val="27"/>
            <w:vMerge w:val="restart"/>
          </w:tcPr>
          <w:p>
            <w:pPr>
              <w:ind w:left="320"/>
              <w:spacing w:after="0"/>
              <w:rPr>
                <w:sz w:val="20"/>
                <w:szCs w:val="20"/>
                <w:color w:val="auto"/>
              </w:rPr>
            </w:pPr>
            <w:r>
              <w:rPr>
                <w:rFonts w:ascii="Arial" w:cs="Arial" w:eastAsia="Arial" w:hAnsi="Arial"/>
                <w:sz w:val="13"/>
                <w:szCs w:val="13"/>
                <w:b w:val="1"/>
                <w:bCs w:val="1"/>
                <w:color w:val="auto"/>
              </w:rPr>
              <w:t>Exhibit Description</w:t>
            </w:r>
          </w:p>
        </w:tc>
        <w:tc>
          <w:tcPr>
            <w:tcW w:w="920" w:type="dxa"/>
            <w:vAlign w:val="bottom"/>
          </w:tcPr>
          <w:p>
            <w:pPr>
              <w:jc w:val="center"/>
              <w:ind w:left="53"/>
              <w:spacing w:after="0" w:line="141" w:lineRule="exact"/>
              <w:rPr>
                <w:sz w:val="20"/>
                <w:szCs w:val="20"/>
                <w:color w:val="auto"/>
              </w:rPr>
            </w:pPr>
            <w:r>
              <w:rPr>
                <w:rFonts w:ascii="Arial" w:cs="Arial" w:eastAsia="Arial" w:hAnsi="Arial"/>
                <w:sz w:val="13"/>
                <w:szCs w:val="13"/>
                <w:b w:val="1"/>
                <w:bCs w:val="1"/>
                <w:color w:val="auto"/>
              </w:rPr>
              <w:t>Filed</w:t>
            </w:r>
          </w:p>
        </w:tc>
        <w:tc>
          <w:tcPr>
            <w:tcW w:w="1520" w:type="dxa"/>
            <w:vAlign w:val="bottom"/>
            <w:vMerge w:val="restart"/>
          </w:tcPr>
          <w:p>
            <w:pPr>
              <w:jc w:val="right"/>
              <w:ind w:right="294"/>
              <w:spacing w:after="0"/>
              <w:rPr>
                <w:sz w:val="20"/>
                <w:szCs w:val="20"/>
                <w:color w:val="auto"/>
              </w:rPr>
            </w:pPr>
            <w:r>
              <w:rPr>
                <w:rFonts w:ascii="Arial" w:cs="Arial" w:eastAsia="Arial" w:hAnsi="Arial"/>
                <w:sz w:val="13"/>
                <w:szCs w:val="13"/>
                <w:b w:val="1"/>
                <w:bCs w:val="1"/>
                <w:color w:val="auto"/>
              </w:rPr>
              <w:t>Form</w:t>
            </w:r>
          </w:p>
        </w:tc>
        <w:tc>
          <w:tcPr>
            <w:tcW w:w="1520" w:type="dxa"/>
            <w:vAlign w:val="bottom"/>
          </w:tcPr>
          <w:p>
            <w:pPr>
              <w:jc w:val="right"/>
              <w:ind w:right="333"/>
              <w:spacing w:after="0" w:line="141" w:lineRule="exact"/>
              <w:rPr>
                <w:sz w:val="20"/>
                <w:szCs w:val="20"/>
                <w:color w:val="auto"/>
              </w:rPr>
            </w:pPr>
            <w:r>
              <w:rPr>
                <w:rFonts w:ascii="Arial" w:cs="Arial" w:eastAsia="Arial" w:hAnsi="Arial"/>
                <w:sz w:val="13"/>
                <w:szCs w:val="13"/>
                <w:b w:val="1"/>
                <w:bCs w:val="1"/>
                <w:color w:val="auto"/>
              </w:rPr>
              <w:t>Period</w:t>
            </w:r>
          </w:p>
        </w:tc>
        <w:tc>
          <w:tcPr>
            <w:tcW w:w="1200" w:type="dxa"/>
            <w:vAlign w:val="bottom"/>
            <w:vMerge w:val="restart"/>
          </w:tcPr>
          <w:p>
            <w:pPr>
              <w:jc w:val="right"/>
              <w:ind w:right="254"/>
              <w:spacing w:after="0"/>
              <w:rPr>
                <w:sz w:val="20"/>
                <w:szCs w:val="20"/>
                <w:color w:val="auto"/>
              </w:rPr>
            </w:pPr>
            <w:r>
              <w:rPr>
                <w:rFonts w:ascii="Arial" w:cs="Arial" w:eastAsia="Arial" w:hAnsi="Arial"/>
                <w:sz w:val="13"/>
                <w:szCs w:val="13"/>
                <w:b w:val="1"/>
                <w:bCs w:val="1"/>
                <w:color w:val="auto"/>
              </w:rPr>
              <w:t>Exhibit</w:t>
            </w:r>
          </w:p>
        </w:tc>
        <w:tc>
          <w:tcPr>
            <w:tcW w:w="12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3900" w:type="dxa"/>
            <w:vAlign w:val="bottom"/>
            <w:tcBorders>
              <w:bottom w:val="single" w:sz="8" w:color="auto"/>
            </w:tcBorders>
            <w:gridSpan w:val="27"/>
            <w:vMerge w:val="continue"/>
          </w:tcPr>
          <w:p>
            <w:pPr>
              <w:spacing w:after="0"/>
              <w:rPr>
                <w:sz w:val="15"/>
                <w:szCs w:val="15"/>
                <w:color w:val="auto"/>
              </w:rPr>
            </w:pPr>
          </w:p>
        </w:tc>
        <w:tc>
          <w:tcPr>
            <w:tcW w:w="920" w:type="dxa"/>
            <w:vAlign w:val="bottom"/>
            <w:tcBorders>
              <w:bottom w:val="single" w:sz="8" w:color="auto"/>
            </w:tcBorders>
          </w:tcPr>
          <w:p>
            <w:pPr>
              <w:jc w:val="center"/>
              <w:ind w:left="73"/>
              <w:spacing w:after="0"/>
              <w:rPr>
                <w:sz w:val="20"/>
                <w:szCs w:val="20"/>
                <w:color w:val="auto"/>
              </w:rPr>
            </w:pPr>
            <w:r>
              <w:rPr>
                <w:rFonts w:ascii="Arial" w:cs="Arial" w:eastAsia="Arial" w:hAnsi="Arial"/>
                <w:sz w:val="13"/>
                <w:szCs w:val="13"/>
                <w:b w:val="1"/>
                <w:bCs w:val="1"/>
                <w:color w:val="auto"/>
              </w:rPr>
              <w:t>Herewith</w:t>
            </w:r>
          </w:p>
        </w:tc>
        <w:tc>
          <w:tcPr>
            <w:tcW w:w="1520" w:type="dxa"/>
            <w:vAlign w:val="bottom"/>
            <w:tcBorders>
              <w:bottom w:val="single" w:sz="8" w:color="auto"/>
            </w:tcBorders>
            <w:vMerge w:val="continue"/>
          </w:tcPr>
          <w:p>
            <w:pPr>
              <w:spacing w:after="0"/>
              <w:rPr>
                <w:sz w:val="15"/>
                <w:szCs w:val="15"/>
                <w:color w:val="auto"/>
              </w:rPr>
            </w:pPr>
          </w:p>
        </w:tc>
        <w:tc>
          <w:tcPr>
            <w:tcW w:w="152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Ending</w:t>
            </w:r>
          </w:p>
        </w:tc>
        <w:tc>
          <w:tcPr>
            <w:tcW w:w="120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1"/>
                <w:szCs w:val="21"/>
                <w:color w:val="auto"/>
              </w:rPr>
            </w:pPr>
          </w:p>
        </w:tc>
        <w:tc>
          <w:tcPr>
            <w:tcW w:w="2780" w:type="dxa"/>
            <w:vAlign w:val="bottom"/>
            <w:tcBorders>
              <w:bottom w:val="single" w:sz="8" w:color="0000EE"/>
            </w:tcBorders>
            <w:gridSpan w:val="10"/>
          </w:tcPr>
          <w:p>
            <w:pPr>
              <w:spacing w:after="0"/>
              <w:rPr>
                <w:rFonts w:ascii="Arial" w:cs="Arial" w:eastAsia="Arial" w:hAnsi="Arial"/>
                <w:sz w:val="18"/>
                <w:szCs w:val="18"/>
                <w:color w:val="auto"/>
              </w:rPr>
            </w:pPr>
            <w:hyperlink r:id="rId167">
              <w:r>
                <w:rPr>
                  <w:rFonts w:ascii="Arial" w:cs="Arial" w:eastAsia="Arial" w:hAnsi="Arial"/>
                  <w:sz w:val="18"/>
                  <w:szCs w:val="18"/>
                  <w:color w:val="auto"/>
                </w:rPr>
                <w:t>Amended and Restated Articles of</w:t>
              </w:r>
            </w:hyperlink>
          </w:p>
        </w:tc>
        <w:tc>
          <w:tcPr>
            <w:tcW w:w="800" w:type="dxa"/>
            <w:vAlign w:val="bottom"/>
            <w:gridSpan w:val="16"/>
          </w:tcPr>
          <w:p>
            <w:pPr>
              <w:spacing w:after="0"/>
              <w:rPr>
                <w:sz w:val="21"/>
                <w:szCs w:val="21"/>
                <w:color w:val="auto"/>
              </w:rPr>
            </w:pPr>
          </w:p>
        </w:tc>
        <w:tc>
          <w:tcPr>
            <w:tcW w:w="920" w:type="dxa"/>
            <w:vAlign w:val="bottom"/>
          </w:tcPr>
          <w:p>
            <w:pPr>
              <w:spacing w:after="0"/>
              <w:rPr>
                <w:sz w:val="21"/>
                <w:szCs w:val="21"/>
                <w:color w:val="auto"/>
              </w:rPr>
            </w:pPr>
          </w:p>
        </w:tc>
        <w:tc>
          <w:tcPr>
            <w:tcW w:w="1520" w:type="dxa"/>
            <w:vAlign w:val="bottom"/>
          </w:tcPr>
          <w:p>
            <w:pPr>
              <w:jc w:val="right"/>
              <w:ind w:right="294"/>
              <w:spacing w:after="0"/>
              <w:rPr>
                <w:sz w:val="20"/>
                <w:szCs w:val="20"/>
                <w:color w:val="auto"/>
              </w:rPr>
            </w:pPr>
            <w:r>
              <w:rPr>
                <w:rFonts w:ascii="Arial" w:cs="Arial" w:eastAsia="Arial" w:hAnsi="Arial"/>
                <w:sz w:val="18"/>
                <w:szCs w:val="18"/>
                <w:color w:val="auto"/>
              </w:rPr>
              <w:t>8-K</w:t>
            </w:r>
          </w:p>
        </w:tc>
        <w:tc>
          <w:tcPr>
            <w:tcW w:w="1520" w:type="dxa"/>
            <w:vAlign w:val="bottom"/>
          </w:tcPr>
          <w:p>
            <w:pPr>
              <w:spacing w:after="0"/>
              <w:rPr>
                <w:sz w:val="21"/>
                <w:szCs w:val="21"/>
                <w:color w:val="auto"/>
              </w:rPr>
            </w:pPr>
          </w:p>
        </w:tc>
        <w:tc>
          <w:tcPr>
            <w:tcW w:w="1200" w:type="dxa"/>
            <w:vAlign w:val="bottom"/>
          </w:tcPr>
          <w:p>
            <w:pPr>
              <w:jc w:val="right"/>
              <w:ind w:right="254"/>
              <w:spacing w:after="0"/>
              <w:rPr>
                <w:sz w:val="20"/>
                <w:szCs w:val="20"/>
                <w:color w:val="auto"/>
              </w:rPr>
            </w:pPr>
            <w:r>
              <w:rPr>
                <w:rFonts w:ascii="Arial" w:cs="Arial" w:eastAsia="Arial" w:hAnsi="Arial"/>
                <w:sz w:val="18"/>
                <w:szCs w:val="18"/>
                <w:color w:val="auto"/>
              </w:rPr>
              <w:t>3.1</w:t>
            </w:r>
          </w:p>
        </w:tc>
        <w:tc>
          <w:tcPr>
            <w:tcW w:w="1240" w:type="dxa"/>
            <w:vAlign w:val="bottom"/>
          </w:tcPr>
          <w:p>
            <w:pPr>
              <w:jc w:val="right"/>
              <w:spacing w:after="0"/>
              <w:rPr>
                <w:sz w:val="20"/>
                <w:szCs w:val="20"/>
                <w:color w:val="auto"/>
              </w:rPr>
            </w:pPr>
            <w:r>
              <w:rPr>
                <w:rFonts w:ascii="Arial" w:cs="Arial" w:eastAsia="Arial" w:hAnsi="Arial"/>
                <w:sz w:val="18"/>
                <w:szCs w:val="18"/>
                <w:color w:val="auto"/>
              </w:rPr>
              <w:t>12/1/2016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20" w:type="dxa"/>
            <w:vAlign w:val="bottom"/>
            <w:tcBorders>
              <w:bottom w:val="single" w:sz="8" w:color="0000EE"/>
            </w:tcBorders>
            <w:gridSpan w:val="15"/>
          </w:tcPr>
          <w:p>
            <w:pPr>
              <w:spacing w:after="0" w:line="182" w:lineRule="exact"/>
              <w:rPr>
                <w:rFonts w:ascii="Arial" w:cs="Arial" w:eastAsia="Arial" w:hAnsi="Arial"/>
                <w:sz w:val="18"/>
                <w:szCs w:val="18"/>
                <w:color w:val="auto"/>
                <w:w w:val="99"/>
              </w:rPr>
            </w:pPr>
            <w:hyperlink r:id="rId167">
              <w:r>
                <w:rPr>
                  <w:rFonts w:ascii="Arial" w:cs="Arial" w:eastAsia="Arial" w:hAnsi="Arial"/>
                  <w:sz w:val="18"/>
                  <w:szCs w:val="18"/>
                  <w:color w:val="auto"/>
                  <w:w w:val="99"/>
                </w:rPr>
                <w:t>Incorporation of Microsoft Corporation</w:t>
              </w:r>
            </w:hyperlink>
          </w:p>
        </w:tc>
        <w:tc>
          <w:tcPr>
            <w:tcW w:w="560" w:type="dxa"/>
            <w:vAlign w:val="bottom"/>
            <w:gridSpan w:val="11"/>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2540" w:type="dxa"/>
            <w:vAlign w:val="bottom"/>
            <w:tcBorders>
              <w:bottom w:val="single" w:sz="8" w:color="0000EE"/>
            </w:tcBorders>
            <w:gridSpan w:val="9"/>
          </w:tcPr>
          <w:p>
            <w:pPr>
              <w:spacing w:after="0"/>
              <w:rPr>
                <w:rFonts w:ascii="Arial" w:cs="Arial" w:eastAsia="Arial" w:hAnsi="Arial"/>
                <w:sz w:val="18"/>
                <w:szCs w:val="18"/>
                <w:color w:val="auto"/>
                <w:w w:val="99"/>
              </w:rPr>
            </w:pPr>
            <w:hyperlink r:id="rId168">
              <w:r>
                <w:rPr>
                  <w:rFonts w:ascii="Arial" w:cs="Arial" w:eastAsia="Arial" w:hAnsi="Arial"/>
                  <w:sz w:val="18"/>
                  <w:szCs w:val="18"/>
                  <w:color w:val="auto"/>
                  <w:w w:val="99"/>
                </w:rPr>
                <w:t>Bylaws of Microsoft Corporation</w:t>
              </w:r>
            </w:hyperlink>
          </w:p>
        </w:tc>
        <w:tc>
          <w:tcPr>
            <w:tcW w:w="1040" w:type="dxa"/>
            <w:vAlign w:val="bottom"/>
            <w:gridSpan w:val="17"/>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jc w:val="right"/>
              <w:ind w:right="294"/>
              <w:spacing w:after="0"/>
              <w:rPr>
                <w:sz w:val="20"/>
                <w:szCs w:val="20"/>
                <w:color w:val="auto"/>
              </w:rPr>
            </w:pPr>
            <w:r>
              <w:rPr>
                <w:rFonts w:ascii="Arial" w:cs="Arial" w:eastAsia="Arial" w:hAnsi="Arial"/>
                <w:sz w:val="18"/>
                <w:szCs w:val="18"/>
                <w:color w:val="auto"/>
              </w:rPr>
              <w:t>8-K</w:t>
            </w:r>
          </w:p>
        </w:tc>
        <w:tc>
          <w:tcPr>
            <w:tcW w:w="1520" w:type="dxa"/>
            <w:vAlign w:val="bottom"/>
          </w:tcPr>
          <w:p>
            <w:pPr>
              <w:spacing w:after="0"/>
              <w:rPr>
                <w:sz w:val="24"/>
                <w:szCs w:val="24"/>
                <w:color w:val="auto"/>
              </w:rPr>
            </w:pPr>
          </w:p>
        </w:tc>
        <w:tc>
          <w:tcPr>
            <w:tcW w:w="1200" w:type="dxa"/>
            <w:vAlign w:val="bottom"/>
          </w:tcPr>
          <w:p>
            <w:pPr>
              <w:jc w:val="right"/>
              <w:ind w:right="254"/>
              <w:spacing w:after="0"/>
              <w:rPr>
                <w:sz w:val="20"/>
                <w:szCs w:val="20"/>
                <w:color w:val="auto"/>
              </w:rPr>
            </w:pPr>
            <w:r>
              <w:rPr>
                <w:rFonts w:ascii="Arial" w:cs="Arial" w:eastAsia="Arial" w:hAnsi="Arial"/>
                <w:sz w:val="18"/>
                <w:szCs w:val="18"/>
                <w:color w:val="auto"/>
              </w:rPr>
              <w:t>3.2</w:t>
            </w:r>
          </w:p>
        </w:tc>
        <w:tc>
          <w:tcPr>
            <w:tcW w:w="1240" w:type="dxa"/>
            <w:vAlign w:val="bottom"/>
          </w:tcPr>
          <w:p>
            <w:pPr>
              <w:jc w:val="right"/>
              <w:spacing w:after="0"/>
              <w:rPr>
                <w:sz w:val="20"/>
                <w:szCs w:val="20"/>
                <w:color w:val="auto"/>
              </w:rPr>
            </w:pPr>
            <w:r>
              <w:rPr>
                <w:rFonts w:ascii="Arial" w:cs="Arial" w:eastAsia="Arial" w:hAnsi="Arial"/>
                <w:sz w:val="18"/>
                <w:szCs w:val="18"/>
                <w:color w:val="auto"/>
              </w:rPr>
              <w:t>7/3/2023</w:t>
            </w:r>
          </w:p>
        </w:tc>
        <w:tc>
          <w:tcPr>
            <w:tcW w:w="0" w:type="dxa"/>
            <w:vAlign w:val="bottom"/>
          </w:tcPr>
          <w:p>
            <w:pPr>
              <w:spacing w:after="0"/>
              <w:rPr>
                <w:sz w:val="1"/>
                <w:szCs w:val="1"/>
                <w:color w:val="auto"/>
              </w:rPr>
            </w:pPr>
          </w:p>
        </w:tc>
      </w:tr>
      <w:tr>
        <w:trPr>
          <w:trHeight w:val="277"/>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3580" w:type="dxa"/>
            <w:vAlign w:val="bottom"/>
            <w:gridSpan w:val="26"/>
          </w:tcPr>
          <w:p>
            <w:pPr>
              <w:spacing w:after="0"/>
              <w:rPr>
                <w:rFonts w:ascii="Arial" w:cs="Arial" w:eastAsia="Arial" w:hAnsi="Arial"/>
                <w:sz w:val="18"/>
                <w:szCs w:val="18"/>
                <w:color w:val="auto"/>
              </w:rPr>
            </w:pPr>
            <w:hyperlink r:id="rId169">
              <w:r>
                <w:rPr>
                  <w:rFonts w:ascii="Arial" w:cs="Arial" w:eastAsia="Arial" w:hAnsi="Arial"/>
                  <w:sz w:val="18"/>
                  <w:szCs w:val="18"/>
                  <w:color w:val="auto"/>
                </w:rPr>
                <w:t>Indenture, dated as of May 18, 2009,</w:t>
              </w:r>
            </w:hyperlink>
          </w:p>
        </w:tc>
        <w:tc>
          <w:tcPr>
            <w:tcW w:w="920" w:type="dxa"/>
            <w:vAlign w:val="bottom"/>
          </w:tcPr>
          <w:p>
            <w:pPr>
              <w:spacing w:after="0"/>
              <w:rPr>
                <w:sz w:val="24"/>
                <w:szCs w:val="24"/>
                <w:color w:val="auto"/>
              </w:rPr>
            </w:pPr>
          </w:p>
        </w:tc>
        <w:tc>
          <w:tcPr>
            <w:tcW w:w="1520" w:type="dxa"/>
            <w:vAlign w:val="bottom"/>
          </w:tcPr>
          <w:p>
            <w:pPr>
              <w:jc w:val="right"/>
              <w:ind w:right="294"/>
              <w:spacing w:after="0"/>
              <w:rPr>
                <w:sz w:val="20"/>
                <w:szCs w:val="20"/>
                <w:color w:val="auto"/>
              </w:rPr>
            </w:pPr>
            <w:r>
              <w:rPr>
                <w:rFonts w:ascii="Arial" w:cs="Arial" w:eastAsia="Arial" w:hAnsi="Arial"/>
                <w:sz w:val="18"/>
                <w:szCs w:val="18"/>
                <w:color w:val="auto"/>
              </w:rPr>
              <w:t>S-3ASR</w:t>
            </w:r>
          </w:p>
        </w:tc>
        <w:tc>
          <w:tcPr>
            <w:tcW w:w="1520" w:type="dxa"/>
            <w:vAlign w:val="bottom"/>
          </w:tcPr>
          <w:p>
            <w:pPr>
              <w:spacing w:after="0"/>
              <w:rPr>
                <w:sz w:val="24"/>
                <w:szCs w:val="24"/>
                <w:color w:val="auto"/>
              </w:rPr>
            </w:pPr>
          </w:p>
        </w:tc>
        <w:tc>
          <w:tcPr>
            <w:tcW w:w="1200" w:type="dxa"/>
            <w:vAlign w:val="bottom"/>
          </w:tcPr>
          <w:p>
            <w:pPr>
              <w:jc w:val="right"/>
              <w:ind w:right="254"/>
              <w:spacing w:after="0"/>
              <w:rPr>
                <w:sz w:val="20"/>
                <w:szCs w:val="20"/>
                <w:color w:val="auto"/>
              </w:rPr>
            </w:pPr>
            <w:r>
              <w:rPr>
                <w:rFonts w:ascii="Arial" w:cs="Arial" w:eastAsia="Arial" w:hAnsi="Arial"/>
                <w:sz w:val="18"/>
                <w:szCs w:val="18"/>
                <w:color w:val="auto"/>
              </w:rPr>
              <w:t>4.1</w:t>
            </w:r>
          </w:p>
        </w:tc>
        <w:tc>
          <w:tcPr>
            <w:tcW w:w="1240" w:type="dxa"/>
            <w:vAlign w:val="bottom"/>
          </w:tcPr>
          <w:p>
            <w:pPr>
              <w:jc w:val="right"/>
              <w:spacing w:after="0"/>
              <w:rPr>
                <w:sz w:val="20"/>
                <w:szCs w:val="20"/>
                <w:color w:val="auto"/>
              </w:rPr>
            </w:pPr>
            <w:r>
              <w:rPr>
                <w:rFonts w:ascii="Arial" w:cs="Arial" w:eastAsia="Arial" w:hAnsi="Arial"/>
                <w:sz w:val="18"/>
                <w:szCs w:val="18"/>
                <w:color w:val="auto"/>
              </w:rPr>
              <w:t>10/29/2015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3560" w:type="dxa"/>
            <w:vAlign w:val="bottom"/>
            <w:gridSpan w:val="25"/>
          </w:tcPr>
          <w:p>
            <w:pPr>
              <w:spacing w:after="0" w:line="182" w:lineRule="exact"/>
              <w:rPr>
                <w:rFonts w:ascii="Arial" w:cs="Arial" w:eastAsia="Arial" w:hAnsi="Arial"/>
                <w:sz w:val="18"/>
                <w:szCs w:val="18"/>
                <w:color w:val="auto"/>
              </w:rPr>
            </w:pPr>
            <w:hyperlink r:id="rId169">
              <w:r>
                <w:rPr>
                  <w:rFonts w:ascii="Arial" w:cs="Arial" w:eastAsia="Arial" w:hAnsi="Arial"/>
                  <w:sz w:val="18"/>
                  <w:szCs w:val="18"/>
                  <w:color w:val="auto"/>
                </w:rPr>
                <w:t>between Microsoft Corporation and The</w:t>
              </w:r>
            </w:hyperlink>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8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auto"/>
                <w:w w:val="94"/>
              </w:rPr>
            </w:pPr>
            <w:hyperlink r:id="rId169">
              <w:r>
                <w:rPr>
                  <w:rFonts w:ascii="Arial" w:cs="Arial" w:eastAsia="Arial" w:hAnsi="Arial"/>
                  <w:sz w:val="18"/>
                  <w:szCs w:val="18"/>
                  <w:color w:val="auto"/>
                  <w:w w:val="94"/>
                </w:rPr>
                <w:t>Bank of New York Mellon Trust Company,</w:t>
              </w:r>
            </w:hyperlink>
          </w:p>
        </w:tc>
        <w:tc>
          <w:tcPr>
            <w:tcW w:w="8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780" w:type="dxa"/>
            <w:vAlign w:val="bottom"/>
            <w:tcBorders>
              <w:bottom w:val="single" w:sz="8" w:color="0000EE"/>
            </w:tcBorders>
            <w:gridSpan w:val="10"/>
          </w:tcPr>
          <w:p>
            <w:pPr>
              <w:spacing w:after="0" w:line="182" w:lineRule="exact"/>
              <w:rPr>
                <w:rFonts w:ascii="Arial" w:cs="Arial" w:eastAsia="Arial" w:hAnsi="Arial"/>
                <w:sz w:val="18"/>
                <w:szCs w:val="18"/>
                <w:color w:val="auto"/>
                <w:w w:val="98"/>
              </w:rPr>
            </w:pPr>
            <w:hyperlink r:id="rId169">
              <w:r>
                <w:rPr>
                  <w:rFonts w:ascii="Arial" w:cs="Arial" w:eastAsia="Arial" w:hAnsi="Arial"/>
                  <w:sz w:val="18"/>
                  <w:szCs w:val="18"/>
                  <w:color w:val="auto"/>
                  <w:w w:val="98"/>
                </w:rPr>
                <w:t>N.A., as Trustee (“Base Indenture”)</w:t>
              </w:r>
            </w:hyperlink>
          </w:p>
        </w:tc>
        <w:tc>
          <w:tcPr>
            <w:tcW w:w="580" w:type="dxa"/>
            <w:vAlign w:val="bottom"/>
            <w:gridSpan w:val="10"/>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3580" w:type="dxa"/>
            <w:vAlign w:val="bottom"/>
            <w:gridSpan w:val="26"/>
          </w:tcPr>
          <w:p>
            <w:pPr>
              <w:spacing w:after="0"/>
              <w:rPr>
                <w:rFonts w:ascii="Arial" w:cs="Arial" w:eastAsia="Arial" w:hAnsi="Arial"/>
                <w:sz w:val="18"/>
                <w:szCs w:val="18"/>
                <w:color w:val="auto"/>
              </w:rPr>
            </w:pPr>
            <w:hyperlink r:id="rId170">
              <w:r>
                <w:rPr>
                  <w:rFonts w:ascii="Arial" w:cs="Arial" w:eastAsia="Arial" w:hAnsi="Arial"/>
                  <w:sz w:val="18"/>
                  <w:szCs w:val="18"/>
                  <w:color w:val="auto"/>
                </w:rPr>
                <w:t>Form of First Supplemental Indenture for</w:t>
              </w:r>
            </w:hyperlink>
          </w:p>
        </w:tc>
        <w:tc>
          <w:tcPr>
            <w:tcW w:w="920" w:type="dxa"/>
            <w:vAlign w:val="bottom"/>
          </w:tcPr>
          <w:p>
            <w:pPr>
              <w:spacing w:after="0"/>
              <w:rPr>
                <w:sz w:val="24"/>
                <w:szCs w:val="24"/>
                <w:color w:val="auto"/>
              </w:rPr>
            </w:pPr>
          </w:p>
        </w:tc>
        <w:tc>
          <w:tcPr>
            <w:tcW w:w="1520" w:type="dxa"/>
            <w:vAlign w:val="bottom"/>
          </w:tcPr>
          <w:p>
            <w:pPr>
              <w:jc w:val="right"/>
              <w:ind w:right="294"/>
              <w:spacing w:after="0"/>
              <w:rPr>
                <w:sz w:val="20"/>
                <w:szCs w:val="20"/>
                <w:color w:val="auto"/>
              </w:rPr>
            </w:pPr>
            <w:r>
              <w:rPr>
                <w:rFonts w:ascii="Arial" w:cs="Arial" w:eastAsia="Arial" w:hAnsi="Arial"/>
                <w:sz w:val="18"/>
                <w:szCs w:val="18"/>
                <w:color w:val="auto"/>
              </w:rPr>
              <w:t>8-K</w:t>
            </w:r>
          </w:p>
        </w:tc>
        <w:tc>
          <w:tcPr>
            <w:tcW w:w="1520" w:type="dxa"/>
            <w:vAlign w:val="bottom"/>
          </w:tcPr>
          <w:p>
            <w:pPr>
              <w:spacing w:after="0"/>
              <w:rPr>
                <w:sz w:val="24"/>
                <w:szCs w:val="24"/>
                <w:color w:val="auto"/>
              </w:rPr>
            </w:pPr>
          </w:p>
        </w:tc>
        <w:tc>
          <w:tcPr>
            <w:tcW w:w="1200" w:type="dxa"/>
            <w:vAlign w:val="bottom"/>
          </w:tcPr>
          <w:p>
            <w:pPr>
              <w:jc w:val="right"/>
              <w:ind w:right="254"/>
              <w:spacing w:after="0"/>
              <w:rPr>
                <w:sz w:val="20"/>
                <w:szCs w:val="20"/>
                <w:color w:val="auto"/>
              </w:rPr>
            </w:pPr>
            <w:r>
              <w:rPr>
                <w:rFonts w:ascii="Arial" w:cs="Arial" w:eastAsia="Arial" w:hAnsi="Arial"/>
                <w:sz w:val="18"/>
                <w:szCs w:val="18"/>
                <w:color w:val="auto"/>
              </w:rPr>
              <w:t>4.2</w:t>
            </w:r>
          </w:p>
        </w:tc>
        <w:tc>
          <w:tcPr>
            <w:tcW w:w="1240" w:type="dxa"/>
            <w:vAlign w:val="bottom"/>
          </w:tcPr>
          <w:p>
            <w:pPr>
              <w:jc w:val="right"/>
              <w:spacing w:after="0"/>
              <w:rPr>
                <w:sz w:val="20"/>
                <w:szCs w:val="20"/>
                <w:color w:val="auto"/>
              </w:rPr>
            </w:pPr>
            <w:r>
              <w:rPr>
                <w:rFonts w:ascii="Arial" w:cs="Arial" w:eastAsia="Arial" w:hAnsi="Arial"/>
                <w:sz w:val="18"/>
                <w:szCs w:val="18"/>
                <w:color w:val="auto"/>
              </w:rPr>
              <w:t>5/15/2009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6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auto"/>
                <w:w w:val="97"/>
              </w:rPr>
            </w:pPr>
            <w:hyperlink r:id="rId170">
              <w:r>
                <w:rPr>
                  <w:rFonts w:ascii="Arial" w:cs="Arial" w:eastAsia="Arial" w:hAnsi="Arial"/>
                  <w:sz w:val="18"/>
                  <w:szCs w:val="18"/>
                  <w:color w:val="auto"/>
                  <w:w w:val="97"/>
                </w:rPr>
                <w:t>2.95% Notes due 2014, 4.20% Notes due</w:t>
              </w:r>
            </w:hyperlink>
          </w:p>
        </w:tc>
        <w:tc>
          <w:tcPr>
            <w:tcW w:w="6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25"/>
          </w:tcPr>
          <w:p>
            <w:pPr>
              <w:spacing w:after="0" w:line="182" w:lineRule="exact"/>
              <w:rPr>
                <w:rFonts w:ascii="Arial" w:cs="Arial" w:eastAsia="Arial" w:hAnsi="Arial"/>
                <w:sz w:val="18"/>
                <w:szCs w:val="18"/>
                <w:color w:val="auto"/>
              </w:rPr>
            </w:pPr>
            <w:hyperlink r:id="rId170">
              <w:r>
                <w:rPr>
                  <w:rFonts w:ascii="Arial" w:cs="Arial" w:eastAsia="Arial" w:hAnsi="Arial"/>
                  <w:sz w:val="18"/>
                  <w:szCs w:val="18"/>
                  <w:color w:val="auto"/>
                </w:rPr>
                <w:t>2019, and 5.20% Notes due 2039, dated as</w:t>
              </w:r>
            </w:hyperlink>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8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auto"/>
              </w:rPr>
            </w:pPr>
            <w:hyperlink r:id="rId170">
              <w:r>
                <w:rPr>
                  <w:rFonts w:ascii="Arial" w:cs="Arial" w:eastAsia="Arial" w:hAnsi="Arial"/>
                  <w:sz w:val="18"/>
                  <w:szCs w:val="18"/>
                  <w:color w:val="auto"/>
                </w:rPr>
                <w:t>of May 18, 2009, between Microsoft</w:t>
              </w:r>
            </w:hyperlink>
          </w:p>
        </w:tc>
        <w:tc>
          <w:tcPr>
            <w:tcW w:w="620" w:type="dxa"/>
            <w:vAlign w:val="bottom"/>
            <w:tcBorders>
              <w:top w:val="single" w:sz="8" w:color="0000EE"/>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25"/>
          </w:tcPr>
          <w:p>
            <w:pPr>
              <w:spacing w:after="0" w:line="182" w:lineRule="exact"/>
              <w:rPr>
                <w:rFonts w:ascii="Arial" w:cs="Arial" w:eastAsia="Arial" w:hAnsi="Arial"/>
                <w:sz w:val="18"/>
                <w:szCs w:val="18"/>
                <w:color w:val="auto"/>
              </w:rPr>
            </w:pPr>
            <w:hyperlink r:id="rId170">
              <w:r>
                <w:rPr>
                  <w:rFonts w:ascii="Arial" w:cs="Arial" w:eastAsia="Arial" w:hAnsi="Arial"/>
                  <w:sz w:val="18"/>
                  <w:szCs w:val="18"/>
                  <w:color w:val="auto"/>
                </w:rPr>
                <w:t>Corporation and The Bank of New York</w:t>
              </w:r>
            </w:hyperlink>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Borders>
              <w:top w:val="single" w:sz="8" w:color="0000EE"/>
            </w:tcBorders>
            <w:gridSpan w:val="15"/>
          </w:tcPr>
          <w:p>
            <w:pPr>
              <w:spacing w:after="0" w:line="182" w:lineRule="exact"/>
              <w:rPr>
                <w:rFonts w:ascii="Arial" w:cs="Arial" w:eastAsia="Arial" w:hAnsi="Arial"/>
                <w:sz w:val="18"/>
                <w:szCs w:val="18"/>
                <w:color w:val="auto"/>
                <w:w w:val="95"/>
              </w:rPr>
            </w:pPr>
            <w:hyperlink r:id="rId170">
              <w:r>
                <w:rPr>
                  <w:rFonts w:ascii="Arial" w:cs="Arial" w:eastAsia="Arial" w:hAnsi="Arial"/>
                  <w:sz w:val="18"/>
                  <w:szCs w:val="18"/>
                  <w:color w:val="auto"/>
                  <w:w w:val="95"/>
                </w:rPr>
                <w:t>Mellon Trust Company, N.A., as Trustee,</w:t>
              </w:r>
            </w:hyperlink>
          </w:p>
        </w:tc>
        <w:tc>
          <w:tcPr>
            <w:tcW w:w="420" w:type="dxa"/>
            <w:vAlign w:val="bottom"/>
            <w:gridSpan w:val="10"/>
          </w:tcPr>
          <w:p>
            <w:pPr>
              <w:ind w:left="120"/>
              <w:spacing w:after="0" w:line="182" w:lineRule="exact"/>
              <w:rPr>
                <w:rFonts w:ascii="Arial" w:cs="Arial" w:eastAsia="Arial" w:hAnsi="Arial"/>
                <w:sz w:val="18"/>
                <w:szCs w:val="18"/>
                <w:color w:val="auto"/>
              </w:rPr>
            </w:pPr>
            <w:hyperlink r:id="rId170">
              <w:r>
                <w:rPr>
                  <w:rFonts w:ascii="Arial" w:cs="Arial" w:eastAsia="Arial" w:hAnsi="Arial"/>
                  <w:sz w:val="18"/>
                  <w:szCs w:val="18"/>
                  <w:color w:val="auto"/>
                </w:rPr>
                <w:t>to</w:t>
              </w:r>
            </w:hyperlink>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50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auto"/>
                <w:w w:val="97"/>
              </w:rPr>
            </w:pPr>
            <w:hyperlink r:id="rId170">
              <w:r>
                <w:rPr>
                  <w:rFonts w:ascii="Arial" w:cs="Arial" w:eastAsia="Arial" w:hAnsi="Arial"/>
                  <w:sz w:val="18"/>
                  <w:szCs w:val="18"/>
                  <w:color w:val="auto"/>
                  <w:w w:val="97"/>
                </w:rPr>
                <w:t>the Base Indenture</w:t>
              </w:r>
            </w:hyperlink>
          </w:p>
        </w:tc>
        <w:tc>
          <w:tcPr>
            <w:tcW w:w="1960" w:type="dxa"/>
            <w:vAlign w:val="bottom"/>
            <w:tcBorders>
              <w:top w:val="single" w:sz="8" w:color="0000EE"/>
            </w:tcBorders>
            <w:gridSpan w:val="16"/>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4"/>
                <w:szCs w:val="24"/>
                <w:color w:val="auto"/>
              </w:rPr>
            </w:pPr>
          </w:p>
        </w:tc>
        <w:tc>
          <w:tcPr>
            <w:tcW w:w="3580" w:type="dxa"/>
            <w:vAlign w:val="bottom"/>
            <w:gridSpan w:val="26"/>
          </w:tcPr>
          <w:p>
            <w:pPr>
              <w:spacing w:after="0"/>
              <w:rPr>
                <w:rFonts w:ascii="Arial" w:cs="Arial" w:eastAsia="Arial" w:hAnsi="Arial"/>
                <w:sz w:val="18"/>
                <w:szCs w:val="18"/>
                <w:color w:val="auto"/>
              </w:rPr>
            </w:pPr>
            <w:hyperlink r:id="rId171">
              <w:r>
                <w:rPr>
                  <w:rFonts w:ascii="Arial" w:cs="Arial" w:eastAsia="Arial" w:hAnsi="Arial"/>
                  <w:sz w:val="18"/>
                  <w:szCs w:val="18"/>
                  <w:color w:val="auto"/>
                </w:rPr>
                <w:t>Form of Second Supplemental Indenture for</w:t>
              </w:r>
            </w:hyperlink>
          </w:p>
        </w:tc>
        <w:tc>
          <w:tcPr>
            <w:tcW w:w="920" w:type="dxa"/>
            <w:vAlign w:val="bottom"/>
          </w:tcPr>
          <w:p>
            <w:pPr>
              <w:spacing w:after="0"/>
              <w:rPr>
                <w:sz w:val="24"/>
                <w:szCs w:val="24"/>
                <w:color w:val="auto"/>
              </w:rPr>
            </w:pPr>
          </w:p>
        </w:tc>
        <w:tc>
          <w:tcPr>
            <w:tcW w:w="1520" w:type="dxa"/>
            <w:vAlign w:val="bottom"/>
          </w:tcPr>
          <w:p>
            <w:pPr>
              <w:jc w:val="right"/>
              <w:ind w:right="294"/>
              <w:spacing w:after="0"/>
              <w:rPr>
                <w:sz w:val="20"/>
                <w:szCs w:val="20"/>
                <w:color w:val="auto"/>
              </w:rPr>
            </w:pPr>
            <w:r>
              <w:rPr>
                <w:rFonts w:ascii="Arial" w:cs="Arial" w:eastAsia="Arial" w:hAnsi="Arial"/>
                <w:sz w:val="18"/>
                <w:szCs w:val="18"/>
                <w:color w:val="auto"/>
              </w:rPr>
              <w:t>8-K</w:t>
            </w:r>
          </w:p>
        </w:tc>
        <w:tc>
          <w:tcPr>
            <w:tcW w:w="1520" w:type="dxa"/>
            <w:vAlign w:val="bottom"/>
          </w:tcPr>
          <w:p>
            <w:pPr>
              <w:spacing w:after="0"/>
              <w:rPr>
                <w:sz w:val="24"/>
                <w:szCs w:val="24"/>
                <w:color w:val="auto"/>
              </w:rPr>
            </w:pPr>
          </w:p>
        </w:tc>
        <w:tc>
          <w:tcPr>
            <w:tcW w:w="1200" w:type="dxa"/>
            <w:vAlign w:val="bottom"/>
          </w:tcPr>
          <w:p>
            <w:pPr>
              <w:jc w:val="right"/>
              <w:ind w:right="254"/>
              <w:spacing w:after="0"/>
              <w:rPr>
                <w:sz w:val="20"/>
                <w:szCs w:val="20"/>
                <w:color w:val="auto"/>
              </w:rPr>
            </w:pPr>
            <w:r>
              <w:rPr>
                <w:rFonts w:ascii="Arial" w:cs="Arial" w:eastAsia="Arial" w:hAnsi="Arial"/>
                <w:sz w:val="18"/>
                <w:szCs w:val="18"/>
                <w:color w:val="auto"/>
              </w:rPr>
              <w:t>4.2</w:t>
            </w:r>
          </w:p>
        </w:tc>
        <w:tc>
          <w:tcPr>
            <w:tcW w:w="1240" w:type="dxa"/>
            <w:vAlign w:val="bottom"/>
          </w:tcPr>
          <w:p>
            <w:pPr>
              <w:jc w:val="right"/>
              <w:spacing w:after="0"/>
              <w:rPr>
                <w:sz w:val="20"/>
                <w:szCs w:val="20"/>
                <w:color w:val="auto"/>
              </w:rPr>
            </w:pPr>
            <w:r>
              <w:rPr>
                <w:rFonts w:ascii="Arial" w:cs="Arial" w:eastAsia="Arial" w:hAnsi="Arial"/>
                <w:sz w:val="18"/>
                <w:szCs w:val="18"/>
                <w:color w:val="auto"/>
              </w:rPr>
              <w:t>9/27/2010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tcBorders>
              <w:top w:val="single" w:sz="8" w:color="0000EE"/>
              <w:bottom w:val="single" w:sz="8" w:color="0000EE"/>
            </w:tcBorders>
            <w:gridSpan w:val="25"/>
          </w:tcPr>
          <w:p>
            <w:pPr>
              <w:spacing w:after="0" w:line="182" w:lineRule="exact"/>
              <w:rPr>
                <w:rFonts w:ascii="Arial" w:cs="Arial" w:eastAsia="Arial" w:hAnsi="Arial"/>
                <w:sz w:val="18"/>
                <w:szCs w:val="18"/>
                <w:color w:val="auto"/>
              </w:rPr>
            </w:pPr>
            <w:hyperlink r:id="rId171">
              <w:r>
                <w:rPr>
                  <w:rFonts w:ascii="Arial" w:cs="Arial" w:eastAsia="Arial" w:hAnsi="Arial"/>
                  <w:sz w:val="18"/>
                  <w:szCs w:val="18"/>
                  <w:color w:val="auto"/>
                </w:rPr>
                <w:t>0.875% Notes due 2013, 1.625% Notes due</w:t>
              </w:r>
            </w:hyperlink>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20" w:type="dxa"/>
            <w:vAlign w:val="bottom"/>
            <w:tcBorders>
              <w:bottom w:val="single" w:sz="8" w:color="0000EE"/>
            </w:tcBorders>
            <w:gridSpan w:val="18"/>
          </w:tcPr>
          <w:p>
            <w:pPr>
              <w:spacing w:after="0" w:line="182" w:lineRule="exact"/>
              <w:rPr>
                <w:rFonts w:ascii="Arial" w:cs="Arial" w:eastAsia="Arial" w:hAnsi="Arial"/>
                <w:sz w:val="18"/>
                <w:szCs w:val="18"/>
                <w:color w:val="auto"/>
              </w:rPr>
            </w:pPr>
            <w:hyperlink r:id="rId171">
              <w:r>
                <w:rPr>
                  <w:rFonts w:ascii="Arial" w:cs="Arial" w:eastAsia="Arial" w:hAnsi="Arial"/>
                  <w:sz w:val="18"/>
                  <w:szCs w:val="18"/>
                  <w:color w:val="auto"/>
                </w:rPr>
                <w:t>2015, 3.00% Notes due 2020, and 4.50%</w:t>
              </w:r>
            </w:hyperlink>
          </w:p>
        </w:tc>
        <w:tc>
          <w:tcPr>
            <w:tcW w:w="240" w:type="dxa"/>
            <w:vAlign w:val="bottom"/>
            <w:gridSpan w:val="7"/>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25"/>
          </w:tcPr>
          <w:p>
            <w:pPr>
              <w:spacing w:after="0" w:line="182" w:lineRule="exact"/>
              <w:rPr>
                <w:rFonts w:ascii="Arial" w:cs="Arial" w:eastAsia="Arial" w:hAnsi="Arial"/>
                <w:sz w:val="18"/>
                <w:szCs w:val="18"/>
                <w:color w:val="auto"/>
              </w:rPr>
            </w:pPr>
            <w:hyperlink r:id="rId171">
              <w:r>
                <w:rPr>
                  <w:rFonts w:ascii="Arial" w:cs="Arial" w:eastAsia="Arial" w:hAnsi="Arial"/>
                  <w:sz w:val="18"/>
                  <w:szCs w:val="18"/>
                  <w:color w:val="auto"/>
                </w:rPr>
                <w:t>Notes due 2040, dated as of September 27,</w:t>
              </w:r>
            </w:hyperlink>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tcBorders>
              <w:top w:val="single" w:sz="8" w:color="0000EE"/>
            </w:tcBorders>
            <w:gridSpan w:val="24"/>
          </w:tcPr>
          <w:p>
            <w:pPr>
              <w:spacing w:after="0" w:line="182" w:lineRule="exact"/>
              <w:rPr>
                <w:rFonts w:ascii="Arial" w:cs="Arial" w:eastAsia="Arial" w:hAnsi="Arial"/>
                <w:sz w:val="18"/>
                <w:szCs w:val="18"/>
                <w:color w:val="auto"/>
              </w:rPr>
            </w:pPr>
            <w:hyperlink r:id="rId171">
              <w:r>
                <w:rPr>
                  <w:rFonts w:ascii="Arial" w:cs="Arial" w:eastAsia="Arial" w:hAnsi="Arial"/>
                  <w:sz w:val="18"/>
                  <w:szCs w:val="18"/>
                  <w:color w:val="auto"/>
                </w:rPr>
                <w:t>2010, between Microsoft Corporation and</w:t>
              </w:r>
            </w:hyperlink>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20" w:type="dxa"/>
            <w:vAlign w:val="bottom"/>
            <w:tcBorders>
              <w:top w:val="single" w:sz="8" w:color="0000EE"/>
            </w:tcBorders>
            <w:gridSpan w:val="18"/>
          </w:tcPr>
          <w:p>
            <w:pPr>
              <w:spacing w:after="0" w:line="182" w:lineRule="exact"/>
              <w:rPr>
                <w:rFonts w:ascii="Arial" w:cs="Arial" w:eastAsia="Arial" w:hAnsi="Arial"/>
                <w:sz w:val="18"/>
                <w:szCs w:val="18"/>
                <w:color w:val="auto"/>
              </w:rPr>
            </w:pPr>
            <w:hyperlink r:id="rId171">
              <w:r>
                <w:rPr>
                  <w:rFonts w:ascii="Arial" w:cs="Arial" w:eastAsia="Arial" w:hAnsi="Arial"/>
                  <w:sz w:val="18"/>
                  <w:szCs w:val="18"/>
                  <w:color w:val="auto"/>
                </w:rPr>
                <w:t>The Bank of New York Mellon Trust</w:t>
              </w:r>
            </w:hyperlink>
          </w:p>
        </w:tc>
        <w:tc>
          <w:tcPr>
            <w:tcW w:w="240" w:type="dxa"/>
            <w:vAlign w:val="bottom"/>
            <w:gridSpan w:val="7"/>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tcBorders>
              <w:top w:val="single" w:sz="8" w:color="0000EE"/>
            </w:tcBorders>
            <w:gridSpan w:val="12"/>
          </w:tcPr>
          <w:p>
            <w:pPr>
              <w:spacing w:after="0" w:line="182" w:lineRule="exact"/>
              <w:rPr>
                <w:rFonts w:ascii="Arial" w:cs="Arial" w:eastAsia="Arial" w:hAnsi="Arial"/>
                <w:sz w:val="18"/>
                <w:szCs w:val="18"/>
                <w:color w:val="auto"/>
              </w:rPr>
            </w:pPr>
            <w:hyperlink r:id="rId171">
              <w:r>
                <w:rPr>
                  <w:rFonts w:ascii="Arial" w:cs="Arial" w:eastAsia="Arial" w:hAnsi="Arial"/>
                  <w:sz w:val="18"/>
                  <w:szCs w:val="18"/>
                  <w:color w:val="auto"/>
                </w:rPr>
                <w:t>Company, N.A., as Trustee, to the</w:t>
              </w:r>
            </w:hyperlink>
          </w:p>
        </w:tc>
        <w:tc>
          <w:tcPr>
            <w:tcW w:w="720" w:type="dxa"/>
            <w:vAlign w:val="bottom"/>
            <w:gridSpan w:val="14"/>
          </w:tcPr>
          <w:p>
            <w:pPr>
              <w:spacing w:after="0" w:line="182" w:lineRule="exact"/>
              <w:rPr>
                <w:rFonts w:ascii="Arial" w:cs="Arial" w:eastAsia="Arial" w:hAnsi="Arial"/>
                <w:sz w:val="18"/>
                <w:szCs w:val="18"/>
                <w:color w:val="auto"/>
                <w:w w:val="83"/>
              </w:rPr>
            </w:pPr>
            <w:hyperlink r:id="rId171">
              <w:r>
                <w:rPr>
                  <w:rFonts w:ascii="Arial" w:cs="Arial" w:eastAsia="Arial" w:hAnsi="Arial"/>
                  <w:sz w:val="18"/>
                  <w:szCs w:val="18"/>
                  <w:color w:val="auto"/>
                  <w:w w:val="83"/>
                </w:rPr>
                <w:t>Indenture,</w:t>
              </w:r>
            </w:hyperlink>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160"/>
        <w:spacing w:after="0"/>
        <w:rPr>
          <w:rFonts w:ascii="Arial" w:cs="Arial" w:eastAsia="Arial" w:hAnsi="Arial"/>
          <w:sz w:val="18"/>
          <w:szCs w:val="18"/>
          <w:color w:val="auto"/>
        </w:rPr>
      </w:pPr>
      <w:hyperlink r:id="rId171">
        <w:r>
          <w:rPr>
            <w:rFonts w:ascii="Arial" w:cs="Arial" w:eastAsia="Arial" w:hAnsi="Arial"/>
            <w:sz w:val="18"/>
            <w:szCs w:val="18"/>
            <w:color w:val="auto"/>
          </w:rPr>
          <w:t>dated as of May 18, 2009, between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-10795</wp:posOffset>
            </wp:positionV>
            <wp:extent cx="18167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1816735" cy="8255"/>
                    </a:xfrm>
                    <a:prstGeom prst="rect">
                      <a:avLst/>
                    </a:prstGeom>
                    <a:noFill/>
                  </pic:spPr>
                </pic:pic>
              </a:graphicData>
            </a:graphic>
          </wp:anchor>
        </w:drawing>
      </w:r>
    </w:p>
    <w:p>
      <w:pPr>
        <w:ind w:left="1160"/>
        <w:spacing w:after="0"/>
        <w:rPr>
          <w:rFonts w:ascii="Arial" w:cs="Arial" w:eastAsia="Arial" w:hAnsi="Arial"/>
          <w:sz w:val="18"/>
          <w:szCs w:val="18"/>
          <w:color w:val="auto"/>
        </w:rPr>
      </w:pPr>
      <w:hyperlink r:id="rId171">
        <w:r>
          <w:rPr>
            <w:rFonts w:ascii="Arial" w:cs="Arial" w:eastAsia="Arial" w:hAnsi="Arial"/>
            <w:sz w:val="18"/>
            <w:szCs w:val="18"/>
            <w:color w:val="auto"/>
          </w:rPr>
          <w:t>Microsoft Corporation and The Bank of New</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-15875</wp:posOffset>
            </wp:positionV>
            <wp:extent cx="225425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ind w:left="1160"/>
        <w:spacing w:after="0" w:line="234" w:lineRule="auto"/>
        <w:rPr>
          <w:rFonts w:ascii="Arial" w:cs="Arial" w:eastAsia="Arial" w:hAnsi="Arial"/>
          <w:sz w:val="18"/>
          <w:szCs w:val="18"/>
          <w:color w:val="auto"/>
        </w:rPr>
      </w:pPr>
      <w:hyperlink r:id="rId171">
        <w:r>
          <w:rPr>
            <w:rFonts w:ascii="Arial" w:cs="Arial" w:eastAsia="Arial" w:hAnsi="Arial"/>
            <w:sz w:val="18"/>
            <w:szCs w:val="18"/>
            <w:color w:val="auto"/>
          </w:rPr>
          <w:t>York Mellon Trust Company, N.A., as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-15240</wp:posOffset>
            </wp:positionV>
            <wp:extent cx="18942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ind w:left="1160"/>
        <w:spacing w:after="0"/>
        <w:rPr>
          <w:rFonts w:ascii="Arial" w:cs="Arial" w:eastAsia="Arial" w:hAnsi="Arial"/>
          <w:sz w:val="18"/>
          <w:szCs w:val="18"/>
          <w:color w:val="auto"/>
        </w:rPr>
      </w:pPr>
      <w:hyperlink r:id="rId171">
        <w:r>
          <w:rPr>
            <w:rFonts w:ascii="Arial" w:cs="Arial" w:eastAsia="Arial" w:hAnsi="Arial"/>
            <w:sz w:val="18"/>
            <w:szCs w:val="18"/>
            <w:color w:val="auto"/>
          </w:rPr>
          <w:t>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-19050</wp:posOffset>
            </wp:positionV>
            <wp:extent cx="38290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382905" cy="8890"/>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03" w:name="page104"/>
    <w:bookmarkEnd w:id="103"/>
    <w:p>
      <w:pPr>
        <w:ind w:left="5360"/>
        <w:spacing w:after="0"/>
        <w:rPr>
          <w:sz w:val="20"/>
          <w:szCs w:val="20"/>
          <w:color w:val="auto"/>
        </w:rPr>
      </w:pPr>
      <w:r>
        <w:rPr>
          <w:rFonts w:ascii="Arial" w:cs="Arial" w:eastAsia="Arial" w:hAnsi="Arial"/>
          <w:sz w:val="13"/>
          <w:szCs w:val="13"/>
          <w:u w:val="single" w:color="auto"/>
          <w:color w:val="auto"/>
        </w:rPr>
        <w:t>PART IV</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2"/>
          </w:tcPr>
          <w:p>
            <w:pPr>
              <w:jc w:val="right"/>
              <w:ind w:right="594"/>
              <w:spacing w:after="0"/>
              <w:rPr>
                <w:sz w:val="20"/>
                <w:szCs w:val="20"/>
                <w:color w:val="auto"/>
              </w:rPr>
            </w:pPr>
            <w:r>
              <w:rPr>
                <w:rFonts w:ascii="Arial" w:cs="Arial" w:eastAsia="Arial" w:hAnsi="Arial"/>
                <w:sz w:val="13"/>
                <w:szCs w:val="13"/>
                <w:b w:val="1"/>
                <w:bCs w:val="1"/>
                <w:color w:val="auto"/>
              </w:rPr>
              <w:t>Incorporated by Reference</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40" w:type="dxa"/>
            <w:vAlign w:val="bottom"/>
          </w:tcPr>
          <w:p>
            <w:pPr>
              <w:ind w:left="20"/>
              <w:spacing w:after="0" w:line="141" w:lineRule="exact"/>
              <w:rPr>
                <w:sz w:val="20"/>
                <w:szCs w:val="20"/>
                <w:color w:val="auto"/>
              </w:rPr>
            </w:pPr>
            <w:r>
              <w:rPr>
                <w:rFonts w:ascii="Arial" w:cs="Arial" w:eastAsia="Arial" w:hAnsi="Arial"/>
                <w:sz w:val="13"/>
                <w:szCs w:val="13"/>
                <w:b w:val="1"/>
                <w:bCs w:val="1"/>
                <w:color w:val="auto"/>
              </w:rPr>
              <w:t>Exhibit</w:t>
            </w:r>
          </w:p>
        </w:tc>
        <w:tc>
          <w:tcPr>
            <w:tcW w:w="3900" w:type="dxa"/>
            <w:vAlign w:val="bottom"/>
            <w:gridSpan w:val="28"/>
            <w:vMerge w:val="restart"/>
          </w:tcPr>
          <w:p>
            <w:pPr>
              <w:ind w:left="320"/>
              <w:spacing w:after="0"/>
              <w:rPr>
                <w:sz w:val="20"/>
                <w:szCs w:val="20"/>
                <w:color w:val="auto"/>
              </w:rPr>
            </w:pPr>
            <w:r>
              <w:rPr>
                <w:rFonts w:ascii="Arial" w:cs="Arial" w:eastAsia="Arial" w:hAnsi="Arial"/>
                <w:sz w:val="13"/>
                <w:szCs w:val="13"/>
                <w:b w:val="1"/>
                <w:bCs w:val="1"/>
                <w:color w:val="auto"/>
              </w:rPr>
              <w:t>Exhibit Description</w:t>
            </w:r>
          </w:p>
        </w:tc>
        <w:tc>
          <w:tcPr>
            <w:tcW w:w="920" w:type="dxa"/>
            <w:vAlign w:val="bottom"/>
          </w:tcPr>
          <w:p>
            <w:pPr>
              <w:jc w:val="center"/>
              <w:ind w:left="53"/>
              <w:spacing w:after="0" w:line="141" w:lineRule="exact"/>
              <w:rPr>
                <w:sz w:val="20"/>
                <w:szCs w:val="20"/>
                <w:color w:val="auto"/>
              </w:rPr>
            </w:pPr>
            <w:r>
              <w:rPr>
                <w:rFonts w:ascii="Arial" w:cs="Arial" w:eastAsia="Arial" w:hAnsi="Arial"/>
                <w:sz w:val="13"/>
                <w:szCs w:val="13"/>
                <w:b w:val="1"/>
                <w:bCs w:val="1"/>
                <w:color w:val="auto"/>
              </w:rPr>
              <w:t>Filed</w:t>
            </w:r>
          </w:p>
        </w:tc>
        <w:tc>
          <w:tcPr>
            <w:tcW w:w="1520" w:type="dxa"/>
            <w:vAlign w:val="bottom"/>
            <w:vMerge w:val="restart"/>
          </w:tcPr>
          <w:p>
            <w:pPr>
              <w:jc w:val="right"/>
              <w:ind w:right="294"/>
              <w:spacing w:after="0"/>
              <w:rPr>
                <w:sz w:val="20"/>
                <w:szCs w:val="20"/>
                <w:color w:val="auto"/>
              </w:rPr>
            </w:pPr>
            <w:r>
              <w:rPr>
                <w:rFonts w:ascii="Arial" w:cs="Arial" w:eastAsia="Arial" w:hAnsi="Arial"/>
                <w:sz w:val="13"/>
                <w:szCs w:val="13"/>
                <w:b w:val="1"/>
                <w:bCs w:val="1"/>
                <w:color w:val="auto"/>
              </w:rPr>
              <w:t>Form</w:t>
            </w:r>
          </w:p>
        </w:tc>
        <w:tc>
          <w:tcPr>
            <w:tcW w:w="1520" w:type="dxa"/>
            <w:vAlign w:val="bottom"/>
          </w:tcPr>
          <w:p>
            <w:pPr>
              <w:jc w:val="right"/>
              <w:ind w:right="333"/>
              <w:spacing w:after="0" w:line="141" w:lineRule="exact"/>
              <w:rPr>
                <w:sz w:val="20"/>
                <w:szCs w:val="20"/>
                <w:color w:val="auto"/>
              </w:rPr>
            </w:pPr>
            <w:r>
              <w:rPr>
                <w:rFonts w:ascii="Arial" w:cs="Arial" w:eastAsia="Arial" w:hAnsi="Arial"/>
                <w:sz w:val="13"/>
                <w:szCs w:val="13"/>
                <w:b w:val="1"/>
                <w:bCs w:val="1"/>
                <w:color w:val="auto"/>
              </w:rPr>
              <w:t>Period</w:t>
            </w:r>
          </w:p>
        </w:tc>
        <w:tc>
          <w:tcPr>
            <w:tcW w:w="1240" w:type="dxa"/>
            <w:vAlign w:val="bottom"/>
            <w:vMerge w:val="restart"/>
          </w:tcPr>
          <w:p>
            <w:pPr>
              <w:jc w:val="right"/>
              <w:ind w:right="294"/>
              <w:spacing w:after="0"/>
              <w:rPr>
                <w:sz w:val="20"/>
                <w:szCs w:val="20"/>
                <w:color w:val="auto"/>
              </w:rPr>
            </w:pPr>
            <w:r>
              <w:rPr>
                <w:rFonts w:ascii="Arial" w:cs="Arial" w:eastAsia="Arial" w:hAnsi="Arial"/>
                <w:sz w:val="13"/>
                <w:szCs w:val="13"/>
                <w:b w:val="1"/>
                <w:bCs w:val="1"/>
                <w:color w:val="auto"/>
              </w:rPr>
              <w:t>Exhibit</w:t>
            </w:r>
          </w:p>
        </w:tc>
        <w:tc>
          <w:tcPr>
            <w:tcW w:w="1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177"/>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Number</w:t>
            </w:r>
          </w:p>
        </w:tc>
        <w:tc>
          <w:tcPr>
            <w:tcW w:w="3900" w:type="dxa"/>
            <w:vAlign w:val="bottom"/>
            <w:tcBorders>
              <w:bottom w:val="single" w:sz="8" w:color="auto"/>
            </w:tcBorders>
            <w:gridSpan w:val="28"/>
            <w:vMerge w:val="continue"/>
          </w:tcPr>
          <w:p>
            <w:pPr>
              <w:spacing w:after="0"/>
              <w:rPr>
                <w:sz w:val="15"/>
                <w:szCs w:val="15"/>
                <w:color w:val="auto"/>
              </w:rPr>
            </w:pPr>
          </w:p>
        </w:tc>
        <w:tc>
          <w:tcPr>
            <w:tcW w:w="920" w:type="dxa"/>
            <w:vAlign w:val="bottom"/>
            <w:tcBorders>
              <w:bottom w:val="single" w:sz="8" w:color="auto"/>
            </w:tcBorders>
          </w:tcPr>
          <w:p>
            <w:pPr>
              <w:jc w:val="center"/>
              <w:ind w:left="73"/>
              <w:spacing w:after="0"/>
              <w:rPr>
                <w:sz w:val="20"/>
                <w:szCs w:val="20"/>
                <w:color w:val="auto"/>
              </w:rPr>
            </w:pPr>
            <w:r>
              <w:rPr>
                <w:rFonts w:ascii="Arial" w:cs="Arial" w:eastAsia="Arial" w:hAnsi="Arial"/>
                <w:sz w:val="13"/>
                <w:szCs w:val="13"/>
                <w:b w:val="1"/>
                <w:bCs w:val="1"/>
                <w:color w:val="auto"/>
              </w:rPr>
              <w:t>Herewith</w:t>
            </w:r>
          </w:p>
        </w:tc>
        <w:tc>
          <w:tcPr>
            <w:tcW w:w="1520" w:type="dxa"/>
            <w:vAlign w:val="bottom"/>
            <w:tcBorders>
              <w:bottom w:val="single" w:sz="8" w:color="auto"/>
            </w:tcBorders>
            <w:vMerge w:val="continue"/>
          </w:tcPr>
          <w:p>
            <w:pPr>
              <w:spacing w:after="0"/>
              <w:rPr>
                <w:sz w:val="15"/>
                <w:szCs w:val="15"/>
                <w:color w:val="auto"/>
              </w:rPr>
            </w:pPr>
          </w:p>
        </w:tc>
        <w:tc>
          <w:tcPr>
            <w:tcW w:w="152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Ending</w:t>
            </w:r>
          </w:p>
        </w:tc>
        <w:tc>
          <w:tcPr>
            <w:tcW w:w="12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1"/>
                <w:szCs w:val="21"/>
                <w:color w:val="auto"/>
              </w:rPr>
            </w:pPr>
          </w:p>
        </w:tc>
        <w:tc>
          <w:tcPr>
            <w:tcW w:w="3580" w:type="dxa"/>
            <w:vAlign w:val="bottom"/>
            <w:gridSpan w:val="27"/>
          </w:tcPr>
          <w:p>
            <w:pPr>
              <w:spacing w:after="0"/>
              <w:rPr>
                <w:rFonts w:ascii="Arial" w:cs="Arial" w:eastAsia="Arial" w:hAnsi="Arial"/>
                <w:sz w:val="18"/>
                <w:szCs w:val="18"/>
                <w:color w:val="auto"/>
              </w:rPr>
            </w:pPr>
            <w:hyperlink r:id="rId177">
              <w:r>
                <w:rPr>
                  <w:rFonts w:ascii="Arial" w:cs="Arial" w:eastAsia="Arial" w:hAnsi="Arial"/>
                  <w:sz w:val="18"/>
                  <w:szCs w:val="18"/>
                  <w:color w:val="auto"/>
                </w:rPr>
                <w:t>Third Supplemental Indenture for 2.500%</w:t>
              </w:r>
            </w:hyperlink>
          </w:p>
        </w:tc>
        <w:tc>
          <w:tcPr>
            <w:tcW w:w="920" w:type="dxa"/>
            <w:vAlign w:val="bottom"/>
          </w:tcPr>
          <w:p>
            <w:pPr>
              <w:spacing w:after="0"/>
              <w:rPr>
                <w:sz w:val="21"/>
                <w:szCs w:val="21"/>
                <w:color w:val="auto"/>
              </w:rPr>
            </w:pPr>
          </w:p>
        </w:tc>
        <w:tc>
          <w:tcPr>
            <w:tcW w:w="1520" w:type="dxa"/>
            <w:vAlign w:val="bottom"/>
          </w:tcPr>
          <w:p>
            <w:pPr>
              <w:jc w:val="right"/>
              <w:ind w:right="294"/>
              <w:spacing w:after="0"/>
              <w:rPr>
                <w:sz w:val="20"/>
                <w:szCs w:val="20"/>
                <w:color w:val="auto"/>
              </w:rPr>
            </w:pPr>
            <w:r>
              <w:rPr>
                <w:rFonts w:ascii="Arial" w:cs="Arial" w:eastAsia="Arial" w:hAnsi="Arial"/>
                <w:sz w:val="18"/>
                <w:szCs w:val="18"/>
                <w:color w:val="auto"/>
              </w:rPr>
              <w:t>8-K</w:t>
            </w:r>
          </w:p>
        </w:tc>
        <w:tc>
          <w:tcPr>
            <w:tcW w:w="1520" w:type="dxa"/>
            <w:vAlign w:val="bottom"/>
          </w:tcPr>
          <w:p>
            <w:pPr>
              <w:spacing w:after="0"/>
              <w:rPr>
                <w:sz w:val="21"/>
                <w:szCs w:val="21"/>
                <w:color w:val="auto"/>
              </w:rPr>
            </w:pPr>
          </w:p>
        </w:tc>
        <w:tc>
          <w:tcPr>
            <w:tcW w:w="1240" w:type="dxa"/>
            <w:vAlign w:val="bottom"/>
          </w:tcPr>
          <w:p>
            <w:pPr>
              <w:jc w:val="right"/>
              <w:ind w:right="294"/>
              <w:spacing w:after="0"/>
              <w:rPr>
                <w:sz w:val="20"/>
                <w:szCs w:val="20"/>
                <w:color w:val="auto"/>
              </w:rPr>
            </w:pPr>
            <w:r>
              <w:rPr>
                <w:rFonts w:ascii="Arial" w:cs="Arial" w:eastAsia="Arial" w:hAnsi="Arial"/>
                <w:sz w:val="18"/>
                <w:szCs w:val="18"/>
                <w:color w:val="auto"/>
              </w:rPr>
              <w:t>4.2</w:t>
            </w:r>
          </w:p>
        </w:tc>
        <w:tc>
          <w:tcPr>
            <w:tcW w:w="1200" w:type="dxa"/>
            <w:vAlign w:val="bottom"/>
          </w:tcPr>
          <w:p>
            <w:pPr>
              <w:jc w:val="right"/>
              <w:spacing w:after="0"/>
              <w:rPr>
                <w:sz w:val="20"/>
                <w:szCs w:val="20"/>
                <w:color w:val="auto"/>
              </w:rPr>
            </w:pPr>
            <w:r>
              <w:rPr>
                <w:rFonts w:ascii="Arial" w:cs="Arial" w:eastAsia="Arial" w:hAnsi="Arial"/>
                <w:sz w:val="18"/>
                <w:szCs w:val="18"/>
                <w:color w:val="auto"/>
              </w:rPr>
              <w:t>2/8/2011</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4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auto"/>
                <w:w w:val="99"/>
              </w:rPr>
            </w:pPr>
            <w:hyperlink r:id="rId177">
              <w:r>
                <w:rPr>
                  <w:rFonts w:ascii="Arial" w:cs="Arial" w:eastAsia="Arial" w:hAnsi="Arial"/>
                  <w:sz w:val="18"/>
                  <w:szCs w:val="18"/>
                  <w:color w:val="auto"/>
                  <w:w w:val="99"/>
                </w:rPr>
                <w:t>Notes due 2016, 4.000% Notes due 2021,</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0" w:type="dxa"/>
            <w:vAlign w:val="bottom"/>
            <w:gridSpan w:val="21"/>
          </w:tcPr>
          <w:p>
            <w:pPr>
              <w:spacing w:after="0" w:line="182" w:lineRule="exact"/>
              <w:rPr>
                <w:rFonts w:ascii="Arial" w:cs="Arial" w:eastAsia="Arial" w:hAnsi="Arial"/>
                <w:sz w:val="18"/>
                <w:szCs w:val="18"/>
                <w:color w:val="auto"/>
              </w:rPr>
            </w:pPr>
            <w:hyperlink r:id="rId177">
              <w:r>
                <w:rPr>
                  <w:rFonts w:ascii="Arial" w:cs="Arial" w:eastAsia="Arial" w:hAnsi="Arial"/>
                  <w:sz w:val="18"/>
                  <w:szCs w:val="18"/>
                  <w:color w:val="auto"/>
                </w:rPr>
                <w:t>and 5.300% Notes due 2041, dated as of</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auto"/>
                <w:w w:val="99"/>
              </w:rPr>
            </w:pPr>
            <w:hyperlink r:id="rId177">
              <w:r>
                <w:rPr>
                  <w:rFonts w:ascii="Arial" w:cs="Arial" w:eastAsia="Arial" w:hAnsi="Arial"/>
                  <w:sz w:val="18"/>
                  <w:szCs w:val="18"/>
                  <w:color w:val="auto"/>
                  <w:w w:val="99"/>
                </w:rPr>
                <w:t>February 8, 2011, between Microsoft</w:t>
              </w:r>
            </w:hyperlink>
          </w:p>
        </w:tc>
        <w:tc>
          <w:tcPr>
            <w:tcW w:w="360" w:type="dxa"/>
            <w:vAlign w:val="bottom"/>
            <w:tcBorders>
              <w:top w:val="single" w:sz="8" w:color="0000EE"/>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8"/>
                <w:szCs w:val="18"/>
                <w:color w:val="auto"/>
              </w:rPr>
            </w:pPr>
            <w:hyperlink r:id="rId177">
              <w:r>
                <w:rPr>
                  <w:rFonts w:ascii="Arial" w:cs="Arial" w:eastAsia="Arial" w:hAnsi="Arial"/>
                  <w:sz w:val="18"/>
                  <w:szCs w:val="18"/>
                  <w:color w:val="auto"/>
                </w:rPr>
                <w:t>Corporation and The Bank of New York</w:t>
              </w:r>
            </w:hyperlink>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Borders>
              <w:top w:val="single" w:sz="8" w:color="0000EE"/>
            </w:tcBorders>
            <w:gridSpan w:val="9"/>
          </w:tcPr>
          <w:p>
            <w:pPr>
              <w:spacing w:after="0" w:line="182" w:lineRule="exact"/>
              <w:rPr>
                <w:rFonts w:ascii="Arial" w:cs="Arial" w:eastAsia="Arial" w:hAnsi="Arial"/>
                <w:sz w:val="18"/>
                <w:szCs w:val="18"/>
                <w:color w:val="auto"/>
                <w:w w:val="95"/>
              </w:rPr>
            </w:pPr>
            <w:hyperlink r:id="rId177">
              <w:r>
                <w:rPr>
                  <w:rFonts w:ascii="Arial" w:cs="Arial" w:eastAsia="Arial" w:hAnsi="Arial"/>
                  <w:sz w:val="18"/>
                  <w:szCs w:val="18"/>
                  <w:color w:val="auto"/>
                  <w:w w:val="95"/>
                </w:rPr>
                <w:t>Mellon Trust Company, N.A., as Trustee,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gridSpan w:val="12"/>
          </w:tcPr>
          <w:p>
            <w:pPr>
              <w:spacing w:after="0" w:line="182" w:lineRule="exact"/>
              <w:rPr>
                <w:rFonts w:ascii="Arial" w:cs="Arial" w:eastAsia="Arial" w:hAnsi="Arial"/>
                <w:sz w:val="18"/>
                <w:szCs w:val="18"/>
                <w:color w:val="auto"/>
              </w:rPr>
            </w:pPr>
            <w:hyperlink r:id="rId177">
              <w:r>
                <w:rPr>
                  <w:rFonts w:ascii="Arial" w:cs="Arial" w:eastAsia="Arial" w:hAnsi="Arial"/>
                  <w:sz w:val="18"/>
                  <w:szCs w:val="18"/>
                  <w:color w:val="auto"/>
                </w:rPr>
                <w:t>to</w:t>
              </w:r>
            </w:hyperlink>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60" w:type="dxa"/>
            <w:vAlign w:val="bottom"/>
            <w:tcBorders>
              <w:top w:val="single" w:sz="8" w:color="0000EE"/>
            </w:tcBorders>
            <w:gridSpan w:val="23"/>
          </w:tcPr>
          <w:p>
            <w:pPr>
              <w:spacing w:after="0" w:line="182" w:lineRule="exact"/>
              <w:rPr>
                <w:rFonts w:ascii="Arial" w:cs="Arial" w:eastAsia="Arial" w:hAnsi="Arial"/>
                <w:sz w:val="18"/>
                <w:szCs w:val="18"/>
                <w:color w:val="auto"/>
              </w:rPr>
            </w:pPr>
            <w:hyperlink r:id="rId177">
              <w:r>
                <w:rPr>
                  <w:rFonts w:ascii="Arial" w:cs="Arial" w:eastAsia="Arial" w:hAnsi="Arial"/>
                  <w:sz w:val="18"/>
                  <w:szCs w:val="18"/>
                  <w:color w:val="auto"/>
                </w:rPr>
                <w:t>the Indenture, dated as of May 18, 2009,</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80" w:type="dxa"/>
            <w:vAlign w:val="bottom"/>
            <w:tcBorders>
              <w:top w:val="single" w:sz="8" w:color="0000EE"/>
            </w:tcBorders>
            <w:gridSpan w:val="15"/>
          </w:tcPr>
          <w:p>
            <w:pPr>
              <w:spacing w:after="0" w:line="182" w:lineRule="exact"/>
              <w:rPr>
                <w:rFonts w:ascii="Arial" w:cs="Arial" w:eastAsia="Arial" w:hAnsi="Arial"/>
                <w:sz w:val="18"/>
                <w:szCs w:val="18"/>
                <w:color w:val="auto"/>
              </w:rPr>
            </w:pPr>
            <w:hyperlink r:id="rId177">
              <w:r>
                <w:rPr>
                  <w:rFonts w:ascii="Arial" w:cs="Arial" w:eastAsia="Arial" w:hAnsi="Arial"/>
                  <w:sz w:val="18"/>
                  <w:szCs w:val="18"/>
                  <w:color w:val="auto"/>
                </w:rPr>
                <w:t>between Microsoft Corporation and The</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auto"/>
                <w:w w:val="94"/>
              </w:rPr>
            </w:pPr>
            <w:hyperlink r:id="rId177">
              <w:r>
                <w:rPr>
                  <w:rFonts w:ascii="Arial" w:cs="Arial" w:eastAsia="Arial" w:hAnsi="Arial"/>
                  <w:sz w:val="18"/>
                  <w:szCs w:val="18"/>
                  <w:color w:val="auto"/>
                  <w:w w:val="94"/>
                </w:rPr>
                <w:t>Bank of New York Mellon Trust Company,</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gridSpan w:val="19"/>
          </w:tcPr>
          <w:p>
            <w:pPr>
              <w:spacing w:after="0" w:line="182" w:lineRule="exact"/>
              <w:rPr>
                <w:rFonts w:ascii="Arial" w:cs="Arial" w:eastAsia="Arial" w:hAnsi="Arial"/>
                <w:sz w:val="18"/>
                <w:szCs w:val="18"/>
                <w:color w:val="auto"/>
              </w:rPr>
            </w:pPr>
            <w:hyperlink r:id="rId177">
              <w:r>
                <w:rPr>
                  <w:rFonts w:ascii="Arial" w:cs="Arial" w:eastAsia="Arial" w:hAnsi="Arial"/>
                  <w:sz w:val="18"/>
                  <w:szCs w:val="18"/>
                  <w:color w:val="auto"/>
                </w:rPr>
                <w:t>N.A., as Trustee</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24"/>
                <w:szCs w:val="24"/>
                <w:color w:val="auto"/>
              </w:rPr>
            </w:pPr>
          </w:p>
        </w:tc>
        <w:tc>
          <w:tcPr>
            <w:tcW w:w="3580" w:type="dxa"/>
            <w:vAlign w:val="bottom"/>
            <w:gridSpan w:val="27"/>
          </w:tcPr>
          <w:p>
            <w:pPr>
              <w:spacing w:after="0"/>
              <w:rPr>
                <w:rFonts w:ascii="Arial" w:cs="Arial" w:eastAsia="Arial" w:hAnsi="Arial"/>
                <w:sz w:val="18"/>
                <w:szCs w:val="18"/>
                <w:color w:val="auto"/>
              </w:rPr>
            </w:pPr>
            <w:hyperlink r:id="rId178">
              <w:r>
                <w:rPr>
                  <w:rFonts w:ascii="Arial" w:cs="Arial" w:eastAsia="Arial" w:hAnsi="Arial"/>
                  <w:sz w:val="18"/>
                  <w:szCs w:val="18"/>
                  <w:color w:val="auto"/>
                </w:rPr>
                <w:t>Fourth Supplemental Indenture for 0.875%</w:t>
              </w:r>
            </w:hyperlink>
          </w:p>
        </w:tc>
        <w:tc>
          <w:tcPr>
            <w:tcW w:w="920" w:type="dxa"/>
            <w:vAlign w:val="bottom"/>
          </w:tcPr>
          <w:p>
            <w:pPr>
              <w:spacing w:after="0"/>
              <w:rPr>
                <w:sz w:val="24"/>
                <w:szCs w:val="24"/>
                <w:color w:val="auto"/>
              </w:rPr>
            </w:pPr>
          </w:p>
        </w:tc>
        <w:tc>
          <w:tcPr>
            <w:tcW w:w="1520" w:type="dxa"/>
            <w:vAlign w:val="bottom"/>
          </w:tcPr>
          <w:p>
            <w:pPr>
              <w:jc w:val="right"/>
              <w:ind w:right="294"/>
              <w:spacing w:after="0"/>
              <w:rPr>
                <w:sz w:val="20"/>
                <w:szCs w:val="20"/>
                <w:color w:val="auto"/>
              </w:rPr>
            </w:pPr>
            <w:r>
              <w:rPr>
                <w:rFonts w:ascii="Arial" w:cs="Arial" w:eastAsia="Arial" w:hAnsi="Arial"/>
                <w:sz w:val="18"/>
                <w:szCs w:val="18"/>
                <w:color w:val="auto"/>
              </w:rPr>
              <w:t>8-K</w:t>
            </w:r>
          </w:p>
        </w:tc>
        <w:tc>
          <w:tcPr>
            <w:tcW w:w="1520" w:type="dxa"/>
            <w:vAlign w:val="bottom"/>
          </w:tcPr>
          <w:p>
            <w:pPr>
              <w:spacing w:after="0"/>
              <w:rPr>
                <w:sz w:val="24"/>
                <w:szCs w:val="24"/>
                <w:color w:val="auto"/>
              </w:rPr>
            </w:pPr>
          </w:p>
        </w:tc>
        <w:tc>
          <w:tcPr>
            <w:tcW w:w="1240" w:type="dxa"/>
            <w:vAlign w:val="bottom"/>
          </w:tcPr>
          <w:p>
            <w:pPr>
              <w:jc w:val="right"/>
              <w:ind w:right="294"/>
              <w:spacing w:after="0"/>
              <w:rPr>
                <w:sz w:val="20"/>
                <w:szCs w:val="20"/>
                <w:color w:val="auto"/>
              </w:rPr>
            </w:pPr>
            <w:r>
              <w:rPr>
                <w:rFonts w:ascii="Arial" w:cs="Arial" w:eastAsia="Arial" w:hAnsi="Arial"/>
                <w:sz w:val="18"/>
                <w:szCs w:val="18"/>
                <w:color w:val="auto"/>
              </w:rPr>
              <w:t>4.1</w:t>
            </w:r>
          </w:p>
        </w:tc>
        <w:tc>
          <w:tcPr>
            <w:tcW w:w="1200" w:type="dxa"/>
            <w:vAlign w:val="bottom"/>
          </w:tcPr>
          <w:p>
            <w:pPr>
              <w:jc w:val="right"/>
              <w:spacing w:after="0"/>
              <w:rPr>
                <w:sz w:val="20"/>
                <w:szCs w:val="20"/>
                <w:color w:val="auto"/>
              </w:rPr>
            </w:pPr>
            <w:r>
              <w:rPr>
                <w:rFonts w:ascii="Arial" w:cs="Arial" w:eastAsia="Arial" w:hAnsi="Arial"/>
                <w:sz w:val="18"/>
                <w:szCs w:val="18"/>
                <w:color w:val="auto"/>
              </w:rPr>
              <w:t>11/7/2012</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20" w:type="dxa"/>
            <w:vAlign w:val="bottom"/>
            <w:tcBorders>
              <w:top w:val="single" w:sz="8" w:color="0000EE"/>
            </w:tcBorders>
            <w:gridSpan w:val="22"/>
          </w:tcPr>
          <w:p>
            <w:pPr>
              <w:spacing w:after="0" w:line="182" w:lineRule="exact"/>
              <w:rPr>
                <w:rFonts w:ascii="Arial" w:cs="Arial" w:eastAsia="Arial" w:hAnsi="Arial"/>
                <w:sz w:val="18"/>
                <w:szCs w:val="18"/>
                <w:color w:val="auto"/>
              </w:rPr>
            </w:pPr>
            <w:hyperlink r:id="rId178">
              <w:r>
                <w:rPr>
                  <w:rFonts w:ascii="Arial" w:cs="Arial" w:eastAsia="Arial" w:hAnsi="Arial"/>
                  <w:sz w:val="18"/>
                  <w:szCs w:val="18"/>
                  <w:color w:val="auto"/>
                </w:rPr>
                <w:t>Notes due 2017, 2.125% Notes due 2022,</w:t>
              </w:r>
            </w:hyperlink>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0" w:type="dxa"/>
            <w:vAlign w:val="bottom"/>
            <w:tcBorders>
              <w:top w:val="single" w:sz="8" w:color="0000EE"/>
            </w:tcBorders>
            <w:gridSpan w:val="21"/>
          </w:tcPr>
          <w:p>
            <w:pPr>
              <w:spacing w:after="0" w:line="182" w:lineRule="exact"/>
              <w:rPr>
                <w:rFonts w:ascii="Arial" w:cs="Arial" w:eastAsia="Arial" w:hAnsi="Arial"/>
                <w:sz w:val="18"/>
                <w:szCs w:val="18"/>
                <w:color w:val="auto"/>
              </w:rPr>
            </w:pPr>
            <w:hyperlink r:id="rId178">
              <w:r>
                <w:rPr>
                  <w:rFonts w:ascii="Arial" w:cs="Arial" w:eastAsia="Arial" w:hAnsi="Arial"/>
                  <w:sz w:val="18"/>
                  <w:szCs w:val="18"/>
                  <w:color w:val="auto"/>
                </w:rPr>
                <w:t>and 3.500% Notes due 2042, dated as of</w:t>
              </w:r>
            </w:hyperlink>
          </w:p>
        </w:tc>
        <w:tc>
          <w:tcPr>
            <w:tcW w:w="8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tcBorders>
              <w:top w:val="single" w:sz="8" w:color="0000EE"/>
            </w:tcBorders>
            <w:gridSpan w:val="16"/>
          </w:tcPr>
          <w:p>
            <w:pPr>
              <w:spacing w:after="0" w:line="182" w:lineRule="exact"/>
              <w:rPr>
                <w:rFonts w:ascii="Arial" w:cs="Arial" w:eastAsia="Arial" w:hAnsi="Arial"/>
                <w:sz w:val="18"/>
                <w:szCs w:val="18"/>
                <w:color w:val="auto"/>
              </w:rPr>
            </w:pPr>
            <w:hyperlink r:id="rId178">
              <w:r>
                <w:rPr>
                  <w:rFonts w:ascii="Arial" w:cs="Arial" w:eastAsia="Arial" w:hAnsi="Arial"/>
                  <w:sz w:val="18"/>
                  <w:szCs w:val="18"/>
                  <w:color w:val="auto"/>
                </w:rPr>
                <w:t>November 7, 2012, between Microsoft</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tcBorders>
              <w:top w:val="single" w:sz="8" w:color="0000EE"/>
            </w:tcBorders>
            <w:gridSpan w:val="8"/>
          </w:tcPr>
          <w:p>
            <w:pPr>
              <w:spacing w:after="0" w:line="182" w:lineRule="exact"/>
              <w:rPr>
                <w:rFonts w:ascii="Arial" w:cs="Arial" w:eastAsia="Arial" w:hAnsi="Arial"/>
                <w:sz w:val="18"/>
                <w:szCs w:val="18"/>
                <w:color w:val="auto"/>
                <w:w w:val="96"/>
              </w:rPr>
            </w:pPr>
            <w:hyperlink r:id="rId178">
              <w:r>
                <w:rPr>
                  <w:rFonts w:ascii="Arial" w:cs="Arial" w:eastAsia="Arial" w:hAnsi="Arial"/>
                  <w:sz w:val="18"/>
                  <w:szCs w:val="18"/>
                  <w:color w:val="auto"/>
                  <w:w w:val="96"/>
                </w:rPr>
                <w:t>Corporation and The Bank of New York</w:t>
              </w:r>
            </w:hyperlink>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gridSpan w:val="12"/>
            <w:vMerge w:val="restart"/>
          </w:tcPr>
          <w:p>
            <w:pPr>
              <w:spacing w:after="0"/>
              <w:rPr>
                <w:rFonts w:ascii="Arial" w:cs="Arial" w:eastAsia="Arial" w:hAnsi="Arial"/>
                <w:sz w:val="18"/>
                <w:szCs w:val="18"/>
                <w:color w:val="auto"/>
              </w:rPr>
            </w:pPr>
            <w:hyperlink r:id="rId178">
              <w:r>
                <w:rPr>
                  <w:rFonts w:ascii="Arial" w:cs="Arial" w:eastAsia="Arial" w:hAnsi="Arial"/>
                  <w:sz w:val="18"/>
                  <w:szCs w:val="18"/>
                  <w:color w:val="auto"/>
                </w:rPr>
                <w:t>to</w:t>
              </w:r>
            </w:hyperlink>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Borders>
              <w:top w:val="single" w:sz="8" w:color="0000EE"/>
            </w:tcBorders>
            <w:gridSpan w:val="9"/>
          </w:tcPr>
          <w:p>
            <w:pPr>
              <w:spacing w:after="0" w:line="182" w:lineRule="exact"/>
              <w:rPr>
                <w:rFonts w:ascii="Arial" w:cs="Arial" w:eastAsia="Arial" w:hAnsi="Arial"/>
                <w:sz w:val="18"/>
                <w:szCs w:val="18"/>
                <w:color w:val="auto"/>
                <w:w w:val="95"/>
              </w:rPr>
            </w:pPr>
            <w:hyperlink r:id="rId178">
              <w:r>
                <w:rPr>
                  <w:rFonts w:ascii="Arial" w:cs="Arial" w:eastAsia="Arial" w:hAnsi="Arial"/>
                  <w:sz w:val="18"/>
                  <w:szCs w:val="18"/>
                  <w:color w:val="auto"/>
                  <w:w w:val="95"/>
                </w:rPr>
                <w:t>Mellon Trust Company, N.A., as Trustee,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gridSpan w:val="12"/>
            <w:vMerge w:val="continue"/>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60" w:type="dxa"/>
            <w:vAlign w:val="bottom"/>
            <w:tcBorders>
              <w:top w:val="single" w:sz="8" w:color="0000EE"/>
            </w:tcBorders>
            <w:gridSpan w:val="23"/>
          </w:tcPr>
          <w:p>
            <w:pPr>
              <w:spacing w:after="0" w:line="182" w:lineRule="exact"/>
              <w:rPr>
                <w:rFonts w:ascii="Arial" w:cs="Arial" w:eastAsia="Arial" w:hAnsi="Arial"/>
                <w:sz w:val="18"/>
                <w:szCs w:val="18"/>
                <w:color w:val="auto"/>
              </w:rPr>
            </w:pPr>
            <w:hyperlink r:id="rId178">
              <w:r>
                <w:rPr>
                  <w:rFonts w:ascii="Arial" w:cs="Arial" w:eastAsia="Arial" w:hAnsi="Arial"/>
                  <w:sz w:val="18"/>
                  <w:szCs w:val="18"/>
                  <w:color w:val="auto"/>
                </w:rPr>
                <w:t>the Indenture, dated as of May 18, 2009,</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80" w:type="dxa"/>
            <w:vAlign w:val="bottom"/>
            <w:tcBorders>
              <w:top w:val="single" w:sz="8" w:color="0000EE"/>
            </w:tcBorders>
            <w:gridSpan w:val="15"/>
          </w:tcPr>
          <w:p>
            <w:pPr>
              <w:spacing w:after="0" w:line="182" w:lineRule="exact"/>
              <w:rPr>
                <w:rFonts w:ascii="Arial" w:cs="Arial" w:eastAsia="Arial" w:hAnsi="Arial"/>
                <w:sz w:val="18"/>
                <w:szCs w:val="18"/>
                <w:color w:val="auto"/>
              </w:rPr>
            </w:pPr>
            <w:hyperlink r:id="rId178">
              <w:r>
                <w:rPr>
                  <w:rFonts w:ascii="Arial" w:cs="Arial" w:eastAsia="Arial" w:hAnsi="Arial"/>
                  <w:sz w:val="18"/>
                  <w:szCs w:val="18"/>
                  <w:color w:val="auto"/>
                </w:rPr>
                <w:t>between Microsoft Corporation and The</w:t>
              </w:r>
            </w:hyperlink>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0" w:type="dxa"/>
            <w:vAlign w:val="bottom"/>
            <w:tcBorders>
              <w:top w:val="single" w:sz="8" w:color="0000EE"/>
            </w:tcBorders>
            <w:gridSpan w:val="12"/>
          </w:tcPr>
          <w:p>
            <w:pPr>
              <w:spacing w:after="0" w:line="182" w:lineRule="exact"/>
              <w:rPr>
                <w:rFonts w:ascii="Arial" w:cs="Arial" w:eastAsia="Arial" w:hAnsi="Arial"/>
                <w:sz w:val="18"/>
                <w:szCs w:val="18"/>
                <w:color w:val="auto"/>
                <w:w w:val="94"/>
              </w:rPr>
            </w:pPr>
            <w:hyperlink r:id="rId178">
              <w:r>
                <w:rPr>
                  <w:rFonts w:ascii="Arial" w:cs="Arial" w:eastAsia="Arial" w:hAnsi="Arial"/>
                  <w:sz w:val="18"/>
                  <w:szCs w:val="18"/>
                  <w:color w:val="auto"/>
                  <w:w w:val="94"/>
                </w:rPr>
                <w:t>Bank of New York Mellon Trust Company,</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tcBorders>
              <w:top w:val="single" w:sz="8" w:color="0000EE"/>
            </w:tcBorders>
            <w:gridSpan w:val="19"/>
          </w:tcPr>
          <w:p>
            <w:pPr>
              <w:spacing w:after="0" w:line="182" w:lineRule="exact"/>
              <w:rPr>
                <w:rFonts w:ascii="Arial" w:cs="Arial" w:eastAsia="Arial" w:hAnsi="Arial"/>
                <w:sz w:val="18"/>
                <w:szCs w:val="18"/>
                <w:color w:val="auto"/>
              </w:rPr>
            </w:pPr>
            <w:hyperlink r:id="rId178">
              <w:r>
                <w:rPr>
                  <w:rFonts w:ascii="Arial" w:cs="Arial" w:eastAsia="Arial" w:hAnsi="Arial"/>
                  <w:sz w:val="18"/>
                  <w:szCs w:val="18"/>
                  <w:color w:val="auto"/>
                </w:rPr>
                <w:t>N.A., as Trustee</w:t>
              </w:r>
            </w:hyperlink>
          </w:p>
        </w:tc>
        <w:tc>
          <w:tcPr>
            <w:tcW w:w="2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24"/>
                <w:szCs w:val="24"/>
                <w:color w:val="auto"/>
              </w:rPr>
            </w:pPr>
          </w:p>
        </w:tc>
        <w:tc>
          <w:tcPr>
            <w:tcW w:w="3580" w:type="dxa"/>
            <w:vAlign w:val="bottom"/>
            <w:gridSpan w:val="27"/>
          </w:tcPr>
          <w:p>
            <w:pPr>
              <w:spacing w:after="0"/>
              <w:rPr>
                <w:rFonts w:ascii="Arial" w:cs="Arial" w:eastAsia="Arial" w:hAnsi="Arial"/>
                <w:sz w:val="18"/>
                <w:szCs w:val="18"/>
                <w:color w:val="auto"/>
              </w:rPr>
            </w:pPr>
            <w:hyperlink r:id="rId179">
              <w:r>
                <w:rPr>
                  <w:rFonts w:ascii="Arial" w:cs="Arial" w:eastAsia="Arial" w:hAnsi="Arial"/>
                  <w:sz w:val="18"/>
                  <w:szCs w:val="18"/>
                  <w:color w:val="auto"/>
                </w:rPr>
                <w:t>Fifth Supplemental Indenture for 2.625%</w:t>
              </w:r>
            </w:hyperlink>
          </w:p>
        </w:tc>
        <w:tc>
          <w:tcPr>
            <w:tcW w:w="920" w:type="dxa"/>
            <w:vAlign w:val="bottom"/>
          </w:tcPr>
          <w:p>
            <w:pPr>
              <w:spacing w:after="0"/>
              <w:rPr>
                <w:sz w:val="24"/>
                <w:szCs w:val="24"/>
                <w:color w:val="auto"/>
              </w:rPr>
            </w:pPr>
          </w:p>
        </w:tc>
        <w:tc>
          <w:tcPr>
            <w:tcW w:w="1520" w:type="dxa"/>
            <w:vAlign w:val="bottom"/>
          </w:tcPr>
          <w:p>
            <w:pPr>
              <w:jc w:val="right"/>
              <w:ind w:right="294"/>
              <w:spacing w:after="0"/>
              <w:rPr>
                <w:sz w:val="20"/>
                <w:szCs w:val="20"/>
                <w:color w:val="auto"/>
              </w:rPr>
            </w:pPr>
            <w:r>
              <w:rPr>
                <w:rFonts w:ascii="Arial" w:cs="Arial" w:eastAsia="Arial" w:hAnsi="Arial"/>
                <w:sz w:val="18"/>
                <w:szCs w:val="18"/>
                <w:color w:val="auto"/>
              </w:rPr>
              <w:t>8-K</w:t>
            </w:r>
          </w:p>
        </w:tc>
        <w:tc>
          <w:tcPr>
            <w:tcW w:w="1520" w:type="dxa"/>
            <w:vAlign w:val="bottom"/>
          </w:tcPr>
          <w:p>
            <w:pPr>
              <w:spacing w:after="0"/>
              <w:rPr>
                <w:sz w:val="24"/>
                <w:szCs w:val="24"/>
                <w:color w:val="auto"/>
              </w:rPr>
            </w:pPr>
          </w:p>
        </w:tc>
        <w:tc>
          <w:tcPr>
            <w:tcW w:w="1240" w:type="dxa"/>
            <w:vAlign w:val="bottom"/>
          </w:tcPr>
          <w:p>
            <w:pPr>
              <w:jc w:val="right"/>
              <w:ind w:right="294"/>
              <w:spacing w:after="0"/>
              <w:rPr>
                <w:sz w:val="20"/>
                <w:szCs w:val="20"/>
                <w:color w:val="auto"/>
              </w:rPr>
            </w:pPr>
            <w:r>
              <w:rPr>
                <w:rFonts w:ascii="Arial" w:cs="Arial" w:eastAsia="Arial" w:hAnsi="Arial"/>
                <w:sz w:val="18"/>
                <w:szCs w:val="18"/>
                <w:color w:val="auto"/>
              </w:rPr>
              <w:t>4.1</w:t>
            </w:r>
          </w:p>
        </w:tc>
        <w:tc>
          <w:tcPr>
            <w:tcW w:w="1200" w:type="dxa"/>
            <w:vAlign w:val="bottom"/>
          </w:tcPr>
          <w:p>
            <w:pPr>
              <w:jc w:val="right"/>
              <w:spacing w:after="0"/>
              <w:rPr>
                <w:sz w:val="20"/>
                <w:szCs w:val="20"/>
                <w:color w:val="auto"/>
              </w:rPr>
            </w:pPr>
            <w:r>
              <w:rPr>
                <w:rFonts w:ascii="Arial" w:cs="Arial" w:eastAsia="Arial" w:hAnsi="Arial"/>
                <w:sz w:val="18"/>
                <w:szCs w:val="18"/>
                <w:color w:val="auto"/>
              </w:rPr>
              <w:t>5/1/2013</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6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auto"/>
                <w:w w:val="96"/>
              </w:rPr>
            </w:pPr>
            <w:hyperlink r:id="rId179">
              <w:r>
                <w:rPr>
                  <w:rFonts w:ascii="Arial" w:cs="Arial" w:eastAsia="Arial" w:hAnsi="Arial"/>
                  <w:sz w:val="18"/>
                  <w:szCs w:val="18"/>
                  <w:color w:val="auto"/>
                  <w:w w:val="96"/>
                </w:rPr>
                <w:t>Notes due 2033, dated as of May 2, 2013,</w:t>
              </w:r>
            </w:hyperlink>
          </w:p>
        </w:tc>
        <w:tc>
          <w:tcPr>
            <w:tcW w:w="60" w:type="dxa"/>
            <w:vAlign w:val="bottom"/>
            <w:tcBorders>
              <w:bottom w:val="single" w:sz="8" w:color="0000EE"/>
            </w:tcBorders>
            <w:gridSpan w:val="3"/>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10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80" w:type="dxa"/>
            <w:vAlign w:val="bottom"/>
            <w:gridSpan w:val="20"/>
          </w:tcPr>
          <w:p>
            <w:pPr>
              <w:spacing w:after="0" w:line="182" w:lineRule="exact"/>
              <w:rPr>
                <w:rFonts w:ascii="Arial" w:cs="Arial" w:eastAsia="Arial" w:hAnsi="Arial"/>
                <w:sz w:val="18"/>
                <w:szCs w:val="18"/>
                <w:color w:val="auto"/>
              </w:rPr>
            </w:pPr>
            <w:hyperlink r:id="rId179">
              <w:r>
                <w:rPr>
                  <w:rFonts w:ascii="Arial" w:cs="Arial" w:eastAsia="Arial" w:hAnsi="Arial"/>
                  <w:sz w:val="18"/>
                  <w:szCs w:val="18"/>
                  <w:color w:val="auto"/>
                </w:rPr>
                <w:t>between Microsoft Corporation and The</w:t>
              </w:r>
            </w:hyperlink>
          </w:p>
        </w:tc>
        <w:tc>
          <w:tcPr>
            <w:tcW w:w="10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auto"/>
                <w:w w:val="94"/>
              </w:rPr>
            </w:pPr>
            <w:hyperlink r:id="rId179">
              <w:r>
                <w:rPr>
                  <w:rFonts w:ascii="Arial" w:cs="Arial" w:eastAsia="Arial" w:hAnsi="Arial"/>
                  <w:sz w:val="18"/>
                  <w:szCs w:val="18"/>
                  <w:color w:val="auto"/>
                  <w:w w:val="94"/>
                </w:rPr>
                <w:t>Bank of New York Mellon Trust Company,</w:t>
              </w:r>
            </w:hyperlink>
          </w:p>
        </w:tc>
        <w:tc>
          <w:tcPr>
            <w:tcW w:w="20" w:type="dxa"/>
            <w:vAlign w:val="bottom"/>
            <w:tcBorders>
              <w:bottom w:val="single" w:sz="8" w:color="0000EE"/>
            </w:tcBorders>
          </w:tcPr>
          <w:p>
            <w:pPr>
              <w:spacing w:after="0"/>
              <w:rPr>
                <w:sz w:val="15"/>
                <w:szCs w:val="15"/>
                <w:color w:val="auto"/>
              </w:rPr>
            </w:pPr>
          </w:p>
        </w:tc>
        <w:tc>
          <w:tcPr>
            <w:tcW w:w="100" w:type="dxa"/>
            <w:vAlign w:val="bottom"/>
            <w:tcBorders>
              <w:bottom w:val="single" w:sz="8" w:color="0000EE"/>
            </w:tcBorders>
            <w:gridSpan w:val="4"/>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12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8"/>
                <w:szCs w:val="18"/>
                <w:color w:val="auto"/>
              </w:rPr>
            </w:pPr>
            <w:hyperlink r:id="rId179">
              <w:r>
                <w:rPr>
                  <w:rFonts w:ascii="Arial" w:cs="Arial" w:eastAsia="Arial" w:hAnsi="Arial"/>
                  <w:sz w:val="18"/>
                  <w:szCs w:val="18"/>
                  <w:color w:val="auto"/>
                </w:rPr>
                <w:t>N.A., as Trustee, to the Indenture, dated as</w:t>
              </w:r>
            </w:hyperlink>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auto"/>
              </w:rPr>
            </w:pPr>
            <w:hyperlink r:id="rId179">
              <w:r>
                <w:rPr>
                  <w:rFonts w:ascii="Arial" w:cs="Arial" w:eastAsia="Arial" w:hAnsi="Arial"/>
                  <w:sz w:val="18"/>
                  <w:szCs w:val="18"/>
                  <w:color w:val="auto"/>
                </w:rPr>
                <w:t>of May 18, 2009, between Microsoft</w:t>
              </w:r>
            </w:hyperlink>
          </w:p>
        </w:tc>
        <w:tc>
          <w:tcPr>
            <w:tcW w:w="600" w:type="dxa"/>
            <w:vAlign w:val="bottom"/>
            <w:tcBorders>
              <w:top w:val="single" w:sz="8" w:color="0000EE"/>
            </w:tcBorders>
            <w:gridSpan w:val="20"/>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8"/>
                <w:szCs w:val="18"/>
                <w:color w:val="auto"/>
              </w:rPr>
            </w:pPr>
            <w:hyperlink r:id="rId179">
              <w:r>
                <w:rPr>
                  <w:rFonts w:ascii="Arial" w:cs="Arial" w:eastAsia="Arial" w:hAnsi="Arial"/>
                  <w:sz w:val="18"/>
                  <w:szCs w:val="18"/>
                  <w:color w:val="auto"/>
                </w:rPr>
                <w:t>Corporation and The Bank of New York</w:t>
              </w:r>
            </w:hyperlink>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1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auto"/>
                <w:w w:val="97"/>
              </w:rPr>
            </w:pPr>
            <w:hyperlink r:id="rId179">
              <w:r>
                <w:rPr>
                  <w:rFonts w:ascii="Arial" w:cs="Arial" w:eastAsia="Arial" w:hAnsi="Arial"/>
                  <w:sz w:val="18"/>
                  <w:szCs w:val="18"/>
                  <w:color w:val="auto"/>
                  <w:w w:val="97"/>
                </w:rPr>
                <w:t>Mellon Trust Company, N.A., as Trustee</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4"/>
          </w:tcPr>
          <w:p>
            <w:pPr>
              <w:spacing w:after="0"/>
              <w:rPr>
                <w:sz w:val="15"/>
                <w:szCs w:val="15"/>
                <w:color w:val="auto"/>
              </w:rPr>
            </w:pPr>
          </w:p>
        </w:tc>
        <w:tc>
          <w:tcPr>
            <w:tcW w:w="200" w:type="dxa"/>
            <w:vAlign w:val="bottom"/>
            <w:gridSpan w:val="8"/>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4"/>
                <w:szCs w:val="24"/>
                <w:color w:val="auto"/>
              </w:rPr>
            </w:pPr>
          </w:p>
        </w:tc>
        <w:tc>
          <w:tcPr>
            <w:tcW w:w="3580" w:type="dxa"/>
            <w:vAlign w:val="bottom"/>
            <w:gridSpan w:val="27"/>
          </w:tcPr>
          <w:p>
            <w:pPr>
              <w:spacing w:after="0"/>
              <w:rPr>
                <w:rFonts w:ascii="Arial" w:cs="Arial" w:eastAsia="Arial" w:hAnsi="Arial"/>
                <w:sz w:val="18"/>
                <w:szCs w:val="18"/>
                <w:color w:val="auto"/>
              </w:rPr>
            </w:pPr>
            <w:hyperlink r:id="rId180">
              <w:r>
                <w:rPr>
                  <w:rFonts w:ascii="Arial" w:cs="Arial" w:eastAsia="Arial" w:hAnsi="Arial"/>
                  <w:sz w:val="18"/>
                  <w:szCs w:val="18"/>
                  <w:color w:val="auto"/>
                </w:rPr>
                <w:t>Sixth Supplemental Indenture for 1.000%</w:t>
              </w:r>
            </w:hyperlink>
          </w:p>
        </w:tc>
        <w:tc>
          <w:tcPr>
            <w:tcW w:w="920" w:type="dxa"/>
            <w:vAlign w:val="bottom"/>
          </w:tcPr>
          <w:p>
            <w:pPr>
              <w:spacing w:after="0"/>
              <w:rPr>
                <w:sz w:val="24"/>
                <w:szCs w:val="24"/>
                <w:color w:val="auto"/>
              </w:rPr>
            </w:pPr>
          </w:p>
        </w:tc>
        <w:tc>
          <w:tcPr>
            <w:tcW w:w="1520" w:type="dxa"/>
            <w:vAlign w:val="bottom"/>
          </w:tcPr>
          <w:p>
            <w:pPr>
              <w:jc w:val="right"/>
              <w:ind w:right="294"/>
              <w:spacing w:after="0"/>
              <w:rPr>
                <w:sz w:val="20"/>
                <w:szCs w:val="20"/>
                <w:color w:val="auto"/>
              </w:rPr>
            </w:pPr>
            <w:r>
              <w:rPr>
                <w:rFonts w:ascii="Arial" w:cs="Arial" w:eastAsia="Arial" w:hAnsi="Arial"/>
                <w:sz w:val="18"/>
                <w:szCs w:val="18"/>
                <w:color w:val="auto"/>
              </w:rPr>
              <w:t>8-K</w:t>
            </w:r>
          </w:p>
        </w:tc>
        <w:tc>
          <w:tcPr>
            <w:tcW w:w="1520" w:type="dxa"/>
            <w:vAlign w:val="bottom"/>
          </w:tcPr>
          <w:p>
            <w:pPr>
              <w:spacing w:after="0"/>
              <w:rPr>
                <w:sz w:val="24"/>
                <w:szCs w:val="24"/>
                <w:color w:val="auto"/>
              </w:rPr>
            </w:pPr>
          </w:p>
        </w:tc>
        <w:tc>
          <w:tcPr>
            <w:tcW w:w="1240" w:type="dxa"/>
            <w:vAlign w:val="bottom"/>
          </w:tcPr>
          <w:p>
            <w:pPr>
              <w:jc w:val="right"/>
              <w:ind w:right="294"/>
              <w:spacing w:after="0"/>
              <w:rPr>
                <w:sz w:val="20"/>
                <w:szCs w:val="20"/>
                <w:color w:val="auto"/>
              </w:rPr>
            </w:pPr>
            <w:r>
              <w:rPr>
                <w:rFonts w:ascii="Arial" w:cs="Arial" w:eastAsia="Arial" w:hAnsi="Arial"/>
                <w:sz w:val="18"/>
                <w:szCs w:val="18"/>
                <w:color w:val="auto"/>
              </w:rPr>
              <w:t>4.2</w:t>
            </w:r>
          </w:p>
        </w:tc>
        <w:tc>
          <w:tcPr>
            <w:tcW w:w="1200" w:type="dxa"/>
            <w:vAlign w:val="bottom"/>
          </w:tcPr>
          <w:p>
            <w:pPr>
              <w:jc w:val="right"/>
              <w:spacing w:after="0"/>
              <w:rPr>
                <w:sz w:val="20"/>
                <w:szCs w:val="20"/>
                <w:color w:val="auto"/>
              </w:rPr>
            </w:pPr>
            <w:r>
              <w:rPr>
                <w:rFonts w:ascii="Arial" w:cs="Arial" w:eastAsia="Arial" w:hAnsi="Arial"/>
                <w:sz w:val="18"/>
                <w:szCs w:val="18"/>
                <w:color w:val="auto"/>
              </w:rPr>
              <w:t>5/1/2013</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20" w:type="dxa"/>
            <w:vAlign w:val="bottom"/>
            <w:tcBorders>
              <w:top w:val="single" w:sz="8" w:color="0000EE"/>
            </w:tcBorders>
            <w:gridSpan w:val="17"/>
          </w:tcPr>
          <w:p>
            <w:pPr>
              <w:spacing w:after="0" w:line="182" w:lineRule="exact"/>
              <w:rPr>
                <w:rFonts w:ascii="Arial" w:cs="Arial" w:eastAsia="Arial" w:hAnsi="Arial"/>
                <w:sz w:val="18"/>
                <w:szCs w:val="18"/>
                <w:color w:val="auto"/>
                <w:w w:val="98"/>
              </w:rPr>
            </w:pPr>
            <w:hyperlink r:id="rId180">
              <w:r>
                <w:rPr>
                  <w:rFonts w:ascii="Arial" w:cs="Arial" w:eastAsia="Arial" w:hAnsi="Arial"/>
                  <w:sz w:val="18"/>
                  <w:szCs w:val="18"/>
                  <w:color w:val="auto"/>
                  <w:w w:val="98"/>
                </w:rPr>
                <w:t>Notes due 2018, 2.375% Notes due 2023,</w:t>
              </w:r>
            </w:hyperlink>
          </w:p>
        </w:tc>
        <w:tc>
          <w:tcPr>
            <w:tcW w:w="200" w:type="dxa"/>
            <w:vAlign w:val="bottom"/>
            <w:gridSpan w:val="8"/>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0" w:type="dxa"/>
            <w:vAlign w:val="bottom"/>
            <w:tcBorders>
              <w:top w:val="single" w:sz="8" w:color="0000EE"/>
            </w:tcBorders>
            <w:gridSpan w:val="21"/>
          </w:tcPr>
          <w:p>
            <w:pPr>
              <w:spacing w:after="0" w:line="182" w:lineRule="exact"/>
              <w:rPr>
                <w:rFonts w:ascii="Arial" w:cs="Arial" w:eastAsia="Arial" w:hAnsi="Arial"/>
                <w:sz w:val="18"/>
                <w:szCs w:val="18"/>
                <w:color w:val="auto"/>
              </w:rPr>
            </w:pPr>
            <w:hyperlink r:id="rId180">
              <w:r>
                <w:rPr>
                  <w:rFonts w:ascii="Arial" w:cs="Arial" w:eastAsia="Arial" w:hAnsi="Arial"/>
                  <w:sz w:val="18"/>
                  <w:szCs w:val="18"/>
                  <w:color w:val="auto"/>
                </w:rPr>
                <w:t>and 3.750% Notes due 2043, dated as of</w:t>
              </w:r>
            </w:hyperlink>
          </w:p>
        </w:tc>
        <w:tc>
          <w:tcPr>
            <w:tcW w:w="12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auto"/>
                <w:w w:val="92"/>
              </w:rPr>
            </w:pPr>
            <w:hyperlink r:id="rId180">
              <w:r>
                <w:rPr>
                  <w:rFonts w:ascii="Arial" w:cs="Arial" w:eastAsia="Arial" w:hAnsi="Arial"/>
                  <w:sz w:val="18"/>
                  <w:szCs w:val="18"/>
                  <w:color w:val="auto"/>
                  <w:w w:val="92"/>
                </w:rPr>
                <w:t>May 2, 2013, between Microsoft Corporation</w:t>
              </w:r>
            </w:hyperlink>
          </w:p>
        </w:tc>
        <w:tc>
          <w:tcPr>
            <w:tcW w:w="220" w:type="dxa"/>
            <w:vAlign w:val="bottom"/>
            <w:tcBorders>
              <w:bottom w:val="single" w:sz="8" w:color="0000EE"/>
            </w:tcBorders>
            <w:gridSpan w:val="9"/>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220" w:type="dxa"/>
            <w:vAlign w:val="bottom"/>
            <w:tcBorders>
              <w:bottom w:val="single" w:sz="8" w:color="0000EE"/>
            </w:tcBorders>
            <w:gridSpan w:val="13"/>
          </w:tcPr>
          <w:p>
            <w:pPr>
              <w:spacing w:after="0" w:line="182" w:lineRule="exact"/>
              <w:rPr>
                <w:rFonts w:ascii="Arial" w:cs="Arial" w:eastAsia="Arial" w:hAnsi="Arial"/>
                <w:sz w:val="18"/>
                <w:szCs w:val="18"/>
                <w:color w:val="auto"/>
              </w:rPr>
            </w:pPr>
            <w:hyperlink r:id="rId180">
              <w:r>
                <w:rPr>
                  <w:rFonts w:ascii="Arial" w:cs="Arial" w:eastAsia="Arial" w:hAnsi="Arial"/>
                  <w:sz w:val="18"/>
                  <w:szCs w:val="18"/>
                  <w:color w:val="auto"/>
                </w:rPr>
                <w:t>and The Bank of New York Mellon Trust</w:t>
              </w:r>
            </w:hyperlink>
          </w:p>
        </w:tc>
        <w:tc>
          <w:tcPr>
            <w:tcW w:w="340" w:type="dxa"/>
            <w:vAlign w:val="bottom"/>
            <w:gridSpan w:val="13"/>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80" w:type="dxa"/>
            <w:vAlign w:val="bottom"/>
            <w:gridSpan w:val="27"/>
          </w:tcPr>
          <w:p>
            <w:pPr>
              <w:spacing w:after="0" w:line="182" w:lineRule="exact"/>
              <w:rPr>
                <w:rFonts w:ascii="Arial" w:cs="Arial" w:eastAsia="Arial" w:hAnsi="Arial"/>
                <w:sz w:val="18"/>
                <w:szCs w:val="18"/>
                <w:color w:val="auto"/>
                <w:w w:val="99"/>
              </w:rPr>
            </w:pPr>
            <w:hyperlink r:id="rId180">
              <w:r>
                <w:rPr>
                  <w:rFonts w:ascii="Arial" w:cs="Arial" w:eastAsia="Arial" w:hAnsi="Arial"/>
                  <w:sz w:val="18"/>
                  <w:szCs w:val="18"/>
                  <w:color w:val="auto"/>
                  <w:w w:val="99"/>
                </w:rPr>
                <w:t>Company, N.A., as Trustee, to the Indenture,</w:t>
              </w:r>
            </w:hyperlink>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tcBorders>
              <w:top w:val="single" w:sz="8" w:color="0000EE"/>
            </w:tcBorders>
            <w:gridSpan w:val="26"/>
          </w:tcPr>
          <w:p>
            <w:pPr>
              <w:spacing w:after="0" w:line="182" w:lineRule="exact"/>
              <w:rPr>
                <w:rFonts w:ascii="Arial" w:cs="Arial" w:eastAsia="Arial" w:hAnsi="Arial"/>
                <w:sz w:val="18"/>
                <w:szCs w:val="18"/>
                <w:color w:val="auto"/>
              </w:rPr>
            </w:pPr>
            <w:hyperlink r:id="rId180">
              <w:r>
                <w:rPr>
                  <w:rFonts w:ascii="Arial" w:cs="Arial" w:eastAsia="Arial" w:hAnsi="Arial"/>
                  <w:sz w:val="18"/>
                  <w:szCs w:val="18"/>
                  <w:color w:val="auto"/>
                </w:rPr>
                <w:t>dated as of May 18, 2009, between</w:t>
              </w:r>
            </w:hyperlink>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tcBorders>
              <w:top w:val="single" w:sz="8" w:color="0000EE"/>
            </w:tcBorders>
            <w:gridSpan w:val="3"/>
          </w:tcPr>
          <w:p>
            <w:pPr>
              <w:spacing w:after="0" w:line="182" w:lineRule="exact"/>
              <w:rPr>
                <w:rFonts w:ascii="Arial" w:cs="Arial" w:eastAsia="Arial" w:hAnsi="Arial"/>
                <w:sz w:val="18"/>
                <w:szCs w:val="18"/>
                <w:color w:val="auto"/>
                <w:w w:val="97"/>
              </w:rPr>
            </w:pPr>
            <w:hyperlink r:id="rId180">
              <w:r>
                <w:rPr>
                  <w:rFonts w:ascii="Arial" w:cs="Arial" w:eastAsia="Arial" w:hAnsi="Arial"/>
                  <w:sz w:val="18"/>
                  <w:szCs w:val="18"/>
                  <w:color w:val="auto"/>
                  <w:w w:val="97"/>
                </w:rPr>
                <w:t>Microsoft Corporation and The Bank</w:t>
              </w:r>
            </w:hyperlink>
          </w:p>
        </w:tc>
        <w:tc>
          <w:tcPr>
            <w:tcW w:w="720" w:type="dxa"/>
            <w:vAlign w:val="bottom"/>
            <w:gridSpan w:val="23"/>
          </w:tcPr>
          <w:p>
            <w:pPr>
              <w:ind w:left="80"/>
              <w:spacing w:after="0" w:line="182" w:lineRule="exact"/>
              <w:rPr>
                <w:rFonts w:ascii="Arial" w:cs="Arial" w:eastAsia="Arial" w:hAnsi="Arial"/>
                <w:sz w:val="18"/>
                <w:szCs w:val="18"/>
                <w:color w:val="auto"/>
              </w:rPr>
            </w:pPr>
            <w:hyperlink r:id="rId180">
              <w:r>
                <w:rPr>
                  <w:rFonts w:ascii="Arial" w:cs="Arial" w:eastAsia="Arial" w:hAnsi="Arial"/>
                  <w:sz w:val="18"/>
                  <w:szCs w:val="18"/>
                  <w:color w:val="auto"/>
                </w:rPr>
                <w:t>of New</w:t>
              </w:r>
            </w:hyperlink>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tcBorders>
              <w:top w:val="single" w:sz="8" w:color="0000EE"/>
            </w:tcBorders>
            <w:gridSpan w:val="25"/>
          </w:tcPr>
          <w:p>
            <w:pPr>
              <w:spacing w:after="0" w:line="182" w:lineRule="exact"/>
              <w:rPr>
                <w:rFonts w:ascii="Arial" w:cs="Arial" w:eastAsia="Arial" w:hAnsi="Arial"/>
                <w:sz w:val="18"/>
                <w:szCs w:val="18"/>
                <w:color w:val="auto"/>
              </w:rPr>
            </w:pPr>
            <w:hyperlink r:id="rId180">
              <w:r>
                <w:rPr>
                  <w:rFonts w:ascii="Arial" w:cs="Arial" w:eastAsia="Arial" w:hAnsi="Arial"/>
                  <w:sz w:val="18"/>
                  <w:szCs w:val="18"/>
                  <w:color w:val="auto"/>
                </w:rPr>
                <w:t>York Mellon Trust Company, N.A., as</w:t>
              </w:r>
            </w:hyperlink>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80" w:type="dxa"/>
            <w:vAlign w:val="bottom"/>
            <w:tcBorders>
              <w:top w:val="single" w:sz="8" w:color="0000EE"/>
              <w:bottom w:val="single" w:sz="8" w:color="0000EE"/>
            </w:tcBorders>
          </w:tcPr>
          <w:p>
            <w:pPr>
              <w:spacing w:after="0" w:line="182" w:lineRule="exact"/>
              <w:rPr>
                <w:rFonts w:ascii="Arial" w:cs="Arial" w:eastAsia="Arial" w:hAnsi="Arial"/>
                <w:sz w:val="18"/>
                <w:szCs w:val="18"/>
                <w:color w:val="auto"/>
                <w:w w:val="91"/>
              </w:rPr>
            </w:pPr>
            <w:hyperlink r:id="rId180">
              <w:r>
                <w:rPr>
                  <w:rFonts w:ascii="Arial" w:cs="Arial" w:eastAsia="Arial" w:hAnsi="Arial"/>
                  <w:sz w:val="18"/>
                  <w:szCs w:val="18"/>
                  <w:color w:val="auto"/>
                  <w:w w:val="91"/>
                </w:rPr>
                <w:t>Trustee</w:t>
              </w:r>
            </w:hyperlink>
          </w:p>
        </w:tc>
        <w:tc>
          <w:tcPr>
            <w:tcW w:w="2380" w:type="dxa"/>
            <w:vAlign w:val="bottom"/>
            <w:tcBorders>
              <w:top w:val="single" w:sz="8" w:color="0000EE"/>
            </w:tcBorders>
            <w:gridSpan w:val="5"/>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380" w:type="dxa"/>
            <w:vAlign w:val="bottom"/>
            <w:gridSpan w:val="15"/>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4.10</w:t>
            </w:r>
          </w:p>
        </w:tc>
        <w:tc>
          <w:tcPr>
            <w:tcW w:w="320" w:type="dxa"/>
            <w:vAlign w:val="bottom"/>
          </w:tcPr>
          <w:p>
            <w:pPr>
              <w:spacing w:after="0"/>
              <w:rPr>
                <w:sz w:val="24"/>
                <w:szCs w:val="24"/>
                <w:color w:val="auto"/>
              </w:rPr>
            </w:pPr>
          </w:p>
        </w:tc>
        <w:tc>
          <w:tcPr>
            <w:tcW w:w="3580" w:type="dxa"/>
            <w:vAlign w:val="bottom"/>
            <w:gridSpan w:val="27"/>
          </w:tcPr>
          <w:p>
            <w:pPr>
              <w:spacing w:after="0"/>
              <w:rPr>
                <w:rFonts w:ascii="Arial" w:cs="Arial" w:eastAsia="Arial" w:hAnsi="Arial"/>
                <w:sz w:val="18"/>
                <w:szCs w:val="18"/>
                <w:color w:val="auto"/>
              </w:rPr>
            </w:pPr>
            <w:hyperlink r:id="rId181">
              <w:r>
                <w:rPr>
                  <w:rFonts w:ascii="Arial" w:cs="Arial" w:eastAsia="Arial" w:hAnsi="Arial"/>
                  <w:sz w:val="18"/>
                  <w:szCs w:val="18"/>
                  <w:color w:val="auto"/>
                </w:rPr>
                <w:t>Seventh Supplemental Indenture for 2.125%</w:t>
              </w:r>
            </w:hyperlink>
          </w:p>
        </w:tc>
        <w:tc>
          <w:tcPr>
            <w:tcW w:w="920" w:type="dxa"/>
            <w:vAlign w:val="bottom"/>
          </w:tcPr>
          <w:p>
            <w:pPr>
              <w:spacing w:after="0"/>
              <w:rPr>
                <w:sz w:val="24"/>
                <w:szCs w:val="24"/>
                <w:color w:val="auto"/>
              </w:rPr>
            </w:pPr>
          </w:p>
        </w:tc>
        <w:tc>
          <w:tcPr>
            <w:tcW w:w="1520" w:type="dxa"/>
            <w:vAlign w:val="bottom"/>
          </w:tcPr>
          <w:p>
            <w:pPr>
              <w:jc w:val="right"/>
              <w:ind w:right="294"/>
              <w:spacing w:after="0"/>
              <w:rPr>
                <w:sz w:val="20"/>
                <w:szCs w:val="20"/>
                <w:color w:val="auto"/>
              </w:rPr>
            </w:pPr>
            <w:r>
              <w:rPr>
                <w:rFonts w:ascii="Arial" w:cs="Arial" w:eastAsia="Arial" w:hAnsi="Arial"/>
                <w:sz w:val="18"/>
                <w:szCs w:val="18"/>
                <w:color w:val="auto"/>
              </w:rPr>
              <w:t>8-K</w:t>
            </w:r>
          </w:p>
        </w:tc>
        <w:tc>
          <w:tcPr>
            <w:tcW w:w="1520" w:type="dxa"/>
            <w:vAlign w:val="bottom"/>
          </w:tcPr>
          <w:p>
            <w:pPr>
              <w:spacing w:after="0"/>
              <w:rPr>
                <w:sz w:val="24"/>
                <w:szCs w:val="24"/>
                <w:color w:val="auto"/>
              </w:rPr>
            </w:pPr>
          </w:p>
        </w:tc>
        <w:tc>
          <w:tcPr>
            <w:tcW w:w="1240" w:type="dxa"/>
            <w:vAlign w:val="bottom"/>
          </w:tcPr>
          <w:p>
            <w:pPr>
              <w:jc w:val="right"/>
              <w:ind w:right="294"/>
              <w:spacing w:after="0"/>
              <w:rPr>
                <w:sz w:val="20"/>
                <w:szCs w:val="20"/>
                <w:color w:val="auto"/>
              </w:rPr>
            </w:pPr>
            <w:r>
              <w:rPr>
                <w:rFonts w:ascii="Arial" w:cs="Arial" w:eastAsia="Arial" w:hAnsi="Arial"/>
                <w:sz w:val="18"/>
                <w:szCs w:val="18"/>
                <w:color w:val="auto"/>
              </w:rPr>
              <w:t>4.1</w:t>
            </w:r>
          </w:p>
        </w:tc>
        <w:tc>
          <w:tcPr>
            <w:tcW w:w="1200" w:type="dxa"/>
            <w:vAlign w:val="bottom"/>
          </w:tcPr>
          <w:p>
            <w:pPr>
              <w:jc w:val="right"/>
              <w:spacing w:after="0"/>
              <w:rPr>
                <w:sz w:val="20"/>
                <w:szCs w:val="20"/>
                <w:color w:val="auto"/>
              </w:rPr>
            </w:pPr>
            <w:r>
              <w:rPr>
                <w:rFonts w:ascii="Arial" w:cs="Arial" w:eastAsia="Arial" w:hAnsi="Arial"/>
                <w:sz w:val="18"/>
                <w:szCs w:val="18"/>
                <w:color w:val="auto"/>
              </w:rPr>
              <w:t>12/6/2013</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tcBorders>
              <w:top w:val="single" w:sz="8" w:color="0000EE"/>
            </w:tcBorders>
            <w:gridSpan w:val="26"/>
          </w:tcPr>
          <w:p>
            <w:pPr>
              <w:spacing w:after="0" w:line="182" w:lineRule="exact"/>
              <w:rPr>
                <w:rFonts w:ascii="Arial" w:cs="Arial" w:eastAsia="Arial" w:hAnsi="Arial"/>
                <w:sz w:val="18"/>
                <w:szCs w:val="18"/>
                <w:color w:val="auto"/>
              </w:rPr>
            </w:pPr>
            <w:hyperlink r:id="rId181">
              <w:r>
                <w:rPr>
                  <w:rFonts w:ascii="Arial" w:cs="Arial" w:eastAsia="Arial" w:hAnsi="Arial"/>
                  <w:sz w:val="18"/>
                  <w:szCs w:val="18"/>
                  <w:color w:val="auto"/>
                </w:rPr>
                <w:t>Notes due 2021 and 3.125% Notes due</w:t>
              </w:r>
            </w:hyperlink>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0" w:type="dxa"/>
            <w:vAlign w:val="bottom"/>
            <w:tcBorders>
              <w:top w:val="single" w:sz="8" w:color="0000EE"/>
            </w:tcBorders>
            <w:gridSpan w:val="12"/>
          </w:tcPr>
          <w:p>
            <w:pPr>
              <w:spacing w:after="0" w:line="182" w:lineRule="exact"/>
              <w:rPr>
                <w:rFonts w:ascii="Arial" w:cs="Arial" w:eastAsia="Arial" w:hAnsi="Arial"/>
                <w:sz w:val="18"/>
                <w:szCs w:val="18"/>
                <w:color w:val="auto"/>
              </w:rPr>
            </w:pPr>
            <w:hyperlink r:id="rId181">
              <w:r>
                <w:rPr>
                  <w:rFonts w:ascii="Arial" w:cs="Arial" w:eastAsia="Arial" w:hAnsi="Arial"/>
                  <w:sz w:val="18"/>
                  <w:szCs w:val="18"/>
                  <w:color w:val="auto"/>
                </w:rPr>
                <w:t>2028, dated as of December 6, 2013,</w:t>
              </w:r>
            </w:hyperlink>
          </w:p>
        </w:tc>
        <w:tc>
          <w:tcPr>
            <w:tcW w:w="380" w:type="dxa"/>
            <w:vAlign w:val="bottom"/>
            <w:gridSpan w:val="15"/>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0" w:type="dxa"/>
            <w:vAlign w:val="bottom"/>
            <w:gridSpan w:val="7"/>
            <w:shd w:val="clear" w:color="auto" w:fill="0000EE"/>
          </w:tcPr>
          <w:p>
            <w:pPr>
              <w:spacing w:after="0" w:line="20" w:lineRule="exact"/>
              <w:rPr>
                <w:sz w:val="1"/>
                <w:szCs w:val="1"/>
                <w:color w:val="auto"/>
              </w:rPr>
            </w:pPr>
          </w:p>
        </w:tc>
        <w:tc>
          <w:tcPr>
            <w:tcW w:w="560" w:type="dxa"/>
            <w:vAlign w:val="bottom"/>
            <w:gridSpan w:val="1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8"/>
                <w:szCs w:val="18"/>
                <w:color w:val="auto"/>
              </w:rPr>
            </w:pPr>
            <w:hyperlink r:id="rId181">
              <w:r>
                <w:rPr>
                  <w:rFonts w:ascii="Arial" w:cs="Arial" w:eastAsia="Arial" w:hAnsi="Arial"/>
                  <w:sz w:val="18"/>
                  <w:szCs w:val="18"/>
                  <w:color w:val="auto"/>
                </w:rPr>
                <w:t>between Microsoft Corporation and The</w:t>
              </w:r>
            </w:hyperlink>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auto"/>
                <w:w w:val="94"/>
              </w:rPr>
            </w:pPr>
            <w:hyperlink r:id="rId181">
              <w:r>
                <w:rPr>
                  <w:rFonts w:ascii="Arial" w:cs="Arial" w:eastAsia="Arial" w:hAnsi="Arial"/>
                  <w:sz w:val="18"/>
                  <w:szCs w:val="18"/>
                  <w:color w:val="auto"/>
                  <w:w w:val="94"/>
                </w:rPr>
                <w:t>Bank of New York Mellon Trust Company,</w:t>
              </w:r>
            </w:hyperlink>
          </w:p>
        </w:tc>
        <w:tc>
          <w:tcPr>
            <w:tcW w:w="160" w:type="dxa"/>
            <w:vAlign w:val="bottom"/>
            <w:tcBorders>
              <w:bottom w:val="single" w:sz="8" w:color="0000EE"/>
            </w:tcBorders>
            <w:gridSpan w:val="7"/>
          </w:tcPr>
          <w:p>
            <w:pPr>
              <w:spacing w:after="0"/>
              <w:rPr>
                <w:sz w:val="15"/>
                <w:szCs w:val="15"/>
                <w:color w:val="auto"/>
              </w:rPr>
            </w:pPr>
          </w:p>
        </w:tc>
        <w:tc>
          <w:tcPr>
            <w:tcW w:w="200" w:type="dxa"/>
            <w:vAlign w:val="bottom"/>
            <w:gridSpan w:val="7"/>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26"/>
          </w:tcPr>
          <w:p>
            <w:pPr>
              <w:spacing w:after="0" w:line="182" w:lineRule="exact"/>
              <w:rPr>
                <w:rFonts w:ascii="Arial" w:cs="Arial" w:eastAsia="Arial" w:hAnsi="Arial"/>
                <w:sz w:val="18"/>
                <w:szCs w:val="18"/>
                <w:color w:val="auto"/>
              </w:rPr>
            </w:pPr>
            <w:hyperlink r:id="rId181">
              <w:r>
                <w:rPr>
                  <w:rFonts w:ascii="Arial" w:cs="Arial" w:eastAsia="Arial" w:hAnsi="Arial"/>
                  <w:sz w:val="18"/>
                  <w:szCs w:val="18"/>
                  <w:color w:val="auto"/>
                </w:rPr>
                <w:t>N.A., as Trustee, to the Indenture, dated as</w:t>
              </w:r>
            </w:hyperlink>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auto"/>
              </w:rPr>
            </w:pPr>
            <w:hyperlink r:id="rId181">
              <w:r>
                <w:rPr>
                  <w:rFonts w:ascii="Arial" w:cs="Arial" w:eastAsia="Arial" w:hAnsi="Arial"/>
                  <w:sz w:val="18"/>
                  <w:szCs w:val="18"/>
                  <w:color w:val="auto"/>
                </w:rPr>
                <w:t>of May 18, 2009, between Microsoft</w:t>
              </w:r>
            </w:hyperlink>
          </w:p>
        </w:tc>
        <w:tc>
          <w:tcPr>
            <w:tcW w:w="600" w:type="dxa"/>
            <w:vAlign w:val="bottom"/>
            <w:tcBorders>
              <w:top w:val="single" w:sz="8" w:color="0000EE"/>
            </w:tcBorders>
            <w:gridSpan w:val="20"/>
          </w:tcPr>
          <w:p>
            <w:pPr>
              <w:spacing w:after="0"/>
              <w:rPr>
                <w:sz w:val="15"/>
                <w:szCs w:val="15"/>
                <w:color w:val="auto"/>
              </w:rPr>
            </w:pPr>
          </w:p>
        </w:tc>
        <w:tc>
          <w:tcPr>
            <w:tcW w:w="8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160"/>
        <w:spacing w:after="0"/>
        <w:rPr>
          <w:rFonts w:ascii="Arial" w:cs="Arial" w:eastAsia="Arial" w:hAnsi="Arial"/>
          <w:sz w:val="18"/>
          <w:szCs w:val="18"/>
          <w:color w:val="auto"/>
        </w:rPr>
      </w:pPr>
      <w:hyperlink r:id="rId181">
        <w:r>
          <w:rPr>
            <w:rFonts w:ascii="Arial" w:cs="Arial" w:eastAsia="Arial" w:hAnsi="Arial"/>
            <w:sz w:val="18"/>
            <w:szCs w:val="18"/>
            <w:color w:val="auto"/>
          </w:rPr>
          <w:t>Corporation and The Bank of New York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-10795</wp:posOffset>
            </wp:positionV>
            <wp:extent cx="20154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2015490" cy="8255"/>
                    </a:xfrm>
                    <a:prstGeom prst="rect">
                      <a:avLst/>
                    </a:prstGeom>
                    <a:noFill/>
                  </pic:spPr>
                </pic:pic>
              </a:graphicData>
            </a:graphic>
          </wp:anchor>
        </w:drawing>
      </w:r>
    </w:p>
    <w:p>
      <w:pPr>
        <w:ind w:left="1160"/>
        <w:spacing w:after="0"/>
        <w:rPr>
          <w:rFonts w:ascii="Arial" w:cs="Arial" w:eastAsia="Arial" w:hAnsi="Arial"/>
          <w:sz w:val="18"/>
          <w:szCs w:val="18"/>
          <w:color w:val="auto"/>
        </w:rPr>
      </w:pPr>
      <w:hyperlink r:id="rId181">
        <w:r>
          <w:rPr>
            <w:rFonts w:ascii="Arial" w:cs="Arial" w:eastAsia="Arial" w:hAnsi="Arial"/>
            <w:sz w:val="18"/>
            <w:szCs w:val="18"/>
            <w:color w:val="auto"/>
          </w:rPr>
          <w:t>Mellon Trust Company, N.A.,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-19050</wp:posOffset>
            </wp:positionV>
            <wp:extent cx="20212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2021205" cy="8890"/>
                    </a:xfrm>
                    <a:prstGeom prst="rect">
                      <a:avLst/>
                    </a:prstGeom>
                    <a:noFill/>
                  </pic:spPr>
                </pic:pic>
              </a:graphicData>
            </a:graphic>
          </wp:anchor>
        </w:drawing>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75" w:right="439" w:bottom="1440" w:gutter="0" w:footer="0" w:header="0"/>
        </w:sectPr>
      </w:pPr>
    </w:p>
    <w:bookmarkStart w:id="104" w:name="page105"/>
    <w:bookmarkEnd w:id="104"/>
    <w:p>
      <w:pPr>
        <w:ind w:left="5360"/>
        <w:spacing w:after="0"/>
        <w:rPr>
          <w:sz w:val="20"/>
          <w:szCs w:val="20"/>
          <w:color w:val="auto"/>
        </w:rPr>
      </w:pPr>
      <w:r>
        <w:rPr>
          <w:rFonts w:ascii="Arial" w:cs="Arial" w:eastAsia="Arial" w:hAnsi="Arial"/>
          <w:sz w:val="13"/>
          <w:szCs w:val="13"/>
          <w:u w:val="single" w:color="auto"/>
          <w:color w:val="auto"/>
        </w:rPr>
        <w:t>PART IV</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2"/>
          </w:tcPr>
          <w:p>
            <w:pPr>
              <w:jc w:val="right"/>
              <w:ind w:right="595"/>
              <w:spacing w:after="0"/>
              <w:rPr>
                <w:sz w:val="20"/>
                <w:szCs w:val="20"/>
                <w:color w:val="auto"/>
              </w:rPr>
            </w:pPr>
            <w:r>
              <w:rPr>
                <w:rFonts w:ascii="Arial" w:cs="Arial" w:eastAsia="Arial" w:hAnsi="Arial"/>
                <w:sz w:val="13"/>
                <w:szCs w:val="13"/>
                <w:b w:val="1"/>
                <w:bCs w:val="1"/>
                <w:color w:val="auto"/>
              </w:rPr>
              <w:t>Incorporated by Reference</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40" w:type="dxa"/>
            <w:vAlign w:val="bottom"/>
          </w:tcPr>
          <w:p>
            <w:pPr>
              <w:ind w:left="20"/>
              <w:spacing w:after="0" w:line="141" w:lineRule="exact"/>
              <w:rPr>
                <w:sz w:val="20"/>
                <w:szCs w:val="20"/>
                <w:color w:val="auto"/>
              </w:rPr>
            </w:pPr>
            <w:r>
              <w:rPr>
                <w:rFonts w:ascii="Arial" w:cs="Arial" w:eastAsia="Arial" w:hAnsi="Arial"/>
                <w:sz w:val="13"/>
                <w:szCs w:val="13"/>
                <w:b w:val="1"/>
                <w:bCs w:val="1"/>
                <w:color w:val="auto"/>
              </w:rPr>
              <w:t>Exhibit</w:t>
            </w:r>
          </w:p>
        </w:tc>
        <w:tc>
          <w:tcPr>
            <w:tcW w:w="3920" w:type="dxa"/>
            <w:vAlign w:val="bottom"/>
            <w:gridSpan w:val="28"/>
            <w:vMerge w:val="restart"/>
          </w:tcPr>
          <w:p>
            <w:pPr>
              <w:ind w:left="320"/>
              <w:spacing w:after="0"/>
              <w:rPr>
                <w:sz w:val="20"/>
                <w:szCs w:val="20"/>
                <w:color w:val="auto"/>
              </w:rPr>
            </w:pPr>
            <w:r>
              <w:rPr>
                <w:rFonts w:ascii="Arial" w:cs="Arial" w:eastAsia="Arial" w:hAnsi="Arial"/>
                <w:sz w:val="13"/>
                <w:szCs w:val="13"/>
                <w:b w:val="1"/>
                <w:bCs w:val="1"/>
                <w:color w:val="auto"/>
              </w:rPr>
              <w:t>Exhibit Description</w:t>
            </w:r>
          </w:p>
        </w:tc>
        <w:tc>
          <w:tcPr>
            <w:tcW w:w="900" w:type="dxa"/>
            <w:vAlign w:val="bottom"/>
          </w:tcPr>
          <w:p>
            <w:pPr>
              <w:jc w:val="center"/>
              <w:ind w:left="31"/>
              <w:spacing w:after="0" w:line="141" w:lineRule="exact"/>
              <w:rPr>
                <w:sz w:val="20"/>
                <w:szCs w:val="20"/>
                <w:color w:val="auto"/>
              </w:rPr>
            </w:pPr>
            <w:r>
              <w:rPr>
                <w:rFonts w:ascii="Arial" w:cs="Arial" w:eastAsia="Arial" w:hAnsi="Arial"/>
                <w:sz w:val="13"/>
                <w:szCs w:val="13"/>
                <w:b w:val="1"/>
                <w:bCs w:val="1"/>
                <w:color w:val="auto"/>
              </w:rPr>
              <w:t>Filed</w:t>
            </w:r>
          </w:p>
        </w:tc>
        <w:tc>
          <w:tcPr>
            <w:tcW w:w="440" w:type="dxa"/>
            <w:vAlign w:val="bottom"/>
          </w:tcPr>
          <w:p>
            <w:pPr>
              <w:spacing w:after="0"/>
              <w:rPr>
                <w:sz w:val="12"/>
                <w:szCs w:val="12"/>
                <w:color w:val="auto"/>
              </w:rPr>
            </w:pPr>
          </w:p>
        </w:tc>
        <w:tc>
          <w:tcPr>
            <w:tcW w:w="1080" w:type="dxa"/>
            <w:vAlign w:val="bottom"/>
            <w:vMerge w:val="restart"/>
          </w:tcPr>
          <w:p>
            <w:pPr>
              <w:jc w:val="right"/>
              <w:ind w:right="295"/>
              <w:spacing w:after="0"/>
              <w:rPr>
                <w:sz w:val="20"/>
                <w:szCs w:val="20"/>
                <w:color w:val="auto"/>
              </w:rPr>
            </w:pPr>
            <w:r>
              <w:rPr>
                <w:rFonts w:ascii="Arial" w:cs="Arial" w:eastAsia="Arial" w:hAnsi="Arial"/>
                <w:sz w:val="13"/>
                <w:szCs w:val="13"/>
                <w:b w:val="1"/>
                <w:bCs w:val="1"/>
                <w:color w:val="auto"/>
              </w:rPr>
              <w:t>Form</w:t>
            </w:r>
          </w:p>
        </w:tc>
        <w:tc>
          <w:tcPr>
            <w:tcW w:w="1520" w:type="dxa"/>
            <w:vAlign w:val="bottom"/>
          </w:tcPr>
          <w:p>
            <w:pPr>
              <w:jc w:val="right"/>
              <w:ind w:right="333"/>
              <w:spacing w:after="0" w:line="141" w:lineRule="exact"/>
              <w:rPr>
                <w:sz w:val="20"/>
                <w:szCs w:val="20"/>
                <w:color w:val="auto"/>
              </w:rPr>
            </w:pPr>
            <w:r>
              <w:rPr>
                <w:rFonts w:ascii="Arial" w:cs="Arial" w:eastAsia="Arial" w:hAnsi="Arial"/>
                <w:sz w:val="13"/>
                <w:szCs w:val="13"/>
                <w:b w:val="1"/>
                <w:bCs w:val="1"/>
                <w:color w:val="auto"/>
              </w:rPr>
              <w:t>Period</w:t>
            </w:r>
          </w:p>
        </w:tc>
        <w:tc>
          <w:tcPr>
            <w:tcW w:w="1240" w:type="dxa"/>
            <w:vAlign w:val="bottom"/>
            <w:vMerge w:val="restart"/>
          </w:tcPr>
          <w:p>
            <w:pPr>
              <w:jc w:val="right"/>
              <w:ind w:right="295"/>
              <w:spacing w:after="0"/>
              <w:rPr>
                <w:sz w:val="20"/>
                <w:szCs w:val="20"/>
                <w:color w:val="auto"/>
              </w:rPr>
            </w:pPr>
            <w:r>
              <w:rPr>
                <w:rFonts w:ascii="Arial" w:cs="Arial" w:eastAsia="Arial" w:hAnsi="Arial"/>
                <w:sz w:val="13"/>
                <w:szCs w:val="13"/>
                <w:b w:val="1"/>
                <w:bCs w:val="1"/>
                <w:color w:val="auto"/>
              </w:rPr>
              <w:t>Exhibit</w:t>
            </w:r>
          </w:p>
        </w:tc>
        <w:tc>
          <w:tcPr>
            <w:tcW w:w="1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Number</w:t>
            </w:r>
          </w:p>
        </w:tc>
        <w:tc>
          <w:tcPr>
            <w:tcW w:w="3920" w:type="dxa"/>
            <w:vAlign w:val="bottom"/>
            <w:tcBorders>
              <w:bottom w:val="single" w:sz="8" w:color="auto"/>
            </w:tcBorders>
            <w:gridSpan w:val="28"/>
            <w:vMerge w:val="continue"/>
          </w:tcPr>
          <w:p>
            <w:pPr>
              <w:spacing w:after="0"/>
              <w:rPr>
                <w:sz w:val="15"/>
                <w:szCs w:val="15"/>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rPr>
              <w:t>Herewith</w:t>
            </w:r>
          </w:p>
        </w:tc>
        <w:tc>
          <w:tcPr>
            <w:tcW w:w="1080" w:type="dxa"/>
            <w:vAlign w:val="bottom"/>
            <w:tcBorders>
              <w:bottom w:val="single" w:sz="8" w:color="auto"/>
            </w:tcBorders>
            <w:vMerge w:val="continue"/>
          </w:tcPr>
          <w:p>
            <w:pPr>
              <w:spacing w:after="0"/>
              <w:rPr>
                <w:sz w:val="15"/>
                <w:szCs w:val="15"/>
                <w:color w:val="auto"/>
              </w:rPr>
            </w:pPr>
          </w:p>
        </w:tc>
        <w:tc>
          <w:tcPr>
            <w:tcW w:w="152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Ending</w:t>
            </w:r>
          </w:p>
        </w:tc>
        <w:tc>
          <w:tcPr>
            <w:tcW w:w="12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4.11</w:t>
            </w:r>
          </w:p>
        </w:tc>
        <w:tc>
          <w:tcPr>
            <w:tcW w:w="320" w:type="dxa"/>
            <w:vAlign w:val="bottom"/>
          </w:tcPr>
          <w:p>
            <w:pPr>
              <w:spacing w:after="0"/>
              <w:rPr>
                <w:sz w:val="21"/>
                <w:szCs w:val="21"/>
                <w:color w:val="auto"/>
              </w:rPr>
            </w:pPr>
          </w:p>
        </w:tc>
        <w:tc>
          <w:tcPr>
            <w:tcW w:w="3600" w:type="dxa"/>
            <w:vAlign w:val="bottom"/>
            <w:gridSpan w:val="27"/>
          </w:tcPr>
          <w:p>
            <w:pPr>
              <w:spacing w:after="0"/>
              <w:rPr>
                <w:rFonts w:ascii="Arial" w:cs="Arial" w:eastAsia="Arial" w:hAnsi="Arial"/>
                <w:sz w:val="18"/>
                <w:szCs w:val="18"/>
                <w:color w:val="auto"/>
              </w:rPr>
            </w:pPr>
            <w:hyperlink r:id="rId185">
              <w:r>
                <w:rPr>
                  <w:rFonts w:ascii="Arial" w:cs="Arial" w:eastAsia="Arial" w:hAnsi="Arial"/>
                  <w:sz w:val="18"/>
                  <w:szCs w:val="18"/>
                  <w:color w:val="auto"/>
                </w:rPr>
                <w:t>Eighth Supplemental Indenture for 1.625%</w:t>
              </w:r>
            </w:hyperlink>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295"/>
              <w:spacing w:after="0"/>
              <w:rPr>
                <w:sz w:val="20"/>
                <w:szCs w:val="20"/>
                <w:color w:val="auto"/>
              </w:rPr>
            </w:pPr>
            <w:r>
              <w:rPr>
                <w:rFonts w:ascii="Arial" w:cs="Arial" w:eastAsia="Arial" w:hAnsi="Arial"/>
                <w:sz w:val="18"/>
                <w:szCs w:val="18"/>
                <w:color w:val="auto"/>
              </w:rPr>
              <w:t>8-K</w:t>
            </w:r>
          </w:p>
        </w:tc>
        <w:tc>
          <w:tcPr>
            <w:tcW w:w="1520" w:type="dxa"/>
            <w:vAlign w:val="bottom"/>
          </w:tcPr>
          <w:p>
            <w:pPr>
              <w:spacing w:after="0"/>
              <w:rPr>
                <w:sz w:val="21"/>
                <w:szCs w:val="21"/>
                <w:color w:val="auto"/>
              </w:rPr>
            </w:pPr>
          </w:p>
        </w:tc>
        <w:tc>
          <w:tcPr>
            <w:tcW w:w="1240" w:type="dxa"/>
            <w:vAlign w:val="bottom"/>
          </w:tcPr>
          <w:p>
            <w:pPr>
              <w:jc w:val="right"/>
              <w:ind w:right="295"/>
              <w:spacing w:after="0"/>
              <w:rPr>
                <w:sz w:val="20"/>
                <w:szCs w:val="20"/>
                <w:color w:val="auto"/>
              </w:rPr>
            </w:pPr>
            <w:r>
              <w:rPr>
                <w:rFonts w:ascii="Arial" w:cs="Arial" w:eastAsia="Arial" w:hAnsi="Arial"/>
                <w:sz w:val="18"/>
                <w:szCs w:val="18"/>
                <w:color w:val="auto"/>
              </w:rPr>
              <w:t>4.2</w:t>
            </w:r>
          </w:p>
        </w:tc>
        <w:tc>
          <w:tcPr>
            <w:tcW w:w="1200" w:type="dxa"/>
            <w:vAlign w:val="bottom"/>
          </w:tcPr>
          <w:p>
            <w:pPr>
              <w:jc w:val="right"/>
              <w:spacing w:after="0"/>
              <w:rPr>
                <w:sz w:val="20"/>
                <w:szCs w:val="20"/>
                <w:color w:val="auto"/>
              </w:rPr>
            </w:pPr>
            <w:r>
              <w:rPr>
                <w:rFonts w:ascii="Arial" w:cs="Arial" w:eastAsia="Arial" w:hAnsi="Arial"/>
                <w:sz w:val="18"/>
                <w:szCs w:val="18"/>
                <w:color w:val="auto"/>
              </w:rPr>
              <w:t>12/6/2013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80" w:type="dxa"/>
            <w:vAlign w:val="bottom"/>
            <w:tcBorders>
              <w:top w:val="single" w:sz="8" w:color="0000EE"/>
            </w:tcBorders>
            <w:gridSpan w:val="21"/>
          </w:tcPr>
          <w:p>
            <w:pPr>
              <w:spacing w:after="0" w:line="182" w:lineRule="exact"/>
              <w:rPr>
                <w:rFonts w:ascii="Arial" w:cs="Arial" w:eastAsia="Arial" w:hAnsi="Arial"/>
                <w:sz w:val="18"/>
                <w:szCs w:val="18"/>
                <w:color w:val="auto"/>
              </w:rPr>
            </w:pPr>
            <w:hyperlink r:id="rId185">
              <w:r>
                <w:rPr>
                  <w:rFonts w:ascii="Arial" w:cs="Arial" w:eastAsia="Arial" w:hAnsi="Arial"/>
                  <w:sz w:val="18"/>
                  <w:szCs w:val="18"/>
                  <w:color w:val="auto"/>
                </w:rPr>
                <w:t>Notes due 2018, 3.625% Notes due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60" w:type="dxa"/>
            <w:vAlign w:val="bottom"/>
            <w:tcBorders>
              <w:top w:val="single" w:sz="8" w:color="0000EE"/>
            </w:tcBorders>
            <w:gridSpan w:val="20"/>
          </w:tcPr>
          <w:p>
            <w:pPr>
              <w:spacing w:after="0" w:line="182" w:lineRule="exact"/>
              <w:rPr>
                <w:rFonts w:ascii="Arial" w:cs="Arial" w:eastAsia="Arial" w:hAnsi="Arial"/>
                <w:sz w:val="18"/>
                <w:szCs w:val="18"/>
                <w:color w:val="auto"/>
              </w:rPr>
            </w:pPr>
            <w:hyperlink r:id="rId185">
              <w:r>
                <w:rPr>
                  <w:rFonts w:ascii="Arial" w:cs="Arial" w:eastAsia="Arial" w:hAnsi="Arial"/>
                  <w:sz w:val="18"/>
                  <w:szCs w:val="18"/>
                  <w:color w:val="auto"/>
                </w:rPr>
                <w:t>and 4.875% Notes due 2043, dated as of</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tcBorders>
              <w:top w:val="single" w:sz="8" w:color="0000EE"/>
            </w:tcBorders>
            <w:gridSpan w:val="12"/>
          </w:tcPr>
          <w:p>
            <w:pPr>
              <w:spacing w:after="0" w:line="182" w:lineRule="exact"/>
              <w:rPr>
                <w:rFonts w:ascii="Arial" w:cs="Arial" w:eastAsia="Arial" w:hAnsi="Arial"/>
                <w:sz w:val="18"/>
                <w:szCs w:val="18"/>
                <w:color w:val="auto"/>
              </w:rPr>
            </w:pPr>
            <w:hyperlink r:id="rId185">
              <w:r>
                <w:rPr>
                  <w:rFonts w:ascii="Arial" w:cs="Arial" w:eastAsia="Arial" w:hAnsi="Arial"/>
                  <w:sz w:val="18"/>
                  <w:szCs w:val="18"/>
                  <w:color w:val="auto"/>
                </w:rPr>
                <w:t>December 6, 2013, between Microsoft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auto"/>
                <w:w w:val="96"/>
              </w:rPr>
            </w:pPr>
            <w:hyperlink r:id="rId185">
              <w:r>
                <w:rPr>
                  <w:rFonts w:ascii="Arial" w:cs="Arial" w:eastAsia="Arial" w:hAnsi="Arial"/>
                  <w:sz w:val="18"/>
                  <w:szCs w:val="18"/>
                  <w:color w:val="auto"/>
                  <w:w w:val="96"/>
                </w:rPr>
                <w:t>Corporation and The Bank of New York</w:t>
              </w:r>
            </w:hyperlink>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16"/>
            <w:vMerge w:val="restart"/>
          </w:tcPr>
          <w:p>
            <w:pPr>
              <w:ind w:left="20"/>
              <w:spacing w:after="0"/>
              <w:rPr>
                <w:rFonts w:ascii="Arial" w:cs="Arial" w:eastAsia="Arial" w:hAnsi="Arial"/>
                <w:sz w:val="18"/>
                <w:szCs w:val="18"/>
                <w:color w:val="auto"/>
              </w:rPr>
            </w:pPr>
            <w:hyperlink r:id="rId185">
              <w:r>
                <w:rPr>
                  <w:rFonts w:ascii="Arial" w:cs="Arial" w:eastAsia="Arial" w:hAnsi="Arial"/>
                  <w:sz w:val="18"/>
                  <w:szCs w:val="18"/>
                  <w:color w:val="auto"/>
                </w:rPr>
                <w:t>to</w:t>
              </w:r>
            </w:hyperlink>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gridSpan w:val="6"/>
          </w:tcPr>
          <w:p>
            <w:pPr>
              <w:spacing w:after="0" w:line="182" w:lineRule="exact"/>
              <w:rPr>
                <w:rFonts w:ascii="Arial" w:cs="Arial" w:eastAsia="Arial" w:hAnsi="Arial"/>
                <w:sz w:val="18"/>
                <w:szCs w:val="18"/>
                <w:color w:val="auto"/>
                <w:w w:val="95"/>
              </w:rPr>
            </w:pPr>
            <w:hyperlink r:id="rId185">
              <w:r>
                <w:rPr>
                  <w:rFonts w:ascii="Arial" w:cs="Arial" w:eastAsia="Arial" w:hAnsi="Arial"/>
                  <w:sz w:val="18"/>
                  <w:szCs w:val="18"/>
                  <w:color w:val="auto"/>
                  <w:w w:val="95"/>
                </w:rPr>
                <w:t>Mellon Trust Company, N.A., as Trustee,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16"/>
            <w:vMerge w:val="continue"/>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00" w:type="dxa"/>
            <w:vAlign w:val="bottom"/>
            <w:tcBorders>
              <w:top w:val="single" w:sz="8" w:color="0000EE"/>
            </w:tcBorders>
            <w:gridSpan w:val="22"/>
          </w:tcPr>
          <w:p>
            <w:pPr>
              <w:spacing w:after="0" w:line="182" w:lineRule="exact"/>
              <w:rPr>
                <w:rFonts w:ascii="Arial" w:cs="Arial" w:eastAsia="Arial" w:hAnsi="Arial"/>
                <w:sz w:val="18"/>
                <w:szCs w:val="18"/>
                <w:color w:val="auto"/>
              </w:rPr>
            </w:pPr>
            <w:hyperlink r:id="rId185">
              <w:r>
                <w:rPr>
                  <w:rFonts w:ascii="Arial" w:cs="Arial" w:eastAsia="Arial" w:hAnsi="Arial"/>
                  <w:sz w:val="18"/>
                  <w:szCs w:val="18"/>
                  <w:color w:val="auto"/>
                </w:rPr>
                <w:t>the Indenture, dated as of May 18, 2009,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60" w:type="dxa"/>
            <w:vAlign w:val="bottom"/>
            <w:tcBorders>
              <w:top w:val="single" w:sz="8" w:color="0000EE"/>
            </w:tcBorders>
            <w:gridSpan w:val="11"/>
          </w:tcPr>
          <w:p>
            <w:pPr>
              <w:spacing w:after="0" w:line="182" w:lineRule="exact"/>
              <w:rPr>
                <w:rFonts w:ascii="Arial" w:cs="Arial" w:eastAsia="Arial" w:hAnsi="Arial"/>
                <w:sz w:val="18"/>
                <w:szCs w:val="18"/>
                <w:color w:val="auto"/>
              </w:rPr>
            </w:pPr>
            <w:hyperlink r:id="rId185">
              <w:r>
                <w:rPr>
                  <w:rFonts w:ascii="Arial" w:cs="Arial" w:eastAsia="Arial" w:hAnsi="Arial"/>
                  <w:sz w:val="18"/>
                  <w:szCs w:val="18"/>
                  <w:color w:val="auto"/>
                </w:rPr>
                <w:t>between Microsoft Corporation and The</w:t>
              </w:r>
            </w:hyperlink>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8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auto"/>
                <w:w w:val="94"/>
              </w:rPr>
            </w:pPr>
            <w:hyperlink r:id="rId185">
              <w:r>
                <w:rPr>
                  <w:rFonts w:ascii="Arial" w:cs="Arial" w:eastAsia="Arial" w:hAnsi="Arial"/>
                  <w:sz w:val="18"/>
                  <w:szCs w:val="18"/>
                  <w:color w:val="auto"/>
                  <w:w w:val="94"/>
                </w:rPr>
                <w:t>Bank of New York Mellon Trust Company,</w:t>
              </w:r>
            </w:hyperlink>
          </w:p>
        </w:tc>
        <w:tc>
          <w:tcPr>
            <w:tcW w:w="4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0" w:type="dxa"/>
            <w:vAlign w:val="bottom"/>
            <w:tcBorders>
              <w:bottom w:val="single" w:sz="8" w:color="0000EE"/>
            </w:tcBorders>
            <w:gridSpan w:val="3"/>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80" w:type="dxa"/>
            <w:vAlign w:val="bottom"/>
            <w:gridSpan w:val="16"/>
          </w:tcPr>
          <w:p>
            <w:pPr>
              <w:spacing w:after="0" w:line="182" w:lineRule="exact"/>
              <w:rPr>
                <w:rFonts w:ascii="Arial" w:cs="Arial" w:eastAsia="Arial" w:hAnsi="Arial"/>
                <w:sz w:val="18"/>
                <w:szCs w:val="18"/>
                <w:color w:val="auto"/>
              </w:rPr>
            </w:pPr>
            <w:hyperlink r:id="rId185">
              <w:r>
                <w:rPr>
                  <w:rFonts w:ascii="Arial" w:cs="Arial" w:eastAsia="Arial" w:hAnsi="Arial"/>
                  <w:sz w:val="18"/>
                  <w:szCs w:val="18"/>
                  <w:color w:val="auto"/>
                </w:rPr>
                <w:t>N.A., as Trustee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right w:val="single" w:sz="8" w:color="0000EE"/>
            </w:tcBorders>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4.12</w:t>
            </w:r>
          </w:p>
        </w:tc>
        <w:tc>
          <w:tcPr>
            <w:tcW w:w="320" w:type="dxa"/>
            <w:vAlign w:val="bottom"/>
          </w:tcPr>
          <w:p>
            <w:pPr>
              <w:spacing w:after="0"/>
              <w:rPr>
                <w:sz w:val="24"/>
                <w:szCs w:val="24"/>
                <w:color w:val="auto"/>
              </w:rPr>
            </w:pPr>
          </w:p>
        </w:tc>
        <w:tc>
          <w:tcPr>
            <w:tcW w:w="3600" w:type="dxa"/>
            <w:vAlign w:val="bottom"/>
            <w:gridSpan w:val="27"/>
          </w:tcPr>
          <w:p>
            <w:pPr>
              <w:spacing w:after="0"/>
              <w:rPr>
                <w:rFonts w:ascii="Arial" w:cs="Arial" w:eastAsia="Arial" w:hAnsi="Arial"/>
                <w:sz w:val="18"/>
                <w:szCs w:val="18"/>
                <w:color w:val="auto"/>
              </w:rPr>
            </w:pPr>
            <w:hyperlink r:id="rId186">
              <w:r>
                <w:rPr>
                  <w:rFonts w:ascii="Arial" w:cs="Arial" w:eastAsia="Arial" w:hAnsi="Arial"/>
                  <w:sz w:val="18"/>
                  <w:szCs w:val="18"/>
                  <w:color w:val="auto"/>
                </w:rPr>
                <w:t>Ninth Supplemental Indenture for 1.850%</w:t>
              </w:r>
            </w:hyperlink>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jc w:val="right"/>
              <w:ind w:right="295"/>
              <w:spacing w:after="0"/>
              <w:rPr>
                <w:sz w:val="20"/>
                <w:szCs w:val="20"/>
                <w:color w:val="auto"/>
              </w:rPr>
            </w:pPr>
            <w:r>
              <w:rPr>
                <w:rFonts w:ascii="Arial" w:cs="Arial" w:eastAsia="Arial" w:hAnsi="Arial"/>
                <w:sz w:val="18"/>
                <w:szCs w:val="18"/>
                <w:color w:val="auto"/>
              </w:rPr>
              <w:t>8-K</w:t>
            </w:r>
          </w:p>
        </w:tc>
        <w:tc>
          <w:tcPr>
            <w:tcW w:w="1520" w:type="dxa"/>
            <w:vAlign w:val="bottom"/>
          </w:tcPr>
          <w:p>
            <w:pPr>
              <w:spacing w:after="0"/>
              <w:rPr>
                <w:sz w:val="24"/>
                <w:szCs w:val="24"/>
                <w:color w:val="auto"/>
              </w:rPr>
            </w:pPr>
          </w:p>
        </w:tc>
        <w:tc>
          <w:tcPr>
            <w:tcW w:w="1240" w:type="dxa"/>
            <w:vAlign w:val="bottom"/>
          </w:tcPr>
          <w:p>
            <w:pPr>
              <w:jc w:val="right"/>
              <w:ind w:right="295"/>
              <w:spacing w:after="0"/>
              <w:rPr>
                <w:sz w:val="20"/>
                <w:szCs w:val="20"/>
                <w:color w:val="auto"/>
              </w:rPr>
            </w:pPr>
            <w:r>
              <w:rPr>
                <w:rFonts w:ascii="Arial" w:cs="Arial" w:eastAsia="Arial" w:hAnsi="Arial"/>
                <w:sz w:val="18"/>
                <w:szCs w:val="18"/>
                <w:color w:val="auto"/>
              </w:rPr>
              <w:t>4.1</w:t>
            </w:r>
          </w:p>
        </w:tc>
        <w:tc>
          <w:tcPr>
            <w:tcW w:w="1200" w:type="dxa"/>
            <w:vAlign w:val="bottom"/>
          </w:tcPr>
          <w:p>
            <w:pPr>
              <w:jc w:val="right"/>
              <w:spacing w:after="0"/>
              <w:rPr>
                <w:sz w:val="20"/>
                <w:szCs w:val="20"/>
                <w:color w:val="auto"/>
              </w:rPr>
            </w:pPr>
            <w:r>
              <w:rPr>
                <w:rFonts w:ascii="Arial" w:cs="Arial" w:eastAsia="Arial" w:hAnsi="Arial"/>
                <w:sz w:val="18"/>
                <w:szCs w:val="18"/>
                <w:color w:val="auto"/>
              </w:rPr>
              <w:t>2/12/2015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auto"/>
                <w:w w:val="99"/>
              </w:rPr>
            </w:pPr>
            <w:hyperlink r:id="rId186">
              <w:r>
                <w:rPr>
                  <w:rFonts w:ascii="Arial" w:cs="Arial" w:eastAsia="Arial" w:hAnsi="Arial"/>
                  <w:sz w:val="18"/>
                  <w:szCs w:val="18"/>
                  <w:color w:val="auto"/>
                  <w:w w:val="99"/>
                </w:rPr>
                <w:t>Notes due 2020, 2.375% Notes due 2022,</w:t>
              </w:r>
            </w:hyperlink>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tcBorders>
              <w:bottom w:val="single" w:sz="8" w:color="0000EE"/>
            </w:tcBorders>
            <w:gridSpan w:val="26"/>
          </w:tcPr>
          <w:p>
            <w:pPr>
              <w:spacing w:after="0" w:line="182" w:lineRule="exact"/>
              <w:rPr>
                <w:rFonts w:ascii="Arial" w:cs="Arial" w:eastAsia="Arial" w:hAnsi="Arial"/>
                <w:sz w:val="18"/>
                <w:szCs w:val="18"/>
                <w:color w:val="auto"/>
              </w:rPr>
            </w:pPr>
            <w:hyperlink r:id="rId186">
              <w:r>
                <w:rPr>
                  <w:rFonts w:ascii="Arial" w:cs="Arial" w:eastAsia="Arial" w:hAnsi="Arial"/>
                  <w:sz w:val="18"/>
                  <w:szCs w:val="18"/>
                  <w:color w:val="auto"/>
                </w:rPr>
                <w:t>2.700% Notes due 2025, 3.500% Notes due</w:t>
              </w:r>
            </w:hyperlink>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gridSpan w:val="26"/>
          </w:tcPr>
          <w:p>
            <w:pPr>
              <w:spacing w:after="0" w:line="182" w:lineRule="exact"/>
              <w:rPr>
                <w:rFonts w:ascii="Arial" w:cs="Arial" w:eastAsia="Arial" w:hAnsi="Arial"/>
                <w:sz w:val="18"/>
                <w:szCs w:val="18"/>
                <w:color w:val="auto"/>
              </w:rPr>
            </w:pPr>
            <w:hyperlink r:id="rId186">
              <w:r>
                <w:rPr>
                  <w:rFonts w:ascii="Arial" w:cs="Arial" w:eastAsia="Arial" w:hAnsi="Arial"/>
                  <w:sz w:val="18"/>
                  <w:szCs w:val="18"/>
                  <w:color w:val="auto"/>
                </w:rPr>
                <w:t>2035, 3.750% Notes due 2045, and 4.000%</w:t>
              </w:r>
            </w:hyperlink>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tcBorders>
              <w:top w:val="single" w:sz="8" w:color="0000EE"/>
            </w:tcBorders>
            <w:gridSpan w:val="25"/>
          </w:tcPr>
          <w:p>
            <w:pPr>
              <w:spacing w:after="0" w:line="182" w:lineRule="exact"/>
              <w:rPr>
                <w:rFonts w:ascii="Arial" w:cs="Arial" w:eastAsia="Arial" w:hAnsi="Arial"/>
                <w:sz w:val="18"/>
                <w:szCs w:val="18"/>
                <w:color w:val="auto"/>
              </w:rPr>
            </w:pPr>
            <w:hyperlink r:id="rId186">
              <w:r>
                <w:rPr>
                  <w:rFonts w:ascii="Arial" w:cs="Arial" w:eastAsia="Arial" w:hAnsi="Arial"/>
                  <w:sz w:val="18"/>
                  <w:szCs w:val="18"/>
                  <w:color w:val="auto"/>
                </w:rPr>
                <w:t>Notes due 2055, dated as of February 12,</w:t>
              </w:r>
            </w:hyperlink>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20" w:type="dxa"/>
            <w:vAlign w:val="bottom"/>
            <w:tcBorders>
              <w:top w:val="single" w:sz="8" w:color="0000EE"/>
            </w:tcBorders>
            <w:gridSpan w:val="18"/>
          </w:tcPr>
          <w:p>
            <w:pPr>
              <w:spacing w:after="0" w:line="182" w:lineRule="exact"/>
              <w:rPr>
                <w:rFonts w:ascii="Arial" w:cs="Arial" w:eastAsia="Arial" w:hAnsi="Arial"/>
                <w:sz w:val="18"/>
                <w:szCs w:val="18"/>
                <w:color w:val="auto"/>
              </w:rPr>
            </w:pPr>
            <w:hyperlink r:id="rId186">
              <w:r>
                <w:rPr>
                  <w:rFonts w:ascii="Arial" w:cs="Arial" w:eastAsia="Arial" w:hAnsi="Arial"/>
                  <w:sz w:val="18"/>
                  <w:szCs w:val="18"/>
                  <w:color w:val="auto"/>
                </w:rPr>
                <w:t>2015, between Microsoft Corporation and</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4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auto"/>
                <w:w w:val="95"/>
              </w:rPr>
            </w:pPr>
            <w:hyperlink r:id="rId186">
              <w:r>
                <w:rPr>
                  <w:rFonts w:ascii="Arial" w:cs="Arial" w:eastAsia="Arial" w:hAnsi="Arial"/>
                  <w:sz w:val="18"/>
                  <w:szCs w:val="18"/>
                  <w:color w:val="auto"/>
                  <w:w w:val="95"/>
                </w:rPr>
                <w:t>U.S. Bank National Association, as Trustee,</w:t>
              </w:r>
            </w:hyperlink>
          </w:p>
        </w:tc>
        <w:tc>
          <w:tcPr>
            <w:tcW w:w="60" w:type="dxa"/>
            <w:vAlign w:val="bottom"/>
            <w:tcBorders>
              <w:bottom w:val="single" w:sz="8" w:color="0000EE"/>
            </w:tcBorders>
            <w:gridSpan w:val="3"/>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80" w:type="dxa"/>
            <w:vAlign w:val="bottom"/>
            <w:tcBorders>
              <w:bottom w:val="single" w:sz="8" w:color="0000EE"/>
            </w:tcBorders>
            <w:gridSpan w:val="4"/>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24"/>
          </w:tcPr>
          <w:p>
            <w:pPr>
              <w:spacing w:after="0" w:line="182" w:lineRule="exact"/>
              <w:rPr>
                <w:rFonts w:ascii="Arial" w:cs="Arial" w:eastAsia="Arial" w:hAnsi="Arial"/>
                <w:sz w:val="18"/>
                <w:szCs w:val="18"/>
                <w:color w:val="auto"/>
              </w:rPr>
            </w:pPr>
            <w:hyperlink r:id="rId186">
              <w:r>
                <w:rPr>
                  <w:rFonts w:ascii="Arial" w:cs="Arial" w:eastAsia="Arial" w:hAnsi="Arial"/>
                  <w:sz w:val="18"/>
                  <w:szCs w:val="18"/>
                  <w:color w:val="auto"/>
                </w:rPr>
                <w:t>to the Indenture, dated as of May 18, 2009,</w:t>
              </w:r>
            </w:hyperlink>
          </w:p>
        </w:tc>
        <w:tc>
          <w:tcPr>
            <w:tcW w:w="4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tcBorders>
              <w:top w:val="single" w:sz="8" w:color="0000EE"/>
            </w:tcBorders>
            <w:gridSpan w:val="23"/>
          </w:tcPr>
          <w:p>
            <w:pPr>
              <w:spacing w:after="0" w:line="182" w:lineRule="exact"/>
              <w:rPr>
                <w:rFonts w:ascii="Arial" w:cs="Arial" w:eastAsia="Arial" w:hAnsi="Arial"/>
                <w:sz w:val="18"/>
                <w:szCs w:val="18"/>
                <w:color w:val="auto"/>
              </w:rPr>
            </w:pPr>
            <w:hyperlink r:id="rId186">
              <w:r>
                <w:rPr>
                  <w:rFonts w:ascii="Arial" w:cs="Arial" w:eastAsia="Arial" w:hAnsi="Arial"/>
                  <w:sz w:val="18"/>
                  <w:szCs w:val="18"/>
                  <w:color w:val="auto"/>
                </w:rPr>
                <w:t>between Microsoft Corporation and The</w:t>
              </w:r>
            </w:hyperlink>
          </w:p>
        </w:tc>
        <w:tc>
          <w:tcPr>
            <w:tcW w:w="60" w:type="dxa"/>
            <w:vAlign w:val="bottom"/>
            <w:gridSpan w:val="3"/>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80" w:type="dxa"/>
            <w:vAlign w:val="bottom"/>
            <w:tcBorders>
              <w:top w:val="single" w:sz="8" w:color="0000EE"/>
            </w:tcBorders>
            <w:gridSpan w:val="8"/>
          </w:tcPr>
          <w:p>
            <w:pPr>
              <w:spacing w:after="0" w:line="182" w:lineRule="exact"/>
              <w:rPr>
                <w:rFonts w:ascii="Arial" w:cs="Arial" w:eastAsia="Arial" w:hAnsi="Arial"/>
                <w:sz w:val="18"/>
                <w:szCs w:val="18"/>
                <w:color w:val="auto"/>
                <w:w w:val="94"/>
              </w:rPr>
            </w:pPr>
            <w:hyperlink r:id="rId186">
              <w:r>
                <w:rPr>
                  <w:rFonts w:ascii="Arial" w:cs="Arial" w:eastAsia="Arial" w:hAnsi="Arial"/>
                  <w:sz w:val="18"/>
                  <w:szCs w:val="18"/>
                  <w:color w:val="auto"/>
                  <w:w w:val="94"/>
                </w:rPr>
                <w:t>Bank of New York Mellon Trust Company,</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7"/>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260" w:type="dxa"/>
            <w:vAlign w:val="bottom"/>
            <w:tcBorders>
              <w:top w:val="single" w:sz="8" w:color="0000EE"/>
              <w:bottom w:val="single" w:sz="8" w:color="0000EE"/>
            </w:tcBorders>
          </w:tcPr>
          <w:p>
            <w:pPr>
              <w:spacing w:after="0" w:line="182" w:lineRule="exact"/>
              <w:rPr>
                <w:rFonts w:ascii="Arial" w:cs="Arial" w:eastAsia="Arial" w:hAnsi="Arial"/>
                <w:sz w:val="18"/>
                <w:szCs w:val="18"/>
                <w:color w:val="auto"/>
                <w:w w:val="98"/>
              </w:rPr>
            </w:pPr>
            <w:hyperlink r:id="rId186">
              <w:r>
                <w:rPr>
                  <w:rFonts w:ascii="Arial" w:cs="Arial" w:eastAsia="Arial" w:hAnsi="Arial"/>
                  <w:sz w:val="18"/>
                  <w:szCs w:val="18"/>
                  <w:color w:val="auto"/>
                  <w:w w:val="98"/>
                </w:rPr>
                <w:t>N.A., as trustee</w:t>
              </w:r>
            </w:hyperlink>
          </w:p>
        </w:tc>
        <w:tc>
          <w:tcPr>
            <w:tcW w:w="2120" w:type="dxa"/>
            <w:vAlign w:val="bottom"/>
            <w:tcBorders>
              <w:top w:val="single" w:sz="8" w:color="0000EE"/>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7"/>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4.13</w:t>
            </w:r>
          </w:p>
        </w:tc>
        <w:tc>
          <w:tcPr>
            <w:tcW w:w="320" w:type="dxa"/>
            <w:vAlign w:val="bottom"/>
          </w:tcPr>
          <w:p>
            <w:pPr>
              <w:spacing w:after="0"/>
              <w:rPr>
                <w:sz w:val="24"/>
                <w:szCs w:val="24"/>
                <w:color w:val="auto"/>
              </w:rPr>
            </w:pPr>
          </w:p>
        </w:tc>
        <w:tc>
          <w:tcPr>
            <w:tcW w:w="3600" w:type="dxa"/>
            <w:vAlign w:val="bottom"/>
            <w:gridSpan w:val="27"/>
          </w:tcPr>
          <w:p>
            <w:pPr>
              <w:spacing w:after="0"/>
              <w:rPr>
                <w:rFonts w:ascii="Arial" w:cs="Arial" w:eastAsia="Arial" w:hAnsi="Arial"/>
                <w:sz w:val="18"/>
                <w:szCs w:val="18"/>
                <w:color w:val="auto"/>
              </w:rPr>
            </w:pPr>
            <w:hyperlink r:id="rId187">
              <w:r>
                <w:rPr>
                  <w:rFonts w:ascii="Arial" w:cs="Arial" w:eastAsia="Arial" w:hAnsi="Arial"/>
                  <w:sz w:val="18"/>
                  <w:szCs w:val="18"/>
                  <w:color w:val="auto"/>
                </w:rPr>
                <w:t>Tenth Supplemental Indenture for 1.300%</w:t>
              </w:r>
            </w:hyperlink>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jc w:val="right"/>
              <w:ind w:right="295"/>
              <w:spacing w:after="0"/>
              <w:rPr>
                <w:sz w:val="20"/>
                <w:szCs w:val="20"/>
                <w:color w:val="auto"/>
              </w:rPr>
            </w:pPr>
            <w:r>
              <w:rPr>
                <w:rFonts w:ascii="Arial" w:cs="Arial" w:eastAsia="Arial" w:hAnsi="Arial"/>
                <w:sz w:val="18"/>
                <w:szCs w:val="18"/>
                <w:color w:val="auto"/>
              </w:rPr>
              <w:t>8-K</w:t>
            </w:r>
          </w:p>
        </w:tc>
        <w:tc>
          <w:tcPr>
            <w:tcW w:w="1520" w:type="dxa"/>
            <w:vAlign w:val="bottom"/>
          </w:tcPr>
          <w:p>
            <w:pPr>
              <w:spacing w:after="0"/>
              <w:rPr>
                <w:sz w:val="24"/>
                <w:szCs w:val="24"/>
                <w:color w:val="auto"/>
              </w:rPr>
            </w:pPr>
          </w:p>
        </w:tc>
        <w:tc>
          <w:tcPr>
            <w:tcW w:w="1240" w:type="dxa"/>
            <w:vAlign w:val="bottom"/>
          </w:tcPr>
          <w:p>
            <w:pPr>
              <w:jc w:val="right"/>
              <w:ind w:right="295"/>
              <w:spacing w:after="0"/>
              <w:rPr>
                <w:sz w:val="20"/>
                <w:szCs w:val="20"/>
                <w:color w:val="auto"/>
              </w:rPr>
            </w:pPr>
            <w:r>
              <w:rPr>
                <w:rFonts w:ascii="Arial" w:cs="Arial" w:eastAsia="Arial" w:hAnsi="Arial"/>
                <w:sz w:val="18"/>
                <w:szCs w:val="18"/>
                <w:color w:val="auto"/>
              </w:rPr>
              <w:t>4.1</w:t>
            </w:r>
          </w:p>
        </w:tc>
        <w:tc>
          <w:tcPr>
            <w:tcW w:w="1200" w:type="dxa"/>
            <w:vAlign w:val="bottom"/>
          </w:tcPr>
          <w:p>
            <w:pPr>
              <w:jc w:val="right"/>
              <w:spacing w:after="0"/>
              <w:rPr>
                <w:sz w:val="20"/>
                <w:szCs w:val="20"/>
                <w:color w:val="auto"/>
              </w:rPr>
            </w:pPr>
            <w:r>
              <w:rPr>
                <w:rFonts w:ascii="Arial" w:cs="Arial" w:eastAsia="Arial" w:hAnsi="Arial"/>
                <w:sz w:val="18"/>
                <w:szCs w:val="18"/>
                <w:color w:val="auto"/>
              </w:rPr>
              <w:t>11/3/2015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auto"/>
              </w:rPr>
            </w:pPr>
            <w:hyperlink r:id="rId187">
              <w:r>
                <w:rPr>
                  <w:rFonts w:ascii="Arial" w:cs="Arial" w:eastAsia="Arial" w:hAnsi="Arial"/>
                  <w:sz w:val="18"/>
                  <w:szCs w:val="18"/>
                  <w:color w:val="auto"/>
                </w:rPr>
                <w:t>Notes due 2018, 2.000% Notes due 2020,</w:t>
              </w:r>
            </w:hyperlink>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20" w:type="dxa"/>
            <w:vAlign w:val="bottom"/>
            <w:gridSpan w:val="6"/>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tcBorders>
              <w:bottom w:val="single" w:sz="8" w:color="0000EE"/>
            </w:tcBorders>
            <w:gridSpan w:val="26"/>
          </w:tcPr>
          <w:p>
            <w:pPr>
              <w:spacing w:after="0" w:line="182" w:lineRule="exact"/>
              <w:rPr>
                <w:rFonts w:ascii="Arial" w:cs="Arial" w:eastAsia="Arial" w:hAnsi="Arial"/>
                <w:sz w:val="18"/>
                <w:szCs w:val="18"/>
                <w:color w:val="auto"/>
              </w:rPr>
            </w:pPr>
            <w:hyperlink r:id="rId187">
              <w:r>
                <w:rPr>
                  <w:rFonts w:ascii="Arial" w:cs="Arial" w:eastAsia="Arial" w:hAnsi="Arial"/>
                  <w:sz w:val="18"/>
                  <w:szCs w:val="18"/>
                  <w:color w:val="auto"/>
                </w:rPr>
                <w:t>2.650% Notes due 2022, 3.125% Notes due</w:t>
              </w:r>
            </w:hyperlink>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gridSpan w:val="26"/>
          </w:tcPr>
          <w:p>
            <w:pPr>
              <w:spacing w:after="0" w:line="182" w:lineRule="exact"/>
              <w:rPr>
                <w:rFonts w:ascii="Arial" w:cs="Arial" w:eastAsia="Arial" w:hAnsi="Arial"/>
                <w:sz w:val="18"/>
                <w:szCs w:val="18"/>
                <w:color w:val="auto"/>
              </w:rPr>
            </w:pPr>
            <w:hyperlink r:id="rId187">
              <w:r>
                <w:rPr>
                  <w:rFonts w:ascii="Arial" w:cs="Arial" w:eastAsia="Arial" w:hAnsi="Arial"/>
                  <w:sz w:val="18"/>
                  <w:szCs w:val="18"/>
                  <w:color w:val="auto"/>
                </w:rPr>
                <w:t>2025, 4.200% Notes due 2035, 4.450%</w:t>
              </w:r>
            </w:hyperlink>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6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auto"/>
                <w:w w:val="98"/>
              </w:rPr>
            </w:pPr>
            <w:hyperlink r:id="rId187">
              <w:r>
                <w:rPr>
                  <w:rFonts w:ascii="Arial" w:cs="Arial" w:eastAsia="Arial" w:hAnsi="Arial"/>
                  <w:sz w:val="18"/>
                  <w:szCs w:val="18"/>
                  <w:color w:val="auto"/>
                  <w:w w:val="98"/>
                </w:rPr>
                <w:t>Notes due 2045, and 4.750% Notes due</w:t>
              </w:r>
            </w:hyperlink>
          </w:p>
        </w:tc>
        <w:tc>
          <w:tcPr>
            <w:tcW w:w="6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0" w:type="dxa"/>
            <w:vAlign w:val="bottom"/>
            <w:gridSpan w:val="3"/>
          </w:tcPr>
          <w:p>
            <w:pPr>
              <w:spacing w:after="0"/>
              <w:rPr>
                <w:sz w:val="15"/>
                <w:szCs w:val="15"/>
                <w:color w:val="auto"/>
              </w:rPr>
            </w:pPr>
          </w:p>
        </w:tc>
        <w:tc>
          <w:tcPr>
            <w:tcW w:w="120" w:type="dxa"/>
            <w:vAlign w:val="bottom"/>
            <w:gridSpan w:val="6"/>
          </w:tcPr>
          <w:p>
            <w:pPr>
              <w:spacing w:after="0"/>
              <w:rPr>
                <w:sz w:val="15"/>
                <w:szCs w:val="15"/>
                <w:color w:val="auto"/>
              </w:rPr>
            </w:pPr>
          </w:p>
        </w:tc>
        <w:tc>
          <w:tcPr>
            <w:tcW w:w="140" w:type="dxa"/>
            <w:vAlign w:val="bottom"/>
            <w:gridSpan w:val="7"/>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0" w:type="dxa"/>
            <w:vAlign w:val="bottom"/>
            <w:tcBorders>
              <w:bottom w:val="single" w:sz="8" w:color="0000EE"/>
            </w:tcBorders>
            <w:gridSpan w:val="3"/>
          </w:tcPr>
          <w:p>
            <w:pPr>
              <w:spacing w:after="0" w:line="182" w:lineRule="exact"/>
              <w:rPr>
                <w:rFonts w:ascii="Arial" w:cs="Arial" w:eastAsia="Arial" w:hAnsi="Arial"/>
                <w:sz w:val="18"/>
                <w:szCs w:val="18"/>
                <w:color w:val="auto"/>
              </w:rPr>
            </w:pPr>
            <w:hyperlink r:id="rId187">
              <w:r>
                <w:rPr>
                  <w:rFonts w:ascii="Arial" w:cs="Arial" w:eastAsia="Arial" w:hAnsi="Arial"/>
                  <w:sz w:val="18"/>
                  <w:szCs w:val="18"/>
                  <w:color w:val="auto"/>
                </w:rPr>
                <w:t>2055, dated as of November 3, 2015,</w:t>
              </w:r>
            </w:hyperlink>
          </w:p>
        </w:tc>
        <w:tc>
          <w:tcPr>
            <w:tcW w:w="240" w:type="dxa"/>
            <w:vAlign w:val="bottom"/>
            <w:gridSpan w:val="7"/>
          </w:tcPr>
          <w:p>
            <w:pPr>
              <w:spacing w:after="0"/>
              <w:rPr>
                <w:sz w:val="15"/>
                <w:szCs w:val="15"/>
                <w:color w:val="auto"/>
              </w:rPr>
            </w:pPr>
          </w:p>
        </w:tc>
        <w:tc>
          <w:tcPr>
            <w:tcW w:w="80" w:type="dxa"/>
            <w:vAlign w:val="bottom"/>
            <w:gridSpan w:val="3"/>
          </w:tcPr>
          <w:p>
            <w:pPr>
              <w:spacing w:after="0"/>
              <w:rPr>
                <w:sz w:val="15"/>
                <w:szCs w:val="15"/>
                <w:color w:val="auto"/>
              </w:rPr>
            </w:pPr>
          </w:p>
        </w:tc>
        <w:tc>
          <w:tcPr>
            <w:tcW w:w="120" w:type="dxa"/>
            <w:vAlign w:val="bottom"/>
            <w:gridSpan w:val="6"/>
          </w:tcPr>
          <w:p>
            <w:pPr>
              <w:spacing w:after="0"/>
              <w:rPr>
                <w:sz w:val="15"/>
                <w:szCs w:val="15"/>
                <w:color w:val="auto"/>
              </w:rPr>
            </w:pPr>
          </w:p>
        </w:tc>
        <w:tc>
          <w:tcPr>
            <w:tcW w:w="140" w:type="dxa"/>
            <w:vAlign w:val="bottom"/>
            <w:gridSpan w:val="7"/>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gridSpan w:val="26"/>
          </w:tcPr>
          <w:p>
            <w:pPr>
              <w:spacing w:after="0" w:line="182" w:lineRule="exact"/>
              <w:rPr>
                <w:rFonts w:ascii="Arial" w:cs="Arial" w:eastAsia="Arial" w:hAnsi="Arial"/>
                <w:sz w:val="18"/>
                <w:szCs w:val="18"/>
                <w:color w:val="auto"/>
              </w:rPr>
            </w:pPr>
            <w:hyperlink r:id="rId187">
              <w:r>
                <w:rPr>
                  <w:rFonts w:ascii="Arial" w:cs="Arial" w:eastAsia="Arial" w:hAnsi="Arial"/>
                  <w:sz w:val="18"/>
                  <w:szCs w:val="18"/>
                  <w:color w:val="auto"/>
                </w:rPr>
                <w:t>between Microsoft Corporation and U.S.</w:t>
              </w:r>
            </w:hyperlink>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2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auto"/>
                <w:w w:val="97"/>
              </w:rPr>
            </w:pPr>
            <w:hyperlink r:id="rId187">
              <w:r>
                <w:rPr>
                  <w:rFonts w:ascii="Arial" w:cs="Arial" w:eastAsia="Arial" w:hAnsi="Arial"/>
                  <w:sz w:val="18"/>
                  <w:szCs w:val="18"/>
                  <w:color w:val="auto"/>
                  <w:w w:val="97"/>
                </w:rPr>
                <w:t>Bank National Association, as Trustee, to</w:t>
              </w:r>
            </w:hyperlink>
          </w:p>
        </w:tc>
        <w:tc>
          <w:tcPr>
            <w:tcW w:w="100" w:type="dxa"/>
            <w:vAlign w:val="bottom"/>
            <w:tcBorders>
              <w:bottom w:val="single" w:sz="8" w:color="0000EE"/>
            </w:tcBorders>
            <w:gridSpan w:val="4"/>
          </w:tcPr>
          <w:p>
            <w:pPr>
              <w:spacing w:after="0"/>
              <w:rPr>
                <w:sz w:val="15"/>
                <w:szCs w:val="15"/>
                <w:color w:val="auto"/>
              </w:rPr>
            </w:pPr>
          </w:p>
        </w:tc>
        <w:tc>
          <w:tcPr>
            <w:tcW w:w="120" w:type="dxa"/>
            <w:vAlign w:val="bottom"/>
            <w:gridSpan w:val="6"/>
          </w:tcPr>
          <w:p>
            <w:pPr>
              <w:spacing w:after="0"/>
              <w:rPr>
                <w:sz w:val="15"/>
                <w:szCs w:val="15"/>
                <w:color w:val="auto"/>
              </w:rPr>
            </w:pPr>
          </w:p>
        </w:tc>
        <w:tc>
          <w:tcPr>
            <w:tcW w:w="140" w:type="dxa"/>
            <w:vAlign w:val="bottom"/>
            <w:gridSpan w:val="7"/>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20" w:type="dxa"/>
            <w:vAlign w:val="bottom"/>
            <w:gridSpan w:val="13"/>
          </w:tcPr>
          <w:p>
            <w:pPr>
              <w:spacing w:after="0" w:line="182" w:lineRule="exact"/>
              <w:rPr>
                <w:rFonts w:ascii="Arial" w:cs="Arial" w:eastAsia="Arial" w:hAnsi="Arial"/>
                <w:sz w:val="18"/>
                <w:szCs w:val="18"/>
                <w:color w:val="auto"/>
              </w:rPr>
            </w:pPr>
            <w:hyperlink r:id="rId187">
              <w:r>
                <w:rPr>
                  <w:rFonts w:ascii="Arial" w:cs="Arial" w:eastAsia="Arial" w:hAnsi="Arial"/>
                  <w:sz w:val="18"/>
                  <w:szCs w:val="18"/>
                  <w:color w:val="auto"/>
                </w:rPr>
                <w:t>the Indenture, dated as of May 18, 2009,</w:t>
              </w:r>
            </w:hyperlink>
          </w:p>
        </w:tc>
        <w:tc>
          <w:tcPr>
            <w:tcW w:w="120" w:type="dxa"/>
            <w:vAlign w:val="bottom"/>
            <w:gridSpan w:val="6"/>
          </w:tcPr>
          <w:p>
            <w:pPr>
              <w:spacing w:after="0"/>
              <w:rPr>
                <w:sz w:val="15"/>
                <w:szCs w:val="15"/>
                <w:color w:val="auto"/>
              </w:rPr>
            </w:pPr>
          </w:p>
        </w:tc>
        <w:tc>
          <w:tcPr>
            <w:tcW w:w="140" w:type="dxa"/>
            <w:vAlign w:val="bottom"/>
            <w:gridSpan w:val="7"/>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60" w:type="dxa"/>
            <w:vAlign w:val="bottom"/>
            <w:tcBorders>
              <w:top w:val="single" w:sz="8" w:color="0000EE"/>
            </w:tcBorders>
            <w:gridSpan w:val="11"/>
          </w:tcPr>
          <w:p>
            <w:pPr>
              <w:spacing w:after="0" w:line="182" w:lineRule="exact"/>
              <w:rPr>
                <w:rFonts w:ascii="Arial" w:cs="Arial" w:eastAsia="Arial" w:hAnsi="Arial"/>
                <w:sz w:val="18"/>
                <w:szCs w:val="18"/>
                <w:color w:val="auto"/>
              </w:rPr>
            </w:pPr>
            <w:hyperlink r:id="rId187">
              <w:r>
                <w:rPr>
                  <w:rFonts w:ascii="Arial" w:cs="Arial" w:eastAsia="Arial" w:hAnsi="Arial"/>
                  <w:sz w:val="18"/>
                  <w:szCs w:val="18"/>
                  <w:color w:val="auto"/>
                </w:rPr>
                <w:t>between Microsoft Corporation and The</w:t>
              </w:r>
            </w:hyperlink>
          </w:p>
        </w:tc>
        <w:tc>
          <w:tcPr>
            <w:tcW w:w="180" w:type="dxa"/>
            <w:vAlign w:val="bottom"/>
            <w:gridSpan w:val="8"/>
          </w:tcPr>
          <w:p>
            <w:pPr>
              <w:spacing w:after="0"/>
              <w:rPr>
                <w:sz w:val="15"/>
                <w:szCs w:val="15"/>
                <w:color w:val="auto"/>
              </w:rPr>
            </w:pPr>
          </w:p>
        </w:tc>
        <w:tc>
          <w:tcPr>
            <w:tcW w:w="140" w:type="dxa"/>
            <w:vAlign w:val="bottom"/>
            <w:gridSpan w:val="7"/>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80" w:type="dxa"/>
            <w:vAlign w:val="bottom"/>
            <w:tcBorders>
              <w:top w:val="single" w:sz="8" w:color="0000EE"/>
            </w:tcBorders>
            <w:gridSpan w:val="8"/>
          </w:tcPr>
          <w:p>
            <w:pPr>
              <w:spacing w:after="0" w:line="182" w:lineRule="exact"/>
              <w:rPr>
                <w:rFonts w:ascii="Arial" w:cs="Arial" w:eastAsia="Arial" w:hAnsi="Arial"/>
                <w:sz w:val="18"/>
                <w:szCs w:val="18"/>
                <w:color w:val="auto"/>
                <w:w w:val="94"/>
              </w:rPr>
            </w:pPr>
            <w:hyperlink r:id="rId187">
              <w:r>
                <w:rPr>
                  <w:rFonts w:ascii="Arial" w:cs="Arial" w:eastAsia="Arial" w:hAnsi="Arial"/>
                  <w:sz w:val="18"/>
                  <w:szCs w:val="18"/>
                  <w:color w:val="auto"/>
                  <w:w w:val="94"/>
                </w:rPr>
                <w:t>Bank of New York Mellon Trust Company,</w:t>
              </w:r>
            </w:hyperlink>
          </w:p>
        </w:tc>
        <w:tc>
          <w:tcPr>
            <w:tcW w:w="260" w:type="dxa"/>
            <w:vAlign w:val="bottom"/>
            <w:gridSpan w:val="11"/>
          </w:tcPr>
          <w:p>
            <w:pPr>
              <w:spacing w:after="0"/>
              <w:rPr>
                <w:sz w:val="15"/>
                <w:szCs w:val="15"/>
                <w:color w:val="auto"/>
              </w:rPr>
            </w:pPr>
          </w:p>
        </w:tc>
        <w:tc>
          <w:tcPr>
            <w:tcW w:w="140" w:type="dxa"/>
            <w:vAlign w:val="bottom"/>
            <w:gridSpan w:val="7"/>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260" w:type="dxa"/>
            <w:vAlign w:val="bottom"/>
            <w:tcBorders>
              <w:top w:val="single" w:sz="8" w:color="0000EE"/>
              <w:bottom w:val="single" w:sz="8" w:color="0000EE"/>
            </w:tcBorders>
          </w:tcPr>
          <w:p>
            <w:pPr>
              <w:spacing w:after="0" w:line="182" w:lineRule="exact"/>
              <w:rPr>
                <w:rFonts w:ascii="Arial" w:cs="Arial" w:eastAsia="Arial" w:hAnsi="Arial"/>
                <w:sz w:val="18"/>
                <w:szCs w:val="18"/>
                <w:color w:val="auto"/>
                <w:w w:val="98"/>
              </w:rPr>
            </w:pPr>
            <w:hyperlink r:id="rId187">
              <w:r>
                <w:rPr>
                  <w:rFonts w:ascii="Arial" w:cs="Arial" w:eastAsia="Arial" w:hAnsi="Arial"/>
                  <w:sz w:val="18"/>
                  <w:szCs w:val="18"/>
                  <w:color w:val="auto"/>
                  <w:w w:val="98"/>
                </w:rPr>
                <w:t>N.A., as trustee</w:t>
              </w:r>
            </w:hyperlink>
          </w:p>
        </w:tc>
        <w:tc>
          <w:tcPr>
            <w:tcW w:w="2120" w:type="dxa"/>
            <w:vAlign w:val="bottom"/>
            <w:tcBorders>
              <w:top w:val="single" w:sz="8" w:color="0000EE"/>
            </w:tcBorders>
            <w:gridSpan w:val="15"/>
          </w:tcPr>
          <w:p>
            <w:pPr>
              <w:spacing w:after="0"/>
              <w:rPr>
                <w:sz w:val="15"/>
                <w:szCs w:val="15"/>
                <w:color w:val="auto"/>
              </w:rPr>
            </w:pPr>
          </w:p>
        </w:tc>
        <w:tc>
          <w:tcPr>
            <w:tcW w:w="60" w:type="dxa"/>
            <w:vAlign w:val="bottom"/>
            <w:gridSpan w:val="3"/>
          </w:tcPr>
          <w:p>
            <w:pPr>
              <w:spacing w:after="0"/>
              <w:rPr>
                <w:sz w:val="15"/>
                <w:szCs w:val="15"/>
                <w:color w:val="auto"/>
              </w:rPr>
            </w:pPr>
          </w:p>
        </w:tc>
        <w:tc>
          <w:tcPr>
            <w:tcW w:w="140" w:type="dxa"/>
            <w:vAlign w:val="bottom"/>
            <w:gridSpan w:val="7"/>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4.14</w:t>
            </w:r>
          </w:p>
        </w:tc>
        <w:tc>
          <w:tcPr>
            <w:tcW w:w="320" w:type="dxa"/>
            <w:vAlign w:val="bottom"/>
          </w:tcPr>
          <w:p>
            <w:pPr>
              <w:spacing w:after="0"/>
              <w:rPr>
                <w:sz w:val="24"/>
                <w:szCs w:val="24"/>
                <w:color w:val="auto"/>
              </w:rPr>
            </w:pPr>
          </w:p>
        </w:tc>
        <w:tc>
          <w:tcPr>
            <w:tcW w:w="3600" w:type="dxa"/>
            <w:vAlign w:val="bottom"/>
            <w:gridSpan w:val="27"/>
          </w:tcPr>
          <w:p>
            <w:pPr>
              <w:spacing w:after="0"/>
              <w:rPr>
                <w:rFonts w:ascii="Arial" w:cs="Arial" w:eastAsia="Arial" w:hAnsi="Arial"/>
                <w:sz w:val="18"/>
                <w:szCs w:val="18"/>
                <w:color w:val="auto"/>
              </w:rPr>
            </w:pPr>
            <w:hyperlink r:id="rId188">
              <w:r>
                <w:rPr>
                  <w:rFonts w:ascii="Arial" w:cs="Arial" w:eastAsia="Arial" w:hAnsi="Arial"/>
                  <w:sz w:val="18"/>
                  <w:szCs w:val="18"/>
                  <w:color w:val="auto"/>
                </w:rPr>
                <w:t>Eleventh Supplemental Indenture for</w:t>
              </w:r>
            </w:hyperlink>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jc w:val="right"/>
              <w:ind w:right="295"/>
              <w:spacing w:after="0"/>
              <w:rPr>
                <w:sz w:val="20"/>
                <w:szCs w:val="20"/>
                <w:color w:val="auto"/>
              </w:rPr>
            </w:pPr>
            <w:r>
              <w:rPr>
                <w:rFonts w:ascii="Arial" w:cs="Arial" w:eastAsia="Arial" w:hAnsi="Arial"/>
                <w:sz w:val="18"/>
                <w:szCs w:val="18"/>
                <w:color w:val="auto"/>
              </w:rPr>
              <w:t>8-K</w:t>
            </w:r>
          </w:p>
        </w:tc>
        <w:tc>
          <w:tcPr>
            <w:tcW w:w="1520" w:type="dxa"/>
            <w:vAlign w:val="bottom"/>
          </w:tcPr>
          <w:p>
            <w:pPr>
              <w:spacing w:after="0"/>
              <w:rPr>
                <w:sz w:val="24"/>
                <w:szCs w:val="24"/>
                <w:color w:val="auto"/>
              </w:rPr>
            </w:pPr>
          </w:p>
        </w:tc>
        <w:tc>
          <w:tcPr>
            <w:tcW w:w="1240" w:type="dxa"/>
            <w:vAlign w:val="bottom"/>
          </w:tcPr>
          <w:p>
            <w:pPr>
              <w:jc w:val="right"/>
              <w:ind w:right="295"/>
              <w:spacing w:after="0"/>
              <w:rPr>
                <w:sz w:val="20"/>
                <w:szCs w:val="20"/>
                <w:color w:val="auto"/>
              </w:rPr>
            </w:pPr>
            <w:r>
              <w:rPr>
                <w:rFonts w:ascii="Arial" w:cs="Arial" w:eastAsia="Arial" w:hAnsi="Arial"/>
                <w:sz w:val="18"/>
                <w:szCs w:val="18"/>
                <w:color w:val="auto"/>
              </w:rPr>
              <w:t>4.1</w:t>
            </w:r>
          </w:p>
        </w:tc>
        <w:tc>
          <w:tcPr>
            <w:tcW w:w="1200" w:type="dxa"/>
            <w:vAlign w:val="bottom"/>
          </w:tcPr>
          <w:p>
            <w:pPr>
              <w:jc w:val="right"/>
              <w:spacing w:after="0"/>
              <w:rPr>
                <w:sz w:val="20"/>
                <w:szCs w:val="20"/>
                <w:color w:val="auto"/>
              </w:rPr>
            </w:pPr>
            <w:r>
              <w:rPr>
                <w:rFonts w:ascii="Arial" w:cs="Arial" w:eastAsia="Arial" w:hAnsi="Arial"/>
                <w:sz w:val="18"/>
                <w:szCs w:val="18"/>
                <w:color w:val="auto"/>
              </w:rPr>
              <w:t>8/5/2016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3580" w:type="dxa"/>
            <w:vAlign w:val="bottom"/>
            <w:tcBorders>
              <w:bottom w:val="single" w:sz="8" w:color="0000EE"/>
            </w:tcBorders>
            <w:gridSpan w:val="26"/>
          </w:tcPr>
          <w:p>
            <w:pPr>
              <w:spacing w:after="0" w:line="182" w:lineRule="exact"/>
              <w:rPr>
                <w:rFonts w:ascii="Arial" w:cs="Arial" w:eastAsia="Arial" w:hAnsi="Arial"/>
                <w:sz w:val="18"/>
                <w:szCs w:val="18"/>
                <w:color w:val="auto"/>
              </w:rPr>
            </w:pPr>
            <w:hyperlink r:id="rId188">
              <w:r>
                <w:rPr>
                  <w:rFonts w:ascii="Arial" w:cs="Arial" w:eastAsia="Arial" w:hAnsi="Arial"/>
                  <w:sz w:val="18"/>
                  <w:szCs w:val="18"/>
                  <w:color w:val="auto"/>
                </w:rPr>
                <w:t>1.100% Notes due 2019, 1.550% Notes due</w:t>
              </w:r>
            </w:hyperlink>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60" w:type="dxa"/>
            <w:vAlign w:val="bottom"/>
            <w:tcBorders>
              <w:bottom w:val="single" w:sz="8" w:color="0000EE"/>
            </w:tcBorders>
            <w:gridSpan w:val="7"/>
          </w:tcPr>
          <w:p>
            <w:pPr>
              <w:spacing w:after="0" w:line="182" w:lineRule="exact"/>
              <w:rPr>
                <w:rFonts w:ascii="Arial" w:cs="Arial" w:eastAsia="Arial" w:hAnsi="Arial"/>
                <w:sz w:val="18"/>
                <w:szCs w:val="18"/>
                <w:color w:val="auto"/>
                <w:w w:val="99"/>
              </w:rPr>
            </w:pPr>
            <w:hyperlink r:id="rId188">
              <w:r>
                <w:rPr>
                  <w:rFonts w:ascii="Arial" w:cs="Arial" w:eastAsia="Arial" w:hAnsi="Arial"/>
                  <w:sz w:val="18"/>
                  <w:szCs w:val="18"/>
                  <w:color w:val="auto"/>
                  <w:w w:val="99"/>
                </w:rPr>
                <w:t>2021, 2.000% Notes due 2023, 2.400%</w:t>
              </w:r>
            </w:hyperlink>
          </w:p>
        </w:tc>
        <w:tc>
          <w:tcPr>
            <w:tcW w:w="420" w:type="dxa"/>
            <w:vAlign w:val="bottom"/>
            <w:gridSpan w:val="19"/>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gridSpan w:val="26"/>
          </w:tcPr>
          <w:p>
            <w:pPr>
              <w:spacing w:after="0" w:line="182" w:lineRule="exact"/>
              <w:rPr>
                <w:rFonts w:ascii="Arial" w:cs="Arial" w:eastAsia="Arial" w:hAnsi="Arial"/>
                <w:sz w:val="18"/>
                <w:szCs w:val="18"/>
                <w:color w:val="auto"/>
              </w:rPr>
            </w:pPr>
            <w:hyperlink r:id="rId188">
              <w:r>
                <w:rPr>
                  <w:rFonts w:ascii="Arial" w:cs="Arial" w:eastAsia="Arial" w:hAnsi="Arial"/>
                  <w:sz w:val="18"/>
                  <w:szCs w:val="18"/>
                  <w:color w:val="auto"/>
                </w:rPr>
                <w:t>Notes due 2026, 3.450% Notes due 2036,</w:t>
              </w:r>
            </w:hyperlink>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6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auto"/>
                <w:w w:val="97"/>
              </w:rPr>
            </w:pPr>
            <w:hyperlink r:id="rId188">
              <w:r>
                <w:rPr>
                  <w:rFonts w:ascii="Arial" w:cs="Arial" w:eastAsia="Arial" w:hAnsi="Arial"/>
                  <w:sz w:val="18"/>
                  <w:szCs w:val="18"/>
                  <w:color w:val="auto"/>
                  <w:w w:val="97"/>
                </w:rPr>
                <w:t>3.700% Notes due 2046, and 3.950% Notes</w:t>
              </w:r>
            </w:hyperlink>
          </w:p>
        </w:tc>
        <w:tc>
          <w:tcPr>
            <w:tcW w:w="120" w:type="dxa"/>
            <w:vAlign w:val="bottom"/>
            <w:tcBorders>
              <w:bottom w:val="single" w:sz="8" w:color="0000EE"/>
            </w:tcBorders>
            <w:gridSpan w:val="6"/>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tcBorders>
              <w:bottom w:val="single" w:sz="8" w:color="0000EE"/>
            </w:tcBorders>
            <w:gridSpan w:val="5"/>
          </w:tcPr>
          <w:p>
            <w:pPr>
              <w:spacing w:after="0" w:line="182" w:lineRule="exact"/>
              <w:rPr>
                <w:rFonts w:ascii="Arial" w:cs="Arial" w:eastAsia="Arial" w:hAnsi="Arial"/>
                <w:sz w:val="18"/>
                <w:szCs w:val="18"/>
                <w:color w:val="auto"/>
              </w:rPr>
            </w:pPr>
            <w:hyperlink r:id="rId188">
              <w:r>
                <w:rPr>
                  <w:rFonts w:ascii="Arial" w:cs="Arial" w:eastAsia="Arial" w:hAnsi="Arial"/>
                  <w:sz w:val="18"/>
                  <w:szCs w:val="18"/>
                  <w:color w:val="auto"/>
                </w:rPr>
                <w:t>due 2056, dated as of August 8, 2016,</w:t>
              </w:r>
            </w:hyperlink>
          </w:p>
        </w:tc>
        <w:tc>
          <w:tcPr>
            <w:tcW w:w="500" w:type="dxa"/>
            <w:vAlign w:val="bottom"/>
            <w:gridSpan w:val="21"/>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20" w:type="dxa"/>
            <w:vAlign w:val="bottom"/>
            <w:tcBorders>
              <w:bottom w:val="single" w:sz="8" w:color="0000EE"/>
            </w:tcBorders>
            <w:gridSpan w:val="9"/>
          </w:tcPr>
          <w:p>
            <w:pPr>
              <w:spacing w:after="0" w:line="182" w:lineRule="exact"/>
              <w:rPr>
                <w:rFonts w:ascii="Arial" w:cs="Arial" w:eastAsia="Arial" w:hAnsi="Arial"/>
                <w:sz w:val="18"/>
                <w:szCs w:val="18"/>
                <w:color w:val="auto"/>
                <w:w w:val="99"/>
              </w:rPr>
            </w:pPr>
            <w:hyperlink r:id="rId188">
              <w:r>
                <w:rPr>
                  <w:rFonts w:ascii="Arial" w:cs="Arial" w:eastAsia="Arial" w:hAnsi="Arial"/>
                  <w:sz w:val="18"/>
                  <w:szCs w:val="18"/>
                  <w:color w:val="auto"/>
                  <w:w w:val="99"/>
                </w:rPr>
                <w:t>between Microsoft Corporation and U.S.</w:t>
              </w:r>
            </w:hyperlink>
          </w:p>
        </w:tc>
        <w:tc>
          <w:tcPr>
            <w:tcW w:w="360" w:type="dxa"/>
            <w:vAlign w:val="bottom"/>
            <w:gridSpan w:val="17"/>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gridSpan w:val="26"/>
          </w:tcPr>
          <w:p>
            <w:pPr>
              <w:spacing w:after="0" w:line="182" w:lineRule="exact"/>
              <w:rPr>
                <w:rFonts w:ascii="Arial" w:cs="Arial" w:eastAsia="Arial" w:hAnsi="Arial"/>
                <w:sz w:val="18"/>
                <w:szCs w:val="18"/>
                <w:color w:val="auto"/>
              </w:rPr>
            </w:pPr>
            <w:hyperlink r:id="rId188">
              <w:r>
                <w:rPr>
                  <w:rFonts w:ascii="Arial" w:cs="Arial" w:eastAsia="Arial" w:hAnsi="Arial"/>
                  <w:sz w:val="18"/>
                  <w:szCs w:val="18"/>
                  <w:color w:val="auto"/>
                </w:rPr>
                <w:t>Bank, National Association, as Trustee, to</w:t>
              </w:r>
            </w:hyperlink>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Borders>
              <w:top w:val="single" w:sz="8" w:color="0000EE"/>
            </w:tcBorders>
            <w:gridSpan w:val="19"/>
          </w:tcPr>
          <w:p>
            <w:pPr>
              <w:spacing w:after="0" w:line="182" w:lineRule="exact"/>
              <w:rPr>
                <w:rFonts w:ascii="Arial" w:cs="Arial" w:eastAsia="Arial" w:hAnsi="Arial"/>
                <w:sz w:val="18"/>
                <w:szCs w:val="18"/>
                <w:color w:val="auto"/>
              </w:rPr>
            </w:pPr>
            <w:hyperlink r:id="rId188">
              <w:r>
                <w:rPr>
                  <w:rFonts w:ascii="Arial" w:cs="Arial" w:eastAsia="Arial" w:hAnsi="Arial"/>
                  <w:sz w:val="18"/>
                  <w:szCs w:val="18"/>
                  <w:color w:val="auto"/>
                </w:rPr>
                <w:t>the Indenture, dated as of May 18, 2009,</w:t>
              </w:r>
            </w:hyperlink>
          </w:p>
        </w:tc>
        <w:tc>
          <w:tcPr>
            <w:tcW w:w="140" w:type="dxa"/>
            <w:vAlign w:val="bottom"/>
            <w:gridSpan w:val="7"/>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60" w:type="dxa"/>
            <w:vAlign w:val="bottom"/>
            <w:tcBorders>
              <w:top w:val="single" w:sz="8" w:color="0000EE"/>
            </w:tcBorders>
            <w:gridSpan w:val="11"/>
          </w:tcPr>
          <w:p>
            <w:pPr>
              <w:spacing w:after="0" w:line="182" w:lineRule="exact"/>
              <w:rPr>
                <w:rFonts w:ascii="Arial" w:cs="Arial" w:eastAsia="Arial" w:hAnsi="Arial"/>
                <w:sz w:val="18"/>
                <w:szCs w:val="18"/>
                <w:color w:val="auto"/>
              </w:rPr>
            </w:pPr>
            <w:hyperlink r:id="rId188">
              <w:r>
                <w:rPr>
                  <w:rFonts w:ascii="Arial" w:cs="Arial" w:eastAsia="Arial" w:hAnsi="Arial"/>
                  <w:sz w:val="18"/>
                  <w:szCs w:val="18"/>
                  <w:color w:val="auto"/>
                </w:rPr>
                <w:t>between Microsoft Corporation and The</w:t>
              </w:r>
            </w:hyperlink>
          </w:p>
        </w:tc>
        <w:tc>
          <w:tcPr>
            <w:tcW w:w="320" w:type="dxa"/>
            <w:vAlign w:val="bottom"/>
            <w:gridSpan w:val="15"/>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80" w:type="dxa"/>
            <w:vAlign w:val="bottom"/>
            <w:tcBorders>
              <w:top w:val="single" w:sz="8" w:color="0000EE"/>
            </w:tcBorders>
            <w:gridSpan w:val="8"/>
          </w:tcPr>
          <w:p>
            <w:pPr>
              <w:spacing w:after="0" w:line="182" w:lineRule="exact"/>
              <w:rPr>
                <w:rFonts w:ascii="Arial" w:cs="Arial" w:eastAsia="Arial" w:hAnsi="Arial"/>
                <w:sz w:val="18"/>
                <w:szCs w:val="18"/>
                <w:color w:val="auto"/>
                <w:w w:val="94"/>
              </w:rPr>
            </w:pPr>
            <w:hyperlink r:id="rId188">
              <w:r>
                <w:rPr>
                  <w:rFonts w:ascii="Arial" w:cs="Arial" w:eastAsia="Arial" w:hAnsi="Arial"/>
                  <w:sz w:val="18"/>
                  <w:szCs w:val="18"/>
                  <w:color w:val="auto"/>
                  <w:w w:val="94"/>
                </w:rPr>
                <w:t>Bank of New York Mellon Trust Company,</w:t>
              </w:r>
            </w:hyperlink>
          </w:p>
        </w:tc>
        <w:tc>
          <w:tcPr>
            <w:tcW w:w="400" w:type="dxa"/>
            <w:vAlign w:val="bottom"/>
            <w:gridSpan w:val="18"/>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80" w:type="dxa"/>
            <w:vAlign w:val="bottom"/>
            <w:tcBorders>
              <w:top w:val="single" w:sz="8" w:color="0000EE"/>
            </w:tcBorders>
            <w:gridSpan w:val="16"/>
          </w:tcPr>
          <w:p>
            <w:pPr>
              <w:spacing w:after="0" w:line="182" w:lineRule="exact"/>
              <w:rPr>
                <w:rFonts w:ascii="Arial" w:cs="Arial" w:eastAsia="Arial" w:hAnsi="Arial"/>
                <w:sz w:val="18"/>
                <w:szCs w:val="18"/>
                <w:color w:val="auto"/>
              </w:rPr>
            </w:pPr>
            <w:hyperlink r:id="rId188">
              <w:r>
                <w:rPr>
                  <w:rFonts w:ascii="Arial" w:cs="Arial" w:eastAsia="Arial" w:hAnsi="Arial"/>
                  <w:sz w:val="18"/>
                  <w:szCs w:val="18"/>
                  <w:color w:val="auto"/>
                </w:rPr>
                <w:t>N.A., as trustee</w:t>
              </w:r>
            </w:hyperlink>
          </w:p>
        </w:tc>
        <w:tc>
          <w:tcPr>
            <w:tcW w:w="200" w:type="dxa"/>
            <w:vAlign w:val="bottom"/>
            <w:gridSpan w:val="10"/>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4"/>
                <w:szCs w:val="14"/>
                <w:color w:val="auto"/>
              </w:rPr>
              <w:t>105</w:t>
            </w:r>
          </w:p>
        </w:tc>
        <w:tc>
          <w:tcPr>
            <w:tcW w:w="1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8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05" w:name="page106"/>
    <w:bookmarkEnd w:id="105"/>
    <w:p>
      <w:pPr>
        <w:ind w:left="5360"/>
        <w:spacing w:after="0"/>
        <w:rPr>
          <w:sz w:val="20"/>
          <w:szCs w:val="20"/>
          <w:color w:val="auto"/>
        </w:rPr>
      </w:pPr>
      <w:r>
        <w:rPr>
          <w:rFonts w:ascii="Arial" w:cs="Arial" w:eastAsia="Arial" w:hAnsi="Arial"/>
          <w:sz w:val="13"/>
          <w:szCs w:val="13"/>
          <w:u w:val="single" w:color="auto"/>
          <w:color w:val="auto"/>
        </w:rPr>
        <w:t>PART IV</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2"/>
          </w:tcPr>
          <w:p>
            <w:pPr>
              <w:jc w:val="right"/>
              <w:ind w:right="594"/>
              <w:spacing w:after="0"/>
              <w:rPr>
                <w:sz w:val="20"/>
                <w:szCs w:val="20"/>
                <w:color w:val="auto"/>
              </w:rPr>
            </w:pPr>
            <w:r>
              <w:rPr>
                <w:rFonts w:ascii="Arial" w:cs="Arial" w:eastAsia="Arial" w:hAnsi="Arial"/>
                <w:sz w:val="13"/>
                <w:szCs w:val="13"/>
                <w:b w:val="1"/>
                <w:bCs w:val="1"/>
                <w:color w:val="auto"/>
              </w:rPr>
              <w:t>Incorporated by Reference</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40" w:type="dxa"/>
            <w:vAlign w:val="bottom"/>
          </w:tcPr>
          <w:p>
            <w:pPr>
              <w:ind w:left="20"/>
              <w:spacing w:after="0" w:line="141" w:lineRule="exact"/>
              <w:rPr>
                <w:sz w:val="20"/>
                <w:szCs w:val="20"/>
                <w:color w:val="auto"/>
              </w:rPr>
            </w:pPr>
            <w:r>
              <w:rPr>
                <w:rFonts w:ascii="Arial" w:cs="Arial" w:eastAsia="Arial" w:hAnsi="Arial"/>
                <w:sz w:val="13"/>
                <w:szCs w:val="13"/>
                <w:b w:val="1"/>
                <w:bCs w:val="1"/>
                <w:color w:val="auto"/>
              </w:rPr>
              <w:t>Exhibit</w:t>
            </w:r>
          </w:p>
        </w:tc>
        <w:tc>
          <w:tcPr>
            <w:tcW w:w="3960" w:type="dxa"/>
            <w:vAlign w:val="bottom"/>
            <w:gridSpan w:val="30"/>
            <w:vMerge w:val="restart"/>
          </w:tcPr>
          <w:p>
            <w:pPr>
              <w:ind w:left="320"/>
              <w:spacing w:after="0"/>
              <w:rPr>
                <w:sz w:val="20"/>
                <w:szCs w:val="20"/>
                <w:color w:val="auto"/>
              </w:rPr>
            </w:pPr>
            <w:r>
              <w:rPr>
                <w:rFonts w:ascii="Arial" w:cs="Arial" w:eastAsia="Arial" w:hAnsi="Arial"/>
                <w:sz w:val="13"/>
                <w:szCs w:val="13"/>
                <w:b w:val="1"/>
                <w:bCs w:val="1"/>
                <w:color w:val="auto"/>
              </w:rPr>
              <w:t>Exhibit Description</w:t>
            </w:r>
          </w:p>
        </w:tc>
        <w:tc>
          <w:tcPr>
            <w:tcW w:w="8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rPr>
              <w:t>Filed</w:t>
            </w:r>
          </w:p>
        </w:tc>
        <w:tc>
          <w:tcPr>
            <w:tcW w:w="440" w:type="dxa"/>
            <w:vAlign w:val="bottom"/>
          </w:tcPr>
          <w:p>
            <w:pPr>
              <w:spacing w:after="0"/>
              <w:rPr>
                <w:sz w:val="12"/>
                <w:szCs w:val="12"/>
                <w:color w:val="auto"/>
              </w:rPr>
            </w:pPr>
          </w:p>
        </w:tc>
        <w:tc>
          <w:tcPr>
            <w:tcW w:w="1080" w:type="dxa"/>
            <w:vAlign w:val="bottom"/>
            <w:vMerge w:val="restart"/>
          </w:tcPr>
          <w:p>
            <w:pPr>
              <w:jc w:val="right"/>
              <w:ind w:right="294"/>
              <w:spacing w:after="0"/>
              <w:rPr>
                <w:sz w:val="20"/>
                <w:szCs w:val="20"/>
                <w:color w:val="auto"/>
              </w:rPr>
            </w:pPr>
            <w:r>
              <w:rPr>
                <w:rFonts w:ascii="Arial" w:cs="Arial" w:eastAsia="Arial" w:hAnsi="Arial"/>
                <w:sz w:val="13"/>
                <w:szCs w:val="13"/>
                <w:b w:val="1"/>
                <w:bCs w:val="1"/>
                <w:color w:val="auto"/>
              </w:rPr>
              <w:t>Form</w:t>
            </w:r>
          </w:p>
        </w:tc>
        <w:tc>
          <w:tcPr>
            <w:tcW w:w="1520" w:type="dxa"/>
            <w:vAlign w:val="bottom"/>
          </w:tcPr>
          <w:p>
            <w:pPr>
              <w:jc w:val="right"/>
              <w:ind w:right="333"/>
              <w:spacing w:after="0" w:line="141" w:lineRule="exact"/>
              <w:rPr>
                <w:sz w:val="20"/>
                <w:szCs w:val="20"/>
                <w:color w:val="auto"/>
              </w:rPr>
            </w:pPr>
            <w:r>
              <w:rPr>
                <w:rFonts w:ascii="Arial" w:cs="Arial" w:eastAsia="Arial" w:hAnsi="Arial"/>
                <w:sz w:val="13"/>
                <w:szCs w:val="13"/>
                <w:b w:val="1"/>
                <w:bCs w:val="1"/>
                <w:color w:val="auto"/>
              </w:rPr>
              <w:t>Period</w:t>
            </w:r>
          </w:p>
        </w:tc>
        <w:tc>
          <w:tcPr>
            <w:tcW w:w="1240" w:type="dxa"/>
            <w:vAlign w:val="bottom"/>
            <w:vMerge w:val="restart"/>
          </w:tcPr>
          <w:p>
            <w:pPr>
              <w:jc w:val="right"/>
              <w:ind w:right="294"/>
              <w:spacing w:after="0"/>
              <w:rPr>
                <w:sz w:val="20"/>
                <w:szCs w:val="20"/>
                <w:color w:val="auto"/>
              </w:rPr>
            </w:pPr>
            <w:r>
              <w:rPr>
                <w:rFonts w:ascii="Arial" w:cs="Arial" w:eastAsia="Arial" w:hAnsi="Arial"/>
                <w:sz w:val="13"/>
                <w:szCs w:val="13"/>
                <w:b w:val="1"/>
                <w:bCs w:val="1"/>
                <w:color w:val="auto"/>
              </w:rPr>
              <w:t>Exhibit</w:t>
            </w:r>
          </w:p>
        </w:tc>
        <w:tc>
          <w:tcPr>
            <w:tcW w:w="1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Number</w:t>
            </w:r>
          </w:p>
        </w:tc>
        <w:tc>
          <w:tcPr>
            <w:tcW w:w="3960" w:type="dxa"/>
            <w:vAlign w:val="bottom"/>
            <w:tcBorders>
              <w:bottom w:val="single" w:sz="8" w:color="auto"/>
            </w:tcBorders>
            <w:gridSpan w:val="30"/>
            <w:vMerge w:val="continue"/>
          </w:tcPr>
          <w:p>
            <w:pPr>
              <w:spacing w:after="0"/>
              <w:rPr>
                <w:sz w:val="15"/>
                <w:szCs w:val="15"/>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rPr>
              <w:t>Herewith</w:t>
            </w:r>
          </w:p>
        </w:tc>
        <w:tc>
          <w:tcPr>
            <w:tcW w:w="1080" w:type="dxa"/>
            <w:vAlign w:val="bottom"/>
            <w:tcBorders>
              <w:bottom w:val="single" w:sz="8" w:color="auto"/>
            </w:tcBorders>
            <w:vMerge w:val="continue"/>
          </w:tcPr>
          <w:p>
            <w:pPr>
              <w:spacing w:after="0"/>
              <w:rPr>
                <w:sz w:val="15"/>
                <w:szCs w:val="15"/>
                <w:color w:val="auto"/>
              </w:rPr>
            </w:pPr>
          </w:p>
        </w:tc>
        <w:tc>
          <w:tcPr>
            <w:tcW w:w="152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Ending</w:t>
            </w:r>
          </w:p>
        </w:tc>
        <w:tc>
          <w:tcPr>
            <w:tcW w:w="12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4.15</w:t>
            </w:r>
          </w:p>
        </w:tc>
        <w:tc>
          <w:tcPr>
            <w:tcW w:w="320" w:type="dxa"/>
            <w:vAlign w:val="bottom"/>
          </w:tcPr>
          <w:p>
            <w:pPr>
              <w:spacing w:after="0"/>
              <w:rPr>
                <w:sz w:val="21"/>
                <w:szCs w:val="21"/>
                <w:color w:val="auto"/>
              </w:rPr>
            </w:pPr>
          </w:p>
        </w:tc>
        <w:tc>
          <w:tcPr>
            <w:tcW w:w="3640" w:type="dxa"/>
            <w:vAlign w:val="bottom"/>
            <w:gridSpan w:val="29"/>
          </w:tcPr>
          <w:p>
            <w:pPr>
              <w:spacing w:after="0"/>
              <w:rPr>
                <w:rFonts w:ascii="Arial" w:cs="Arial" w:eastAsia="Arial" w:hAnsi="Arial"/>
                <w:sz w:val="18"/>
                <w:szCs w:val="18"/>
                <w:color w:val="auto"/>
              </w:rPr>
            </w:pPr>
            <w:hyperlink r:id="rId191">
              <w:r>
                <w:rPr>
                  <w:rFonts w:ascii="Arial" w:cs="Arial" w:eastAsia="Arial" w:hAnsi="Arial"/>
                  <w:sz w:val="18"/>
                  <w:szCs w:val="18"/>
                  <w:color w:val="auto"/>
                </w:rPr>
                <w:t>Twelfth Supplemental Indenture for 1.850%</w:t>
              </w:r>
            </w:hyperlink>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294"/>
              <w:spacing w:after="0"/>
              <w:rPr>
                <w:sz w:val="20"/>
                <w:szCs w:val="20"/>
                <w:color w:val="auto"/>
              </w:rPr>
            </w:pPr>
            <w:r>
              <w:rPr>
                <w:rFonts w:ascii="Arial" w:cs="Arial" w:eastAsia="Arial" w:hAnsi="Arial"/>
                <w:sz w:val="18"/>
                <w:szCs w:val="18"/>
                <w:color w:val="auto"/>
              </w:rPr>
              <w:t>8-K</w:t>
            </w:r>
          </w:p>
        </w:tc>
        <w:tc>
          <w:tcPr>
            <w:tcW w:w="1520" w:type="dxa"/>
            <w:vAlign w:val="bottom"/>
          </w:tcPr>
          <w:p>
            <w:pPr>
              <w:spacing w:after="0"/>
              <w:rPr>
                <w:sz w:val="21"/>
                <w:szCs w:val="21"/>
                <w:color w:val="auto"/>
              </w:rPr>
            </w:pPr>
          </w:p>
        </w:tc>
        <w:tc>
          <w:tcPr>
            <w:tcW w:w="1240" w:type="dxa"/>
            <w:vAlign w:val="bottom"/>
          </w:tcPr>
          <w:p>
            <w:pPr>
              <w:jc w:val="right"/>
              <w:ind w:right="294"/>
              <w:spacing w:after="0"/>
              <w:rPr>
                <w:sz w:val="20"/>
                <w:szCs w:val="20"/>
                <w:color w:val="auto"/>
              </w:rPr>
            </w:pPr>
            <w:r>
              <w:rPr>
                <w:rFonts w:ascii="Arial" w:cs="Arial" w:eastAsia="Arial" w:hAnsi="Arial"/>
                <w:sz w:val="18"/>
                <w:szCs w:val="18"/>
                <w:color w:val="auto"/>
              </w:rPr>
              <w:t>4.1</w:t>
            </w:r>
          </w:p>
        </w:tc>
        <w:tc>
          <w:tcPr>
            <w:tcW w:w="1200" w:type="dxa"/>
            <w:vAlign w:val="bottom"/>
          </w:tcPr>
          <w:p>
            <w:pPr>
              <w:jc w:val="right"/>
              <w:spacing w:after="0"/>
              <w:rPr>
                <w:sz w:val="20"/>
                <w:szCs w:val="20"/>
                <w:color w:val="auto"/>
              </w:rPr>
            </w:pPr>
            <w:r>
              <w:rPr>
                <w:rFonts w:ascii="Arial" w:cs="Arial" w:eastAsia="Arial" w:hAnsi="Arial"/>
                <w:sz w:val="18"/>
                <w:szCs w:val="18"/>
                <w:color w:val="auto"/>
              </w:rPr>
              <w:t>2/3/2017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8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auto"/>
              </w:rPr>
            </w:pPr>
            <w:hyperlink r:id="rId191">
              <w:r>
                <w:rPr>
                  <w:rFonts w:ascii="Arial" w:cs="Arial" w:eastAsia="Arial" w:hAnsi="Arial"/>
                  <w:sz w:val="18"/>
                  <w:szCs w:val="18"/>
                  <w:color w:val="auto"/>
                </w:rPr>
                <w:t>Notes due 2020, 2.400% Notes due 2022,</w:t>
              </w:r>
            </w:hyperlink>
          </w:p>
        </w:tc>
        <w:tc>
          <w:tcPr>
            <w:tcW w:w="120" w:type="dxa"/>
            <w:vAlign w:val="bottom"/>
            <w:tcBorders>
              <w:top w:val="single" w:sz="8" w:color="0000EE"/>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tcBorders>
              <w:bottom w:val="single" w:sz="8" w:color="0000EE"/>
            </w:tcBorders>
            <w:gridSpan w:val="28"/>
          </w:tcPr>
          <w:p>
            <w:pPr>
              <w:spacing w:after="0" w:line="182" w:lineRule="exact"/>
              <w:rPr>
                <w:rFonts w:ascii="Arial" w:cs="Arial" w:eastAsia="Arial" w:hAnsi="Arial"/>
                <w:sz w:val="18"/>
                <w:szCs w:val="18"/>
                <w:color w:val="auto"/>
              </w:rPr>
            </w:pPr>
            <w:hyperlink r:id="rId191">
              <w:r>
                <w:rPr>
                  <w:rFonts w:ascii="Arial" w:cs="Arial" w:eastAsia="Arial" w:hAnsi="Arial"/>
                  <w:sz w:val="18"/>
                  <w:szCs w:val="18"/>
                  <w:color w:val="auto"/>
                </w:rPr>
                <w:t>2.875% Notes due 2024, 3.300% Notes due</w:t>
              </w:r>
            </w:hyperlink>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28"/>
          </w:tcPr>
          <w:p>
            <w:pPr>
              <w:spacing w:after="0" w:line="182" w:lineRule="exact"/>
              <w:rPr>
                <w:rFonts w:ascii="Arial" w:cs="Arial" w:eastAsia="Arial" w:hAnsi="Arial"/>
                <w:sz w:val="18"/>
                <w:szCs w:val="18"/>
                <w:color w:val="auto"/>
              </w:rPr>
            </w:pPr>
            <w:hyperlink r:id="rId191">
              <w:r>
                <w:rPr>
                  <w:rFonts w:ascii="Arial" w:cs="Arial" w:eastAsia="Arial" w:hAnsi="Arial"/>
                  <w:sz w:val="18"/>
                  <w:szCs w:val="18"/>
                  <w:color w:val="auto"/>
                </w:rPr>
                <w:t>2027, 4.100% Notes due 2037, 4.250%</w:t>
              </w:r>
            </w:hyperlink>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6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auto"/>
                <w:w w:val="98"/>
              </w:rPr>
            </w:pPr>
            <w:hyperlink r:id="rId191">
              <w:r>
                <w:rPr>
                  <w:rFonts w:ascii="Arial" w:cs="Arial" w:eastAsia="Arial" w:hAnsi="Arial"/>
                  <w:sz w:val="18"/>
                  <w:szCs w:val="18"/>
                  <w:color w:val="auto"/>
                  <w:w w:val="98"/>
                </w:rPr>
                <w:t>Notes due 2047, and 4.500% Notes due</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40" w:type="dxa"/>
            <w:vAlign w:val="bottom"/>
            <w:gridSpan w:val="14"/>
          </w:tcPr>
          <w:p>
            <w:pPr>
              <w:spacing w:after="0" w:line="182" w:lineRule="exact"/>
              <w:rPr>
                <w:rFonts w:ascii="Arial" w:cs="Arial" w:eastAsia="Arial" w:hAnsi="Arial"/>
                <w:sz w:val="18"/>
                <w:szCs w:val="18"/>
                <w:color w:val="auto"/>
              </w:rPr>
            </w:pPr>
            <w:hyperlink r:id="rId191">
              <w:r>
                <w:rPr>
                  <w:rFonts w:ascii="Arial" w:cs="Arial" w:eastAsia="Arial" w:hAnsi="Arial"/>
                  <w:sz w:val="18"/>
                  <w:szCs w:val="18"/>
                  <w:color w:val="auto"/>
                </w:rPr>
                <w:t>2057, dated as of February 6, 2017,</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tcBorders>
              <w:top w:val="single" w:sz="8" w:color="0000EE"/>
            </w:tcBorders>
            <w:gridSpan w:val="4"/>
          </w:tcPr>
          <w:p>
            <w:pPr>
              <w:spacing w:after="0" w:line="182" w:lineRule="exact"/>
              <w:rPr>
                <w:rFonts w:ascii="Arial" w:cs="Arial" w:eastAsia="Arial" w:hAnsi="Arial"/>
                <w:sz w:val="18"/>
                <w:szCs w:val="18"/>
                <w:color w:val="auto"/>
              </w:rPr>
            </w:pPr>
            <w:hyperlink r:id="rId191">
              <w:r>
                <w:rPr>
                  <w:rFonts w:ascii="Arial" w:cs="Arial" w:eastAsia="Arial" w:hAnsi="Arial"/>
                  <w:sz w:val="18"/>
                  <w:szCs w:val="18"/>
                  <w:color w:val="auto"/>
                </w:rPr>
                <w:t>between Microsoft Corporation and</w:t>
              </w:r>
            </w:hyperlink>
          </w:p>
        </w:tc>
        <w:tc>
          <w:tcPr>
            <w:tcW w:w="720" w:type="dxa"/>
            <w:vAlign w:val="bottom"/>
            <w:gridSpan w:val="24"/>
          </w:tcPr>
          <w:p>
            <w:pPr>
              <w:spacing w:after="0" w:line="182" w:lineRule="exact"/>
              <w:rPr>
                <w:rFonts w:ascii="Arial" w:cs="Arial" w:eastAsia="Arial" w:hAnsi="Arial"/>
                <w:sz w:val="18"/>
                <w:szCs w:val="18"/>
                <w:color w:val="auto"/>
              </w:rPr>
            </w:pPr>
            <w:hyperlink r:id="rId191">
              <w:r>
                <w:rPr>
                  <w:rFonts w:ascii="Arial" w:cs="Arial" w:eastAsia="Arial" w:hAnsi="Arial"/>
                  <w:sz w:val="18"/>
                  <w:szCs w:val="18"/>
                  <w:color w:val="auto"/>
                </w:rPr>
                <w:t>The</w:t>
              </w:r>
            </w:hyperlink>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8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auto"/>
                <w:w w:val="94"/>
              </w:rPr>
            </w:pPr>
            <w:hyperlink r:id="rId191">
              <w:r>
                <w:rPr>
                  <w:rFonts w:ascii="Arial" w:cs="Arial" w:eastAsia="Arial" w:hAnsi="Arial"/>
                  <w:sz w:val="18"/>
                  <w:szCs w:val="18"/>
                  <w:color w:val="auto"/>
                  <w:w w:val="94"/>
                </w:rPr>
                <w:t>Bank of New York Mellon Trust Company,</w:t>
              </w:r>
            </w:hyperlink>
          </w:p>
        </w:tc>
        <w:tc>
          <w:tcPr>
            <w:tcW w:w="4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28"/>
          </w:tcPr>
          <w:p>
            <w:pPr>
              <w:spacing w:after="0" w:line="182" w:lineRule="exact"/>
              <w:rPr>
                <w:rFonts w:ascii="Arial" w:cs="Arial" w:eastAsia="Arial" w:hAnsi="Arial"/>
                <w:sz w:val="18"/>
                <w:szCs w:val="18"/>
                <w:color w:val="auto"/>
              </w:rPr>
            </w:pPr>
            <w:hyperlink r:id="rId191">
              <w:r>
                <w:rPr>
                  <w:rFonts w:ascii="Arial" w:cs="Arial" w:eastAsia="Arial" w:hAnsi="Arial"/>
                  <w:sz w:val="18"/>
                  <w:szCs w:val="18"/>
                  <w:color w:val="auto"/>
                </w:rPr>
                <w:t>N.A., as Trustee, to the Indenture, dated as</w:t>
              </w:r>
            </w:hyperlink>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auto"/>
              </w:rPr>
            </w:pPr>
            <w:hyperlink r:id="rId191">
              <w:r>
                <w:rPr>
                  <w:rFonts w:ascii="Arial" w:cs="Arial" w:eastAsia="Arial" w:hAnsi="Arial"/>
                  <w:sz w:val="18"/>
                  <w:szCs w:val="18"/>
                  <w:color w:val="auto"/>
                </w:rPr>
                <w:t>of May 18, 2009, between Microsoft</w:t>
              </w:r>
            </w:hyperlink>
          </w:p>
        </w:tc>
        <w:tc>
          <w:tcPr>
            <w:tcW w:w="600" w:type="dxa"/>
            <w:vAlign w:val="bottom"/>
            <w:tcBorders>
              <w:top w:val="single" w:sz="8" w:color="0000EE"/>
            </w:tcBorders>
            <w:gridSpan w:val="18"/>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28"/>
          </w:tcPr>
          <w:p>
            <w:pPr>
              <w:spacing w:after="0" w:line="182" w:lineRule="exact"/>
              <w:rPr>
                <w:rFonts w:ascii="Arial" w:cs="Arial" w:eastAsia="Arial" w:hAnsi="Arial"/>
                <w:sz w:val="18"/>
                <w:szCs w:val="18"/>
                <w:color w:val="auto"/>
              </w:rPr>
            </w:pPr>
            <w:hyperlink r:id="rId191">
              <w:r>
                <w:rPr>
                  <w:rFonts w:ascii="Arial" w:cs="Arial" w:eastAsia="Arial" w:hAnsi="Arial"/>
                  <w:sz w:val="18"/>
                  <w:szCs w:val="18"/>
                  <w:color w:val="auto"/>
                </w:rPr>
                <w:t>Corporation and The Bank of New York</w:t>
              </w:r>
            </w:hyperlink>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Borders>
              <w:top w:val="single" w:sz="8" w:color="0000EE"/>
            </w:tcBorders>
            <w:gridSpan w:val="10"/>
          </w:tcPr>
          <w:p>
            <w:pPr>
              <w:spacing w:after="0" w:line="182" w:lineRule="exact"/>
              <w:rPr>
                <w:rFonts w:ascii="Arial" w:cs="Arial" w:eastAsia="Arial" w:hAnsi="Arial"/>
                <w:sz w:val="18"/>
                <w:szCs w:val="18"/>
                <w:color w:val="auto"/>
                <w:w w:val="98"/>
              </w:rPr>
            </w:pPr>
            <w:hyperlink r:id="rId191">
              <w:r>
                <w:rPr>
                  <w:rFonts w:ascii="Arial" w:cs="Arial" w:eastAsia="Arial" w:hAnsi="Arial"/>
                  <w:sz w:val="18"/>
                  <w:szCs w:val="18"/>
                  <w:color w:val="auto"/>
                  <w:w w:val="98"/>
                </w:rPr>
                <w:t>Mellon Trust Company, N.A., as trustee</w:t>
              </w:r>
            </w:hyperlink>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4.16</w:t>
            </w:r>
          </w:p>
        </w:tc>
        <w:tc>
          <w:tcPr>
            <w:tcW w:w="320" w:type="dxa"/>
            <w:vAlign w:val="bottom"/>
          </w:tcPr>
          <w:p>
            <w:pPr>
              <w:spacing w:after="0"/>
              <w:rPr>
                <w:sz w:val="24"/>
                <w:szCs w:val="24"/>
                <w:color w:val="auto"/>
              </w:rPr>
            </w:pPr>
          </w:p>
        </w:tc>
        <w:tc>
          <w:tcPr>
            <w:tcW w:w="3120" w:type="dxa"/>
            <w:vAlign w:val="bottom"/>
            <w:tcBorders>
              <w:top w:val="single" w:sz="8" w:color="0000EE"/>
            </w:tcBorders>
            <w:gridSpan w:val="10"/>
          </w:tcPr>
          <w:p>
            <w:pPr>
              <w:spacing w:after="0"/>
              <w:rPr>
                <w:rFonts w:ascii="Arial" w:cs="Arial" w:eastAsia="Arial" w:hAnsi="Arial"/>
                <w:sz w:val="18"/>
                <w:szCs w:val="18"/>
                <w:color w:val="auto"/>
              </w:rPr>
            </w:pPr>
            <w:hyperlink r:id="rId192">
              <w:r>
                <w:rPr>
                  <w:rFonts w:ascii="Arial" w:cs="Arial" w:eastAsia="Arial" w:hAnsi="Arial"/>
                  <w:sz w:val="18"/>
                  <w:szCs w:val="18"/>
                  <w:color w:val="auto"/>
                </w:rPr>
                <w:t>Thirteenth Supplemental Indenture for</w:t>
              </w:r>
            </w:hyperlink>
          </w:p>
        </w:tc>
        <w:tc>
          <w:tcPr>
            <w:tcW w:w="520" w:type="dxa"/>
            <w:vAlign w:val="bottom"/>
            <w:gridSpan w:val="19"/>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jc w:val="right"/>
              <w:ind w:right="294"/>
              <w:spacing w:after="0"/>
              <w:rPr>
                <w:sz w:val="20"/>
                <w:szCs w:val="20"/>
                <w:color w:val="auto"/>
              </w:rPr>
            </w:pPr>
            <w:r>
              <w:rPr>
                <w:rFonts w:ascii="Arial" w:cs="Arial" w:eastAsia="Arial" w:hAnsi="Arial"/>
                <w:sz w:val="18"/>
                <w:szCs w:val="18"/>
                <w:color w:val="auto"/>
              </w:rPr>
              <w:t>8-K</w:t>
            </w:r>
          </w:p>
        </w:tc>
        <w:tc>
          <w:tcPr>
            <w:tcW w:w="1520" w:type="dxa"/>
            <w:vAlign w:val="bottom"/>
          </w:tcPr>
          <w:p>
            <w:pPr>
              <w:spacing w:after="0"/>
              <w:rPr>
                <w:sz w:val="24"/>
                <w:szCs w:val="24"/>
                <w:color w:val="auto"/>
              </w:rPr>
            </w:pPr>
          </w:p>
        </w:tc>
        <w:tc>
          <w:tcPr>
            <w:tcW w:w="1240" w:type="dxa"/>
            <w:vAlign w:val="bottom"/>
          </w:tcPr>
          <w:p>
            <w:pPr>
              <w:jc w:val="right"/>
              <w:ind w:right="294"/>
              <w:spacing w:after="0"/>
              <w:rPr>
                <w:sz w:val="20"/>
                <w:szCs w:val="20"/>
                <w:color w:val="auto"/>
              </w:rPr>
            </w:pPr>
            <w:r>
              <w:rPr>
                <w:rFonts w:ascii="Arial" w:cs="Arial" w:eastAsia="Arial" w:hAnsi="Arial"/>
                <w:sz w:val="18"/>
                <w:szCs w:val="18"/>
                <w:color w:val="auto"/>
              </w:rPr>
              <w:t>4.1</w:t>
            </w:r>
          </w:p>
        </w:tc>
        <w:tc>
          <w:tcPr>
            <w:tcW w:w="1200" w:type="dxa"/>
            <w:vAlign w:val="bottom"/>
          </w:tcPr>
          <w:p>
            <w:pPr>
              <w:jc w:val="right"/>
              <w:spacing w:after="0"/>
              <w:rPr>
                <w:sz w:val="20"/>
                <w:szCs w:val="20"/>
                <w:color w:val="auto"/>
              </w:rPr>
            </w:pPr>
            <w:r>
              <w:rPr>
                <w:rFonts w:ascii="Arial" w:cs="Arial" w:eastAsia="Arial" w:hAnsi="Arial"/>
                <w:sz w:val="18"/>
                <w:szCs w:val="18"/>
                <w:color w:val="auto"/>
              </w:rPr>
              <w:t>6/1/2020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60" w:type="dxa"/>
            <w:vAlign w:val="bottom"/>
            <w:tcBorders>
              <w:top w:val="single" w:sz="8" w:color="0000EE"/>
            </w:tcBorders>
            <w:gridSpan w:val="8"/>
          </w:tcPr>
          <w:p>
            <w:pPr>
              <w:spacing w:after="0" w:line="182" w:lineRule="exact"/>
              <w:rPr>
                <w:rFonts w:ascii="Arial" w:cs="Arial" w:eastAsia="Arial" w:hAnsi="Arial"/>
                <w:sz w:val="18"/>
                <w:szCs w:val="18"/>
                <w:color w:val="auto"/>
              </w:rPr>
            </w:pPr>
            <w:hyperlink r:id="rId192">
              <w:r>
                <w:rPr>
                  <w:rFonts w:ascii="Arial" w:cs="Arial" w:eastAsia="Arial" w:hAnsi="Arial"/>
                  <w:sz w:val="18"/>
                  <w:szCs w:val="18"/>
                  <w:color w:val="auto"/>
                </w:rPr>
                <w:t>2.525% Notes due 2050 and 2.675%</w:t>
              </w:r>
            </w:hyperlink>
          </w:p>
        </w:tc>
        <w:tc>
          <w:tcPr>
            <w:tcW w:w="560" w:type="dxa"/>
            <w:vAlign w:val="bottom"/>
            <w:gridSpan w:val="20"/>
          </w:tcPr>
          <w:p>
            <w:pPr>
              <w:spacing w:after="0" w:line="182" w:lineRule="exact"/>
              <w:rPr>
                <w:rFonts w:ascii="Arial" w:cs="Arial" w:eastAsia="Arial" w:hAnsi="Arial"/>
                <w:sz w:val="18"/>
                <w:szCs w:val="18"/>
                <w:color w:val="auto"/>
              </w:rPr>
            </w:pPr>
            <w:hyperlink r:id="rId192">
              <w:r>
                <w:rPr>
                  <w:rFonts w:ascii="Arial" w:cs="Arial" w:eastAsia="Arial" w:hAnsi="Arial"/>
                  <w:sz w:val="18"/>
                  <w:szCs w:val="18"/>
                  <w:color w:val="auto"/>
                </w:rPr>
                <w:t>Notes</w:t>
              </w:r>
            </w:hyperlink>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60" w:type="dxa"/>
            <w:vAlign w:val="bottom"/>
            <w:tcBorders>
              <w:top w:val="single" w:sz="8" w:color="0000EE"/>
            </w:tcBorders>
            <w:gridSpan w:val="25"/>
          </w:tcPr>
          <w:p>
            <w:pPr>
              <w:spacing w:after="0" w:line="182" w:lineRule="exact"/>
              <w:rPr>
                <w:rFonts w:ascii="Arial" w:cs="Arial" w:eastAsia="Arial" w:hAnsi="Arial"/>
                <w:sz w:val="18"/>
                <w:szCs w:val="18"/>
                <w:color w:val="auto"/>
              </w:rPr>
            </w:pPr>
            <w:hyperlink r:id="rId192">
              <w:r>
                <w:rPr>
                  <w:rFonts w:ascii="Arial" w:cs="Arial" w:eastAsia="Arial" w:hAnsi="Arial"/>
                  <w:sz w:val="18"/>
                  <w:szCs w:val="18"/>
                  <w:color w:val="auto"/>
                </w:rPr>
                <w:t>due 2060, dated as of June 1,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20" w:type="dxa"/>
            <w:vAlign w:val="bottom"/>
            <w:tcBorders>
              <w:top w:val="single" w:sz="8" w:color="0000EE"/>
            </w:tcBorders>
            <w:gridSpan w:val="5"/>
          </w:tcPr>
          <w:p>
            <w:pPr>
              <w:spacing w:after="0" w:line="182" w:lineRule="exact"/>
              <w:rPr>
                <w:rFonts w:ascii="Arial" w:cs="Arial" w:eastAsia="Arial" w:hAnsi="Arial"/>
                <w:sz w:val="18"/>
                <w:szCs w:val="18"/>
                <w:color w:val="auto"/>
              </w:rPr>
            </w:pPr>
            <w:hyperlink r:id="rId192">
              <w:r>
                <w:rPr>
                  <w:rFonts w:ascii="Arial" w:cs="Arial" w:eastAsia="Arial" w:hAnsi="Arial"/>
                  <w:sz w:val="18"/>
                  <w:szCs w:val="18"/>
                  <w:color w:val="auto"/>
                </w:rPr>
                <w:t>between Microsoft Corporation and</w:t>
              </w:r>
            </w:hyperlink>
          </w:p>
        </w:tc>
        <w:tc>
          <w:tcPr>
            <w:tcW w:w="700" w:type="dxa"/>
            <w:vAlign w:val="bottom"/>
            <w:gridSpan w:val="23"/>
          </w:tcPr>
          <w:p>
            <w:pPr>
              <w:spacing w:after="0" w:line="182" w:lineRule="exact"/>
              <w:rPr>
                <w:rFonts w:ascii="Arial" w:cs="Arial" w:eastAsia="Arial" w:hAnsi="Arial"/>
                <w:sz w:val="18"/>
                <w:szCs w:val="18"/>
                <w:color w:val="auto"/>
              </w:rPr>
            </w:pPr>
            <w:hyperlink r:id="rId192">
              <w:r>
                <w:rPr>
                  <w:rFonts w:ascii="Arial" w:cs="Arial" w:eastAsia="Arial" w:hAnsi="Arial"/>
                  <w:sz w:val="18"/>
                  <w:szCs w:val="18"/>
                  <w:color w:val="auto"/>
                </w:rPr>
                <w:t>U.S.</w:t>
              </w:r>
            </w:hyperlink>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2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auto"/>
                <w:w w:val="97"/>
              </w:rPr>
            </w:pPr>
            <w:hyperlink r:id="rId192">
              <w:r>
                <w:rPr>
                  <w:rFonts w:ascii="Arial" w:cs="Arial" w:eastAsia="Arial" w:hAnsi="Arial"/>
                  <w:sz w:val="18"/>
                  <w:szCs w:val="18"/>
                  <w:color w:val="auto"/>
                  <w:w w:val="97"/>
                </w:rPr>
                <w:t>Bank National Association, as Trustee, to</w:t>
              </w:r>
            </w:hyperlink>
          </w:p>
        </w:tc>
        <w:tc>
          <w:tcPr>
            <w:tcW w:w="4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1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gridSpan w:val="16"/>
          </w:tcPr>
          <w:p>
            <w:pPr>
              <w:spacing w:after="0" w:line="182" w:lineRule="exact"/>
              <w:rPr>
                <w:rFonts w:ascii="Arial" w:cs="Arial" w:eastAsia="Arial" w:hAnsi="Arial"/>
                <w:sz w:val="18"/>
                <w:szCs w:val="18"/>
                <w:color w:val="auto"/>
              </w:rPr>
            </w:pPr>
            <w:hyperlink r:id="rId192">
              <w:r>
                <w:rPr>
                  <w:rFonts w:ascii="Arial" w:cs="Arial" w:eastAsia="Arial" w:hAnsi="Arial"/>
                  <w:sz w:val="18"/>
                  <w:szCs w:val="18"/>
                  <w:color w:val="auto"/>
                </w:rPr>
                <w:t>the Indenture, dated as of May 18, 2009,</w:t>
              </w:r>
            </w:hyperlink>
          </w:p>
        </w:tc>
        <w:tc>
          <w:tcPr>
            <w:tcW w:w="1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60" w:type="dxa"/>
            <w:vAlign w:val="bottom"/>
            <w:tcBorders>
              <w:top w:val="single" w:sz="8" w:color="0000EE"/>
            </w:tcBorders>
            <w:gridSpan w:val="15"/>
          </w:tcPr>
          <w:p>
            <w:pPr>
              <w:spacing w:after="0" w:line="182" w:lineRule="exact"/>
              <w:rPr>
                <w:rFonts w:ascii="Arial" w:cs="Arial" w:eastAsia="Arial" w:hAnsi="Arial"/>
                <w:sz w:val="18"/>
                <w:szCs w:val="18"/>
                <w:color w:val="auto"/>
              </w:rPr>
            </w:pPr>
            <w:hyperlink r:id="rId192">
              <w:r>
                <w:rPr>
                  <w:rFonts w:ascii="Arial" w:cs="Arial" w:eastAsia="Arial" w:hAnsi="Arial"/>
                  <w:sz w:val="18"/>
                  <w:szCs w:val="18"/>
                  <w:color w:val="auto"/>
                </w:rPr>
                <w:t>between Microsoft Corporation and The</w:t>
              </w:r>
            </w:hyperlink>
          </w:p>
        </w:tc>
        <w:tc>
          <w:tcPr>
            <w:tcW w:w="1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80" w:type="dxa"/>
            <w:vAlign w:val="bottom"/>
            <w:tcBorders>
              <w:top w:val="single" w:sz="8" w:color="0000EE"/>
            </w:tcBorders>
            <w:gridSpan w:val="12"/>
          </w:tcPr>
          <w:p>
            <w:pPr>
              <w:spacing w:after="0" w:line="182" w:lineRule="exact"/>
              <w:rPr>
                <w:rFonts w:ascii="Arial" w:cs="Arial" w:eastAsia="Arial" w:hAnsi="Arial"/>
                <w:sz w:val="18"/>
                <w:szCs w:val="18"/>
                <w:color w:val="auto"/>
                <w:w w:val="94"/>
              </w:rPr>
            </w:pPr>
            <w:hyperlink r:id="rId192">
              <w:r>
                <w:rPr>
                  <w:rFonts w:ascii="Arial" w:cs="Arial" w:eastAsia="Arial" w:hAnsi="Arial"/>
                  <w:sz w:val="18"/>
                  <w:szCs w:val="18"/>
                  <w:color w:val="auto"/>
                  <w:w w:val="94"/>
                </w:rPr>
                <w:t>Bank of New York Mellon Trust Company,</w:t>
              </w:r>
            </w:hyperlink>
          </w:p>
        </w:tc>
        <w:tc>
          <w:tcPr>
            <w:tcW w:w="26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2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auto"/>
                <w:w w:val="96"/>
              </w:rPr>
            </w:pPr>
            <w:hyperlink r:id="rId192">
              <w:r>
                <w:rPr>
                  <w:rFonts w:ascii="Arial" w:cs="Arial" w:eastAsia="Arial" w:hAnsi="Arial"/>
                  <w:sz w:val="18"/>
                  <w:szCs w:val="18"/>
                  <w:color w:val="auto"/>
                  <w:w w:val="96"/>
                </w:rPr>
                <w:t>N.A., as trustee</w:t>
              </w:r>
            </w:hyperlink>
          </w:p>
        </w:tc>
        <w:tc>
          <w:tcPr>
            <w:tcW w:w="2120" w:type="dxa"/>
            <w:vAlign w:val="bottom"/>
            <w:tcBorders>
              <w:top w:val="single" w:sz="8" w:color="0000EE"/>
            </w:tcBorders>
            <w:gridSpan w:val="15"/>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4.17</w:t>
            </w:r>
          </w:p>
        </w:tc>
        <w:tc>
          <w:tcPr>
            <w:tcW w:w="320" w:type="dxa"/>
            <w:vAlign w:val="bottom"/>
          </w:tcPr>
          <w:p>
            <w:pPr>
              <w:spacing w:after="0"/>
              <w:rPr>
                <w:sz w:val="24"/>
                <w:szCs w:val="24"/>
                <w:color w:val="auto"/>
              </w:rPr>
            </w:pPr>
          </w:p>
        </w:tc>
        <w:tc>
          <w:tcPr>
            <w:tcW w:w="3640" w:type="dxa"/>
            <w:vAlign w:val="bottom"/>
            <w:gridSpan w:val="29"/>
          </w:tcPr>
          <w:p>
            <w:pPr>
              <w:spacing w:after="0"/>
              <w:rPr>
                <w:rFonts w:ascii="Arial" w:cs="Arial" w:eastAsia="Arial" w:hAnsi="Arial"/>
                <w:sz w:val="18"/>
                <w:szCs w:val="18"/>
                <w:color w:val="auto"/>
              </w:rPr>
            </w:pPr>
            <w:hyperlink r:id="rId193">
              <w:r>
                <w:rPr>
                  <w:rFonts w:ascii="Arial" w:cs="Arial" w:eastAsia="Arial" w:hAnsi="Arial"/>
                  <w:sz w:val="18"/>
                  <w:szCs w:val="18"/>
                  <w:color w:val="auto"/>
                </w:rPr>
                <w:t>Fourteenth Supplemental Indenture for</w:t>
              </w:r>
            </w:hyperlink>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jc w:val="right"/>
              <w:ind w:right="294"/>
              <w:spacing w:after="0"/>
              <w:rPr>
                <w:sz w:val="20"/>
                <w:szCs w:val="20"/>
                <w:color w:val="auto"/>
              </w:rPr>
            </w:pPr>
            <w:r>
              <w:rPr>
                <w:rFonts w:ascii="Arial" w:cs="Arial" w:eastAsia="Arial" w:hAnsi="Arial"/>
                <w:sz w:val="18"/>
                <w:szCs w:val="18"/>
                <w:color w:val="auto"/>
              </w:rPr>
              <w:t>8-K</w:t>
            </w:r>
          </w:p>
        </w:tc>
        <w:tc>
          <w:tcPr>
            <w:tcW w:w="1520" w:type="dxa"/>
            <w:vAlign w:val="bottom"/>
          </w:tcPr>
          <w:p>
            <w:pPr>
              <w:spacing w:after="0"/>
              <w:rPr>
                <w:sz w:val="24"/>
                <w:szCs w:val="24"/>
                <w:color w:val="auto"/>
              </w:rPr>
            </w:pPr>
          </w:p>
        </w:tc>
        <w:tc>
          <w:tcPr>
            <w:tcW w:w="1240" w:type="dxa"/>
            <w:vAlign w:val="bottom"/>
          </w:tcPr>
          <w:p>
            <w:pPr>
              <w:jc w:val="right"/>
              <w:ind w:right="294"/>
              <w:spacing w:after="0"/>
              <w:rPr>
                <w:sz w:val="20"/>
                <w:szCs w:val="20"/>
                <w:color w:val="auto"/>
              </w:rPr>
            </w:pPr>
            <w:r>
              <w:rPr>
                <w:rFonts w:ascii="Arial" w:cs="Arial" w:eastAsia="Arial" w:hAnsi="Arial"/>
                <w:sz w:val="18"/>
                <w:szCs w:val="18"/>
                <w:color w:val="auto"/>
              </w:rPr>
              <w:t>4.1</w:t>
            </w:r>
          </w:p>
        </w:tc>
        <w:tc>
          <w:tcPr>
            <w:tcW w:w="1200" w:type="dxa"/>
            <w:vAlign w:val="bottom"/>
          </w:tcPr>
          <w:p>
            <w:pPr>
              <w:jc w:val="right"/>
              <w:spacing w:after="0"/>
              <w:rPr>
                <w:sz w:val="20"/>
                <w:szCs w:val="20"/>
                <w:color w:val="auto"/>
              </w:rPr>
            </w:pPr>
            <w:r>
              <w:rPr>
                <w:rFonts w:ascii="Arial" w:cs="Arial" w:eastAsia="Arial" w:hAnsi="Arial"/>
                <w:sz w:val="18"/>
                <w:szCs w:val="18"/>
                <w:color w:val="auto"/>
              </w:rPr>
              <w:t>3/17/2021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3620" w:type="dxa"/>
            <w:vAlign w:val="bottom"/>
            <w:gridSpan w:val="28"/>
          </w:tcPr>
          <w:p>
            <w:pPr>
              <w:spacing w:after="0" w:line="182" w:lineRule="exact"/>
              <w:rPr>
                <w:rFonts w:ascii="Arial" w:cs="Arial" w:eastAsia="Arial" w:hAnsi="Arial"/>
                <w:sz w:val="18"/>
                <w:szCs w:val="18"/>
                <w:color w:val="auto"/>
              </w:rPr>
            </w:pPr>
            <w:hyperlink r:id="rId193">
              <w:r>
                <w:rPr>
                  <w:rFonts w:ascii="Arial" w:cs="Arial" w:eastAsia="Arial" w:hAnsi="Arial"/>
                  <w:sz w:val="18"/>
                  <w:szCs w:val="18"/>
                  <w:color w:val="auto"/>
                </w:rPr>
                <w:t>2.921% Notes due 2052 and 3.041% Notes</w:t>
              </w:r>
            </w:hyperlink>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60" w:type="dxa"/>
            <w:vAlign w:val="bottom"/>
            <w:tcBorders>
              <w:top w:val="single" w:sz="8" w:color="0000EE"/>
            </w:tcBorders>
            <w:gridSpan w:val="25"/>
          </w:tcPr>
          <w:p>
            <w:pPr>
              <w:spacing w:after="0" w:line="182" w:lineRule="exact"/>
              <w:rPr>
                <w:rFonts w:ascii="Arial" w:cs="Arial" w:eastAsia="Arial" w:hAnsi="Arial"/>
                <w:sz w:val="18"/>
                <w:szCs w:val="18"/>
                <w:color w:val="auto"/>
              </w:rPr>
            </w:pPr>
            <w:hyperlink r:id="rId193">
              <w:r>
                <w:rPr>
                  <w:rFonts w:ascii="Arial" w:cs="Arial" w:eastAsia="Arial" w:hAnsi="Arial"/>
                  <w:sz w:val="18"/>
                  <w:szCs w:val="18"/>
                  <w:color w:val="auto"/>
                </w:rPr>
                <w:t>due 2062, dated as of March 17,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00" w:type="dxa"/>
            <w:vAlign w:val="bottom"/>
            <w:tcBorders>
              <w:top w:val="single" w:sz="8" w:color="0000EE"/>
            </w:tcBorders>
            <w:gridSpan w:val="9"/>
          </w:tcPr>
          <w:p>
            <w:pPr>
              <w:spacing w:after="0" w:line="182" w:lineRule="exact"/>
              <w:rPr>
                <w:rFonts w:ascii="Arial" w:cs="Arial" w:eastAsia="Arial" w:hAnsi="Arial"/>
                <w:sz w:val="18"/>
                <w:szCs w:val="18"/>
                <w:color w:val="auto"/>
                <w:w w:val="96"/>
              </w:rPr>
            </w:pPr>
            <w:hyperlink r:id="rId193">
              <w:r>
                <w:rPr>
                  <w:rFonts w:ascii="Arial" w:cs="Arial" w:eastAsia="Arial" w:hAnsi="Arial"/>
                  <w:sz w:val="18"/>
                  <w:szCs w:val="18"/>
                  <w:color w:val="auto"/>
                  <w:w w:val="96"/>
                </w:rPr>
                <w:t>between Microsoft Corporation and The</w:t>
              </w:r>
            </w:hyperlink>
          </w:p>
        </w:tc>
        <w:tc>
          <w:tcPr>
            <w:tcW w:w="34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8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auto"/>
                <w:w w:val="94"/>
              </w:rPr>
            </w:pPr>
            <w:hyperlink r:id="rId193">
              <w:r>
                <w:rPr>
                  <w:rFonts w:ascii="Arial" w:cs="Arial" w:eastAsia="Arial" w:hAnsi="Arial"/>
                  <w:sz w:val="18"/>
                  <w:szCs w:val="18"/>
                  <w:color w:val="auto"/>
                  <w:w w:val="94"/>
                </w:rPr>
                <w:t>Bank of New York Mellon Trust Company,</w:t>
              </w:r>
            </w:hyperlink>
          </w:p>
        </w:tc>
        <w:tc>
          <w:tcPr>
            <w:tcW w:w="160" w:type="dxa"/>
            <w:vAlign w:val="bottom"/>
            <w:tcBorders>
              <w:bottom w:val="single" w:sz="8" w:color="0000EE"/>
            </w:tcBorders>
            <w:gridSpan w:val="5"/>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28"/>
          </w:tcPr>
          <w:p>
            <w:pPr>
              <w:spacing w:after="0" w:line="182" w:lineRule="exact"/>
              <w:rPr>
                <w:rFonts w:ascii="Arial" w:cs="Arial" w:eastAsia="Arial" w:hAnsi="Arial"/>
                <w:sz w:val="18"/>
                <w:szCs w:val="18"/>
                <w:color w:val="auto"/>
              </w:rPr>
            </w:pPr>
            <w:hyperlink r:id="rId193">
              <w:r>
                <w:rPr>
                  <w:rFonts w:ascii="Arial" w:cs="Arial" w:eastAsia="Arial" w:hAnsi="Arial"/>
                  <w:sz w:val="18"/>
                  <w:szCs w:val="18"/>
                  <w:color w:val="auto"/>
                </w:rPr>
                <w:t>N.A., as Trustee, to the Indenture, dated as</w:t>
              </w:r>
            </w:hyperlink>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auto"/>
              </w:rPr>
            </w:pPr>
            <w:hyperlink r:id="rId193">
              <w:r>
                <w:rPr>
                  <w:rFonts w:ascii="Arial" w:cs="Arial" w:eastAsia="Arial" w:hAnsi="Arial"/>
                  <w:sz w:val="18"/>
                  <w:szCs w:val="18"/>
                  <w:color w:val="auto"/>
                </w:rPr>
                <w:t>of May 18, 2009, between Microsoft</w:t>
              </w:r>
            </w:hyperlink>
          </w:p>
        </w:tc>
        <w:tc>
          <w:tcPr>
            <w:tcW w:w="600" w:type="dxa"/>
            <w:vAlign w:val="bottom"/>
            <w:tcBorders>
              <w:top w:val="single" w:sz="8" w:color="0000EE"/>
            </w:tcBorders>
            <w:gridSpan w:val="18"/>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28"/>
          </w:tcPr>
          <w:p>
            <w:pPr>
              <w:spacing w:after="0" w:line="182" w:lineRule="exact"/>
              <w:rPr>
                <w:rFonts w:ascii="Arial" w:cs="Arial" w:eastAsia="Arial" w:hAnsi="Arial"/>
                <w:sz w:val="18"/>
                <w:szCs w:val="18"/>
                <w:color w:val="auto"/>
              </w:rPr>
            </w:pPr>
            <w:hyperlink r:id="rId193">
              <w:r>
                <w:rPr>
                  <w:rFonts w:ascii="Arial" w:cs="Arial" w:eastAsia="Arial" w:hAnsi="Arial"/>
                  <w:sz w:val="18"/>
                  <w:szCs w:val="18"/>
                  <w:color w:val="auto"/>
                </w:rPr>
                <w:t>Corporation and The Bank of New York</w:t>
              </w:r>
            </w:hyperlink>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Borders>
              <w:top w:val="single" w:sz="8" w:color="0000EE"/>
            </w:tcBorders>
            <w:gridSpan w:val="10"/>
          </w:tcPr>
          <w:p>
            <w:pPr>
              <w:spacing w:after="0" w:line="182" w:lineRule="exact"/>
              <w:rPr>
                <w:rFonts w:ascii="Arial" w:cs="Arial" w:eastAsia="Arial" w:hAnsi="Arial"/>
                <w:sz w:val="18"/>
                <w:szCs w:val="18"/>
                <w:color w:val="auto"/>
                <w:w w:val="98"/>
              </w:rPr>
            </w:pPr>
            <w:hyperlink r:id="rId193">
              <w:r>
                <w:rPr>
                  <w:rFonts w:ascii="Arial" w:cs="Arial" w:eastAsia="Arial" w:hAnsi="Arial"/>
                  <w:sz w:val="18"/>
                  <w:szCs w:val="18"/>
                  <w:color w:val="auto"/>
                  <w:w w:val="98"/>
                </w:rPr>
                <w:t>Mellon Trust Company, N.A., as trustee</w:t>
              </w:r>
            </w:hyperlink>
          </w:p>
        </w:tc>
        <w:tc>
          <w:tcPr>
            <w:tcW w:w="30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4.18</w:t>
            </w:r>
          </w:p>
        </w:tc>
        <w:tc>
          <w:tcPr>
            <w:tcW w:w="320" w:type="dxa"/>
            <w:vAlign w:val="bottom"/>
          </w:tcPr>
          <w:p>
            <w:pPr>
              <w:spacing w:after="0"/>
              <w:rPr>
                <w:sz w:val="24"/>
                <w:szCs w:val="24"/>
                <w:color w:val="auto"/>
              </w:rPr>
            </w:pPr>
          </w:p>
        </w:tc>
        <w:tc>
          <w:tcPr>
            <w:tcW w:w="3640" w:type="dxa"/>
            <w:vAlign w:val="bottom"/>
            <w:gridSpan w:val="29"/>
          </w:tcPr>
          <w:p>
            <w:pPr>
              <w:spacing w:after="0"/>
              <w:rPr>
                <w:rFonts w:ascii="Arial" w:cs="Arial" w:eastAsia="Arial" w:hAnsi="Arial"/>
                <w:sz w:val="18"/>
                <w:szCs w:val="18"/>
                <w:color w:val="auto"/>
              </w:rPr>
            </w:pPr>
            <w:hyperlink r:id="rId194">
              <w:r>
                <w:rPr>
                  <w:rFonts w:ascii="Arial" w:cs="Arial" w:eastAsia="Arial" w:hAnsi="Arial"/>
                  <w:sz w:val="18"/>
                  <w:szCs w:val="18"/>
                  <w:color w:val="auto"/>
                </w:rPr>
                <w:t>Fifteenth Supplemental Indenture, dated as</w:t>
              </w:r>
            </w:hyperlink>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jc w:val="right"/>
              <w:ind w:right="294"/>
              <w:spacing w:after="0"/>
              <w:rPr>
                <w:sz w:val="20"/>
                <w:szCs w:val="20"/>
                <w:color w:val="auto"/>
              </w:rPr>
            </w:pPr>
            <w:r>
              <w:rPr>
                <w:rFonts w:ascii="Arial" w:cs="Arial" w:eastAsia="Arial" w:hAnsi="Arial"/>
                <w:sz w:val="18"/>
                <w:szCs w:val="18"/>
                <w:color w:val="auto"/>
              </w:rPr>
              <w:t>8-K</w:t>
            </w:r>
          </w:p>
        </w:tc>
        <w:tc>
          <w:tcPr>
            <w:tcW w:w="1520" w:type="dxa"/>
            <w:vAlign w:val="bottom"/>
          </w:tcPr>
          <w:p>
            <w:pPr>
              <w:spacing w:after="0"/>
              <w:rPr>
                <w:sz w:val="24"/>
                <w:szCs w:val="24"/>
                <w:color w:val="auto"/>
              </w:rPr>
            </w:pPr>
          </w:p>
        </w:tc>
        <w:tc>
          <w:tcPr>
            <w:tcW w:w="1240" w:type="dxa"/>
            <w:vAlign w:val="bottom"/>
          </w:tcPr>
          <w:p>
            <w:pPr>
              <w:jc w:val="right"/>
              <w:ind w:right="294"/>
              <w:spacing w:after="0"/>
              <w:rPr>
                <w:sz w:val="20"/>
                <w:szCs w:val="20"/>
                <w:color w:val="auto"/>
              </w:rPr>
            </w:pPr>
            <w:r>
              <w:rPr>
                <w:rFonts w:ascii="Arial" w:cs="Arial" w:eastAsia="Arial" w:hAnsi="Arial"/>
                <w:sz w:val="18"/>
                <w:szCs w:val="18"/>
                <w:color w:val="auto"/>
              </w:rPr>
              <w:t>4.2</w:t>
            </w:r>
          </w:p>
        </w:tc>
        <w:tc>
          <w:tcPr>
            <w:tcW w:w="1200" w:type="dxa"/>
            <w:vAlign w:val="bottom"/>
          </w:tcPr>
          <w:p>
            <w:pPr>
              <w:jc w:val="right"/>
              <w:spacing w:after="0"/>
              <w:rPr>
                <w:sz w:val="20"/>
                <w:szCs w:val="20"/>
                <w:color w:val="auto"/>
              </w:rPr>
            </w:pPr>
            <w:r>
              <w:rPr>
                <w:rFonts w:ascii="Arial" w:cs="Arial" w:eastAsia="Arial" w:hAnsi="Arial"/>
                <w:sz w:val="18"/>
                <w:szCs w:val="18"/>
                <w:color w:val="auto"/>
              </w:rPr>
              <w:t>11/6/2023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tcBorders>
              <w:top w:val="single" w:sz="8" w:color="0000EE"/>
            </w:tcBorders>
            <w:gridSpan w:val="23"/>
          </w:tcPr>
          <w:p>
            <w:pPr>
              <w:spacing w:after="0" w:line="182" w:lineRule="exact"/>
              <w:rPr>
                <w:rFonts w:ascii="Arial" w:cs="Arial" w:eastAsia="Arial" w:hAnsi="Arial"/>
                <w:sz w:val="18"/>
                <w:szCs w:val="18"/>
                <w:color w:val="auto"/>
              </w:rPr>
            </w:pPr>
            <w:hyperlink r:id="rId194">
              <w:r>
                <w:rPr>
                  <w:rFonts w:ascii="Arial" w:cs="Arial" w:eastAsia="Arial" w:hAnsi="Arial"/>
                  <w:sz w:val="18"/>
                  <w:szCs w:val="18"/>
                  <w:color w:val="auto"/>
                </w:rPr>
                <w:t>of November 6, 2023, by and between</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00" w:type="dxa"/>
            <w:vAlign w:val="bottom"/>
            <w:tcBorders>
              <w:top w:val="single" w:sz="8" w:color="0000EE"/>
            </w:tcBorders>
            <w:gridSpan w:val="9"/>
          </w:tcPr>
          <w:p>
            <w:pPr>
              <w:spacing w:after="0" w:line="182" w:lineRule="exact"/>
              <w:rPr>
                <w:rFonts w:ascii="Arial" w:cs="Arial" w:eastAsia="Arial" w:hAnsi="Arial"/>
                <w:sz w:val="18"/>
                <w:szCs w:val="18"/>
                <w:color w:val="auto"/>
                <w:w w:val="98"/>
              </w:rPr>
            </w:pPr>
            <w:hyperlink r:id="rId194">
              <w:r>
                <w:rPr>
                  <w:rFonts w:ascii="Arial" w:cs="Arial" w:eastAsia="Arial" w:hAnsi="Arial"/>
                  <w:sz w:val="18"/>
                  <w:szCs w:val="18"/>
                  <w:color w:val="auto"/>
                  <w:w w:val="98"/>
                </w:rPr>
                <w:t>Microsoft Corporation and The Bank of</w:t>
              </w:r>
            </w:hyperlink>
          </w:p>
        </w:tc>
        <w:tc>
          <w:tcPr>
            <w:tcW w:w="520" w:type="dxa"/>
            <w:vAlign w:val="bottom"/>
            <w:gridSpan w:val="19"/>
          </w:tcPr>
          <w:p>
            <w:pPr>
              <w:ind w:left="20"/>
              <w:spacing w:after="0" w:line="182" w:lineRule="exact"/>
              <w:rPr>
                <w:rFonts w:ascii="Arial" w:cs="Arial" w:eastAsia="Arial" w:hAnsi="Arial"/>
                <w:sz w:val="18"/>
                <w:szCs w:val="18"/>
                <w:color w:val="auto"/>
              </w:rPr>
            </w:pPr>
            <w:hyperlink r:id="rId194">
              <w:r>
                <w:rPr>
                  <w:rFonts w:ascii="Arial" w:cs="Arial" w:eastAsia="Arial" w:hAnsi="Arial"/>
                  <w:sz w:val="18"/>
                  <w:szCs w:val="18"/>
                  <w:color w:val="auto"/>
                </w:rPr>
                <w:t>New</w:t>
              </w:r>
            </w:hyperlink>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tcBorders>
              <w:top w:val="single" w:sz="8" w:color="0000EE"/>
            </w:tcBorders>
            <w:gridSpan w:val="26"/>
          </w:tcPr>
          <w:p>
            <w:pPr>
              <w:spacing w:after="0" w:line="182" w:lineRule="exact"/>
              <w:rPr>
                <w:rFonts w:ascii="Arial" w:cs="Arial" w:eastAsia="Arial" w:hAnsi="Arial"/>
                <w:sz w:val="18"/>
                <w:szCs w:val="18"/>
                <w:color w:val="auto"/>
              </w:rPr>
            </w:pPr>
            <w:hyperlink r:id="rId194">
              <w:r>
                <w:rPr>
                  <w:rFonts w:ascii="Arial" w:cs="Arial" w:eastAsia="Arial" w:hAnsi="Arial"/>
                  <w:sz w:val="18"/>
                  <w:szCs w:val="18"/>
                  <w:color w:val="auto"/>
                </w:rPr>
                <w:t>York Mellon Trust Company, N.A., as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80" w:type="dxa"/>
            <w:vAlign w:val="bottom"/>
            <w:tcBorders>
              <w:top w:val="single" w:sz="8" w:color="0000EE"/>
              <w:bottom w:val="single" w:sz="8" w:color="0000EE"/>
            </w:tcBorders>
          </w:tcPr>
          <w:p>
            <w:pPr>
              <w:spacing w:after="0" w:line="182" w:lineRule="exact"/>
              <w:rPr>
                <w:rFonts w:ascii="Arial" w:cs="Arial" w:eastAsia="Arial" w:hAnsi="Arial"/>
                <w:sz w:val="18"/>
                <w:szCs w:val="18"/>
                <w:color w:val="auto"/>
                <w:w w:val="91"/>
              </w:rPr>
            </w:pPr>
            <w:hyperlink r:id="rId194">
              <w:r>
                <w:rPr>
                  <w:rFonts w:ascii="Arial" w:cs="Arial" w:eastAsia="Arial" w:hAnsi="Arial"/>
                  <w:sz w:val="18"/>
                  <w:szCs w:val="18"/>
                  <w:color w:val="auto"/>
                  <w:w w:val="91"/>
                </w:rPr>
                <w:t>Trustee</w:t>
              </w:r>
            </w:hyperlink>
          </w:p>
        </w:tc>
        <w:tc>
          <w:tcPr>
            <w:tcW w:w="2380" w:type="dxa"/>
            <w:vAlign w:val="bottom"/>
            <w:tcBorders>
              <w:top w:val="single" w:sz="8" w:color="0000EE"/>
            </w:tcBorders>
            <w:gridSpan w:val="6"/>
          </w:tcPr>
          <w:p>
            <w:pPr>
              <w:spacing w:after="0"/>
              <w:rPr>
                <w:sz w:val="15"/>
                <w:szCs w:val="15"/>
                <w:color w:val="auto"/>
              </w:rPr>
            </w:pPr>
          </w:p>
        </w:tc>
        <w:tc>
          <w:tcPr>
            <w:tcW w:w="480" w:type="dxa"/>
            <w:vAlign w:val="bottom"/>
            <w:gridSpan w:val="1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4.19</w:t>
            </w:r>
          </w:p>
        </w:tc>
        <w:tc>
          <w:tcPr>
            <w:tcW w:w="320" w:type="dxa"/>
            <w:vAlign w:val="bottom"/>
          </w:tcPr>
          <w:p>
            <w:pPr>
              <w:spacing w:after="0"/>
              <w:rPr>
                <w:sz w:val="24"/>
                <w:szCs w:val="24"/>
                <w:color w:val="auto"/>
              </w:rPr>
            </w:pPr>
          </w:p>
        </w:tc>
        <w:tc>
          <w:tcPr>
            <w:tcW w:w="3640" w:type="dxa"/>
            <w:vAlign w:val="bottom"/>
            <w:gridSpan w:val="29"/>
          </w:tcPr>
          <w:p>
            <w:pPr>
              <w:spacing w:after="0"/>
              <w:rPr>
                <w:rFonts w:ascii="Arial" w:cs="Arial" w:eastAsia="Arial" w:hAnsi="Arial"/>
                <w:sz w:val="18"/>
                <w:szCs w:val="18"/>
                <w:color w:val="auto"/>
              </w:rPr>
            </w:pPr>
            <w:hyperlink r:id="rId195">
              <w:r>
                <w:rPr>
                  <w:rFonts w:ascii="Arial" w:cs="Arial" w:eastAsia="Arial" w:hAnsi="Arial"/>
                  <w:sz w:val="18"/>
                  <w:szCs w:val="18"/>
                  <w:color w:val="auto"/>
                </w:rPr>
                <w:t>Indenture, dated as of September 19, 2016,</w:t>
              </w:r>
            </w:hyperlink>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jc w:val="right"/>
              <w:ind w:right="294"/>
              <w:spacing w:after="0"/>
              <w:rPr>
                <w:sz w:val="20"/>
                <w:szCs w:val="20"/>
                <w:color w:val="auto"/>
              </w:rPr>
            </w:pPr>
            <w:r>
              <w:rPr>
                <w:rFonts w:ascii="Arial" w:cs="Arial" w:eastAsia="Arial" w:hAnsi="Arial"/>
                <w:sz w:val="18"/>
                <w:szCs w:val="18"/>
                <w:color w:val="auto"/>
              </w:rPr>
              <w:t>8-K</w:t>
            </w:r>
          </w:p>
        </w:tc>
        <w:tc>
          <w:tcPr>
            <w:tcW w:w="1520" w:type="dxa"/>
            <w:vAlign w:val="bottom"/>
          </w:tcPr>
          <w:p>
            <w:pPr>
              <w:spacing w:after="0"/>
              <w:rPr>
                <w:sz w:val="24"/>
                <w:szCs w:val="24"/>
                <w:color w:val="auto"/>
              </w:rPr>
            </w:pPr>
          </w:p>
        </w:tc>
        <w:tc>
          <w:tcPr>
            <w:tcW w:w="1240" w:type="dxa"/>
            <w:vAlign w:val="bottom"/>
          </w:tcPr>
          <w:p>
            <w:pPr>
              <w:jc w:val="right"/>
              <w:ind w:right="294"/>
              <w:spacing w:after="0"/>
              <w:rPr>
                <w:sz w:val="20"/>
                <w:szCs w:val="20"/>
                <w:color w:val="auto"/>
              </w:rPr>
            </w:pPr>
            <w:r>
              <w:rPr>
                <w:rFonts w:ascii="Arial" w:cs="Arial" w:eastAsia="Arial" w:hAnsi="Arial"/>
                <w:sz w:val="18"/>
                <w:szCs w:val="18"/>
                <w:color w:val="auto"/>
              </w:rPr>
              <w:t>4.9</w:t>
            </w:r>
          </w:p>
        </w:tc>
        <w:tc>
          <w:tcPr>
            <w:tcW w:w="1200" w:type="dxa"/>
            <w:vAlign w:val="bottom"/>
          </w:tcPr>
          <w:p>
            <w:pPr>
              <w:jc w:val="right"/>
              <w:spacing w:after="0"/>
              <w:rPr>
                <w:sz w:val="20"/>
                <w:szCs w:val="20"/>
                <w:color w:val="auto"/>
              </w:rPr>
            </w:pPr>
            <w:r>
              <w:rPr>
                <w:rFonts w:ascii="Arial" w:cs="Arial" w:eastAsia="Arial" w:hAnsi="Arial"/>
                <w:sz w:val="18"/>
                <w:szCs w:val="18"/>
                <w:color w:val="auto"/>
              </w:rPr>
              <w:t>11/6/2023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tcBorders>
              <w:top w:val="single" w:sz="8" w:color="0000EE"/>
              <w:bottom w:val="single" w:sz="8" w:color="0000EE"/>
            </w:tcBorders>
            <w:gridSpan w:val="25"/>
          </w:tcPr>
          <w:p>
            <w:pPr>
              <w:spacing w:after="0" w:line="182" w:lineRule="exact"/>
              <w:rPr>
                <w:rFonts w:ascii="Arial" w:cs="Arial" w:eastAsia="Arial" w:hAnsi="Arial"/>
                <w:sz w:val="18"/>
                <w:szCs w:val="18"/>
                <w:color w:val="auto"/>
              </w:rPr>
            </w:pPr>
            <w:hyperlink r:id="rId195">
              <w:r>
                <w:rPr>
                  <w:rFonts w:ascii="Arial" w:cs="Arial" w:eastAsia="Arial" w:hAnsi="Arial"/>
                  <w:sz w:val="18"/>
                  <w:szCs w:val="18"/>
                  <w:color w:val="auto"/>
                </w:rPr>
                <w:t>by and between Activision Blizzard, Inc. and</w:t>
              </w:r>
            </w:hyperlink>
          </w:p>
        </w:tc>
        <w:tc>
          <w:tcPr>
            <w:tcW w:w="4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0" w:type="dxa"/>
            <w:vAlign w:val="bottom"/>
            <w:gridSpan w:val="27"/>
          </w:tcPr>
          <w:p>
            <w:pPr>
              <w:spacing w:after="0" w:line="182" w:lineRule="exact"/>
              <w:rPr>
                <w:rFonts w:ascii="Arial" w:cs="Arial" w:eastAsia="Arial" w:hAnsi="Arial"/>
                <w:sz w:val="18"/>
                <w:szCs w:val="18"/>
                <w:color w:val="auto"/>
              </w:rPr>
            </w:pPr>
            <w:hyperlink r:id="rId195">
              <w:r>
                <w:rPr>
                  <w:rFonts w:ascii="Arial" w:cs="Arial" w:eastAsia="Arial" w:hAnsi="Arial"/>
                  <w:sz w:val="18"/>
                  <w:szCs w:val="18"/>
                  <w:color w:val="auto"/>
                </w:rPr>
                <w:t>Wells Fargo Bank, National Association, as</w:t>
              </w:r>
            </w:hyperlink>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60" w:type="dxa"/>
            <w:vAlign w:val="bottom"/>
            <w:tcBorders>
              <w:top w:val="single" w:sz="8" w:color="0000EE"/>
            </w:tcBorders>
            <w:gridSpan w:val="20"/>
          </w:tcPr>
          <w:p>
            <w:pPr>
              <w:spacing w:after="0" w:line="182" w:lineRule="exact"/>
              <w:rPr>
                <w:rFonts w:ascii="Arial" w:cs="Arial" w:eastAsia="Arial" w:hAnsi="Arial"/>
                <w:sz w:val="18"/>
                <w:szCs w:val="18"/>
                <w:color w:val="auto"/>
              </w:rPr>
            </w:pPr>
            <w:hyperlink r:id="rId195">
              <w:r>
                <w:rPr>
                  <w:rFonts w:ascii="Arial" w:cs="Arial" w:eastAsia="Arial" w:hAnsi="Arial"/>
                  <w:sz w:val="18"/>
                  <w:szCs w:val="18"/>
                  <w:color w:val="auto"/>
                </w:rPr>
                <w:t>Trustee, with respect to Activision Blizzard,</w:t>
              </w:r>
            </w:hyperlink>
          </w:p>
        </w:tc>
        <w:tc>
          <w:tcPr>
            <w:tcW w:w="160" w:type="dxa"/>
            <w:vAlign w:val="bottom"/>
            <w:gridSpan w:val="8"/>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Borders>
              <w:top w:val="single" w:sz="8" w:color="0000EE"/>
            </w:tcBorders>
            <w:gridSpan w:val="19"/>
          </w:tcPr>
          <w:p>
            <w:pPr>
              <w:spacing w:after="0" w:line="182" w:lineRule="exact"/>
              <w:rPr>
                <w:rFonts w:ascii="Arial" w:cs="Arial" w:eastAsia="Arial" w:hAnsi="Arial"/>
                <w:sz w:val="18"/>
                <w:szCs w:val="18"/>
                <w:color w:val="auto"/>
              </w:rPr>
            </w:pPr>
            <w:hyperlink r:id="rId195">
              <w:r>
                <w:rPr>
                  <w:rFonts w:ascii="Arial" w:cs="Arial" w:eastAsia="Arial" w:hAnsi="Arial"/>
                  <w:sz w:val="18"/>
                  <w:szCs w:val="18"/>
                  <w:color w:val="auto"/>
                </w:rPr>
                <w:t>Inc.’s 3.400% Senior Notes due 2026</w:t>
              </w:r>
            </w:hyperlink>
          </w:p>
        </w:tc>
        <w:tc>
          <w:tcPr>
            <w:tcW w:w="180" w:type="dxa"/>
            <w:vAlign w:val="bottom"/>
            <w:gridSpan w:val="9"/>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5"/>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color w:val="auto"/>
              </w:rPr>
              <w:t>106</w:t>
            </w:r>
          </w:p>
        </w:tc>
        <w:tc>
          <w:tcPr>
            <w:tcW w:w="1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8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06" w:name="page107"/>
    <w:bookmarkEnd w:id="106"/>
    <w:p>
      <w:pPr>
        <w:ind w:left="5360"/>
        <w:spacing w:after="0"/>
        <w:rPr>
          <w:sz w:val="20"/>
          <w:szCs w:val="20"/>
          <w:color w:val="auto"/>
        </w:rPr>
      </w:pPr>
      <w:r>
        <w:rPr>
          <w:rFonts w:ascii="Arial" w:cs="Arial" w:eastAsia="Arial" w:hAnsi="Arial"/>
          <w:sz w:val="13"/>
          <w:szCs w:val="13"/>
          <w:u w:val="single" w:color="auto"/>
          <w:color w:val="auto"/>
        </w:rPr>
        <w:t>PART IV</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2"/>
          </w:tcPr>
          <w:p>
            <w:pPr>
              <w:jc w:val="right"/>
              <w:ind w:right="553"/>
              <w:spacing w:after="0"/>
              <w:rPr>
                <w:sz w:val="20"/>
                <w:szCs w:val="20"/>
                <w:color w:val="auto"/>
              </w:rPr>
            </w:pPr>
            <w:r>
              <w:rPr>
                <w:rFonts w:ascii="Arial" w:cs="Arial" w:eastAsia="Arial" w:hAnsi="Arial"/>
                <w:sz w:val="13"/>
                <w:szCs w:val="13"/>
                <w:b w:val="1"/>
                <w:bCs w:val="1"/>
                <w:color w:val="auto"/>
              </w:rPr>
              <w:t>Incorporated by Reference</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40" w:type="dxa"/>
            <w:vAlign w:val="bottom"/>
          </w:tcPr>
          <w:p>
            <w:pPr>
              <w:ind w:left="20"/>
              <w:spacing w:after="0" w:line="141" w:lineRule="exact"/>
              <w:rPr>
                <w:sz w:val="20"/>
                <w:szCs w:val="20"/>
                <w:color w:val="auto"/>
              </w:rPr>
            </w:pPr>
            <w:r>
              <w:rPr>
                <w:rFonts w:ascii="Arial" w:cs="Arial" w:eastAsia="Arial" w:hAnsi="Arial"/>
                <w:sz w:val="13"/>
                <w:szCs w:val="13"/>
                <w:b w:val="1"/>
                <w:bCs w:val="1"/>
                <w:color w:val="auto"/>
              </w:rPr>
              <w:t>Exhibit</w:t>
            </w:r>
          </w:p>
        </w:tc>
        <w:tc>
          <w:tcPr>
            <w:tcW w:w="3920" w:type="dxa"/>
            <w:vAlign w:val="bottom"/>
            <w:gridSpan w:val="27"/>
            <w:vMerge w:val="restart"/>
          </w:tcPr>
          <w:p>
            <w:pPr>
              <w:ind w:left="320"/>
              <w:spacing w:after="0"/>
              <w:rPr>
                <w:sz w:val="20"/>
                <w:szCs w:val="20"/>
                <w:color w:val="auto"/>
              </w:rPr>
            </w:pPr>
            <w:r>
              <w:rPr>
                <w:rFonts w:ascii="Arial" w:cs="Arial" w:eastAsia="Arial" w:hAnsi="Arial"/>
                <w:sz w:val="13"/>
                <w:szCs w:val="13"/>
                <w:b w:val="1"/>
                <w:bCs w:val="1"/>
                <w:color w:val="auto"/>
              </w:rPr>
              <w:t>Exhibit Description</w:t>
            </w:r>
          </w:p>
        </w:tc>
        <w:tc>
          <w:tcPr>
            <w:tcW w:w="900" w:type="dxa"/>
            <w:vAlign w:val="bottom"/>
          </w:tcPr>
          <w:p>
            <w:pPr>
              <w:jc w:val="center"/>
              <w:ind w:left="26"/>
              <w:spacing w:after="0" w:line="141" w:lineRule="exact"/>
              <w:rPr>
                <w:sz w:val="20"/>
                <w:szCs w:val="20"/>
                <w:color w:val="auto"/>
              </w:rPr>
            </w:pPr>
            <w:r>
              <w:rPr>
                <w:rFonts w:ascii="Arial" w:cs="Arial" w:eastAsia="Arial" w:hAnsi="Arial"/>
                <w:sz w:val="13"/>
                <w:szCs w:val="13"/>
                <w:b w:val="1"/>
                <w:bCs w:val="1"/>
                <w:color w:val="auto"/>
              </w:rPr>
              <w:t>Filed</w:t>
            </w:r>
          </w:p>
        </w:tc>
        <w:tc>
          <w:tcPr>
            <w:tcW w:w="420" w:type="dxa"/>
            <w:vAlign w:val="bottom"/>
          </w:tcPr>
          <w:p>
            <w:pPr>
              <w:spacing w:after="0"/>
              <w:rPr>
                <w:sz w:val="12"/>
                <w:szCs w:val="12"/>
                <w:color w:val="auto"/>
              </w:rPr>
            </w:pPr>
          </w:p>
        </w:tc>
        <w:tc>
          <w:tcPr>
            <w:tcW w:w="1060" w:type="dxa"/>
            <w:vAlign w:val="bottom"/>
            <w:vMerge w:val="restart"/>
          </w:tcPr>
          <w:p>
            <w:pPr>
              <w:jc w:val="right"/>
              <w:ind w:right="253"/>
              <w:spacing w:after="0"/>
              <w:rPr>
                <w:sz w:val="20"/>
                <w:szCs w:val="20"/>
                <w:color w:val="auto"/>
              </w:rPr>
            </w:pPr>
            <w:r>
              <w:rPr>
                <w:rFonts w:ascii="Arial" w:cs="Arial" w:eastAsia="Arial" w:hAnsi="Arial"/>
                <w:sz w:val="13"/>
                <w:szCs w:val="13"/>
                <w:b w:val="1"/>
                <w:bCs w:val="1"/>
                <w:color w:val="auto"/>
              </w:rPr>
              <w:t>Form</w:t>
            </w:r>
          </w:p>
        </w:tc>
        <w:tc>
          <w:tcPr>
            <w:tcW w:w="1560" w:type="dxa"/>
            <w:vAlign w:val="bottom"/>
          </w:tcPr>
          <w:p>
            <w:pPr>
              <w:jc w:val="right"/>
              <w:ind w:right="324"/>
              <w:spacing w:after="0" w:line="141" w:lineRule="exact"/>
              <w:rPr>
                <w:sz w:val="20"/>
                <w:szCs w:val="20"/>
                <w:color w:val="auto"/>
              </w:rPr>
            </w:pPr>
            <w:r>
              <w:rPr>
                <w:rFonts w:ascii="Arial" w:cs="Arial" w:eastAsia="Arial" w:hAnsi="Arial"/>
                <w:sz w:val="13"/>
                <w:szCs w:val="13"/>
                <w:b w:val="1"/>
                <w:bCs w:val="1"/>
                <w:color w:val="auto"/>
              </w:rPr>
              <w:t>Period</w:t>
            </w:r>
          </w:p>
        </w:tc>
        <w:tc>
          <w:tcPr>
            <w:tcW w:w="1200" w:type="dxa"/>
            <w:vAlign w:val="bottom"/>
            <w:vMerge w:val="restart"/>
          </w:tcPr>
          <w:p>
            <w:pPr>
              <w:jc w:val="right"/>
              <w:ind w:right="253"/>
              <w:spacing w:after="0"/>
              <w:rPr>
                <w:sz w:val="20"/>
                <w:szCs w:val="20"/>
                <w:color w:val="auto"/>
              </w:rPr>
            </w:pPr>
            <w:r>
              <w:rPr>
                <w:rFonts w:ascii="Arial" w:cs="Arial" w:eastAsia="Arial" w:hAnsi="Arial"/>
                <w:sz w:val="13"/>
                <w:szCs w:val="13"/>
                <w:b w:val="1"/>
                <w:bCs w:val="1"/>
                <w:color w:val="auto"/>
              </w:rPr>
              <w:t>Exhibit</w:t>
            </w:r>
          </w:p>
        </w:tc>
        <w:tc>
          <w:tcPr>
            <w:tcW w:w="12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Number</w:t>
            </w:r>
          </w:p>
        </w:tc>
        <w:tc>
          <w:tcPr>
            <w:tcW w:w="3920" w:type="dxa"/>
            <w:vAlign w:val="bottom"/>
            <w:tcBorders>
              <w:bottom w:val="single" w:sz="8" w:color="auto"/>
            </w:tcBorders>
            <w:gridSpan w:val="27"/>
            <w:vMerge w:val="continue"/>
          </w:tcPr>
          <w:p>
            <w:pPr>
              <w:spacing w:after="0"/>
              <w:rPr>
                <w:sz w:val="15"/>
                <w:szCs w:val="15"/>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rPr>
              <w:t>Herewith</w:t>
            </w:r>
          </w:p>
        </w:tc>
        <w:tc>
          <w:tcPr>
            <w:tcW w:w="1060" w:type="dxa"/>
            <w:vAlign w:val="bottom"/>
            <w:tcBorders>
              <w:bottom w:val="single" w:sz="8" w:color="auto"/>
            </w:tcBorders>
            <w:vMerge w:val="continue"/>
          </w:tcPr>
          <w:p>
            <w:pPr>
              <w:spacing w:after="0"/>
              <w:rPr>
                <w:sz w:val="15"/>
                <w:szCs w:val="15"/>
                <w:color w:val="auto"/>
              </w:rPr>
            </w:pPr>
          </w:p>
        </w:tc>
        <w:tc>
          <w:tcPr>
            <w:tcW w:w="156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Ending</w:t>
            </w:r>
          </w:p>
        </w:tc>
        <w:tc>
          <w:tcPr>
            <w:tcW w:w="120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ind w:left="20"/>
              <w:spacing w:after="0" w:line="182" w:lineRule="exact"/>
              <w:rPr>
                <w:sz w:val="20"/>
                <w:szCs w:val="20"/>
                <w:color w:val="auto"/>
              </w:rPr>
            </w:pPr>
            <w:r>
              <w:rPr>
                <w:rFonts w:ascii="Arial" w:cs="Arial" w:eastAsia="Arial" w:hAnsi="Arial"/>
                <w:sz w:val="18"/>
                <w:szCs w:val="18"/>
                <w:color w:val="auto"/>
              </w:rPr>
              <w:t>4.20</w:t>
            </w:r>
          </w:p>
        </w:tc>
        <w:tc>
          <w:tcPr>
            <w:tcW w:w="320" w:type="dxa"/>
            <w:vAlign w:val="bottom"/>
          </w:tcPr>
          <w:p>
            <w:pPr>
              <w:spacing w:after="0"/>
              <w:rPr>
                <w:sz w:val="15"/>
                <w:szCs w:val="15"/>
                <w:color w:val="auto"/>
              </w:rPr>
            </w:pPr>
          </w:p>
        </w:tc>
        <w:tc>
          <w:tcPr>
            <w:tcW w:w="3600" w:type="dxa"/>
            <w:vAlign w:val="bottom"/>
            <w:gridSpan w:val="26"/>
          </w:tcPr>
          <w:p>
            <w:pPr>
              <w:spacing w:after="0" w:line="182" w:lineRule="exact"/>
              <w:rPr>
                <w:rFonts w:ascii="Arial" w:cs="Arial" w:eastAsia="Arial" w:hAnsi="Arial"/>
                <w:sz w:val="18"/>
                <w:szCs w:val="18"/>
                <w:color w:val="auto"/>
              </w:rPr>
            </w:pPr>
            <w:hyperlink r:id="rId198">
              <w:r>
                <w:rPr>
                  <w:rFonts w:ascii="Arial" w:cs="Arial" w:eastAsia="Arial" w:hAnsi="Arial"/>
                  <w:sz w:val="18"/>
                  <w:szCs w:val="18"/>
                  <w:color w:val="auto"/>
                </w:rPr>
                <w:t>Base Indenture, dated as of May 26, 2017,</w:t>
              </w:r>
            </w:hyperlink>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253"/>
              <w:spacing w:after="0" w:line="182" w:lineRule="exact"/>
              <w:rPr>
                <w:sz w:val="20"/>
                <w:szCs w:val="20"/>
                <w:color w:val="auto"/>
              </w:rPr>
            </w:pPr>
            <w:r>
              <w:rPr>
                <w:rFonts w:ascii="Arial" w:cs="Arial" w:eastAsia="Arial" w:hAnsi="Arial"/>
                <w:sz w:val="18"/>
                <w:szCs w:val="18"/>
                <w:color w:val="auto"/>
              </w:rPr>
              <w:t>8-K</w:t>
            </w:r>
          </w:p>
        </w:tc>
        <w:tc>
          <w:tcPr>
            <w:tcW w:w="1560" w:type="dxa"/>
            <w:vAlign w:val="bottom"/>
          </w:tcPr>
          <w:p>
            <w:pPr>
              <w:spacing w:after="0"/>
              <w:rPr>
                <w:sz w:val="15"/>
                <w:szCs w:val="15"/>
                <w:color w:val="auto"/>
              </w:rPr>
            </w:pPr>
          </w:p>
        </w:tc>
        <w:tc>
          <w:tcPr>
            <w:tcW w:w="1200" w:type="dxa"/>
            <w:vAlign w:val="bottom"/>
          </w:tcPr>
          <w:p>
            <w:pPr>
              <w:jc w:val="right"/>
              <w:ind w:right="253"/>
              <w:spacing w:after="0" w:line="182" w:lineRule="exact"/>
              <w:rPr>
                <w:sz w:val="20"/>
                <w:szCs w:val="20"/>
                <w:color w:val="auto"/>
              </w:rPr>
            </w:pPr>
            <w:r>
              <w:rPr>
                <w:rFonts w:ascii="Arial" w:cs="Arial" w:eastAsia="Arial" w:hAnsi="Arial"/>
                <w:sz w:val="18"/>
                <w:szCs w:val="18"/>
                <w:color w:val="auto"/>
              </w:rPr>
              <w:t>4.10</w:t>
            </w: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11/6/2023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2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auto"/>
                <w:w w:val="96"/>
              </w:rPr>
            </w:pPr>
            <w:hyperlink r:id="rId198">
              <w:r>
                <w:rPr>
                  <w:rFonts w:ascii="Arial" w:cs="Arial" w:eastAsia="Arial" w:hAnsi="Arial"/>
                  <w:sz w:val="18"/>
                  <w:szCs w:val="18"/>
                  <w:color w:val="auto"/>
                  <w:w w:val="96"/>
                </w:rPr>
                <w:t>by and between Activision Blizzard, Inc. and</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24"/>
          </w:tcPr>
          <w:p>
            <w:pPr>
              <w:spacing w:after="0" w:line="182" w:lineRule="exact"/>
              <w:rPr>
                <w:rFonts w:ascii="Arial" w:cs="Arial" w:eastAsia="Arial" w:hAnsi="Arial"/>
                <w:sz w:val="18"/>
                <w:szCs w:val="18"/>
                <w:color w:val="auto"/>
              </w:rPr>
            </w:pPr>
            <w:hyperlink r:id="rId198">
              <w:r>
                <w:rPr>
                  <w:rFonts w:ascii="Arial" w:cs="Arial" w:eastAsia="Arial" w:hAnsi="Arial"/>
                  <w:sz w:val="18"/>
                  <w:szCs w:val="18"/>
                  <w:color w:val="auto"/>
                </w:rPr>
                <w:t>Wells Fargo Bank, National Association, as</w:t>
              </w:r>
            </w:hyperlink>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80" w:type="dxa"/>
            <w:vAlign w:val="bottom"/>
            <w:tcBorders>
              <w:top w:val="single" w:sz="8" w:color="0000EE"/>
            </w:tcBorders>
            <w:gridSpan w:val="20"/>
          </w:tcPr>
          <w:p>
            <w:pPr>
              <w:spacing w:after="0" w:line="182" w:lineRule="exact"/>
              <w:rPr>
                <w:rFonts w:ascii="Arial" w:cs="Arial" w:eastAsia="Arial" w:hAnsi="Arial"/>
                <w:sz w:val="18"/>
                <w:szCs w:val="18"/>
                <w:color w:val="auto"/>
              </w:rPr>
            </w:pPr>
            <w:hyperlink r:id="rId198">
              <w:r>
                <w:rPr>
                  <w:rFonts w:ascii="Arial" w:cs="Arial" w:eastAsia="Arial" w:hAnsi="Arial"/>
                  <w:sz w:val="18"/>
                  <w:szCs w:val="18"/>
                  <w:color w:val="auto"/>
                </w:rPr>
                <w:t>Trustee, with respect to Activision Blizzard,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Borders>
              <w:top w:val="single" w:sz="8" w:color="0000EE"/>
            </w:tcBorders>
            <w:gridSpan w:val="18"/>
          </w:tcPr>
          <w:p>
            <w:pPr>
              <w:spacing w:after="0" w:line="182" w:lineRule="exact"/>
              <w:rPr>
                <w:rFonts w:ascii="Arial" w:cs="Arial" w:eastAsia="Arial" w:hAnsi="Arial"/>
                <w:sz w:val="18"/>
                <w:szCs w:val="18"/>
                <w:color w:val="auto"/>
              </w:rPr>
            </w:pPr>
            <w:hyperlink r:id="rId198">
              <w:r>
                <w:rPr>
                  <w:rFonts w:ascii="Arial" w:cs="Arial" w:eastAsia="Arial" w:hAnsi="Arial"/>
                  <w:sz w:val="18"/>
                  <w:szCs w:val="18"/>
                  <w:color w:val="auto"/>
                </w:rPr>
                <w:t>Inc.’s 3.400% Senior Notes due 2027,</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auto"/>
                <w:w w:val="94"/>
              </w:rPr>
            </w:pPr>
            <w:hyperlink r:id="rId198">
              <w:r>
                <w:rPr>
                  <w:rFonts w:ascii="Arial" w:cs="Arial" w:eastAsia="Arial" w:hAnsi="Arial"/>
                  <w:sz w:val="18"/>
                  <w:szCs w:val="18"/>
                  <w:color w:val="auto"/>
                  <w:w w:val="94"/>
                </w:rPr>
                <w:t>1.350% Senior Notes due 2030, 4.500%</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10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gridSpan w:val="25"/>
          </w:tcPr>
          <w:p>
            <w:pPr>
              <w:spacing w:after="0" w:line="182" w:lineRule="exact"/>
              <w:rPr>
                <w:rFonts w:ascii="Arial" w:cs="Arial" w:eastAsia="Arial" w:hAnsi="Arial"/>
                <w:sz w:val="18"/>
                <w:szCs w:val="18"/>
                <w:color w:val="auto"/>
              </w:rPr>
            </w:pPr>
            <w:hyperlink r:id="rId198">
              <w:r>
                <w:rPr>
                  <w:rFonts w:ascii="Arial" w:cs="Arial" w:eastAsia="Arial" w:hAnsi="Arial"/>
                  <w:sz w:val="18"/>
                  <w:szCs w:val="18"/>
                  <w:color w:val="auto"/>
                </w:rPr>
                <w:t>Senior Notes due 2047 and 2.500% Senior</w:t>
              </w:r>
            </w:hyperlink>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80" w:type="dxa"/>
            <w:vAlign w:val="bottom"/>
            <w:tcBorders>
              <w:top w:val="single" w:sz="8" w:color="0000EE"/>
            </w:tcBorders>
            <w:gridSpan w:val="20"/>
          </w:tcPr>
          <w:p>
            <w:pPr>
              <w:spacing w:after="0" w:line="182" w:lineRule="exact"/>
              <w:rPr>
                <w:rFonts w:ascii="Arial" w:cs="Arial" w:eastAsia="Arial" w:hAnsi="Arial"/>
                <w:sz w:val="18"/>
                <w:szCs w:val="18"/>
                <w:color w:val="auto"/>
              </w:rPr>
            </w:pPr>
            <w:hyperlink r:id="rId198">
              <w:r>
                <w:rPr>
                  <w:rFonts w:ascii="Arial" w:cs="Arial" w:eastAsia="Arial" w:hAnsi="Arial"/>
                  <w:sz w:val="18"/>
                  <w:szCs w:val="18"/>
                  <w:color w:val="auto"/>
                </w:rPr>
                <w:t>Notes due 2050</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4.21</w:t>
            </w:r>
          </w:p>
        </w:tc>
        <w:tc>
          <w:tcPr>
            <w:tcW w:w="320" w:type="dxa"/>
            <w:vAlign w:val="bottom"/>
          </w:tcPr>
          <w:p>
            <w:pPr>
              <w:spacing w:after="0"/>
              <w:rPr>
                <w:sz w:val="24"/>
                <w:szCs w:val="24"/>
                <w:color w:val="auto"/>
              </w:rPr>
            </w:pPr>
          </w:p>
        </w:tc>
        <w:tc>
          <w:tcPr>
            <w:tcW w:w="3600" w:type="dxa"/>
            <w:vAlign w:val="bottom"/>
            <w:gridSpan w:val="26"/>
          </w:tcPr>
          <w:p>
            <w:pPr>
              <w:spacing w:after="0"/>
              <w:rPr>
                <w:rFonts w:ascii="Arial" w:cs="Arial" w:eastAsia="Arial" w:hAnsi="Arial"/>
                <w:sz w:val="18"/>
                <w:szCs w:val="18"/>
                <w:color w:val="auto"/>
              </w:rPr>
            </w:pPr>
            <w:hyperlink r:id="rId199">
              <w:r>
                <w:rPr>
                  <w:rFonts w:ascii="Arial" w:cs="Arial" w:eastAsia="Arial" w:hAnsi="Arial"/>
                  <w:sz w:val="18"/>
                  <w:szCs w:val="18"/>
                  <w:color w:val="auto"/>
                </w:rPr>
                <w:t>First Supplemental Indenture, dated as of</w:t>
              </w:r>
            </w:hyperlink>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253"/>
              <w:spacing w:after="0"/>
              <w:rPr>
                <w:sz w:val="20"/>
                <w:szCs w:val="20"/>
                <w:color w:val="auto"/>
              </w:rPr>
            </w:pPr>
            <w:r>
              <w:rPr>
                <w:rFonts w:ascii="Arial" w:cs="Arial" w:eastAsia="Arial" w:hAnsi="Arial"/>
                <w:sz w:val="18"/>
                <w:szCs w:val="18"/>
                <w:color w:val="auto"/>
              </w:rPr>
              <w:t>8-K</w:t>
            </w:r>
          </w:p>
        </w:tc>
        <w:tc>
          <w:tcPr>
            <w:tcW w:w="1560" w:type="dxa"/>
            <w:vAlign w:val="bottom"/>
          </w:tcPr>
          <w:p>
            <w:pPr>
              <w:spacing w:after="0"/>
              <w:rPr>
                <w:sz w:val="24"/>
                <w:szCs w:val="24"/>
                <w:color w:val="auto"/>
              </w:rPr>
            </w:pPr>
          </w:p>
        </w:tc>
        <w:tc>
          <w:tcPr>
            <w:tcW w:w="1200" w:type="dxa"/>
            <w:vAlign w:val="bottom"/>
          </w:tcPr>
          <w:p>
            <w:pPr>
              <w:jc w:val="right"/>
              <w:ind w:right="253"/>
              <w:spacing w:after="0"/>
              <w:rPr>
                <w:sz w:val="20"/>
                <w:szCs w:val="20"/>
                <w:color w:val="auto"/>
              </w:rPr>
            </w:pPr>
            <w:r>
              <w:rPr>
                <w:rFonts w:ascii="Arial" w:cs="Arial" w:eastAsia="Arial" w:hAnsi="Arial"/>
                <w:sz w:val="18"/>
                <w:szCs w:val="18"/>
                <w:color w:val="auto"/>
              </w:rPr>
              <w:t>4.11</w:t>
            </w:r>
          </w:p>
        </w:tc>
        <w:tc>
          <w:tcPr>
            <w:tcW w:w="1240" w:type="dxa"/>
            <w:vAlign w:val="bottom"/>
          </w:tcPr>
          <w:p>
            <w:pPr>
              <w:jc w:val="right"/>
              <w:spacing w:after="0"/>
              <w:rPr>
                <w:sz w:val="20"/>
                <w:szCs w:val="20"/>
                <w:color w:val="auto"/>
              </w:rPr>
            </w:pPr>
            <w:r>
              <w:rPr>
                <w:rFonts w:ascii="Arial" w:cs="Arial" w:eastAsia="Arial" w:hAnsi="Arial"/>
                <w:sz w:val="18"/>
                <w:szCs w:val="18"/>
                <w:color w:val="auto"/>
              </w:rPr>
              <w:t>11/6/2023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tcBorders>
              <w:top w:val="single" w:sz="8" w:color="0000EE"/>
            </w:tcBorders>
            <w:gridSpan w:val="15"/>
          </w:tcPr>
          <w:p>
            <w:pPr>
              <w:spacing w:after="0" w:line="182" w:lineRule="exact"/>
              <w:rPr>
                <w:rFonts w:ascii="Arial" w:cs="Arial" w:eastAsia="Arial" w:hAnsi="Arial"/>
                <w:sz w:val="18"/>
                <w:szCs w:val="18"/>
                <w:color w:val="auto"/>
              </w:rPr>
            </w:pPr>
            <w:hyperlink r:id="rId199">
              <w:r>
                <w:rPr>
                  <w:rFonts w:ascii="Arial" w:cs="Arial" w:eastAsia="Arial" w:hAnsi="Arial"/>
                  <w:sz w:val="18"/>
                  <w:szCs w:val="18"/>
                  <w:color w:val="auto"/>
                </w:rPr>
                <w:t>May 26, 2017, by and between Activision</w:t>
              </w:r>
            </w:hyperlink>
          </w:p>
        </w:tc>
        <w:tc>
          <w:tcPr>
            <w:tcW w:w="20" w:type="dxa"/>
            <w:vAlign w:val="bottom"/>
          </w:tcPr>
          <w:p>
            <w:pPr>
              <w:spacing w:after="0"/>
              <w:rPr>
                <w:sz w:val="15"/>
                <w:szCs w:val="15"/>
                <w:color w:val="auto"/>
              </w:rPr>
            </w:pPr>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20" w:type="dxa"/>
            <w:vAlign w:val="bottom"/>
            <w:tcBorders>
              <w:top w:val="single" w:sz="8" w:color="0000EE"/>
            </w:tcBorders>
            <w:gridSpan w:val="14"/>
          </w:tcPr>
          <w:p>
            <w:pPr>
              <w:spacing w:after="0" w:line="182" w:lineRule="exact"/>
              <w:rPr>
                <w:rFonts w:ascii="Arial" w:cs="Arial" w:eastAsia="Arial" w:hAnsi="Arial"/>
                <w:sz w:val="18"/>
                <w:szCs w:val="18"/>
                <w:color w:val="auto"/>
              </w:rPr>
            </w:pPr>
            <w:hyperlink r:id="rId199">
              <w:r>
                <w:rPr>
                  <w:rFonts w:ascii="Arial" w:cs="Arial" w:eastAsia="Arial" w:hAnsi="Arial"/>
                  <w:sz w:val="18"/>
                  <w:szCs w:val="18"/>
                  <w:color w:val="auto"/>
                </w:rPr>
                <w:t>Blizzard, Inc. and Wells Fargo Bank,</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auto"/>
                <w:w w:val="96"/>
              </w:rPr>
            </w:pPr>
            <w:hyperlink r:id="rId199">
              <w:r>
                <w:rPr>
                  <w:rFonts w:ascii="Arial" w:cs="Arial" w:eastAsia="Arial" w:hAnsi="Arial"/>
                  <w:sz w:val="18"/>
                  <w:szCs w:val="18"/>
                  <w:color w:val="auto"/>
                  <w:w w:val="96"/>
                </w:rPr>
                <w:t>National Association, as Trustee, with</w:t>
              </w:r>
            </w:hyperlink>
          </w:p>
        </w:tc>
        <w:tc>
          <w:tcPr>
            <w:tcW w:w="10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gridSpan w:val="25"/>
          </w:tcPr>
          <w:p>
            <w:pPr>
              <w:spacing w:after="0" w:line="182" w:lineRule="exact"/>
              <w:rPr>
                <w:rFonts w:ascii="Arial" w:cs="Arial" w:eastAsia="Arial" w:hAnsi="Arial"/>
                <w:sz w:val="18"/>
                <w:szCs w:val="18"/>
                <w:color w:val="auto"/>
              </w:rPr>
            </w:pPr>
            <w:hyperlink r:id="rId199">
              <w:r>
                <w:rPr>
                  <w:rFonts w:ascii="Arial" w:cs="Arial" w:eastAsia="Arial" w:hAnsi="Arial"/>
                  <w:sz w:val="18"/>
                  <w:szCs w:val="18"/>
                  <w:color w:val="auto"/>
                </w:rPr>
                <w:t>respect to Activision Blizzard, Inc.’s 3.400%</w:t>
              </w:r>
            </w:hyperlink>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00" w:type="dxa"/>
            <w:vAlign w:val="bottom"/>
            <w:tcBorders>
              <w:top w:val="single" w:sz="8" w:color="0000EE"/>
            </w:tcBorders>
            <w:gridSpan w:val="21"/>
          </w:tcPr>
          <w:p>
            <w:pPr>
              <w:spacing w:after="0" w:line="182" w:lineRule="exact"/>
              <w:rPr>
                <w:rFonts w:ascii="Arial" w:cs="Arial" w:eastAsia="Arial" w:hAnsi="Arial"/>
                <w:sz w:val="18"/>
                <w:szCs w:val="18"/>
                <w:color w:val="auto"/>
              </w:rPr>
            </w:pPr>
            <w:hyperlink r:id="rId199">
              <w:r>
                <w:rPr>
                  <w:rFonts w:ascii="Arial" w:cs="Arial" w:eastAsia="Arial" w:hAnsi="Arial"/>
                  <w:sz w:val="18"/>
                  <w:szCs w:val="18"/>
                  <w:color w:val="auto"/>
                </w:rPr>
                <w:t>Senior Notes due 2027 and 4.500% Senior</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80" w:type="dxa"/>
            <w:vAlign w:val="bottom"/>
            <w:tcBorders>
              <w:top w:val="single" w:sz="8" w:color="0000EE"/>
            </w:tcBorders>
            <w:gridSpan w:val="20"/>
          </w:tcPr>
          <w:p>
            <w:pPr>
              <w:spacing w:after="0" w:line="182" w:lineRule="exact"/>
              <w:rPr>
                <w:rFonts w:ascii="Arial" w:cs="Arial" w:eastAsia="Arial" w:hAnsi="Arial"/>
                <w:sz w:val="18"/>
                <w:szCs w:val="18"/>
                <w:color w:val="auto"/>
              </w:rPr>
            </w:pPr>
            <w:hyperlink r:id="rId199">
              <w:r>
                <w:rPr>
                  <w:rFonts w:ascii="Arial" w:cs="Arial" w:eastAsia="Arial" w:hAnsi="Arial"/>
                  <w:sz w:val="18"/>
                  <w:szCs w:val="18"/>
                  <w:color w:val="auto"/>
                </w:rPr>
                <w:t>Notes due 2047</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4.22</w:t>
            </w:r>
          </w:p>
        </w:tc>
        <w:tc>
          <w:tcPr>
            <w:tcW w:w="320" w:type="dxa"/>
            <w:vAlign w:val="bottom"/>
          </w:tcPr>
          <w:p>
            <w:pPr>
              <w:spacing w:after="0"/>
              <w:rPr>
                <w:sz w:val="24"/>
                <w:szCs w:val="24"/>
                <w:color w:val="auto"/>
              </w:rPr>
            </w:pPr>
          </w:p>
        </w:tc>
        <w:tc>
          <w:tcPr>
            <w:tcW w:w="3600" w:type="dxa"/>
            <w:vAlign w:val="bottom"/>
            <w:gridSpan w:val="26"/>
          </w:tcPr>
          <w:p>
            <w:pPr>
              <w:spacing w:after="0"/>
              <w:rPr>
                <w:rFonts w:ascii="Arial" w:cs="Arial" w:eastAsia="Arial" w:hAnsi="Arial"/>
                <w:sz w:val="18"/>
                <w:szCs w:val="18"/>
                <w:color w:val="auto"/>
              </w:rPr>
            </w:pPr>
            <w:hyperlink r:id="rId200">
              <w:r>
                <w:rPr>
                  <w:rFonts w:ascii="Arial" w:cs="Arial" w:eastAsia="Arial" w:hAnsi="Arial"/>
                  <w:sz w:val="18"/>
                  <w:szCs w:val="18"/>
                  <w:color w:val="auto"/>
                </w:rPr>
                <w:t>Second Supplemental Indenture, dated as of</w:t>
              </w:r>
            </w:hyperlink>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253"/>
              <w:spacing w:after="0"/>
              <w:rPr>
                <w:sz w:val="20"/>
                <w:szCs w:val="20"/>
                <w:color w:val="auto"/>
              </w:rPr>
            </w:pPr>
            <w:r>
              <w:rPr>
                <w:rFonts w:ascii="Arial" w:cs="Arial" w:eastAsia="Arial" w:hAnsi="Arial"/>
                <w:sz w:val="18"/>
                <w:szCs w:val="18"/>
                <w:color w:val="auto"/>
              </w:rPr>
              <w:t>8-K</w:t>
            </w:r>
          </w:p>
        </w:tc>
        <w:tc>
          <w:tcPr>
            <w:tcW w:w="1560" w:type="dxa"/>
            <w:vAlign w:val="bottom"/>
          </w:tcPr>
          <w:p>
            <w:pPr>
              <w:spacing w:after="0"/>
              <w:rPr>
                <w:sz w:val="24"/>
                <w:szCs w:val="24"/>
                <w:color w:val="auto"/>
              </w:rPr>
            </w:pPr>
          </w:p>
        </w:tc>
        <w:tc>
          <w:tcPr>
            <w:tcW w:w="1200" w:type="dxa"/>
            <w:vAlign w:val="bottom"/>
          </w:tcPr>
          <w:p>
            <w:pPr>
              <w:jc w:val="right"/>
              <w:ind w:right="253"/>
              <w:spacing w:after="0"/>
              <w:rPr>
                <w:sz w:val="20"/>
                <w:szCs w:val="20"/>
                <w:color w:val="auto"/>
              </w:rPr>
            </w:pPr>
            <w:r>
              <w:rPr>
                <w:rFonts w:ascii="Arial" w:cs="Arial" w:eastAsia="Arial" w:hAnsi="Arial"/>
                <w:sz w:val="18"/>
                <w:szCs w:val="18"/>
                <w:color w:val="auto"/>
              </w:rPr>
              <w:t>4.12</w:t>
            </w:r>
          </w:p>
        </w:tc>
        <w:tc>
          <w:tcPr>
            <w:tcW w:w="1240" w:type="dxa"/>
            <w:vAlign w:val="bottom"/>
          </w:tcPr>
          <w:p>
            <w:pPr>
              <w:jc w:val="right"/>
              <w:spacing w:after="0"/>
              <w:rPr>
                <w:sz w:val="20"/>
                <w:szCs w:val="20"/>
                <w:color w:val="auto"/>
              </w:rPr>
            </w:pPr>
            <w:r>
              <w:rPr>
                <w:rFonts w:ascii="Arial" w:cs="Arial" w:eastAsia="Arial" w:hAnsi="Arial"/>
                <w:sz w:val="18"/>
                <w:szCs w:val="18"/>
                <w:color w:val="auto"/>
              </w:rPr>
              <w:t>11/6/2023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tcBorders>
              <w:top w:val="single" w:sz="8" w:color="0000EE"/>
            </w:tcBorders>
            <w:gridSpan w:val="25"/>
          </w:tcPr>
          <w:p>
            <w:pPr>
              <w:spacing w:after="0" w:line="182" w:lineRule="exact"/>
              <w:rPr>
                <w:rFonts w:ascii="Arial" w:cs="Arial" w:eastAsia="Arial" w:hAnsi="Arial"/>
                <w:sz w:val="18"/>
                <w:szCs w:val="18"/>
                <w:color w:val="auto"/>
              </w:rPr>
            </w:pPr>
            <w:hyperlink r:id="rId200">
              <w:r>
                <w:rPr>
                  <w:rFonts w:ascii="Arial" w:cs="Arial" w:eastAsia="Arial" w:hAnsi="Arial"/>
                  <w:sz w:val="18"/>
                  <w:szCs w:val="18"/>
                  <w:color w:val="auto"/>
                </w:rPr>
                <w:t>August 10, 2020, by and between Activision</w:t>
              </w:r>
            </w:hyperlink>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tcBorders>
              <w:top w:val="single" w:sz="8" w:color="0000EE"/>
            </w:tcBorders>
            <w:gridSpan w:val="23"/>
          </w:tcPr>
          <w:p>
            <w:pPr>
              <w:spacing w:after="0" w:line="182" w:lineRule="exact"/>
              <w:rPr>
                <w:rFonts w:ascii="Arial" w:cs="Arial" w:eastAsia="Arial" w:hAnsi="Arial"/>
                <w:sz w:val="18"/>
                <w:szCs w:val="18"/>
                <w:color w:val="auto"/>
              </w:rPr>
            </w:pPr>
            <w:hyperlink r:id="rId200">
              <w:r>
                <w:rPr>
                  <w:rFonts w:ascii="Arial" w:cs="Arial" w:eastAsia="Arial" w:hAnsi="Arial"/>
                  <w:sz w:val="18"/>
                  <w:szCs w:val="18"/>
                  <w:color w:val="auto"/>
                </w:rPr>
                <w:t>Blizzard, Inc. and Wells Fargo Bank,</w:t>
              </w:r>
            </w:hyperlink>
          </w:p>
        </w:tc>
        <w:tc>
          <w:tcPr>
            <w:tcW w:w="4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auto"/>
                <w:w w:val="96"/>
              </w:rPr>
            </w:pPr>
            <w:hyperlink r:id="rId200">
              <w:r>
                <w:rPr>
                  <w:rFonts w:ascii="Arial" w:cs="Arial" w:eastAsia="Arial" w:hAnsi="Arial"/>
                  <w:sz w:val="18"/>
                  <w:szCs w:val="18"/>
                  <w:color w:val="auto"/>
                  <w:w w:val="96"/>
                </w:rPr>
                <w:t>National Association, as Trustee, with</w:t>
              </w:r>
            </w:hyperlink>
          </w:p>
        </w:tc>
        <w:tc>
          <w:tcPr>
            <w:tcW w:w="10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gridSpan w:val="25"/>
          </w:tcPr>
          <w:p>
            <w:pPr>
              <w:spacing w:after="0" w:line="182" w:lineRule="exact"/>
              <w:rPr>
                <w:rFonts w:ascii="Arial" w:cs="Arial" w:eastAsia="Arial" w:hAnsi="Arial"/>
                <w:sz w:val="18"/>
                <w:szCs w:val="18"/>
                <w:color w:val="auto"/>
              </w:rPr>
            </w:pPr>
            <w:hyperlink r:id="rId200">
              <w:r>
                <w:rPr>
                  <w:rFonts w:ascii="Arial" w:cs="Arial" w:eastAsia="Arial" w:hAnsi="Arial"/>
                  <w:sz w:val="18"/>
                  <w:szCs w:val="18"/>
                  <w:color w:val="auto"/>
                </w:rPr>
                <w:t>respect to Activision Blizzard, Inc.’s 1.350%</w:t>
              </w:r>
            </w:hyperlink>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00" w:type="dxa"/>
            <w:vAlign w:val="bottom"/>
            <w:tcBorders>
              <w:top w:val="single" w:sz="8" w:color="0000EE"/>
            </w:tcBorders>
            <w:gridSpan w:val="21"/>
          </w:tcPr>
          <w:p>
            <w:pPr>
              <w:spacing w:after="0" w:line="182" w:lineRule="exact"/>
              <w:rPr>
                <w:rFonts w:ascii="Arial" w:cs="Arial" w:eastAsia="Arial" w:hAnsi="Arial"/>
                <w:sz w:val="18"/>
                <w:szCs w:val="18"/>
                <w:color w:val="auto"/>
              </w:rPr>
            </w:pPr>
            <w:hyperlink r:id="rId200">
              <w:r>
                <w:rPr>
                  <w:rFonts w:ascii="Arial" w:cs="Arial" w:eastAsia="Arial" w:hAnsi="Arial"/>
                  <w:sz w:val="18"/>
                  <w:szCs w:val="18"/>
                  <w:color w:val="auto"/>
                </w:rPr>
                <w:t>Senior Notes due 2030 and 2.500% Senior</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80" w:type="dxa"/>
            <w:vAlign w:val="bottom"/>
            <w:tcBorders>
              <w:top w:val="single" w:sz="8" w:color="0000EE"/>
            </w:tcBorders>
            <w:gridSpan w:val="20"/>
          </w:tcPr>
          <w:p>
            <w:pPr>
              <w:spacing w:after="0" w:line="182" w:lineRule="exact"/>
              <w:rPr>
                <w:rFonts w:ascii="Arial" w:cs="Arial" w:eastAsia="Arial" w:hAnsi="Arial"/>
                <w:sz w:val="18"/>
                <w:szCs w:val="18"/>
                <w:color w:val="auto"/>
              </w:rPr>
            </w:pPr>
            <w:hyperlink r:id="rId200">
              <w:r>
                <w:rPr>
                  <w:rFonts w:ascii="Arial" w:cs="Arial" w:eastAsia="Arial" w:hAnsi="Arial"/>
                  <w:sz w:val="18"/>
                  <w:szCs w:val="18"/>
                  <w:color w:val="auto"/>
                </w:rPr>
                <w:t>Notes due 2050</w:t>
              </w:r>
            </w:hyperlink>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4.23</w:t>
            </w:r>
          </w:p>
        </w:tc>
        <w:tc>
          <w:tcPr>
            <w:tcW w:w="320" w:type="dxa"/>
            <w:vAlign w:val="bottom"/>
          </w:tcPr>
          <w:p>
            <w:pPr>
              <w:spacing w:after="0"/>
              <w:rPr>
                <w:sz w:val="24"/>
                <w:szCs w:val="24"/>
                <w:color w:val="auto"/>
              </w:rPr>
            </w:pPr>
          </w:p>
        </w:tc>
        <w:tc>
          <w:tcPr>
            <w:tcW w:w="3600" w:type="dxa"/>
            <w:vAlign w:val="bottom"/>
            <w:gridSpan w:val="26"/>
          </w:tcPr>
          <w:p>
            <w:pPr>
              <w:spacing w:after="0"/>
              <w:rPr>
                <w:rFonts w:ascii="Arial" w:cs="Arial" w:eastAsia="Arial" w:hAnsi="Arial"/>
                <w:sz w:val="18"/>
                <w:szCs w:val="18"/>
                <w:color w:val="auto"/>
              </w:rPr>
            </w:pPr>
            <w:hyperlink r:id="rId201">
              <w:r>
                <w:rPr>
                  <w:rFonts w:ascii="Arial" w:cs="Arial" w:eastAsia="Arial" w:hAnsi="Arial"/>
                  <w:sz w:val="18"/>
                  <w:szCs w:val="18"/>
                  <w:color w:val="auto"/>
                </w:rPr>
                <w:t>First Supplemental Indenture, dated as of</w:t>
              </w:r>
            </w:hyperlink>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253"/>
              <w:spacing w:after="0"/>
              <w:rPr>
                <w:sz w:val="20"/>
                <w:szCs w:val="20"/>
                <w:color w:val="auto"/>
              </w:rPr>
            </w:pPr>
            <w:r>
              <w:rPr>
                <w:rFonts w:ascii="Arial" w:cs="Arial" w:eastAsia="Arial" w:hAnsi="Arial"/>
                <w:sz w:val="18"/>
                <w:szCs w:val="18"/>
                <w:color w:val="auto"/>
              </w:rPr>
              <w:t>8-K</w:t>
            </w:r>
          </w:p>
        </w:tc>
        <w:tc>
          <w:tcPr>
            <w:tcW w:w="1560" w:type="dxa"/>
            <w:vAlign w:val="bottom"/>
          </w:tcPr>
          <w:p>
            <w:pPr>
              <w:spacing w:after="0"/>
              <w:rPr>
                <w:sz w:val="24"/>
                <w:szCs w:val="24"/>
                <w:color w:val="auto"/>
              </w:rPr>
            </w:pPr>
          </w:p>
        </w:tc>
        <w:tc>
          <w:tcPr>
            <w:tcW w:w="1200" w:type="dxa"/>
            <w:vAlign w:val="bottom"/>
          </w:tcPr>
          <w:p>
            <w:pPr>
              <w:jc w:val="right"/>
              <w:ind w:right="253"/>
              <w:spacing w:after="0"/>
              <w:rPr>
                <w:sz w:val="20"/>
                <w:szCs w:val="20"/>
                <w:color w:val="auto"/>
              </w:rPr>
            </w:pPr>
            <w:r>
              <w:rPr>
                <w:rFonts w:ascii="Arial" w:cs="Arial" w:eastAsia="Arial" w:hAnsi="Arial"/>
                <w:sz w:val="18"/>
                <w:szCs w:val="18"/>
                <w:color w:val="auto"/>
              </w:rPr>
              <w:t>4.13</w:t>
            </w:r>
          </w:p>
        </w:tc>
        <w:tc>
          <w:tcPr>
            <w:tcW w:w="1240" w:type="dxa"/>
            <w:vAlign w:val="bottom"/>
          </w:tcPr>
          <w:p>
            <w:pPr>
              <w:jc w:val="right"/>
              <w:spacing w:after="0"/>
              <w:rPr>
                <w:sz w:val="20"/>
                <w:szCs w:val="20"/>
                <w:color w:val="auto"/>
              </w:rPr>
            </w:pPr>
            <w:r>
              <w:rPr>
                <w:rFonts w:ascii="Arial" w:cs="Arial" w:eastAsia="Arial" w:hAnsi="Arial"/>
                <w:sz w:val="18"/>
                <w:szCs w:val="18"/>
                <w:color w:val="auto"/>
              </w:rPr>
              <w:t>11/6/2023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3580" w:type="dxa"/>
            <w:vAlign w:val="bottom"/>
            <w:tcBorders>
              <w:bottom w:val="single" w:sz="8" w:color="0000EE"/>
            </w:tcBorders>
            <w:gridSpan w:val="25"/>
          </w:tcPr>
          <w:p>
            <w:pPr>
              <w:spacing w:after="0" w:line="182" w:lineRule="exact"/>
              <w:rPr>
                <w:rFonts w:ascii="Arial" w:cs="Arial" w:eastAsia="Arial" w:hAnsi="Arial"/>
                <w:sz w:val="18"/>
                <w:szCs w:val="18"/>
                <w:color w:val="auto"/>
                <w:w w:val="99"/>
              </w:rPr>
            </w:pPr>
            <w:hyperlink r:id="rId201">
              <w:r>
                <w:rPr>
                  <w:rFonts w:ascii="Arial" w:cs="Arial" w:eastAsia="Arial" w:hAnsi="Arial"/>
                  <w:sz w:val="18"/>
                  <w:szCs w:val="18"/>
                  <w:color w:val="auto"/>
                  <w:w w:val="99"/>
                </w:rPr>
                <w:t>October 27, 2023, by and between Activision</w:t>
              </w:r>
            </w:hyperlink>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gridSpan w:val="25"/>
          </w:tcPr>
          <w:p>
            <w:pPr>
              <w:spacing w:after="0" w:line="182" w:lineRule="exact"/>
              <w:rPr>
                <w:rFonts w:ascii="Arial" w:cs="Arial" w:eastAsia="Arial" w:hAnsi="Arial"/>
                <w:sz w:val="18"/>
                <w:szCs w:val="18"/>
                <w:color w:val="auto"/>
              </w:rPr>
            </w:pPr>
            <w:hyperlink r:id="rId201">
              <w:r>
                <w:rPr>
                  <w:rFonts w:ascii="Arial" w:cs="Arial" w:eastAsia="Arial" w:hAnsi="Arial"/>
                  <w:sz w:val="18"/>
                  <w:szCs w:val="18"/>
                  <w:color w:val="auto"/>
                </w:rPr>
                <w:t>Blizzard, Inc. and Computershare Trust</w:t>
              </w:r>
            </w:hyperlink>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auto"/>
                <w:w w:val="94"/>
              </w:rPr>
            </w:pPr>
            <w:hyperlink r:id="rId201">
              <w:r>
                <w:rPr>
                  <w:rFonts w:ascii="Arial" w:cs="Arial" w:eastAsia="Arial" w:hAnsi="Arial"/>
                  <w:sz w:val="18"/>
                  <w:szCs w:val="18"/>
                  <w:color w:val="auto"/>
                  <w:w w:val="94"/>
                </w:rPr>
                <w:t>Company, N.A., with respect to Activision</w:t>
              </w:r>
            </w:hyperlink>
          </w:p>
        </w:tc>
        <w:tc>
          <w:tcPr>
            <w:tcW w:w="1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gridSpan w:val="15"/>
          </w:tcPr>
          <w:p>
            <w:pPr>
              <w:spacing w:after="0" w:line="182" w:lineRule="exact"/>
              <w:rPr>
                <w:rFonts w:ascii="Arial" w:cs="Arial" w:eastAsia="Arial" w:hAnsi="Arial"/>
                <w:sz w:val="18"/>
                <w:szCs w:val="18"/>
                <w:color w:val="auto"/>
              </w:rPr>
            </w:pPr>
            <w:hyperlink r:id="rId201">
              <w:r>
                <w:rPr>
                  <w:rFonts w:ascii="Arial" w:cs="Arial" w:eastAsia="Arial" w:hAnsi="Arial"/>
                  <w:sz w:val="18"/>
                  <w:szCs w:val="18"/>
                  <w:color w:val="auto"/>
                </w:rPr>
                <w:t>Blizzard, Inc.’s 3.400% Senior Notes due</w:t>
              </w:r>
            </w:hyperlink>
          </w:p>
        </w:tc>
        <w:tc>
          <w:tcPr>
            <w:tcW w:w="20" w:type="dxa"/>
            <w:vAlign w:val="bottom"/>
          </w:tcPr>
          <w:p>
            <w:pPr>
              <w:spacing w:after="0"/>
              <w:rPr>
                <w:sz w:val="15"/>
                <w:szCs w:val="15"/>
                <w:color w:val="auto"/>
              </w:rPr>
            </w:pPr>
          </w:p>
        </w:tc>
        <w:tc>
          <w:tcPr>
            <w:tcW w:w="14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80" w:type="dxa"/>
            <w:vAlign w:val="bottom"/>
            <w:tcBorders>
              <w:top w:val="single" w:sz="8" w:color="0000EE"/>
              <w:bottom w:val="single" w:sz="8" w:color="0000EE"/>
            </w:tcBorders>
          </w:tcPr>
          <w:p>
            <w:pPr>
              <w:spacing w:after="0" w:line="182" w:lineRule="exact"/>
              <w:rPr>
                <w:rFonts w:ascii="Arial" w:cs="Arial" w:eastAsia="Arial" w:hAnsi="Arial"/>
                <w:sz w:val="18"/>
                <w:szCs w:val="18"/>
                <w:color w:val="auto"/>
                <w:w w:val="89"/>
              </w:rPr>
            </w:pPr>
            <w:hyperlink r:id="rId201">
              <w:r>
                <w:rPr>
                  <w:rFonts w:ascii="Arial" w:cs="Arial" w:eastAsia="Arial" w:hAnsi="Arial"/>
                  <w:sz w:val="18"/>
                  <w:szCs w:val="18"/>
                  <w:color w:val="auto"/>
                  <w:w w:val="89"/>
                </w:rPr>
                <w:t>2026</w:t>
              </w:r>
            </w:hyperlink>
          </w:p>
        </w:tc>
        <w:tc>
          <w:tcPr>
            <w:tcW w:w="7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4.24</w:t>
            </w:r>
          </w:p>
        </w:tc>
        <w:tc>
          <w:tcPr>
            <w:tcW w:w="320" w:type="dxa"/>
            <w:vAlign w:val="bottom"/>
          </w:tcPr>
          <w:p>
            <w:pPr>
              <w:spacing w:after="0"/>
              <w:rPr>
                <w:sz w:val="24"/>
                <w:szCs w:val="24"/>
                <w:color w:val="auto"/>
              </w:rPr>
            </w:pPr>
          </w:p>
        </w:tc>
        <w:tc>
          <w:tcPr>
            <w:tcW w:w="3600" w:type="dxa"/>
            <w:vAlign w:val="bottom"/>
            <w:gridSpan w:val="26"/>
          </w:tcPr>
          <w:p>
            <w:pPr>
              <w:spacing w:after="0"/>
              <w:rPr>
                <w:rFonts w:ascii="Arial" w:cs="Arial" w:eastAsia="Arial" w:hAnsi="Arial"/>
                <w:sz w:val="18"/>
                <w:szCs w:val="18"/>
                <w:color w:val="auto"/>
              </w:rPr>
            </w:pPr>
            <w:hyperlink r:id="rId202">
              <w:r>
                <w:rPr>
                  <w:rFonts w:ascii="Arial" w:cs="Arial" w:eastAsia="Arial" w:hAnsi="Arial"/>
                  <w:sz w:val="18"/>
                  <w:szCs w:val="18"/>
                  <w:color w:val="auto"/>
                </w:rPr>
                <w:t>Third Supplemental Indenture, dated as of</w:t>
              </w:r>
            </w:hyperlink>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253"/>
              <w:spacing w:after="0"/>
              <w:rPr>
                <w:sz w:val="20"/>
                <w:szCs w:val="20"/>
                <w:color w:val="auto"/>
              </w:rPr>
            </w:pPr>
            <w:r>
              <w:rPr>
                <w:rFonts w:ascii="Arial" w:cs="Arial" w:eastAsia="Arial" w:hAnsi="Arial"/>
                <w:sz w:val="18"/>
                <w:szCs w:val="18"/>
                <w:color w:val="auto"/>
              </w:rPr>
              <w:t>8-K</w:t>
            </w:r>
          </w:p>
        </w:tc>
        <w:tc>
          <w:tcPr>
            <w:tcW w:w="1560" w:type="dxa"/>
            <w:vAlign w:val="bottom"/>
          </w:tcPr>
          <w:p>
            <w:pPr>
              <w:spacing w:after="0"/>
              <w:rPr>
                <w:sz w:val="24"/>
                <w:szCs w:val="24"/>
                <w:color w:val="auto"/>
              </w:rPr>
            </w:pPr>
          </w:p>
        </w:tc>
        <w:tc>
          <w:tcPr>
            <w:tcW w:w="1200" w:type="dxa"/>
            <w:vAlign w:val="bottom"/>
          </w:tcPr>
          <w:p>
            <w:pPr>
              <w:jc w:val="right"/>
              <w:ind w:right="253"/>
              <w:spacing w:after="0"/>
              <w:rPr>
                <w:sz w:val="20"/>
                <w:szCs w:val="20"/>
                <w:color w:val="auto"/>
              </w:rPr>
            </w:pPr>
            <w:r>
              <w:rPr>
                <w:rFonts w:ascii="Arial" w:cs="Arial" w:eastAsia="Arial" w:hAnsi="Arial"/>
                <w:sz w:val="18"/>
                <w:szCs w:val="18"/>
                <w:color w:val="auto"/>
              </w:rPr>
              <w:t>4.14</w:t>
            </w:r>
          </w:p>
        </w:tc>
        <w:tc>
          <w:tcPr>
            <w:tcW w:w="1240" w:type="dxa"/>
            <w:vAlign w:val="bottom"/>
          </w:tcPr>
          <w:p>
            <w:pPr>
              <w:jc w:val="right"/>
              <w:spacing w:after="0"/>
              <w:rPr>
                <w:sz w:val="20"/>
                <w:szCs w:val="20"/>
                <w:color w:val="auto"/>
              </w:rPr>
            </w:pPr>
            <w:r>
              <w:rPr>
                <w:rFonts w:ascii="Arial" w:cs="Arial" w:eastAsia="Arial" w:hAnsi="Arial"/>
                <w:sz w:val="18"/>
                <w:szCs w:val="18"/>
                <w:color w:val="auto"/>
              </w:rPr>
              <w:t>11/6/2023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8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auto"/>
                <w:w w:val="94"/>
              </w:rPr>
            </w:pPr>
            <w:hyperlink r:id="rId202">
              <w:r>
                <w:rPr>
                  <w:rFonts w:ascii="Arial" w:cs="Arial" w:eastAsia="Arial" w:hAnsi="Arial"/>
                  <w:sz w:val="18"/>
                  <w:szCs w:val="18"/>
                  <w:color w:val="auto"/>
                  <w:w w:val="94"/>
                </w:rPr>
                <w:t>October 27, 2023, by and between Activision</w:t>
              </w:r>
            </w:hyperlink>
          </w:p>
        </w:tc>
        <w:tc>
          <w:tcPr>
            <w:tcW w:w="140" w:type="dxa"/>
            <w:vAlign w:val="bottom"/>
            <w:tcBorders>
              <w:bottom w:val="single" w:sz="8" w:color="0000EE"/>
            </w:tcBorders>
            <w:gridSpan w:val="6"/>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gridSpan w:val="25"/>
          </w:tcPr>
          <w:p>
            <w:pPr>
              <w:spacing w:after="0" w:line="182" w:lineRule="exact"/>
              <w:rPr>
                <w:rFonts w:ascii="Arial" w:cs="Arial" w:eastAsia="Arial" w:hAnsi="Arial"/>
                <w:sz w:val="18"/>
                <w:szCs w:val="18"/>
                <w:color w:val="auto"/>
              </w:rPr>
            </w:pPr>
            <w:hyperlink r:id="rId202">
              <w:r>
                <w:rPr>
                  <w:rFonts w:ascii="Arial" w:cs="Arial" w:eastAsia="Arial" w:hAnsi="Arial"/>
                  <w:sz w:val="18"/>
                  <w:szCs w:val="18"/>
                  <w:color w:val="auto"/>
                </w:rPr>
                <w:t>Blizzard, Inc. and Computershare Trust</w:t>
              </w:r>
            </w:hyperlink>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Borders>
              <w:top w:val="single" w:sz="8" w:color="0000EE"/>
            </w:tcBorders>
            <w:gridSpan w:val="10"/>
          </w:tcPr>
          <w:p>
            <w:pPr>
              <w:spacing w:after="0" w:line="182" w:lineRule="exact"/>
              <w:rPr>
                <w:rFonts w:ascii="Arial" w:cs="Arial" w:eastAsia="Arial" w:hAnsi="Arial"/>
                <w:sz w:val="18"/>
                <w:szCs w:val="18"/>
                <w:color w:val="auto"/>
                <w:w w:val="94"/>
              </w:rPr>
            </w:pPr>
            <w:hyperlink r:id="rId202">
              <w:r>
                <w:rPr>
                  <w:rFonts w:ascii="Arial" w:cs="Arial" w:eastAsia="Arial" w:hAnsi="Arial"/>
                  <w:sz w:val="18"/>
                  <w:szCs w:val="18"/>
                  <w:color w:val="auto"/>
                  <w:w w:val="94"/>
                </w:rPr>
                <w:t>Company, N.A., with respect to Activision</w:t>
              </w:r>
            </w:hyperlink>
          </w:p>
        </w:tc>
        <w:tc>
          <w:tcPr>
            <w:tcW w:w="140" w:type="dxa"/>
            <w:vAlign w:val="bottom"/>
            <w:gridSpan w:val="2"/>
          </w:tcPr>
          <w:p>
            <w:pPr>
              <w:spacing w:after="0"/>
              <w:rPr>
                <w:sz w:val="15"/>
                <w:szCs w:val="15"/>
                <w:color w:val="auto"/>
              </w:rPr>
            </w:pPr>
          </w:p>
        </w:tc>
        <w:tc>
          <w:tcPr>
            <w:tcW w:w="240" w:type="dxa"/>
            <w:vAlign w:val="bottom"/>
            <w:gridSpan w:val="10"/>
          </w:tcPr>
          <w:p>
            <w:pPr>
              <w:spacing w:after="0"/>
              <w:rPr>
                <w:sz w:val="15"/>
                <w:szCs w:val="15"/>
                <w:color w:val="auto"/>
              </w:rPr>
            </w:pPr>
          </w:p>
        </w:tc>
        <w:tc>
          <w:tcPr>
            <w:tcW w:w="60" w:type="dxa"/>
            <w:vAlign w:val="bottom"/>
            <w:gridSpan w:val="3"/>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tcBorders>
              <w:top w:val="single" w:sz="8" w:color="0000EE"/>
            </w:tcBorders>
            <w:gridSpan w:val="15"/>
          </w:tcPr>
          <w:p>
            <w:pPr>
              <w:spacing w:after="0" w:line="182" w:lineRule="exact"/>
              <w:rPr>
                <w:rFonts w:ascii="Arial" w:cs="Arial" w:eastAsia="Arial" w:hAnsi="Arial"/>
                <w:sz w:val="18"/>
                <w:szCs w:val="18"/>
                <w:color w:val="auto"/>
              </w:rPr>
            </w:pPr>
            <w:hyperlink r:id="rId202">
              <w:r>
                <w:rPr>
                  <w:rFonts w:ascii="Arial" w:cs="Arial" w:eastAsia="Arial" w:hAnsi="Arial"/>
                  <w:sz w:val="18"/>
                  <w:szCs w:val="18"/>
                  <w:color w:val="auto"/>
                </w:rPr>
                <w:t>Blizzard, Inc.’s 3.400% Senior Notes due</w:t>
              </w:r>
            </w:hyperlink>
          </w:p>
        </w:tc>
        <w:tc>
          <w:tcPr>
            <w:tcW w:w="160" w:type="dxa"/>
            <w:vAlign w:val="bottom"/>
            <w:gridSpan w:val="7"/>
          </w:tcPr>
          <w:p>
            <w:pPr>
              <w:spacing w:after="0"/>
              <w:rPr>
                <w:sz w:val="15"/>
                <w:szCs w:val="15"/>
                <w:color w:val="auto"/>
              </w:rPr>
            </w:pPr>
          </w:p>
        </w:tc>
        <w:tc>
          <w:tcPr>
            <w:tcW w:w="60" w:type="dxa"/>
            <w:vAlign w:val="bottom"/>
            <w:gridSpan w:val="3"/>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28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auto"/>
                <w:w w:val="98"/>
              </w:rPr>
            </w:pPr>
            <w:hyperlink r:id="rId202">
              <w:r>
                <w:rPr>
                  <w:rFonts w:ascii="Arial" w:cs="Arial" w:eastAsia="Arial" w:hAnsi="Arial"/>
                  <w:sz w:val="18"/>
                  <w:szCs w:val="18"/>
                  <w:color w:val="auto"/>
                  <w:w w:val="98"/>
                </w:rPr>
                <w:t>2027 and 4.500% Senior Notes due 2047</w:t>
              </w:r>
            </w:hyperlink>
          </w:p>
        </w:tc>
        <w:tc>
          <w:tcPr>
            <w:tcW w:w="20" w:type="dxa"/>
            <w:vAlign w:val="bottom"/>
            <w:tcBorders>
              <w:top w:val="single" w:sz="8" w:color="0000EE"/>
            </w:tcBorders>
          </w:tcPr>
          <w:p>
            <w:pPr>
              <w:spacing w:after="0"/>
              <w:rPr>
                <w:sz w:val="15"/>
                <w:szCs w:val="15"/>
                <w:color w:val="auto"/>
              </w:rPr>
            </w:pPr>
          </w:p>
        </w:tc>
        <w:tc>
          <w:tcPr>
            <w:tcW w:w="220" w:type="dxa"/>
            <w:vAlign w:val="bottom"/>
            <w:gridSpan w:val="9"/>
          </w:tcPr>
          <w:p>
            <w:pPr>
              <w:spacing w:after="0"/>
              <w:rPr>
                <w:sz w:val="15"/>
                <w:szCs w:val="15"/>
                <w:color w:val="auto"/>
              </w:rPr>
            </w:pPr>
          </w:p>
        </w:tc>
        <w:tc>
          <w:tcPr>
            <w:tcW w:w="60" w:type="dxa"/>
            <w:vAlign w:val="bottom"/>
            <w:gridSpan w:val="3"/>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4.25</w:t>
            </w:r>
          </w:p>
        </w:tc>
        <w:tc>
          <w:tcPr>
            <w:tcW w:w="320" w:type="dxa"/>
            <w:vAlign w:val="bottom"/>
          </w:tcPr>
          <w:p>
            <w:pPr>
              <w:spacing w:after="0"/>
              <w:rPr>
                <w:sz w:val="24"/>
                <w:szCs w:val="24"/>
                <w:color w:val="auto"/>
              </w:rPr>
            </w:pPr>
          </w:p>
        </w:tc>
        <w:tc>
          <w:tcPr>
            <w:tcW w:w="3600" w:type="dxa"/>
            <w:vAlign w:val="bottom"/>
            <w:gridSpan w:val="26"/>
          </w:tcPr>
          <w:p>
            <w:pPr>
              <w:spacing w:after="0"/>
              <w:rPr>
                <w:rFonts w:ascii="Arial" w:cs="Arial" w:eastAsia="Arial" w:hAnsi="Arial"/>
                <w:sz w:val="18"/>
                <w:szCs w:val="18"/>
                <w:color w:val="auto"/>
              </w:rPr>
            </w:pPr>
            <w:hyperlink r:id="rId203">
              <w:r>
                <w:rPr>
                  <w:rFonts w:ascii="Arial" w:cs="Arial" w:eastAsia="Arial" w:hAnsi="Arial"/>
                  <w:sz w:val="18"/>
                  <w:szCs w:val="18"/>
                  <w:color w:val="auto"/>
                </w:rPr>
                <w:t>Fourth Supplemental Indenture, dated as of</w:t>
              </w:r>
            </w:hyperlink>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253"/>
              <w:spacing w:after="0"/>
              <w:rPr>
                <w:sz w:val="20"/>
                <w:szCs w:val="20"/>
                <w:color w:val="auto"/>
              </w:rPr>
            </w:pPr>
            <w:r>
              <w:rPr>
                <w:rFonts w:ascii="Arial" w:cs="Arial" w:eastAsia="Arial" w:hAnsi="Arial"/>
                <w:sz w:val="18"/>
                <w:szCs w:val="18"/>
                <w:color w:val="auto"/>
              </w:rPr>
              <w:t>8-K</w:t>
            </w:r>
          </w:p>
        </w:tc>
        <w:tc>
          <w:tcPr>
            <w:tcW w:w="1560" w:type="dxa"/>
            <w:vAlign w:val="bottom"/>
          </w:tcPr>
          <w:p>
            <w:pPr>
              <w:spacing w:after="0"/>
              <w:rPr>
                <w:sz w:val="24"/>
                <w:szCs w:val="24"/>
                <w:color w:val="auto"/>
              </w:rPr>
            </w:pPr>
          </w:p>
        </w:tc>
        <w:tc>
          <w:tcPr>
            <w:tcW w:w="1200" w:type="dxa"/>
            <w:vAlign w:val="bottom"/>
          </w:tcPr>
          <w:p>
            <w:pPr>
              <w:jc w:val="right"/>
              <w:ind w:right="253"/>
              <w:spacing w:after="0"/>
              <w:rPr>
                <w:sz w:val="20"/>
                <w:szCs w:val="20"/>
                <w:color w:val="auto"/>
              </w:rPr>
            </w:pPr>
            <w:r>
              <w:rPr>
                <w:rFonts w:ascii="Arial" w:cs="Arial" w:eastAsia="Arial" w:hAnsi="Arial"/>
                <w:sz w:val="18"/>
                <w:szCs w:val="18"/>
                <w:color w:val="auto"/>
              </w:rPr>
              <w:t>4.15</w:t>
            </w:r>
          </w:p>
        </w:tc>
        <w:tc>
          <w:tcPr>
            <w:tcW w:w="1240" w:type="dxa"/>
            <w:vAlign w:val="bottom"/>
          </w:tcPr>
          <w:p>
            <w:pPr>
              <w:jc w:val="right"/>
              <w:spacing w:after="0"/>
              <w:rPr>
                <w:sz w:val="20"/>
                <w:szCs w:val="20"/>
                <w:color w:val="auto"/>
              </w:rPr>
            </w:pPr>
            <w:r>
              <w:rPr>
                <w:rFonts w:ascii="Arial" w:cs="Arial" w:eastAsia="Arial" w:hAnsi="Arial"/>
                <w:sz w:val="18"/>
                <w:szCs w:val="18"/>
                <w:color w:val="auto"/>
              </w:rPr>
              <w:t>11/6/2023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tcBorders>
              <w:top w:val="single" w:sz="8" w:color="0000EE"/>
              <w:bottom w:val="single" w:sz="8" w:color="0000EE"/>
            </w:tcBorders>
            <w:gridSpan w:val="22"/>
          </w:tcPr>
          <w:p>
            <w:pPr>
              <w:spacing w:after="0" w:line="182" w:lineRule="exact"/>
              <w:rPr>
                <w:rFonts w:ascii="Arial" w:cs="Arial" w:eastAsia="Arial" w:hAnsi="Arial"/>
                <w:sz w:val="18"/>
                <w:szCs w:val="18"/>
                <w:color w:val="auto"/>
                <w:w w:val="97"/>
              </w:rPr>
            </w:pPr>
            <w:hyperlink r:id="rId203">
              <w:r>
                <w:rPr>
                  <w:rFonts w:ascii="Arial" w:cs="Arial" w:eastAsia="Arial" w:hAnsi="Arial"/>
                  <w:sz w:val="18"/>
                  <w:szCs w:val="18"/>
                  <w:color w:val="auto"/>
                  <w:w w:val="97"/>
                </w:rPr>
                <w:t>October 27, 2023, by and between Activision</w:t>
              </w:r>
            </w:hyperlink>
          </w:p>
        </w:tc>
        <w:tc>
          <w:tcPr>
            <w:tcW w:w="60" w:type="dxa"/>
            <w:vAlign w:val="bottom"/>
            <w:tcBorders>
              <w:bottom w:val="single" w:sz="8" w:color="0000EE"/>
            </w:tcBorders>
            <w:gridSpan w:val="3"/>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gridSpan w:val="25"/>
          </w:tcPr>
          <w:p>
            <w:pPr>
              <w:spacing w:after="0" w:line="182" w:lineRule="exact"/>
              <w:rPr>
                <w:rFonts w:ascii="Arial" w:cs="Arial" w:eastAsia="Arial" w:hAnsi="Arial"/>
                <w:sz w:val="18"/>
                <w:szCs w:val="18"/>
                <w:color w:val="auto"/>
              </w:rPr>
            </w:pPr>
            <w:hyperlink r:id="rId203">
              <w:r>
                <w:rPr>
                  <w:rFonts w:ascii="Arial" w:cs="Arial" w:eastAsia="Arial" w:hAnsi="Arial"/>
                  <w:sz w:val="18"/>
                  <w:szCs w:val="18"/>
                  <w:color w:val="auto"/>
                </w:rPr>
                <w:t>Blizzard, Inc. and Computershare Trust</w:t>
              </w:r>
            </w:hyperlink>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Borders>
              <w:top w:val="single" w:sz="8" w:color="0000EE"/>
            </w:tcBorders>
            <w:gridSpan w:val="10"/>
          </w:tcPr>
          <w:p>
            <w:pPr>
              <w:spacing w:after="0" w:line="182" w:lineRule="exact"/>
              <w:rPr>
                <w:rFonts w:ascii="Arial" w:cs="Arial" w:eastAsia="Arial" w:hAnsi="Arial"/>
                <w:sz w:val="18"/>
                <w:szCs w:val="18"/>
                <w:color w:val="auto"/>
                <w:w w:val="94"/>
              </w:rPr>
            </w:pPr>
            <w:hyperlink r:id="rId203">
              <w:r>
                <w:rPr>
                  <w:rFonts w:ascii="Arial" w:cs="Arial" w:eastAsia="Arial" w:hAnsi="Arial"/>
                  <w:sz w:val="18"/>
                  <w:szCs w:val="18"/>
                  <w:color w:val="auto"/>
                  <w:w w:val="94"/>
                </w:rPr>
                <w:t>Company, N.A., with respect to Activision</w:t>
              </w:r>
            </w:hyperlink>
          </w:p>
        </w:tc>
        <w:tc>
          <w:tcPr>
            <w:tcW w:w="440" w:type="dxa"/>
            <w:vAlign w:val="bottom"/>
            <w:gridSpan w:val="15"/>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tcBorders>
              <w:top w:val="single" w:sz="8" w:color="0000EE"/>
            </w:tcBorders>
            <w:gridSpan w:val="15"/>
          </w:tcPr>
          <w:p>
            <w:pPr>
              <w:spacing w:after="0" w:line="182" w:lineRule="exact"/>
              <w:rPr>
                <w:rFonts w:ascii="Arial" w:cs="Arial" w:eastAsia="Arial" w:hAnsi="Arial"/>
                <w:sz w:val="18"/>
                <w:szCs w:val="18"/>
                <w:color w:val="auto"/>
              </w:rPr>
            </w:pPr>
            <w:hyperlink r:id="rId203">
              <w:r>
                <w:rPr>
                  <w:rFonts w:ascii="Arial" w:cs="Arial" w:eastAsia="Arial" w:hAnsi="Arial"/>
                  <w:sz w:val="18"/>
                  <w:szCs w:val="18"/>
                  <w:color w:val="auto"/>
                </w:rPr>
                <w:t>Blizzard, Inc.’s 1.350% Senior Notes due</w:t>
              </w:r>
            </w:hyperlink>
          </w:p>
        </w:tc>
        <w:tc>
          <w:tcPr>
            <w:tcW w:w="220" w:type="dxa"/>
            <w:vAlign w:val="bottom"/>
            <w:gridSpan w:val="10"/>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28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auto"/>
                <w:w w:val="98"/>
              </w:rPr>
            </w:pPr>
            <w:hyperlink r:id="rId203">
              <w:r>
                <w:rPr>
                  <w:rFonts w:ascii="Arial" w:cs="Arial" w:eastAsia="Arial" w:hAnsi="Arial"/>
                  <w:sz w:val="18"/>
                  <w:szCs w:val="18"/>
                  <w:color w:val="auto"/>
                  <w:w w:val="98"/>
                </w:rPr>
                <w:t>2030 and 2.500% Senior Notes due 2050</w:t>
              </w:r>
            </w:hyperlink>
          </w:p>
        </w:tc>
        <w:tc>
          <w:tcPr>
            <w:tcW w:w="20" w:type="dxa"/>
            <w:vAlign w:val="bottom"/>
            <w:tcBorders>
              <w:top w:val="single" w:sz="8" w:color="0000EE"/>
            </w:tcBorders>
          </w:tcPr>
          <w:p>
            <w:pPr>
              <w:spacing w:after="0"/>
              <w:rPr>
                <w:sz w:val="15"/>
                <w:szCs w:val="15"/>
                <w:color w:val="auto"/>
              </w:rPr>
            </w:pPr>
          </w:p>
        </w:tc>
        <w:tc>
          <w:tcPr>
            <w:tcW w:w="280" w:type="dxa"/>
            <w:vAlign w:val="bottom"/>
            <w:gridSpan w:val="12"/>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4.26</w:t>
            </w:r>
          </w:p>
        </w:tc>
        <w:tc>
          <w:tcPr>
            <w:tcW w:w="320" w:type="dxa"/>
            <w:vAlign w:val="bottom"/>
          </w:tcPr>
          <w:p>
            <w:pPr>
              <w:spacing w:after="0"/>
              <w:rPr>
                <w:sz w:val="24"/>
                <w:szCs w:val="24"/>
                <w:color w:val="auto"/>
              </w:rPr>
            </w:pPr>
          </w:p>
        </w:tc>
        <w:tc>
          <w:tcPr>
            <w:tcW w:w="19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auto"/>
                <w:w w:val="98"/>
              </w:rPr>
              <w:t>Description of Securities</w:t>
            </w:r>
          </w:p>
        </w:tc>
        <w:tc>
          <w:tcPr>
            <w:tcW w:w="1660" w:type="dxa"/>
            <w:vAlign w:val="bottom"/>
            <w:gridSpan w:val="21"/>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X</w:t>
            </w: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3080" w:type="dxa"/>
            <w:vAlign w:val="bottom"/>
            <w:tcBorders>
              <w:bottom w:val="single" w:sz="8" w:color="0000EE"/>
            </w:tcBorders>
            <w:gridSpan w:val="9"/>
          </w:tcPr>
          <w:p>
            <w:pPr>
              <w:spacing w:after="0"/>
              <w:rPr>
                <w:rFonts w:ascii="Arial" w:cs="Arial" w:eastAsia="Arial" w:hAnsi="Arial"/>
                <w:sz w:val="18"/>
                <w:szCs w:val="18"/>
                <w:color w:val="auto"/>
                <w:w w:val="99"/>
              </w:rPr>
            </w:pPr>
            <w:hyperlink r:id="rId204">
              <w:r>
                <w:rPr>
                  <w:rFonts w:ascii="Arial" w:cs="Arial" w:eastAsia="Arial" w:hAnsi="Arial"/>
                  <w:sz w:val="18"/>
                  <w:szCs w:val="18"/>
                  <w:color w:val="auto"/>
                  <w:w w:val="99"/>
                </w:rPr>
                <w:t>Microsoft Corporation 2001 Stock Plan</w:t>
              </w:r>
            </w:hyperlink>
          </w:p>
        </w:tc>
        <w:tc>
          <w:tcPr>
            <w:tcW w:w="520" w:type="dxa"/>
            <w:vAlign w:val="bottom"/>
            <w:gridSpan w:val="17"/>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253"/>
              <w:spacing w:after="0"/>
              <w:rPr>
                <w:sz w:val="20"/>
                <w:szCs w:val="20"/>
                <w:color w:val="auto"/>
              </w:rPr>
            </w:pPr>
            <w:r>
              <w:rPr>
                <w:rFonts w:ascii="Arial" w:cs="Arial" w:eastAsia="Arial" w:hAnsi="Arial"/>
                <w:sz w:val="18"/>
                <w:szCs w:val="18"/>
                <w:color w:val="auto"/>
              </w:rPr>
              <w:t>10-Q</w:t>
            </w:r>
          </w:p>
        </w:tc>
        <w:tc>
          <w:tcPr>
            <w:tcW w:w="1560" w:type="dxa"/>
            <w:vAlign w:val="bottom"/>
          </w:tcPr>
          <w:p>
            <w:pPr>
              <w:jc w:val="right"/>
              <w:ind w:right="324"/>
              <w:spacing w:after="0"/>
              <w:rPr>
                <w:sz w:val="20"/>
                <w:szCs w:val="20"/>
                <w:color w:val="auto"/>
              </w:rPr>
            </w:pPr>
            <w:r>
              <w:rPr>
                <w:rFonts w:ascii="Arial" w:cs="Arial" w:eastAsia="Arial" w:hAnsi="Arial"/>
                <w:sz w:val="18"/>
                <w:szCs w:val="18"/>
                <w:color w:val="auto"/>
              </w:rPr>
              <w:t>9/30/2016</w:t>
            </w:r>
          </w:p>
        </w:tc>
        <w:tc>
          <w:tcPr>
            <w:tcW w:w="1200" w:type="dxa"/>
            <w:vAlign w:val="bottom"/>
          </w:tcPr>
          <w:p>
            <w:pPr>
              <w:jc w:val="right"/>
              <w:ind w:right="253"/>
              <w:spacing w:after="0"/>
              <w:rPr>
                <w:sz w:val="20"/>
                <w:szCs w:val="20"/>
                <w:color w:val="auto"/>
              </w:rPr>
            </w:pPr>
            <w:r>
              <w:rPr>
                <w:rFonts w:ascii="Arial" w:cs="Arial" w:eastAsia="Arial" w:hAnsi="Arial"/>
                <w:sz w:val="18"/>
                <w:szCs w:val="18"/>
                <w:color w:val="auto"/>
              </w:rPr>
              <w:t>10.1</w:t>
            </w:r>
          </w:p>
        </w:tc>
        <w:tc>
          <w:tcPr>
            <w:tcW w:w="1240" w:type="dxa"/>
            <w:vAlign w:val="bottom"/>
          </w:tcPr>
          <w:p>
            <w:pPr>
              <w:jc w:val="right"/>
              <w:spacing w:after="0"/>
              <w:rPr>
                <w:sz w:val="20"/>
                <w:szCs w:val="20"/>
                <w:color w:val="auto"/>
              </w:rPr>
            </w:pPr>
            <w:r>
              <w:rPr>
                <w:rFonts w:ascii="Arial" w:cs="Arial" w:eastAsia="Arial" w:hAnsi="Arial"/>
                <w:sz w:val="18"/>
                <w:szCs w:val="18"/>
                <w:color w:val="auto"/>
              </w:rPr>
              <w:t>10/20/2016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3600" w:type="dxa"/>
            <w:vAlign w:val="bottom"/>
            <w:gridSpan w:val="26"/>
          </w:tcPr>
          <w:p>
            <w:pPr>
              <w:spacing w:after="0"/>
              <w:rPr>
                <w:rFonts w:ascii="Arial" w:cs="Arial" w:eastAsia="Arial" w:hAnsi="Arial"/>
                <w:sz w:val="18"/>
                <w:szCs w:val="18"/>
                <w:color w:val="auto"/>
              </w:rPr>
            </w:pPr>
            <w:hyperlink r:id="rId205">
              <w:r>
                <w:rPr>
                  <w:rFonts w:ascii="Arial" w:cs="Arial" w:eastAsia="Arial" w:hAnsi="Arial"/>
                  <w:sz w:val="18"/>
                  <w:szCs w:val="18"/>
                  <w:color w:val="auto"/>
                </w:rPr>
                <w:t>Microsoft Corporation Employee Stock</w:t>
              </w:r>
            </w:hyperlink>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253"/>
              <w:spacing w:after="0"/>
              <w:rPr>
                <w:sz w:val="20"/>
                <w:szCs w:val="20"/>
                <w:color w:val="auto"/>
              </w:rPr>
            </w:pPr>
            <w:r>
              <w:rPr>
                <w:rFonts w:ascii="Arial" w:cs="Arial" w:eastAsia="Arial" w:hAnsi="Arial"/>
                <w:sz w:val="18"/>
                <w:szCs w:val="18"/>
                <w:color w:val="auto"/>
              </w:rPr>
              <w:t>10-K</w:t>
            </w:r>
          </w:p>
        </w:tc>
        <w:tc>
          <w:tcPr>
            <w:tcW w:w="1560" w:type="dxa"/>
            <w:vAlign w:val="bottom"/>
          </w:tcPr>
          <w:p>
            <w:pPr>
              <w:jc w:val="right"/>
              <w:ind w:right="324"/>
              <w:spacing w:after="0"/>
              <w:rPr>
                <w:sz w:val="20"/>
                <w:szCs w:val="20"/>
                <w:color w:val="auto"/>
              </w:rPr>
            </w:pPr>
            <w:r>
              <w:rPr>
                <w:rFonts w:ascii="Arial" w:cs="Arial" w:eastAsia="Arial" w:hAnsi="Arial"/>
                <w:sz w:val="18"/>
                <w:szCs w:val="18"/>
                <w:color w:val="auto"/>
              </w:rPr>
              <w:t>6/30/2012</w:t>
            </w:r>
          </w:p>
        </w:tc>
        <w:tc>
          <w:tcPr>
            <w:tcW w:w="1200" w:type="dxa"/>
            <w:vAlign w:val="bottom"/>
          </w:tcPr>
          <w:p>
            <w:pPr>
              <w:jc w:val="right"/>
              <w:ind w:right="253"/>
              <w:spacing w:after="0"/>
              <w:rPr>
                <w:sz w:val="20"/>
                <w:szCs w:val="20"/>
                <w:color w:val="auto"/>
              </w:rPr>
            </w:pPr>
            <w:r>
              <w:rPr>
                <w:rFonts w:ascii="Arial" w:cs="Arial" w:eastAsia="Arial" w:hAnsi="Arial"/>
                <w:sz w:val="18"/>
                <w:szCs w:val="18"/>
                <w:color w:val="auto"/>
              </w:rPr>
              <w:t>10.4</w:t>
            </w:r>
          </w:p>
        </w:tc>
        <w:tc>
          <w:tcPr>
            <w:tcW w:w="1240" w:type="dxa"/>
            <w:vAlign w:val="bottom"/>
          </w:tcPr>
          <w:p>
            <w:pPr>
              <w:jc w:val="right"/>
              <w:spacing w:after="0"/>
              <w:rPr>
                <w:sz w:val="20"/>
                <w:szCs w:val="20"/>
                <w:color w:val="auto"/>
              </w:rPr>
            </w:pPr>
            <w:r>
              <w:rPr>
                <w:rFonts w:ascii="Arial" w:cs="Arial" w:eastAsia="Arial" w:hAnsi="Arial"/>
                <w:sz w:val="18"/>
                <w:szCs w:val="18"/>
                <w:color w:val="auto"/>
              </w:rPr>
              <w:t>7/26/2012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00" w:type="dxa"/>
            <w:vAlign w:val="bottom"/>
            <w:tcBorders>
              <w:top w:val="single" w:sz="8" w:color="0000EE"/>
            </w:tcBorders>
            <w:gridSpan w:val="9"/>
          </w:tcPr>
          <w:p>
            <w:pPr>
              <w:spacing w:after="0" w:line="182" w:lineRule="exact"/>
              <w:rPr>
                <w:rFonts w:ascii="Arial" w:cs="Arial" w:eastAsia="Arial" w:hAnsi="Arial"/>
                <w:sz w:val="18"/>
                <w:szCs w:val="18"/>
                <w:color w:val="auto"/>
              </w:rPr>
            </w:pPr>
            <w:hyperlink r:id="rId205">
              <w:r>
                <w:rPr>
                  <w:rFonts w:ascii="Arial" w:cs="Arial" w:eastAsia="Arial" w:hAnsi="Arial"/>
                  <w:sz w:val="18"/>
                  <w:szCs w:val="18"/>
                  <w:color w:val="auto"/>
                </w:rPr>
                <w:t>Purchase Plan</w:t>
              </w:r>
            </w:hyperlink>
          </w:p>
        </w:tc>
        <w:tc>
          <w:tcPr>
            <w:tcW w:w="480" w:type="dxa"/>
            <w:vAlign w:val="bottom"/>
            <w:gridSpan w:val="16"/>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8"/>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color w:val="auto"/>
              </w:rPr>
              <w:t>107</w:t>
            </w:r>
          </w:p>
        </w:tc>
        <w:tc>
          <w:tcPr>
            <w:tcW w:w="1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8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07" w:name="page108"/>
    <w:bookmarkEnd w:id="107"/>
    <w:p>
      <w:pPr>
        <w:ind w:left="5360"/>
        <w:spacing w:after="0"/>
        <w:rPr>
          <w:sz w:val="20"/>
          <w:szCs w:val="20"/>
          <w:color w:val="auto"/>
        </w:rPr>
      </w:pPr>
      <w:r>
        <w:rPr>
          <w:rFonts w:ascii="Arial" w:cs="Arial" w:eastAsia="Arial" w:hAnsi="Arial"/>
          <w:sz w:val="13"/>
          <w:szCs w:val="13"/>
          <w:u w:val="single" w:color="auto"/>
          <w:color w:val="auto"/>
        </w:rPr>
        <w:t>PART IV</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2"/>
          </w:tcPr>
          <w:p>
            <w:pPr>
              <w:jc w:val="right"/>
              <w:ind w:right="552"/>
              <w:spacing w:after="0"/>
              <w:rPr>
                <w:sz w:val="20"/>
                <w:szCs w:val="20"/>
                <w:color w:val="auto"/>
              </w:rPr>
            </w:pPr>
            <w:r>
              <w:rPr>
                <w:rFonts w:ascii="Arial" w:cs="Arial" w:eastAsia="Arial" w:hAnsi="Arial"/>
                <w:sz w:val="13"/>
                <w:szCs w:val="13"/>
                <w:b w:val="1"/>
                <w:bCs w:val="1"/>
                <w:color w:val="auto"/>
              </w:rPr>
              <w:t>Incorporated by Reference</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40" w:type="dxa"/>
            <w:vAlign w:val="bottom"/>
          </w:tcPr>
          <w:p>
            <w:pPr>
              <w:ind w:left="20"/>
              <w:spacing w:after="0" w:line="141" w:lineRule="exact"/>
              <w:rPr>
                <w:sz w:val="20"/>
                <w:szCs w:val="20"/>
                <w:color w:val="auto"/>
              </w:rPr>
            </w:pPr>
            <w:r>
              <w:rPr>
                <w:rFonts w:ascii="Arial" w:cs="Arial" w:eastAsia="Arial" w:hAnsi="Arial"/>
                <w:sz w:val="13"/>
                <w:szCs w:val="13"/>
                <w:b w:val="1"/>
                <w:bCs w:val="1"/>
                <w:color w:val="auto"/>
              </w:rPr>
              <w:t>Exhibit</w:t>
            </w:r>
          </w:p>
        </w:tc>
        <w:tc>
          <w:tcPr>
            <w:tcW w:w="3860" w:type="dxa"/>
            <w:vAlign w:val="bottom"/>
            <w:gridSpan w:val="25"/>
            <w:vMerge w:val="restart"/>
          </w:tcPr>
          <w:p>
            <w:pPr>
              <w:ind w:left="320"/>
              <w:spacing w:after="0"/>
              <w:rPr>
                <w:sz w:val="20"/>
                <w:szCs w:val="20"/>
                <w:color w:val="auto"/>
              </w:rPr>
            </w:pPr>
            <w:r>
              <w:rPr>
                <w:rFonts w:ascii="Arial" w:cs="Arial" w:eastAsia="Arial" w:hAnsi="Arial"/>
                <w:sz w:val="13"/>
                <w:szCs w:val="13"/>
                <w:b w:val="1"/>
                <w:bCs w:val="1"/>
                <w:color w:val="auto"/>
              </w:rPr>
              <w:t>Exhibit Description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center"/>
              <w:ind w:left="45"/>
              <w:spacing w:after="0" w:line="141" w:lineRule="exact"/>
              <w:rPr>
                <w:sz w:val="20"/>
                <w:szCs w:val="20"/>
                <w:color w:val="auto"/>
              </w:rPr>
            </w:pPr>
            <w:r>
              <w:rPr>
                <w:rFonts w:ascii="Arial" w:cs="Arial" w:eastAsia="Arial" w:hAnsi="Arial"/>
                <w:sz w:val="13"/>
                <w:szCs w:val="13"/>
                <w:b w:val="1"/>
                <w:bCs w:val="1"/>
                <w:color w:val="auto"/>
              </w:rPr>
              <w:t>Filed</w:t>
            </w:r>
          </w:p>
        </w:tc>
        <w:tc>
          <w:tcPr>
            <w:tcW w:w="280" w:type="dxa"/>
            <w:vAlign w:val="bottom"/>
          </w:tcPr>
          <w:p>
            <w:pPr>
              <w:spacing w:after="0"/>
              <w:rPr>
                <w:sz w:val="12"/>
                <w:szCs w:val="12"/>
                <w:color w:val="auto"/>
              </w:rPr>
            </w:pPr>
          </w:p>
        </w:tc>
        <w:tc>
          <w:tcPr>
            <w:tcW w:w="1160" w:type="dxa"/>
            <w:vAlign w:val="bottom"/>
            <w:vMerge w:val="restart"/>
          </w:tcPr>
          <w:p>
            <w:pPr>
              <w:jc w:val="right"/>
              <w:ind w:right="212"/>
              <w:spacing w:after="0"/>
              <w:rPr>
                <w:sz w:val="20"/>
                <w:szCs w:val="20"/>
                <w:color w:val="auto"/>
              </w:rPr>
            </w:pPr>
            <w:r>
              <w:rPr>
                <w:rFonts w:ascii="Arial" w:cs="Arial" w:eastAsia="Arial" w:hAnsi="Arial"/>
                <w:sz w:val="13"/>
                <w:szCs w:val="13"/>
                <w:b w:val="1"/>
                <w:bCs w:val="1"/>
                <w:color w:val="auto"/>
              </w:rPr>
              <w:t>Form</w:t>
            </w:r>
          </w:p>
        </w:tc>
        <w:tc>
          <w:tcPr>
            <w:tcW w:w="1480" w:type="dxa"/>
            <w:vAlign w:val="bottom"/>
          </w:tcPr>
          <w:p>
            <w:pPr>
              <w:jc w:val="right"/>
              <w:ind w:right="195"/>
              <w:spacing w:after="0" w:line="141" w:lineRule="exact"/>
              <w:rPr>
                <w:sz w:val="20"/>
                <w:szCs w:val="20"/>
                <w:color w:val="auto"/>
              </w:rPr>
            </w:pPr>
            <w:r>
              <w:rPr>
                <w:rFonts w:ascii="Arial" w:cs="Arial" w:eastAsia="Arial" w:hAnsi="Arial"/>
                <w:sz w:val="13"/>
                <w:szCs w:val="13"/>
                <w:b w:val="1"/>
                <w:bCs w:val="1"/>
                <w:color w:val="auto"/>
              </w:rPr>
              <w:t>Period</w:t>
            </w:r>
          </w:p>
        </w:tc>
        <w:tc>
          <w:tcPr>
            <w:tcW w:w="1320" w:type="dxa"/>
            <w:vAlign w:val="bottom"/>
            <w:vMerge w:val="restart"/>
          </w:tcPr>
          <w:p>
            <w:pPr>
              <w:jc w:val="right"/>
              <w:ind w:right="252"/>
              <w:spacing w:after="0"/>
              <w:rPr>
                <w:sz w:val="20"/>
                <w:szCs w:val="20"/>
                <w:color w:val="auto"/>
              </w:rPr>
            </w:pPr>
            <w:r>
              <w:rPr>
                <w:rFonts w:ascii="Arial" w:cs="Arial" w:eastAsia="Arial" w:hAnsi="Arial"/>
                <w:sz w:val="13"/>
                <w:szCs w:val="13"/>
                <w:b w:val="1"/>
                <w:bCs w:val="1"/>
                <w:color w:val="auto"/>
              </w:rPr>
              <w:t>Exhibit</w:t>
            </w:r>
          </w:p>
        </w:tc>
        <w:tc>
          <w:tcPr>
            <w:tcW w:w="12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Number</w:t>
            </w:r>
          </w:p>
        </w:tc>
        <w:tc>
          <w:tcPr>
            <w:tcW w:w="3860" w:type="dxa"/>
            <w:vAlign w:val="bottom"/>
            <w:tcBorders>
              <w:bottom w:val="single" w:sz="8" w:color="auto"/>
            </w:tcBorders>
            <w:gridSpan w:val="25"/>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rPr>
              <w:t>Herewith</w:t>
            </w:r>
          </w:p>
        </w:tc>
        <w:tc>
          <w:tcPr>
            <w:tcW w:w="116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Ending</w:t>
            </w:r>
          </w:p>
        </w:tc>
        <w:tc>
          <w:tcPr>
            <w:tcW w:w="132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1"/>
                <w:szCs w:val="21"/>
                <w:color w:val="auto"/>
              </w:rPr>
            </w:pPr>
          </w:p>
        </w:tc>
        <w:tc>
          <w:tcPr>
            <w:tcW w:w="3540" w:type="dxa"/>
            <w:vAlign w:val="bottom"/>
            <w:gridSpan w:val="24"/>
          </w:tcPr>
          <w:p>
            <w:pPr>
              <w:spacing w:after="0"/>
              <w:rPr>
                <w:sz w:val="20"/>
                <w:szCs w:val="20"/>
                <w:color w:val="auto"/>
              </w:rPr>
            </w:pPr>
            <w:r>
              <w:rPr>
                <w:rFonts w:ascii="Arial" w:cs="Arial" w:eastAsia="Arial" w:hAnsi="Arial"/>
                <w:sz w:val="18"/>
                <w:szCs w:val="18"/>
                <w:color w:val="auto"/>
              </w:rPr>
              <w:t>Microsoft Corporation Deferred</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X</w:t>
            </w:r>
          </w:p>
        </w:tc>
        <w:tc>
          <w:tcPr>
            <w:tcW w:w="1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auto"/>
              </w:rPr>
              <w:t>Compensation Plan</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4"/>
                <w:szCs w:val="24"/>
                <w:color w:val="auto"/>
              </w:rPr>
            </w:pPr>
          </w:p>
        </w:tc>
        <w:tc>
          <w:tcPr>
            <w:tcW w:w="3080" w:type="dxa"/>
            <w:vAlign w:val="bottom"/>
            <w:tcBorders>
              <w:bottom w:val="single" w:sz="8" w:color="0000EE"/>
            </w:tcBorders>
            <w:gridSpan w:val="13"/>
          </w:tcPr>
          <w:p>
            <w:pPr>
              <w:spacing w:after="0"/>
              <w:rPr>
                <w:rFonts w:ascii="Arial" w:cs="Arial" w:eastAsia="Arial" w:hAnsi="Arial"/>
                <w:sz w:val="18"/>
                <w:szCs w:val="18"/>
                <w:color w:val="auto"/>
                <w:w w:val="99"/>
              </w:rPr>
            </w:pPr>
            <w:hyperlink r:id="rId208">
              <w:r>
                <w:rPr>
                  <w:rFonts w:ascii="Arial" w:cs="Arial" w:eastAsia="Arial" w:hAnsi="Arial"/>
                  <w:sz w:val="18"/>
                  <w:szCs w:val="18"/>
                  <w:color w:val="auto"/>
                  <w:w w:val="99"/>
                </w:rPr>
                <w:t>Microsoft Corporation 2017 Stock Plan</w:t>
              </w:r>
            </w:hyperlink>
          </w:p>
        </w:tc>
        <w:tc>
          <w:tcPr>
            <w:tcW w:w="46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DEF14A</w:t>
            </w:r>
          </w:p>
        </w:tc>
        <w:tc>
          <w:tcPr>
            <w:tcW w:w="1480" w:type="dxa"/>
            <w:vAlign w:val="bottom"/>
          </w:tcPr>
          <w:p>
            <w:pPr>
              <w:spacing w:after="0"/>
              <w:rPr>
                <w:sz w:val="24"/>
                <w:szCs w:val="24"/>
                <w:color w:val="auto"/>
              </w:rPr>
            </w:pP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Annex C</w:t>
            </w:r>
          </w:p>
        </w:tc>
        <w:tc>
          <w:tcPr>
            <w:tcW w:w="1240" w:type="dxa"/>
            <w:vAlign w:val="bottom"/>
          </w:tcPr>
          <w:p>
            <w:pPr>
              <w:jc w:val="right"/>
              <w:spacing w:after="0"/>
              <w:rPr>
                <w:sz w:val="20"/>
                <w:szCs w:val="20"/>
                <w:color w:val="auto"/>
              </w:rPr>
            </w:pPr>
            <w:r>
              <w:rPr>
                <w:rFonts w:ascii="Arial" w:cs="Arial" w:eastAsia="Arial" w:hAnsi="Arial"/>
                <w:sz w:val="18"/>
                <w:szCs w:val="18"/>
                <w:color w:val="auto"/>
              </w:rPr>
              <w:t>10/16/2017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3540" w:type="dxa"/>
            <w:vAlign w:val="bottom"/>
            <w:gridSpan w:val="24"/>
          </w:tcPr>
          <w:p>
            <w:pPr>
              <w:spacing w:after="0"/>
              <w:rPr>
                <w:rFonts w:ascii="Arial" w:cs="Arial" w:eastAsia="Arial" w:hAnsi="Arial"/>
                <w:sz w:val="18"/>
                <w:szCs w:val="18"/>
                <w:color w:val="auto"/>
              </w:rPr>
            </w:pPr>
            <w:hyperlink r:id="rId209">
              <w:r>
                <w:rPr>
                  <w:rFonts w:ascii="Arial" w:cs="Arial" w:eastAsia="Arial" w:hAnsi="Arial"/>
                  <w:sz w:val="18"/>
                  <w:szCs w:val="18"/>
                  <w:color w:val="auto"/>
                </w:rPr>
                <w:t>Form of Stock Award Agreement Under the</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10-Q</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3/31/2018</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10.26</w:t>
            </w:r>
          </w:p>
        </w:tc>
        <w:tc>
          <w:tcPr>
            <w:tcW w:w="1240" w:type="dxa"/>
            <w:vAlign w:val="bottom"/>
          </w:tcPr>
          <w:p>
            <w:pPr>
              <w:jc w:val="right"/>
              <w:spacing w:after="0"/>
              <w:rPr>
                <w:sz w:val="20"/>
                <w:szCs w:val="20"/>
                <w:color w:val="auto"/>
              </w:rPr>
            </w:pPr>
            <w:r>
              <w:rPr>
                <w:rFonts w:ascii="Arial" w:cs="Arial" w:eastAsia="Arial" w:hAnsi="Arial"/>
                <w:sz w:val="18"/>
                <w:szCs w:val="18"/>
                <w:color w:val="auto"/>
              </w:rPr>
              <w:t>4/26/2018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06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auto"/>
                <w:w w:val="98"/>
              </w:rPr>
            </w:pPr>
            <w:hyperlink r:id="rId209">
              <w:r>
                <w:rPr>
                  <w:rFonts w:ascii="Arial" w:cs="Arial" w:eastAsia="Arial" w:hAnsi="Arial"/>
                  <w:sz w:val="18"/>
                  <w:szCs w:val="18"/>
                  <w:color w:val="auto"/>
                  <w:w w:val="98"/>
                </w:rPr>
                <w:t>Microsoft Corporation 2017 Stock Plan</w:t>
              </w:r>
            </w:hyperlink>
          </w:p>
        </w:tc>
        <w:tc>
          <w:tcPr>
            <w:tcW w:w="420" w:type="dxa"/>
            <w:vAlign w:val="bottom"/>
            <w:tcBorders>
              <w:top w:val="single" w:sz="8" w:color="0000EE"/>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2800" w:type="dxa"/>
            <w:vAlign w:val="bottom"/>
            <w:tcBorders>
              <w:bottom w:val="single" w:sz="8" w:color="0000EE"/>
            </w:tcBorders>
            <w:gridSpan w:val="11"/>
          </w:tcPr>
          <w:p>
            <w:pPr>
              <w:spacing w:after="0"/>
              <w:rPr>
                <w:rFonts w:ascii="Arial" w:cs="Arial" w:eastAsia="Arial" w:hAnsi="Arial"/>
                <w:sz w:val="18"/>
                <w:szCs w:val="18"/>
                <w:color w:val="auto"/>
              </w:rPr>
            </w:pPr>
            <w:hyperlink r:id="rId210">
              <w:r>
                <w:rPr>
                  <w:rFonts w:ascii="Arial" w:cs="Arial" w:eastAsia="Arial" w:hAnsi="Arial"/>
                  <w:sz w:val="18"/>
                  <w:szCs w:val="18"/>
                  <w:color w:val="auto"/>
                </w:rPr>
                <w:t>Form of Performance Stock Award</w:t>
              </w:r>
            </w:hyperlink>
          </w:p>
        </w:tc>
        <w:tc>
          <w:tcPr>
            <w:tcW w:w="74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10-Q</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3/31/2018</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10.27</w:t>
            </w:r>
          </w:p>
        </w:tc>
        <w:tc>
          <w:tcPr>
            <w:tcW w:w="1240" w:type="dxa"/>
            <w:vAlign w:val="bottom"/>
          </w:tcPr>
          <w:p>
            <w:pPr>
              <w:jc w:val="right"/>
              <w:spacing w:after="0"/>
              <w:rPr>
                <w:sz w:val="20"/>
                <w:szCs w:val="20"/>
                <w:color w:val="auto"/>
              </w:rPr>
            </w:pPr>
            <w:r>
              <w:rPr>
                <w:rFonts w:ascii="Arial" w:cs="Arial" w:eastAsia="Arial" w:hAnsi="Arial"/>
                <w:sz w:val="18"/>
                <w:szCs w:val="18"/>
                <w:color w:val="auto"/>
              </w:rPr>
              <w:t>4/26/2018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40" w:type="dxa"/>
            <w:vAlign w:val="bottom"/>
            <w:gridSpan w:val="24"/>
          </w:tcPr>
          <w:p>
            <w:pPr>
              <w:spacing w:after="0" w:line="182" w:lineRule="exact"/>
              <w:rPr>
                <w:rFonts w:ascii="Arial" w:cs="Arial" w:eastAsia="Arial" w:hAnsi="Arial"/>
                <w:sz w:val="18"/>
                <w:szCs w:val="18"/>
                <w:color w:val="auto"/>
              </w:rPr>
            </w:pPr>
            <w:hyperlink r:id="rId210">
              <w:r>
                <w:rPr>
                  <w:rFonts w:ascii="Arial" w:cs="Arial" w:eastAsia="Arial" w:hAnsi="Arial"/>
                  <w:sz w:val="18"/>
                  <w:szCs w:val="18"/>
                  <w:color w:val="auto"/>
                </w:rPr>
                <w:t>Agreement Under the Microsoft Corporation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tcBorders>
              <w:top w:val="single" w:sz="8" w:color="0000EE"/>
            </w:tcBorders>
            <w:gridSpan w:val="23"/>
          </w:tcPr>
          <w:p>
            <w:pPr>
              <w:spacing w:after="0" w:line="182" w:lineRule="exact"/>
              <w:rPr>
                <w:rFonts w:ascii="Arial" w:cs="Arial" w:eastAsia="Arial" w:hAnsi="Arial"/>
                <w:sz w:val="18"/>
                <w:szCs w:val="18"/>
                <w:color w:val="auto"/>
              </w:rPr>
            </w:pPr>
            <w:hyperlink r:id="rId210">
              <w:r>
                <w:rPr>
                  <w:rFonts w:ascii="Arial" w:cs="Arial" w:eastAsia="Arial" w:hAnsi="Arial"/>
                  <w:sz w:val="18"/>
                  <w:szCs w:val="18"/>
                  <w:color w:val="auto"/>
                </w:rPr>
                <w:t>2017 Stock Plan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4"/>
                <w:szCs w:val="24"/>
                <w:color w:val="auto"/>
              </w:rPr>
            </w:pPr>
          </w:p>
        </w:tc>
        <w:tc>
          <w:tcPr>
            <w:tcW w:w="3540" w:type="dxa"/>
            <w:vAlign w:val="bottom"/>
            <w:gridSpan w:val="24"/>
          </w:tcPr>
          <w:p>
            <w:pPr>
              <w:spacing w:after="0"/>
              <w:rPr>
                <w:rFonts w:ascii="Arial" w:cs="Arial" w:eastAsia="Arial" w:hAnsi="Arial"/>
                <w:sz w:val="18"/>
                <w:szCs w:val="18"/>
                <w:color w:val="auto"/>
              </w:rPr>
            </w:pPr>
            <w:hyperlink r:id="rId211">
              <w:r>
                <w:rPr>
                  <w:rFonts w:ascii="Arial" w:cs="Arial" w:eastAsia="Arial" w:hAnsi="Arial"/>
                  <w:sz w:val="18"/>
                  <w:szCs w:val="18"/>
                  <w:color w:val="auto"/>
                </w:rPr>
                <w:t>Amended and Restated Officers’</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10-Q</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9/30/2016</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10.12</w:t>
            </w:r>
          </w:p>
        </w:tc>
        <w:tc>
          <w:tcPr>
            <w:tcW w:w="1240" w:type="dxa"/>
            <w:vAlign w:val="bottom"/>
          </w:tcPr>
          <w:p>
            <w:pPr>
              <w:jc w:val="right"/>
              <w:spacing w:after="0"/>
              <w:rPr>
                <w:sz w:val="20"/>
                <w:szCs w:val="20"/>
                <w:color w:val="auto"/>
              </w:rPr>
            </w:pPr>
            <w:r>
              <w:rPr>
                <w:rFonts w:ascii="Arial" w:cs="Arial" w:eastAsia="Arial" w:hAnsi="Arial"/>
                <w:sz w:val="18"/>
                <w:szCs w:val="18"/>
                <w:color w:val="auto"/>
              </w:rPr>
              <w:t>10/20/2016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40" w:type="dxa"/>
            <w:vAlign w:val="bottom"/>
            <w:tcBorders>
              <w:top w:val="single" w:sz="8" w:color="0000EE"/>
            </w:tcBorders>
            <w:gridSpan w:val="8"/>
          </w:tcPr>
          <w:p>
            <w:pPr>
              <w:spacing w:after="0" w:line="182" w:lineRule="exact"/>
              <w:rPr>
                <w:rFonts w:ascii="Arial" w:cs="Arial" w:eastAsia="Arial" w:hAnsi="Arial"/>
                <w:sz w:val="18"/>
                <w:szCs w:val="18"/>
                <w:color w:val="auto"/>
              </w:rPr>
            </w:pPr>
            <w:hyperlink r:id="rId211">
              <w:r>
                <w:rPr>
                  <w:rFonts w:ascii="Arial" w:cs="Arial" w:eastAsia="Arial" w:hAnsi="Arial"/>
                  <w:sz w:val="18"/>
                  <w:szCs w:val="18"/>
                  <w:color w:val="auto"/>
                </w:rPr>
                <w:t>Indemnification Trust Agreement</w:t>
              </w:r>
            </w:hyperlink>
          </w:p>
        </w:tc>
        <w:tc>
          <w:tcPr>
            <w:tcW w:w="900" w:type="dxa"/>
            <w:vAlign w:val="bottom"/>
            <w:gridSpan w:val="16"/>
          </w:tcPr>
          <w:p>
            <w:pPr>
              <w:jc w:val="right"/>
              <w:ind w:right="220"/>
              <w:spacing w:after="0" w:line="182" w:lineRule="exact"/>
              <w:rPr>
                <w:rFonts w:ascii="Arial" w:cs="Arial" w:eastAsia="Arial" w:hAnsi="Arial"/>
                <w:sz w:val="18"/>
                <w:szCs w:val="18"/>
                <w:color w:val="auto"/>
                <w:w w:val="96"/>
              </w:rPr>
            </w:pPr>
            <w:hyperlink r:id="rId211">
              <w:r>
                <w:rPr>
                  <w:rFonts w:ascii="Arial" w:cs="Arial" w:eastAsia="Arial" w:hAnsi="Arial"/>
                  <w:sz w:val="18"/>
                  <w:szCs w:val="18"/>
                  <w:color w:val="auto"/>
                  <w:w w:val="96"/>
                </w:rPr>
                <w:t>between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3520" w:type="dxa"/>
            <w:vAlign w:val="bottom"/>
            <w:tcBorders>
              <w:bottom w:val="single" w:sz="8" w:color="0000EE"/>
            </w:tcBorders>
            <w:gridSpan w:val="23"/>
          </w:tcPr>
          <w:p>
            <w:pPr>
              <w:spacing w:after="0" w:line="182" w:lineRule="exact"/>
              <w:rPr>
                <w:rFonts w:ascii="Arial" w:cs="Arial" w:eastAsia="Arial" w:hAnsi="Arial"/>
                <w:sz w:val="18"/>
                <w:szCs w:val="18"/>
                <w:color w:val="auto"/>
                <w:w w:val="99"/>
              </w:rPr>
            </w:pPr>
            <w:hyperlink r:id="rId211">
              <w:r>
                <w:rPr>
                  <w:rFonts w:ascii="Arial" w:cs="Arial" w:eastAsia="Arial" w:hAnsi="Arial"/>
                  <w:sz w:val="18"/>
                  <w:szCs w:val="18"/>
                  <w:color w:val="auto"/>
                  <w:w w:val="99"/>
                </w:rPr>
                <w:t>Microsoft Corporation and The Bank of New</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520" w:type="dxa"/>
            <w:vAlign w:val="bottom"/>
            <w:tcBorders>
              <w:bottom w:val="single" w:sz="8" w:color="0000EE"/>
            </w:tcBorders>
            <w:gridSpan w:val="23"/>
          </w:tcPr>
          <w:p>
            <w:pPr>
              <w:spacing w:after="0" w:line="182" w:lineRule="exact"/>
              <w:rPr>
                <w:rFonts w:ascii="Arial" w:cs="Arial" w:eastAsia="Arial" w:hAnsi="Arial"/>
                <w:sz w:val="18"/>
                <w:szCs w:val="18"/>
                <w:color w:val="auto"/>
                <w:w w:val="97"/>
              </w:rPr>
            </w:pPr>
            <w:hyperlink r:id="rId211">
              <w:r>
                <w:rPr>
                  <w:rFonts w:ascii="Arial" w:cs="Arial" w:eastAsia="Arial" w:hAnsi="Arial"/>
                  <w:sz w:val="18"/>
                  <w:szCs w:val="18"/>
                  <w:color w:val="auto"/>
                  <w:w w:val="97"/>
                </w:rPr>
                <w:t>York Mellon Trust Company, N.A., as trustee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10.10</w:t>
            </w:r>
          </w:p>
        </w:tc>
        <w:tc>
          <w:tcPr>
            <w:tcW w:w="320" w:type="dxa"/>
            <w:vAlign w:val="bottom"/>
          </w:tcPr>
          <w:p>
            <w:pPr>
              <w:spacing w:after="0"/>
              <w:rPr>
                <w:sz w:val="24"/>
                <w:szCs w:val="24"/>
                <w:color w:val="auto"/>
              </w:rPr>
            </w:pPr>
          </w:p>
        </w:tc>
        <w:tc>
          <w:tcPr>
            <w:tcW w:w="3540" w:type="dxa"/>
            <w:vAlign w:val="bottom"/>
            <w:gridSpan w:val="24"/>
          </w:tcPr>
          <w:p>
            <w:pPr>
              <w:spacing w:after="0"/>
              <w:rPr>
                <w:rFonts w:ascii="Arial" w:cs="Arial" w:eastAsia="Arial" w:hAnsi="Arial"/>
                <w:sz w:val="18"/>
                <w:szCs w:val="18"/>
                <w:color w:val="auto"/>
                <w:w w:val="99"/>
              </w:rPr>
            </w:pPr>
            <w:hyperlink r:id="rId212">
              <w:r>
                <w:rPr>
                  <w:rFonts w:ascii="Arial" w:cs="Arial" w:eastAsia="Arial" w:hAnsi="Arial"/>
                  <w:sz w:val="18"/>
                  <w:szCs w:val="18"/>
                  <w:color w:val="auto"/>
                  <w:w w:val="99"/>
                </w:rPr>
                <w:t>Assumption of Beneficiaries’ Representative</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10-K</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6/30/2020</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10.25</w:t>
            </w:r>
          </w:p>
        </w:tc>
        <w:tc>
          <w:tcPr>
            <w:tcW w:w="1240" w:type="dxa"/>
            <w:vAlign w:val="bottom"/>
          </w:tcPr>
          <w:p>
            <w:pPr>
              <w:jc w:val="right"/>
              <w:spacing w:after="0"/>
              <w:rPr>
                <w:sz w:val="20"/>
                <w:szCs w:val="20"/>
                <w:color w:val="auto"/>
              </w:rPr>
            </w:pPr>
            <w:r>
              <w:rPr>
                <w:rFonts w:ascii="Arial" w:cs="Arial" w:eastAsia="Arial" w:hAnsi="Arial"/>
                <w:sz w:val="18"/>
                <w:szCs w:val="18"/>
                <w:color w:val="auto"/>
              </w:rPr>
              <w:t>7/30/2020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tcBorders>
              <w:top w:val="single" w:sz="8" w:color="0000EE"/>
            </w:tcBorders>
            <w:gridSpan w:val="23"/>
          </w:tcPr>
          <w:p>
            <w:pPr>
              <w:spacing w:after="0" w:line="182" w:lineRule="exact"/>
              <w:rPr>
                <w:rFonts w:ascii="Arial" w:cs="Arial" w:eastAsia="Arial" w:hAnsi="Arial"/>
                <w:sz w:val="18"/>
                <w:szCs w:val="18"/>
                <w:color w:val="auto"/>
              </w:rPr>
            </w:pPr>
            <w:hyperlink r:id="rId212">
              <w:r>
                <w:rPr>
                  <w:rFonts w:ascii="Arial" w:cs="Arial" w:eastAsia="Arial" w:hAnsi="Arial"/>
                  <w:sz w:val="18"/>
                  <w:szCs w:val="18"/>
                  <w:color w:val="auto"/>
                </w:rPr>
                <w:t>Obligations Under Amended and Restated</w:t>
              </w:r>
            </w:hyperlink>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28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auto"/>
                <w:w w:val="98"/>
              </w:rPr>
            </w:pPr>
            <w:hyperlink r:id="rId212">
              <w:r>
                <w:rPr>
                  <w:rFonts w:ascii="Arial" w:cs="Arial" w:eastAsia="Arial" w:hAnsi="Arial"/>
                  <w:sz w:val="18"/>
                  <w:szCs w:val="18"/>
                  <w:color w:val="auto"/>
                  <w:w w:val="98"/>
                </w:rPr>
                <w:t>Officers’ Indemnification Trust Agreement</w:t>
              </w:r>
            </w:hyperlink>
          </w:p>
        </w:tc>
        <w:tc>
          <w:tcPr>
            <w:tcW w:w="140" w:type="dxa"/>
            <w:vAlign w:val="bottom"/>
            <w:tcBorders>
              <w:top w:val="single" w:sz="8" w:color="0000EE"/>
            </w:tcBorders>
            <w:gridSpan w:val="5"/>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24"/>
                <w:szCs w:val="24"/>
                <w:color w:val="auto"/>
              </w:rPr>
            </w:pPr>
          </w:p>
        </w:tc>
        <w:tc>
          <w:tcPr>
            <w:tcW w:w="3540" w:type="dxa"/>
            <w:vAlign w:val="bottom"/>
            <w:gridSpan w:val="24"/>
          </w:tcPr>
          <w:p>
            <w:pPr>
              <w:spacing w:after="0"/>
              <w:rPr>
                <w:rFonts w:ascii="Arial" w:cs="Arial" w:eastAsia="Arial" w:hAnsi="Arial"/>
                <w:sz w:val="18"/>
                <w:szCs w:val="18"/>
                <w:color w:val="auto"/>
              </w:rPr>
            </w:pPr>
            <w:hyperlink r:id="rId213">
              <w:r>
                <w:rPr>
                  <w:rFonts w:ascii="Arial" w:cs="Arial" w:eastAsia="Arial" w:hAnsi="Arial"/>
                  <w:sz w:val="18"/>
                  <w:szCs w:val="18"/>
                  <w:color w:val="auto"/>
                </w:rPr>
                <w:t>Form of Indemnification Agreement and</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10-K</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6/30/2019</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10.13</w:t>
            </w:r>
          </w:p>
        </w:tc>
        <w:tc>
          <w:tcPr>
            <w:tcW w:w="1240" w:type="dxa"/>
            <w:vAlign w:val="bottom"/>
          </w:tcPr>
          <w:p>
            <w:pPr>
              <w:jc w:val="right"/>
              <w:spacing w:after="0"/>
              <w:rPr>
                <w:sz w:val="20"/>
                <w:szCs w:val="20"/>
                <w:color w:val="auto"/>
              </w:rPr>
            </w:pPr>
            <w:r>
              <w:rPr>
                <w:rFonts w:ascii="Arial" w:cs="Arial" w:eastAsia="Arial" w:hAnsi="Arial"/>
                <w:sz w:val="18"/>
                <w:szCs w:val="18"/>
                <w:color w:val="auto"/>
              </w:rPr>
              <w:t>8/1/2019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80" w:type="dxa"/>
            <w:vAlign w:val="bottom"/>
            <w:tcBorders>
              <w:top w:val="single" w:sz="8" w:color="0000EE"/>
            </w:tcBorders>
            <w:gridSpan w:val="14"/>
          </w:tcPr>
          <w:p>
            <w:pPr>
              <w:spacing w:after="0" w:line="182" w:lineRule="exact"/>
              <w:rPr>
                <w:rFonts w:ascii="Arial" w:cs="Arial" w:eastAsia="Arial" w:hAnsi="Arial"/>
                <w:sz w:val="18"/>
                <w:szCs w:val="18"/>
                <w:color w:val="auto"/>
              </w:rPr>
            </w:pPr>
            <w:hyperlink r:id="rId213">
              <w:r>
                <w:rPr>
                  <w:rFonts w:ascii="Arial" w:cs="Arial" w:eastAsia="Arial" w:hAnsi="Arial"/>
                  <w:sz w:val="18"/>
                  <w:szCs w:val="18"/>
                  <w:color w:val="auto"/>
                </w:rPr>
                <w:t>Amended and Restated Directors’</w:t>
              </w:r>
            </w:hyperlink>
          </w:p>
        </w:tc>
        <w:tc>
          <w:tcPr>
            <w:tcW w:w="1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40" w:type="dxa"/>
            <w:vAlign w:val="bottom"/>
            <w:tcBorders>
              <w:top w:val="single" w:sz="8" w:color="0000EE"/>
            </w:tcBorders>
            <w:gridSpan w:val="10"/>
          </w:tcPr>
          <w:p>
            <w:pPr>
              <w:spacing w:after="0" w:line="182" w:lineRule="exact"/>
              <w:rPr>
                <w:rFonts w:ascii="Arial" w:cs="Arial" w:eastAsia="Arial" w:hAnsi="Arial"/>
                <w:sz w:val="18"/>
                <w:szCs w:val="18"/>
                <w:color w:val="auto"/>
              </w:rPr>
            </w:pPr>
            <w:hyperlink r:id="rId213">
              <w:r>
                <w:rPr>
                  <w:rFonts w:ascii="Arial" w:cs="Arial" w:eastAsia="Arial" w:hAnsi="Arial"/>
                  <w:sz w:val="18"/>
                  <w:szCs w:val="18"/>
                  <w:color w:val="auto"/>
                </w:rPr>
                <w:t>Indemnification Trust Agreement</w:t>
              </w:r>
            </w:hyperlink>
          </w:p>
        </w:tc>
        <w:tc>
          <w:tcPr>
            <w:tcW w:w="800" w:type="dxa"/>
            <w:vAlign w:val="bottom"/>
            <w:gridSpan w:val="14"/>
          </w:tcPr>
          <w:p>
            <w:pPr>
              <w:jc w:val="right"/>
              <w:ind w:right="220"/>
              <w:spacing w:after="0" w:line="182" w:lineRule="exact"/>
              <w:rPr>
                <w:rFonts w:ascii="Arial" w:cs="Arial" w:eastAsia="Arial" w:hAnsi="Arial"/>
                <w:sz w:val="18"/>
                <w:szCs w:val="18"/>
                <w:color w:val="auto"/>
                <w:w w:val="82"/>
              </w:rPr>
            </w:pPr>
            <w:hyperlink r:id="rId213">
              <w:r>
                <w:rPr>
                  <w:rFonts w:ascii="Arial" w:cs="Arial" w:eastAsia="Arial" w:hAnsi="Arial"/>
                  <w:sz w:val="18"/>
                  <w:szCs w:val="18"/>
                  <w:color w:val="auto"/>
                  <w:w w:val="82"/>
                </w:rPr>
                <w:t>between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3520" w:type="dxa"/>
            <w:vAlign w:val="bottom"/>
            <w:tcBorders>
              <w:bottom w:val="single" w:sz="8" w:color="0000EE"/>
            </w:tcBorders>
            <w:gridSpan w:val="23"/>
          </w:tcPr>
          <w:p>
            <w:pPr>
              <w:spacing w:after="0" w:line="182" w:lineRule="exact"/>
              <w:rPr>
                <w:rFonts w:ascii="Arial" w:cs="Arial" w:eastAsia="Arial" w:hAnsi="Arial"/>
                <w:sz w:val="18"/>
                <w:szCs w:val="18"/>
                <w:color w:val="auto"/>
                <w:w w:val="99"/>
              </w:rPr>
            </w:pPr>
            <w:hyperlink r:id="rId213">
              <w:r>
                <w:rPr>
                  <w:rFonts w:ascii="Arial" w:cs="Arial" w:eastAsia="Arial" w:hAnsi="Arial"/>
                  <w:sz w:val="18"/>
                  <w:szCs w:val="18"/>
                  <w:color w:val="auto"/>
                  <w:w w:val="99"/>
                </w:rPr>
                <w:t>Microsoft Corporation and The Bank of New</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520" w:type="dxa"/>
            <w:vAlign w:val="bottom"/>
            <w:tcBorders>
              <w:bottom w:val="single" w:sz="8" w:color="0000EE"/>
            </w:tcBorders>
            <w:gridSpan w:val="23"/>
          </w:tcPr>
          <w:p>
            <w:pPr>
              <w:spacing w:after="0" w:line="182" w:lineRule="exact"/>
              <w:rPr>
                <w:rFonts w:ascii="Arial" w:cs="Arial" w:eastAsia="Arial" w:hAnsi="Arial"/>
                <w:sz w:val="18"/>
                <w:szCs w:val="18"/>
                <w:color w:val="auto"/>
                <w:w w:val="97"/>
              </w:rPr>
            </w:pPr>
            <w:hyperlink r:id="rId213">
              <w:r>
                <w:rPr>
                  <w:rFonts w:ascii="Arial" w:cs="Arial" w:eastAsia="Arial" w:hAnsi="Arial"/>
                  <w:sz w:val="18"/>
                  <w:szCs w:val="18"/>
                  <w:color w:val="auto"/>
                  <w:w w:val="97"/>
                </w:rPr>
                <w:t>York Mellon Trust Company, N.A., as trustee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24"/>
                <w:szCs w:val="24"/>
                <w:color w:val="auto"/>
              </w:rPr>
            </w:pPr>
          </w:p>
        </w:tc>
        <w:tc>
          <w:tcPr>
            <w:tcW w:w="3540" w:type="dxa"/>
            <w:vAlign w:val="bottom"/>
            <w:gridSpan w:val="24"/>
          </w:tcPr>
          <w:p>
            <w:pPr>
              <w:spacing w:after="0"/>
              <w:rPr>
                <w:rFonts w:ascii="Arial" w:cs="Arial" w:eastAsia="Arial" w:hAnsi="Arial"/>
                <w:sz w:val="18"/>
                <w:szCs w:val="18"/>
                <w:color w:val="auto"/>
                <w:w w:val="99"/>
              </w:rPr>
            </w:pPr>
            <w:hyperlink r:id="rId214">
              <w:r>
                <w:rPr>
                  <w:rFonts w:ascii="Arial" w:cs="Arial" w:eastAsia="Arial" w:hAnsi="Arial"/>
                  <w:sz w:val="18"/>
                  <w:szCs w:val="18"/>
                  <w:color w:val="auto"/>
                  <w:w w:val="99"/>
                </w:rPr>
                <w:t>Assumption of Beneficiaries’ Representative</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10-K</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6/30/2020</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10.26</w:t>
            </w:r>
          </w:p>
        </w:tc>
        <w:tc>
          <w:tcPr>
            <w:tcW w:w="1240" w:type="dxa"/>
            <w:vAlign w:val="bottom"/>
          </w:tcPr>
          <w:p>
            <w:pPr>
              <w:jc w:val="right"/>
              <w:spacing w:after="0"/>
              <w:rPr>
                <w:sz w:val="20"/>
                <w:szCs w:val="20"/>
                <w:color w:val="auto"/>
              </w:rPr>
            </w:pPr>
            <w:r>
              <w:rPr>
                <w:rFonts w:ascii="Arial" w:cs="Arial" w:eastAsia="Arial" w:hAnsi="Arial"/>
                <w:sz w:val="18"/>
                <w:szCs w:val="18"/>
                <w:color w:val="auto"/>
              </w:rPr>
              <w:t>7/30/2020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tcBorders>
              <w:top w:val="single" w:sz="8" w:color="0000EE"/>
            </w:tcBorders>
            <w:gridSpan w:val="23"/>
          </w:tcPr>
          <w:p>
            <w:pPr>
              <w:spacing w:after="0" w:line="182" w:lineRule="exact"/>
              <w:rPr>
                <w:rFonts w:ascii="Arial" w:cs="Arial" w:eastAsia="Arial" w:hAnsi="Arial"/>
                <w:sz w:val="18"/>
                <w:szCs w:val="18"/>
                <w:color w:val="auto"/>
              </w:rPr>
            </w:pPr>
            <w:hyperlink r:id="rId214">
              <w:r>
                <w:rPr>
                  <w:rFonts w:ascii="Arial" w:cs="Arial" w:eastAsia="Arial" w:hAnsi="Arial"/>
                  <w:sz w:val="18"/>
                  <w:szCs w:val="18"/>
                  <w:color w:val="auto"/>
                </w:rPr>
                <w:t>Obligations Under Amended and Restated</w:t>
              </w:r>
            </w:hyperlink>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40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auto"/>
                <w:w w:val="99"/>
              </w:rPr>
            </w:pPr>
            <w:hyperlink r:id="rId214">
              <w:r>
                <w:rPr>
                  <w:rFonts w:ascii="Arial" w:cs="Arial" w:eastAsia="Arial" w:hAnsi="Arial"/>
                  <w:sz w:val="18"/>
                  <w:szCs w:val="18"/>
                  <w:color w:val="auto"/>
                  <w:w w:val="99"/>
                </w:rPr>
                <w:t>Directors’ Indemnification Trust Agreement</w:t>
              </w:r>
            </w:hyperlink>
          </w:p>
        </w:tc>
        <w:tc>
          <w:tcPr>
            <w:tcW w:w="20" w:type="dxa"/>
            <w:vAlign w:val="bottom"/>
            <w:tcBorders>
              <w:top w:val="single" w:sz="8" w:color="0000EE"/>
            </w:tcBorders>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24"/>
                <w:szCs w:val="24"/>
                <w:color w:val="auto"/>
              </w:rPr>
            </w:pPr>
          </w:p>
        </w:tc>
        <w:tc>
          <w:tcPr>
            <w:tcW w:w="3540" w:type="dxa"/>
            <w:vAlign w:val="bottom"/>
            <w:gridSpan w:val="24"/>
          </w:tcPr>
          <w:p>
            <w:pPr>
              <w:spacing w:after="0"/>
              <w:rPr>
                <w:rFonts w:ascii="Arial" w:cs="Arial" w:eastAsia="Arial" w:hAnsi="Arial"/>
                <w:sz w:val="18"/>
                <w:szCs w:val="18"/>
                <w:color w:val="auto"/>
              </w:rPr>
            </w:pPr>
            <w:hyperlink r:id="rId215">
              <w:r>
                <w:rPr>
                  <w:rFonts w:ascii="Arial" w:cs="Arial" w:eastAsia="Arial" w:hAnsi="Arial"/>
                  <w:sz w:val="18"/>
                  <w:szCs w:val="18"/>
                  <w:color w:val="auto"/>
                </w:rPr>
                <w:t>Microsoft Corporation Deferred</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10-Q</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12/31/2017</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10.14</w:t>
            </w:r>
          </w:p>
        </w:tc>
        <w:tc>
          <w:tcPr>
            <w:tcW w:w="1240" w:type="dxa"/>
            <w:vAlign w:val="bottom"/>
          </w:tcPr>
          <w:p>
            <w:pPr>
              <w:jc w:val="right"/>
              <w:spacing w:after="0"/>
              <w:rPr>
                <w:sz w:val="20"/>
                <w:szCs w:val="20"/>
                <w:color w:val="auto"/>
              </w:rPr>
            </w:pPr>
            <w:r>
              <w:rPr>
                <w:rFonts w:ascii="Arial" w:cs="Arial" w:eastAsia="Arial" w:hAnsi="Arial"/>
                <w:sz w:val="18"/>
                <w:szCs w:val="18"/>
                <w:color w:val="auto"/>
              </w:rPr>
              <w:t>1/31/2018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3520" w:type="dxa"/>
            <w:vAlign w:val="bottom"/>
            <w:gridSpan w:val="23"/>
          </w:tcPr>
          <w:p>
            <w:pPr>
              <w:spacing w:after="0" w:line="182" w:lineRule="exact"/>
              <w:rPr>
                <w:rFonts w:ascii="Arial" w:cs="Arial" w:eastAsia="Arial" w:hAnsi="Arial"/>
                <w:sz w:val="18"/>
                <w:szCs w:val="18"/>
                <w:color w:val="auto"/>
              </w:rPr>
            </w:pPr>
            <w:hyperlink r:id="rId215">
              <w:r>
                <w:rPr>
                  <w:rFonts w:ascii="Arial" w:cs="Arial" w:eastAsia="Arial" w:hAnsi="Arial"/>
                  <w:sz w:val="18"/>
                  <w:szCs w:val="18"/>
                  <w:color w:val="auto"/>
                </w:rPr>
                <w:t>Compensation Plan for Non-Employee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7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auto"/>
                <w:w w:val="94"/>
              </w:rPr>
            </w:pPr>
            <w:hyperlink r:id="rId215">
              <w:r>
                <w:rPr>
                  <w:rFonts w:ascii="Arial" w:cs="Arial" w:eastAsia="Arial" w:hAnsi="Arial"/>
                  <w:sz w:val="18"/>
                  <w:szCs w:val="18"/>
                  <w:color w:val="auto"/>
                  <w:w w:val="94"/>
                </w:rPr>
                <w:t>Directors</w:t>
              </w:r>
            </w:hyperlink>
          </w:p>
        </w:tc>
        <w:tc>
          <w:tcPr>
            <w:tcW w:w="2400" w:type="dxa"/>
            <w:vAlign w:val="bottom"/>
            <w:tcBorders>
              <w:top w:val="single" w:sz="8" w:color="0000EE"/>
            </w:tcBorders>
            <w:gridSpan w:val="10"/>
          </w:tcPr>
          <w:p>
            <w:pPr>
              <w:spacing w:after="0"/>
              <w:rPr>
                <w:sz w:val="15"/>
                <w:szCs w:val="15"/>
                <w:color w:val="auto"/>
              </w:rPr>
            </w:pPr>
          </w:p>
        </w:tc>
        <w:tc>
          <w:tcPr>
            <w:tcW w:w="20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10.15*</w:t>
            </w:r>
          </w:p>
        </w:tc>
        <w:tc>
          <w:tcPr>
            <w:tcW w:w="320" w:type="dxa"/>
            <w:vAlign w:val="bottom"/>
          </w:tcPr>
          <w:p>
            <w:pPr>
              <w:spacing w:after="0"/>
              <w:rPr>
                <w:sz w:val="24"/>
                <w:szCs w:val="24"/>
                <w:color w:val="auto"/>
              </w:rPr>
            </w:pPr>
          </w:p>
        </w:tc>
        <w:tc>
          <w:tcPr>
            <w:tcW w:w="3540" w:type="dxa"/>
            <w:vAlign w:val="bottom"/>
            <w:gridSpan w:val="24"/>
          </w:tcPr>
          <w:p>
            <w:pPr>
              <w:spacing w:after="0"/>
              <w:rPr>
                <w:rFonts w:ascii="Arial" w:cs="Arial" w:eastAsia="Arial" w:hAnsi="Arial"/>
                <w:sz w:val="18"/>
                <w:szCs w:val="18"/>
                <w:color w:val="auto"/>
              </w:rPr>
            </w:pPr>
            <w:hyperlink r:id="rId216">
              <w:r>
                <w:rPr>
                  <w:rFonts w:ascii="Arial" w:cs="Arial" w:eastAsia="Arial" w:hAnsi="Arial"/>
                  <w:sz w:val="18"/>
                  <w:szCs w:val="18"/>
                  <w:color w:val="auto"/>
                </w:rPr>
                <w:t>Microsoft Corporation Executive Incentive</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8-K</w:t>
            </w:r>
          </w:p>
        </w:tc>
        <w:tc>
          <w:tcPr>
            <w:tcW w:w="1480" w:type="dxa"/>
            <w:vAlign w:val="bottom"/>
          </w:tcPr>
          <w:p>
            <w:pPr>
              <w:spacing w:after="0"/>
              <w:rPr>
                <w:sz w:val="24"/>
                <w:szCs w:val="24"/>
                <w:color w:val="auto"/>
              </w:rPr>
            </w:pP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10.1</w:t>
            </w:r>
          </w:p>
        </w:tc>
        <w:tc>
          <w:tcPr>
            <w:tcW w:w="1240" w:type="dxa"/>
            <w:vAlign w:val="bottom"/>
          </w:tcPr>
          <w:p>
            <w:pPr>
              <w:jc w:val="right"/>
              <w:spacing w:after="0"/>
              <w:rPr>
                <w:sz w:val="20"/>
                <w:szCs w:val="20"/>
                <w:color w:val="auto"/>
              </w:rPr>
            </w:pPr>
            <w:r>
              <w:rPr>
                <w:rFonts w:ascii="Arial" w:cs="Arial" w:eastAsia="Arial" w:hAnsi="Arial"/>
                <w:sz w:val="18"/>
                <w:szCs w:val="18"/>
                <w:color w:val="auto"/>
              </w:rPr>
              <w:t>9/19/2018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40" w:type="dxa"/>
            <w:vAlign w:val="bottom"/>
            <w:tcBorders>
              <w:top w:val="single" w:sz="8" w:color="0000EE"/>
              <w:bottom w:val="single" w:sz="8" w:color="0000EE"/>
            </w:tcBorders>
          </w:tcPr>
          <w:p>
            <w:pPr>
              <w:spacing w:after="0" w:line="182" w:lineRule="exact"/>
              <w:rPr>
                <w:rFonts w:ascii="Arial" w:cs="Arial" w:eastAsia="Arial" w:hAnsi="Arial"/>
                <w:sz w:val="18"/>
                <w:szCs w:val="18"/>
                <w:color w:val="auto"/>
                <w:w w:val="88"/>
              </w:rPr>
            </w:pPr>
            <w:hyperlink r:id="rId216">
              <w:r>
                <w:rPr>
                  <w:rFonts w:ascii="Arial" w:cs="Arial" w:eastAsia="Arial" w:hAnsi="Arial"/>
                  <w:sz w:val="18"/>
                  <w:szCs w:val="18"/>
                  <w:color w:val="auto"/>
                  <w:w w:val="88"/>
                </w:rPr>
                <w:t>Plan</w:t>
              </w:r>
            </w:hyperlink>
          </w:p>
        </w:tc>
        <w:tc>
          <w:tcPr>
            <w:tcW w:w="3040" w:type="dxa"/>
            <w:vAlign w:val="bottom"/>
            <w:tcBorders>
              <w:top w:val="single" w:sz="8" w:color="0000EE"/>
            </w:tcBorders>
            <w:gridSpan w:val="17"/>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10.19*</w:t>
            </w:r>
          </w:p>
        </w:tc>
        <w:tc>
          <w:tcPr>
            <w:tcW w:w="320" w:type="dxa"/>
            <w:vAlign w:val="bottom"/>
          </w:tcPr>
          <w:p>
            <w:pPr>
              <w:spacing w:after="0"/>
              <w:rPr>
                <w:sz w:val="24"/>
                <w:szCs w:val="24"/>
                <w:color w:val="auto"/>
              </w:rPr>
            </w:pPr>
          </w:p>
        </w:tc>
        <w:tc>
          <w:tcPr>
            <w:tcW w:w="3540" w:type="dxa"/>
            <w:vAlign w:val="bottom"/>
            <w:gridSpan w:val="24"/>
          </w:tcPr>
          <w:p>
            <w:pPr>
              <w:spacing w:after="0"/>
              <w:rPr>
                <w:rFonts w:ascii="Arial" w:cs="Arial" w:eastAsia="Arial" w:hAnsi="Arial"/>
                <w:sz w:val="18"/>
                <w:szCs w:val="18"/>
                <w:color w:val="auto"/>
              </w:rPr>
            </w:pPr>
            <w:hyperlink r:id="rId217">
              <w:r>
                <w:rPr>
                  <w:rFonts w:ascii="Arial" w:cs="Arial" w:eastAsia="Arial" w:hAnsi="Arial"/>
                  <w:sz w:val="18"/>
                  <w:szCs w:val="18"/>
                  <w:color w:val="auto"/>
                </w:rPr>
                <w:t>Microsoft Corporation Executive Incentive</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10-Q</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9/30/2016</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10.17</w:t>
            </w:r>
          </w:p>
        </w:tc>
        <w:tc>
          <w:tcPr>
            <w:tcW w:w="1240" w:type="dxa"/>
            <w:vAlign w:val="bottom"/>
          </w:tcPr>
          <w:p>
            <w:pPr>
              <w:jc w:val="right"/>
              <w:spacing w:after="0"/>
              <w:rPr>
                <w:sz w:val="20"/>
                <w:szCs w:val="20"/>
                <w:color w:val="auto"/>
              </w:rPr>
            </w:pPr>
            <w:r>
              <w:rPr>
                <w:rFonts w:ascii="Arial" w:cs="Arial" w:eastAsia="Arial" w:hAnsi="Arial"/>
                <w:sz w:val="18"/>
                <w:szCs w:val="18"/>
                <w:color w:val="auto"/>
              </w:rPr>
              <w:t>10/20/2016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40" w:type="dxa"/>
            <w:vAlign w:val="bottom"/>
            <w:tcBorders>
              <w:top w:val="single" w:sz="8" w:color="0000EE"/>
              <w:bottom w:val="single" w:sz="8" w:color="0000EE"/>
            </w:tcBorders>
          </w:tcPr>
          <w:p>
            <w:pPr>
              <w:spacing w:after="0" w:line="182" w:lineRule="exact"/>
              <w:rPr>
                <w:rFonts w:ascii="Arial" w:cs="Arial" w:eastAsia="Arial" w:hAnsi="Arial"/>
                <w:sz w:val="18"/>
                <w:szCs w:val="18"/>
                <w:color w:val="auto"/>
                <w:w w:val="88"/>
              </w:rPr>
            </w:pPr>
            <w:hyperlink r:id="rId217">
              <w:r>
                <w:rPr>
                  <w:rFonts w:ascii="Arial" w:cs="Arial" w:eastAsia="Arial" w:hAnsi="Arial"/>
                  <w:sz w:val="18"/>
                  <w:szCs w:val="18"/>
                  <w:color w:val="auto"/>
                  <w:w w:val="88"/>
                </w:rPr>
                <w:t>Plan</w:t>
              </w:r>
            </w:hyperlink>
          </w:p>
        </w:tc>
        <w:tc>
          <w:tcPr>
            <w:tcW w:w="3040" w:type="dxa"/>
            <w:vAlign w:val="bottom"/>
            <w:tcBorders>
              <w:top w:val="single" w:sz="8" w:color="0000EE"/>
            </w:tcBorders>
            <w:gridSpan w:val="17"/>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10.20*</w:t>
            </w:r>
          </w:p>
        </w:tc>
        <w:tc>
          <w:tcPr>
            <w:tcW w:w="320" w:type="dxa"/>
            <w:vAlign w:val="bottom"/>
          </w:tcPr>
          <w:p>
            <w:pPr>
              <w:spacing w:after="0"/>
              <w:rPr>
                <w:sz w:val="24"/>
                <w:szCs w:val="24"/>
                <w:color w:val="auto"/>
              </w:rPr>
            </w:pPr>
          </w:p>
        </w:tc>
        <w:tc>
          <w:tcPr>
            <w:tcW w:w="3540" w:type="dxa"/>
            <w:vAlign w:val="bottom"/>
            <w:gridSpan w:val="24"/>
          </w:tcPr>
          <w:p>
            <w:pPr>
              <w:spacing w:after="0"/>
              <w:rPr>
                <w:rFonts w:ascii="Arial" w:cs="Arial" w:eastAsia="Arial" w:hAnsi="Arial"/>
                <w:sz w:val="18"/>
                <w:szCs w:val="18"/>
                <w:color w:val="auto"/>
                <w:w w:val="99"/>
              </w:rPr>
            </w:pPr>
            <w:hyperlink r:id="rId218">
              <w:r>
                <w:rPr>
                  <w:rFonts w:ascii="Arial" w:cs="Arial" w:eastAsia="Arial" w:hAnsi="Arial"/>
                  <w:sz w:val="18"/>
                  <w:szCs w:val="18"/>
                  <w:color w:val="auto"/>
                  <w:w w:val="99"/>
                </w:rPr>
                <w:t>Form of Executive Incentive Plan (Executive</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10-Q</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9/30/2016</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10.18</w:t>
            </w:r>
          </w:p>
        </w:tc>
        <w:tc>
          <w:tcPr>
            <w:tcW w:w="1240" w:type="dxa"/>
            <w:vAlign w:val="bottom"/>
          </w:tcPr>
          <w:p>
            <w:pPr>
              <w:jc w:val="right"/>
              <w:spacing w:after="0"/>
              <w:rPr>
                <w:sz w:val="20"/>
                <w:szCs w:val="20"/>
                <w:color w:val="auto"/>
              </w:rPr>
            </w:pPr>
            <w:r>
              <w:rPr>
                <w:rFonts w:ascii="Arial" w:cs="Arial" w:eastAsia="Arial" w:hAnsi="Arial"/>
                <w:sz w:val="18"/>
                <w:szCs w:val="18"/>
                <w:color w:val="auto"/>
              </w:rPr>
              <w:t>10/20/2016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tcBorders>
              <w:top w:val="single" w:sz="8" w:color="0000EE"/>
            </w:tcBorders>
            <w:gridSpan w:val="23"/>
          </w:tcPr>
          <w:p>
            <w:pPr>
              <w:spacing w:after="0" w:line="182" w:lineRule="exact"/>
              <w:rPr>
                <w:rFonts w:ascii="Arial" w:cs="Arial" w:eastAsia="Arial" w:hAnsi="Arial"/>
                <w:sz w:val="18"/>
                <w:szCs w:val="18"/>
                <w:color w:val="auto"/>
              </w:rPr>
            </w:pPr>
            <w:hyperlink r:id="rId218">
              <w:r>
                <w:rPr>
                  <w:rFonts w:ascii="Arial" w:cs="Arial" w:eastAsia="Arial" w:hAnsi="Arial"/>
                  <w:sz w:val="18"/>
                  <w:szCs w:val="18"/>
                  <w:color w:val="auto"/>
                </w:rPr>
                <w:t>Officer SAs) Stock Award Agreement under</w:t>
              </w:r>
            </w:hyperlink>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38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auto"/>
                <w:w w:val="98"/>
              </w:rPr>
            </w:pPr>
            <w:hyperlink r:id="rId218">
              <w:r>
                <w:rPr>
                  <w:rFonts w:ascii="Arial" w:cs="Arial" w:eastAsia="Arial" w:hAnsi="Arial"/>
                  <w:sz w:val="18"/>
                  <w:szCs w:val="18"/>
                  <w:color w:val="auto"/>
                  <w:w w:val="98"/>
                </w:rPr>
                <w:t>the Microsoft Corporation 2001 Stock Plan</w:t>
              </w:r>
            </w:hyperlink>
          </w:p>
        </w:tc>
        <w:tc>
          <w:tcPr>
            <w:tcW w:w="120" w:type="dxa"/>
            <w:vAlign w:val="bottom"/>
            <w:tcBorders>
              <w:top w:val="single" w:sz="8" w:color="0000EE"/>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10.21*</w:t>
            </w:r>
          </w:p>
        </w:tc>
        <w:tc>
          <w:tcPr>
            <w:tcW w:w="320" w:type="dxa"/>
            <w:vAlign w:val="bottom"/>
          </w:tcPr>
          <w:p>
            <w:pPr>
              <w:spacing w:after="0"/>
              <w:rPr>
                <w:sz w:val="24"/>
                <w:szCs w:val="24"/>
                <w:color w:val="auto"/>
              </w:rPr>
            </w:pPr>
          </w:p>
        </w:tc>
        <w:tc>
          <w:tcPr>
            <w:tcW w:w="2680" w:type="dxa"/>
            <w:vAlign w:val="bottom"/>
            <w:tcBorders>
              <w:bottom w:val="single" w:sz="8" w:color="0000EE"/>
            </w:tcBorders>
            <w:gridSpan w:val="9"/>
          </w:tcPr>
          <w:p>
            <w:pPr>
              <w:spacing w:after="0"/>
              <w:rPr>
                <w:rFonts w:ascii="Arial" w:cs="Arial" w:eastAsia="Arial" w:hAnsi="Arial"/>
                <w:sz w:val="18"/>
                <w:szCs w:val="18"/>
                <w:color w:val="auto"/>
              </w:rPr>
            </w:pPr>
            <w:hyperlink r:id="rId219">
              <w:r>
                <w:rPr>
                  <w:rFonts w:ascii="Arial" w:cs="Arial" w:eastAsia="Arial" w:hAnsi="Arial"/>
                  <w:sz w:val="18"/>
                  <w:szCs w:val="18"/>
                  <w:color w:val="auto"/>
                </w:rPr>
                <w:t>Form of Executive Incentive Plan</w:t>
              </w:r>
            </w:hyperlink>
          </w:p>
        </w:tc>
        <w:tc>
          <w:tcPr>
            <w:tcW w:w="86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10-Q</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9/30/2016</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10.25</w:t>
            </w:r>
          </w:p>
        </w:tc>
        <w:tc>
          <w:tcPr>
            <w:tcW w:w="1240" w:type="dxa"/>
            <w:vAlign w:val="bottom"/>
          </w:tcPr>
          <w:p>
            <w:pPr>
              <w:jc w:val="right"/>
              <w:spacing w:after="0"/>
              <w:rPr>
                <w:sz w:val="20"/>
                <w:szCs w:val="20"/>
                <w:color w:val="auto"/>
              </w:rPr>
            </w:pPr>
            <w:r>
              <w:rPr>
                <w:rFonts w:ascii="Arial" w:cs="Arial" w:eastAsia="Arial" w:hAnsi="Arial"/>
                <w:sz w:val="18"/>
                <w:szCs w:val="18"/>
                <w:color w:val="auto"/>
              </w:rPr>
              <w:t>10/20/2016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40" w:type="dxa"/>
            <w:vAlign w:val="bottom"/>
            <w:gridSpan w:val="24"/>
          </w:tcPr>
          <w:p>
            <w:pPr>
              <w:spacing w:after="0" w:line="182" w:lineRule="exact"/>
              <w:rPr>
                <w:rFonts w:ascii="Arial" w:cs="Arial" w:eastAsia="Arial" w:hAnsi="Arial"/>
                <w:sz w:val="18"/>
                <w:szCs w:val="18"/>
                <w:color w:val="auto"/>
                <w:w w:val="99"/>
              </w:rPr>
            </w:pPr>
            <w:hyperlink r:id="rId219">
              <w:r>
                <w:rPr>
                  <w:rFonts w:ascii="Arial" w:cs="Arial" w:eastAsia="Arial" w:hAnsi="Arial"/>
                  <w:sz w:val="18"/>
                  <w:szCs w:val="18"/>
                  <w:color w:val="auto"/>
                  <w:w w:val="99"/>
                </w:rPr>
                <w:t>Performance Stock Award Agreement under</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38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auto"/>
                <w:w w:val="98"/>
              </w:rPr>
            </w:pPr>
            <w:hyperlink r:id="rId219">
              <w:r>
                <w:rPr>
                  <w:rFonts w:ascii="Arial" w:cs="Arial" w:eastAsia="Arial" w:hAnsi="Arial"/>
                  <w:sz w:val="18"/>
                  <w:szCs w:val="18"/>
                  <w:color w:val="auto"/>
                  <w:w w:val="98"/>
                </w:rPr>
                <w:t>the Microsoft Corporation 2001 Stock Plan</w:t>
              </w:r>
            </w:hyperlink>
          </w:p>
        </w:tc>
        <w:tc>
          <w:tcPr>
            <w:tcW w:w="140" w:type="dxa"/>
            <w:vAlign w:val="bottom"/>
            <w:tcBorders>
              <w:top w:val="single" w:sz="8" w:color="0000EE"/>
            </w:tcBorders>
            <w:gridSpan w:val="5"/>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10.22*</w:t>
            </w:r>
          </w:p>
        </w:tc>
        <w:tc>
          <w:tcPr>
            <w:tcW w:w="320" w:type="dxa"/>
            <w:vAlign w:val="bottom"/>
          </w:tcPr>
          <w:p>
            <w:pPr>
              <w:spacing w:after="0"/>
              <w:rPr>
                <w:sz w:val="24"/>
                <w:szCs w:val="24"/>
                <w:color w:val="auto"/>
              </w:rPr>
            </w:pPr>
          </w:p>
        </w:tc>
        <w:tc>
          <w:tcPr>
            <w:tcW w:w="3320" w:type="dxa"/>
            <w:vAlign w:val="bottom"/>
            <w:tcBorders>
              <w:bottom w:val="single" w:sz="8" w:color="0000EE"/>
            </w:tcBorders>
            <w:gridSpan w:val="17"/>
          </w:tcPr>
          <w:p>
            <w:pPr>
              <w:spacing w:after="0"/>
              <w:rPr>
                <w:rFonts w:ascii="Arial" w:cs="Arial" w:eastAsia="Arial" w:hAnsi="Arial"/>
                <w:sz w:val="18"/>
                <w:szCs w:val="18"/>
                <w:color w:val="auto"/>
              </w:rPr>
            </w:pPr>
            <w:hyperlink r:id="rId220">
              <w:r>
                <w:rPr>
                  <w:rFonts w:ascii="Arial" w:cs="Arial" w:eastAsia="Arial" w:hAnsi="Arial"/>
                  <w:sz w:val="18"/>
                  <w:szCs w:val="18"/>
                  <w:color w:val="auto"/>
                </w:rPr>
                <w:t>Senior Executive Severance Benefit Plan</w:t>
              </w:r>
            </w:hyperlink>
          </w:p>
        </w:tc>
        <w:tc>
          <w:tcPr>
            <w:tcW w:w="22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10-Q</w:t>
            </w:r>
          </w:p>
        </w:tc>
        <w:tc>
          <w:tcPr>
            <w:tcW w:w="1480" w:type="dxa"/>
            <w:vAlign w:val="bottom"/>
          </w:tcPr>
          <w:p>
            <w:pPr>
              <w:jc w:val="right"/>
              <w:ind w:right="195"/>
              <w:spacing w:after="0"/>
              <w:rPr>
                <w:sz w:val="20"/>
                <w:szCs w:val="20"/>
                <w:color w:val="auto"/>
              </w:rPr>
            </w:pPr>
            <w:r>
              <w:rPr>
                <w:rFonts w:ascii="Arial" w:cs="Arial" w:eastAsia="Arial" w:hAnsi="Arial"/>
                <w:sz w:val="18"/>
                <w:szCs w:val="18"/>
                <w:color w:val="auto"/>
              </w:rPr>
              <w:t>9/30/2016</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10.22</w:t>
            </w:r>
          </w:p>
        </w:tc>
        <w:tc>
          <w:tcPr>
            <w:tcW w:w="1240" w:type="dxa"/>
            <w:vAlign w:val="bottom"/>
          </w:tcPr>
          <w:p>
            <w:pPr>
              <w:jc w:val="right"/>
              <w:spacing w:after="0"/>
              <w:rPr>
                <w:sz w:val="20"/>
                <w:szCs w:val="20"/>
                <w:color w:val="auto"/>
              </w:rPr>
            </w:pPr>
            <w:r>
              <w:rPr>
                <w:rFonts w:ascii="Arial" w:cs="Arial" w:eastAsia="Arial" w:hAnsi="Arial"/>
                <w:sz w:val="18"/>
                <w:szCs w:val="18"/>
                <w:color w:val="auto"/>
              </w:rPr>
              <w:t>10/20/2016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10.23*</w:t>
            </w:r>
          </w:p>
        </w:tc>
        <w:tc>
          <w:tcPr>
            <w:tcW w:w="320" w:type="dxa"/>
            <w:vAlign w:val="bottom"/>
          </w:tcPr>
          <w:p>
            <w:pPr>
              <w:spacing w:after="0"/>
              <w:rPr>
                <w:sz w:val="24"/>
                <w:szCs w:val="24"/>
                <w:color w:val="auto"/>
              </w:rPr>
            </w:pPr>
          </w:p>
        </w:tc>
        <w:tc>
          <w:tcPr>
            <w:tcW w:w="3540" w:type="dxa"/>
            <w:vAlign w:val="bottom"/>
            <w:gridSpan w:val="24"/>
          </w:tcPr>
          <w:p>
            <w:pPr>
              <w:spacing w:after="0"/>
              <w:rPr>
                <w:rFonts w:ascii="Arial" w:cs="Arial" w:eastAsia="Arial" w:hAnsi="Arial"/>
                <w:sz w:val="18"/>
                <w:szCs w:val="18"/>
                <w:color w:val="auto"/>
              </w:rPr>
            </w:pPr>
            <w:hyperlink r:id="rId221">
              <w:r>
                <w:rPr>
                  <w:rFonts w:ascii="Arial" w:cs="Arial" w:eastAsia="Arial" w:hAnsi="Arial"/>
                  <w:sz w:val="18"/>
                  <w:szCs w:val="18"/>
                  <w:color w:val="auto"/>
                </w:rPr>
                <w:t>Offer Letter, dated February 3, 2014,</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8-K</w:t>
            </w:r>
          </w:p>
        </w:tc>
        <w:tc>
          <w:tcPr>
            <w:tcW w:w="1480" w:type="dxa"/>
            <w:vAlign w:val="bottom"/>
          </w:tcPr>
          <w:p>
            <w:pPr>
              <w:spacing w:after="0"/>
              <w:rPr>
                <w:sz w:val="24"/>
                <w:szCs w:val="24"/>
                <w:color w:val="auto"/>
              </w:rPr>
            </w:pP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10.1</w:t>
            </w:r>
          </w:p>
        </w:tc>
        <w:tc>
          <w:tcPr>
            <w:tcW w:w="1240" w:type="dxa"/>
            <w:vAlign w:val="bottom"/>
          </w:tcPr>
          <w:p>
            <w:pPr>
              <w:jc w:val="right"/>
              <w:spacing w:after="0"/>
              <w:rPr>
                <w:sz w:val="20"/>
                <w:szCs w:val="20"/>
                <w:color w:val="auto"/>
              </w:rPr>
            </w:pPr>
            <w:r>
              <w:rPr>
                <w:rFonts w:ascii="Arial" w:cs="Arial" w:eastAsia="Arial" w:hAnsi="Arial"/>
                <w:sz w:val="18"/>
                <w:szCs w:val="18"/>
                <w:color w:val="auto"/>
              </w:rPr>
              <w:t>2/4/2014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360" w:type="dxa"/>
            <w:vAlign w:val="bottom"/>
            <w:gridSpan w:val="9"/>
            <w:shd w:val="clear" w:color="auto" w:fill="0000EE"/>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3520" w:type="dxa"/>
            <w:vAlign w:val="bottom"/>
            <w:gridSpan w:val="23"/>
          </w:tcPr>
          <w:p>
            <w:pPr>
              <w:spacing w:after="0" w:line="182" w:lineRule="exact"/>
              <w:rPr>
                <w:rFonts w:ascii="Arial" w:cs="Arial" w:eastAsia="Arial" w:hAnsi="Arial"/>
                <w:sz w:val="18"/>
                <w:szCs w:val="18"/>
                <w:color w:val="auto"/>
              </w:rPr>
            </w:pPr>
            <w:hyperlink r:id="rId221">
              <w:r>
                <w:rPr>
                  <w:rFonts w:ascii="Arial" w:cs="Arial" w:eastAsia="Arial" w:hAnsi="Arial"/>
                  <w:sz w:val="18"/>
                  <w:szCs w:val="18"/>
                  <w:color w:val="auto"/>
                </w:rPr>
                <w:t>between Microsoft Corporation and Satya</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40" w:type="dxa"/>
            <w:vAlign w:val="bottom"/>
            <w:tcBorders>
              <w:top w:val="single" w:sz="8" w:color="0000EE"/>
            </w:tcBorders>
            <w:gridSpan w:val="17"/>
          </w:tcPr>
          <w:p>
            <w:pPr>
              <w:spacing w:after="0" w:line="182" w:lineRule="exact"/>
              <w:rPr>
                <w:rFonts w:ascii="Arial" w:cs="Arial" w:eastAsia="Arial" w:hAnsi="Arial"/>
                <w:sz w:val="18"/>
                <w:szCs w:val="18"/>
                <w:color w:val="auto"/>
              </w:rPr>
            </w:pPr>
            <w:hyperlink r:id="rId221">
              <w:r>
                <w:rPr>
                  <w:rFonts w:ascii="Arial" w:cs="Arial" w:eastAsia="Arial" w:hAnsi="Arial"/>
                  <w:sz w:val="18"/>
                  <w:szCs w:val="18"/>
                  <w:color w:val="auto"/>
                </w:rPr>
                <w:t>Nadella</w:t>
              </w:r>
            </w:hyperlink>
          </w:p>
        </w:tc>
        <w:tc>
          <w:tcPr>
            <w:tcW w:w="18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4"/>
                <w:szCs w:val="14"/>
                <w:color w:val="auto"/>
              </w:rPr>
              <w:t>108</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8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08" w:name="page109"/>
    <w:bookmarkEnd w:id="108"/>
    <w:p>
      <w:pPr>
        <w:ind w:left="5360"/>
        <w:spacing w:after="0"/>
        <w:rPr>
          <w:sz w:val="20"/>
          <w:szCs w:val="20"/>
          <w:color w:val="auto"/>
        </w:rPr>
      </w:pPr>
      <w:r>
        <w:rPr>
          <w:rFonts w:ascii="Arial" w:cs="Arial" w:eastAsia="Arial" w:hAnsi="Arial"/>
          <w:sz w:val="13"/>
          <w:szCs w:val="13"/>
          <w:u w:val="single" w:color="auto"/>
          <w:color w:val="auto"/>
        </w:rPr>
        <w:t>PART IV</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2"/>
          </w:tcPr>
          <w:p>
            <w:pPr>
              <w:ind w:left="440"/>
              <w:spacing w:after="0"/>
              <w:rPr>
                <w:sz w:val="20"/>
                <w:szCs w:val="20"/>
                <w:color w:val="auto"/>
              </w:rPr>
            </w:pPr>
            <w:r>
              <w:rPr>
                <w:rFonts w:ascii="Arial" w:cs="Arial" w:eastAsia="Arial" w:hAnsi="Arial"/>
                <w:sz w:val="13"/>
                <w:szCs w:val="13"/>
                <w:b w:val="1"/>
                <w:bCs w:val="1"/>
                <w:color w:val="auto"/>
              </w:rPr>
              <w:t>Incorporated by Reference</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960" w:type="dxa"/>
            <w:vAlign w:val="bottom"/>
          </w:tcPr>
          <w:p>
            <w:pPr>
              <w:ind w:left="20"/>
              <w:spacing w:after="0" w:line="141" w:lineRule="exact"/>
              <w:rPr>
                <w:sz w:val="20"/>
                <w:szCs w:val="20"/>
                <w:color w:val="auto"/>
              </w:rPr>
            </w:pPr>
            <w:r>
              <w:rPr>
                <w:rFonts w:ascii="Arial" w:cs="Arial" w:eastAsia="Arial" w:hAnsi="Arial"/>
                <w:sz w:val="13"/>
                <w:szCs w:val="13"/>
                <w:b w:val="1"/>
                <w:bCs w:val="1"/>
                <w:color w:val="auto"/>
              </w:rPr>
              <w:t>Exhibit</w:t>
            </w:r>
          </w:p>
        </w:tc>
        <w:tc>
          <w:tcPr>
            <w:tcW w:w="3780" w:type="dxa"/>
            <w:vAlign w:val="bottom"/>
            <w:gridSpan w:val="19"/>
            <w:vMerge w:val="restart"/>
          </w:tcPr>
          <w:p>
            <w:pPr>
              <w:ind w:left="200"/>
              <w:spacing w:after="0"/>
              <w:rPr>
                <w:sz w:val="20"/>
                <w:szCs w:val="20"/>
                <w:color w:val="auto"/>
              </w:rPr>
            </w:pPr>
            <w:r>
              <w:rPr>
                <w:rFonts w:ascii="Arial" w:cs="Arial" w:eastAsia="Arial" w:hAnsi="Arial"/>
                <w:sz w:val="13"/>
                <w:szCs w:val="13"/>
                <w:b w:val="1"/>
                <w:bCs w:val="1"/>
                <w:color w:val="auto"/>
              </w:rPr>
              <w:t>Exhibit Description</w:t>
            </w:r>
          </w:p>
        </w:tc>
        <w:tc>
          <w:tcPr>
            <w:tcW w:w="920" w:type="dxa"/>
            <w:vAlign w:val="bottom"/>
          </w:tcPr>
          <w:p>
            <w:pPr>
              <w:jc w:val="center"/>
              <w:ind w:left="33"/>
              <w:spacing w:after="0" w:line="141" w:lineRule="exact"/>
              <w:rPr>
                <w:sz w:val="20"/>
                <w:szCs w:val="20"/>
                <w:color w:val="auto"/>
              </w:rPr>
            </w:pPr>
            <w:r>
              <w:rPr>
                <w:rFonts w:ascii="Arial" w:cs="Arial" w:eastAsia="Arial" w:hAnsi="Arial"/>
                <w:sz w:val="13"/>
                <w:szCs w:val="13"/>
                <w:b w:val="1"/>
                <w:bCs w:val="1"/>
                <w:color w:val="auto"/>
              </w:rPr>
              <w:t>Filed</w:t>
            </w:r>
          </w:p>
        </w:tc>
        <w:tc>
          <w:tcPr>
            <w:tcW w:w="1440" w:type="dxa"/>
            <w:vAlign w:val="bottom"/>
            <w:vMerge w:val="restart"/>
          </w:tcPr>
          <w:p>
            <w:pPr>
              <w:jc w:val="right"/>
              <w:ind w:right="218"/>
              <w:spacing w:after="0"/>
              <w:rPr>
                <w:sz w:val="20"/>
                <w:szCs w:val="20"/>
                <w:color w:val="auto"/>
              </w:rPr>
            </w:pPr>
            <w:r>
              <w:rPr>
                <w:rFonts w:ascii="Arial" w:cs="Arial" w:eastAsia="Arial" w:hAnsi="Arial"/>
                <w:sz w:val="13"/>
                <w:szCs w:val="13"/>
                <w:b w:val="1"/>
                <w:bCs w:val="1"/>
                <w:color w:val="auto"/>
              </w:rPr>
              <w:t>Form</w:t>
            </w:r>
          </w:p>
        </w:tc>
        <w:tc>
          <w:tcPr>
            <w:tcW w:w="1600" w:type="dxa"/>
            <w:vAlign w:val="bottom"/>
          </w:tcPr>
          <w:p>
            <w:pPr>
              <w:jc w:val="right"/>
              <w:ind w:right="324"/>
              <w:spacing w:after="0" w:line="141" w:lineRule="exact"/>
              <w:rPr>
                <w:sz w:val="20"/>
                <w:szCs w:val="20"/>
                <w:color w:val="auto"/>
              </w:rPr>
            </w:pPr>
            <w:r>
              <w:rPr>
                <w:rFonts w:ascii="Arial" w:cs="Arial" w:eastAsia="Arial" w:hAnsi="Arial"/>
                <w:sz w:val="13"/>
                <w:szCs w:val="13"/>
                <w:b w:val="1"/>
                <w:bCs w:val="1"/>
                <w:color w:val="auto"/>
              </w:rPr>
              <w:t>Period</w:t>
            </w:r>
          </w:p>
        </w:tc>
        <w:tc>
          <w:tcPr>
            <w:tcW w:w="1200" w:type="dxa"/>
            <w:vAlign w:val="bottom"/>
            <w:vMerge w:val="restart"/>
          </w:tcPr>
          <w:p>
            <w:pPr>
              <w:ind w:left="420"/>
              <w:spacing w:after="0"/>
              <w:rPr>
                <w:sz w:val="20"/>
                <w:szCs w:val="20"/>
                <w:color w:val="auto"/>
              </w:rPr>
            </w:pPr>
            <w:r>
              <w:rPr>
                <w:rFonts w:ascii="Arial" w:cs="Arial" w:eastAsia="Arial" w:hAnsi="Arial"/>
                <w:sz w:val="13"/>
                <w:szCs w:val="13"/>
                <w:b w:val="1"/>
                <w:bCs w:val="1"/>
                <w:color w:val="auto"/>
              </w:rPr>
              <w:t>Exhibit</w:t>
            </w:r>
          </w:p>
        </w:tc>
        <w:tc>
          <w:tcPr>
            <w:tcW w:w="12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177"/>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Number</w:t>
            </w:r>
          </w:p>
        </w:tc>
        <w:tc>
          <w:tcPr>
            <w:tcW w:w="3780" w:type="dxa"/>
            <w:vAlign w:val="bottom"/>
            <w:tcBorders>
              <w:bottom w:val="single" w:sz="8" w:color="auto"/>
            </w:tcBorders>
            <w:gridSpan w:val="19"/>
            <w:vMerge w:val="continue"/>
          </w:tcPr>
          <w:p>
            <w:pPr>
              <w:spacing w:after="0"/>
              <w:rPr>
                <w:sz w:val="15"/>
                <w:szCs w:val="15"/>
                <w:color w:val="auto"/>
              </w:rPr>
            </w:pPr>
          </w:p>
        </w:tc>
        <w:tc>
          <w:tcPr>
            <w:tcW w:w="92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b w:val="1"/>
                <w:bCs w:val="1"/>
                <w:color w:val="auto"/>
              </w:rPr>
              <w:t>Herewith</w:t>
            </w:r>
          </w:p>
        </w:tc>
        <w:tc>
          <w:tcPr>
            <w:tcW w:w="1440" w:type="dxa"/>
            <w:vAlign w:val="bottom"/>
            <w:tcBorders>
              <w:bottom w:val="single" w:sz="8" w:color="auto"/>
            </w:tcBorders>
            <w:vMerge w:val="continue"/>
          </w:tcPr>
          <w:p>
            <w:pPr>
              <w:spacing w:after="0"/>
              <w:rPr>
                <w:sz w:val="15"/>
                <w:szCs w:val="15"/>
                <w:color w:val="auto"/>
              </w:rPr>
            </w:pPr>
          </w:p>
        </w:tc>
        <w:tc>
          <w:tcPr>
            <w:tcW w:w="160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Ending</w:t>
            </w:r>
          </w:p>
        </w:tc>
        <w:tc>
          <w:tcPr>
            <w:tcW w:w="120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60" w:type="dxa"/>
            <w:vAlign w:val="bottom"/>
          </w:tcPr>
          <w:p>
            <w:pPr>
              <w:ind w:left="20"/>
              <w:spacing w:after="0"/>
              <w:rPr>
                <w:sz w:val="20"/>
                <w:szCs w:val="20"/>
                <w:color w:val="auto"/>
              </w:rPr>
            </w:pPr>
            <w:r>
              <w:rPr>
                <w:rFonts w:ascii="Arial" w:cs="Arial" w:eastAsia="Arial" w:hAnsi="Arial"/>
                <w:sz w:val="18"/>
                <w:szCs w:val="18"/>
                <w:color w:val="auto"/>
              </w:rPr>
              <w:t>10.24*</w:t>
            </w:r>
          </w:p>
        </w:tc>
        <w:tc>
          <w:tcPr>
            <w:tcW w:w="200" w:type="dxa"/>
            <w:vAlign w:val="bottom"/>
          </w:tcPr>
          <w:p>
            <w:pPr>
              <w:spacing w:after="0"/>
              <w:rPr>
                <w:sz w:val="21"/>
                <w:szCs w:val="21"/>
                <w:color w:val="auto"/>
              </w:rPr>
            </w:pPr>
          </w:p>
        </w:tc>
        <w:tc>
          <w:tcPr>
            <w:tcW w:w="3580" w:type="dxa"/>
            <w:vAlign w:val="bottom"/>
            <w:gridSpan w:val="18"/>
          </w:tcPr>
          <w:p>
            <w:pPr>
              <w:spacing w:after="0"/>
              <w:rPr>
                <w:rFonts w:ascii="Arial" w:cs="Arial" w:eastAsia="Arial" w:hAnsi="Arial"/>
                <w:sz w:val="18"/>
                <w:szCs w:val="18"/>
                <w:color w:val="auto"/>
              </w:rPr>
            </w:pPr>
            <w:hyperlink r:id="rId224">
              <w:r>
                <w:rPr>
                  <w:rFonts w:ascii="Arial" w:cs="Arial" w:eastAsia="Arial" w:hAnsi="Arial"/>
                  <w:sz w:val="18"/>
                  <w:szCs w:val="18"/>
                  <w:color w:val="auto"/>
                </w:rPr>
                <w:t>Long-Term Performance Stock Award</w:t>
              </w:r>
            </w:hyperlink>
          </w:p>
        </w:tc>
        <w:tc>
          <w:tcPr>
            <w:tcW w:w="920" w:type="dxa"/>
            <w:vAlign w:val="bottom"/>
          </w:tcPr>
          <w:p>
            <w:pPr>
              <w:spacing w:after="0"/>
              <w:rPr>
                <w:sz w:val="21"/>
                <w:szCs w:val="21"/>
                <w:color w:val="auto"/>
              </w:rPr>
            </w:pPr>
          </w:p>
        </w:tc>
        <w:tc>
          <w:tcPr>
            <w:tcW w:w="1440" w:type="dxa"/>
            <w:vAlign w:val="bottom"/>
          </w:tcPr>
          <w:p>
            <w:pPr>
              <w:jc w:val="right"/>
              <w:ind w:right="218"/>
              <w:spacing w:after="0"/>
              <w:rPr>
                <w:sz w:val="20"/>
                <w:szCs w:val="20"/>
                <w:color w:val="auto"/>
              </w:rPr>
            </w:pPr>
            <w:r>
              <w:rPr>
                <w:rFonts w:ascii="Arial" w:cs="Arial" w:eastAsia="Arial" w:hAnsi="Arial"/>
                <w:sz w:val="18"/>
                <w:szCs w:val="18"/>
                <w:color w:val="auto"/>
              </w:rPr>
              <w:t>10-Q</w:t>
            </w:r>
          </w:p>
        </w:tc>
        <w:tc>
          <w:tcPr>
            <w:tcW w:w="1600" w:type="dxa"/>
            <w:vAlign w:val="bottom"/>
          </w:tcPr>
          <w:p>
            <w:pPr>
              <w:jc w:val="right"/>
              <w:ind w:right="324"/>
              <w:spacing w:after="0"/>
              <w:rPr>
                <w:sz w:val="20"/>
                <w:szCs w:val="20"/>
                <w:color w:val="auto"/>
              </w:rPr>
            </w:pPr>
            <w:r>
              <w:rPr>
                <w:rFonts w:ascii="Arial" w:cs="Arial" w:eastAsia="Arial" w:hAnsi="Arial"/>
                <w:sz w:val="18"/>
                <w:szCs w:val="18"/>
                <w:color w:val="auto"/>
              </w:rPr>
              <w:t>12/31/2014</w:t>
            </w:r>
          </w:p>
        </w:tc>
        <w:tc>
          <w:tcPr>
            <w:tcW w:w="1200" w:type="dxa"/>
            <w:vAlign w:val="bottom"/>
          </w:tcPr>
          <w:p>
            <w:pPr>
              <w:ind w:left="420"/>
              <w:spacing w:after="0"/>
              <w:rPr>
                <w:sz w:val="20"/>
                <w:szCs w:val="20"/>
                <w:color w:val="auto"/>
              </w:rPr>
            </w:pPr>
            <w:r>
              <w:rPr>
                <w:rFonts w:ascii="Arial" w:cs="Arial" w:eastAsia="Arial" w:hAnsi="Arial"/>
                <w:sz w:val="18"/>
                <w:szCs w:val="18"/>
                <w:color w:val="auto"/>
              </w:rPr>
              <w:t>10.24</w:t>
            </w:r>
          </w:p>
        </w:tc>
        <w:tc>
          <w:tcPr>
            <w:tcW w:w="1240" w:type="dxa"/>
            <w:vAlign w:val="bottom"/>
          </w:tcPr>
          <w:p>
            <w:pPr>
              <w:jc w:val="right"/>
              <w:spacing w:after="0"/>
              <w:rPr>
                <w:sz w:val="20"/>
                <w:szCs w:val="20"/>
                <w:color w:val="auto"/>
              </w:rPr>
            </w:pPr>
            <w:r>
              <w:rPr>
                <w:rFonts w:ascii="Arial" w:cs="Arial" w:eastAsia="Arial" w:hAnsi="Arial"/>
                <w:sz w:val="18"/>
                <w:szCs w:val="18"/>
                <w:color w:val="auto"/>
              </w:rPr>
              <w:t>1/26/2015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560" w:type="dxa"/>
            <w:vAlign w:val="bottom"/>
            <w:gridSpan w:val="17"/>
          </w:tcPr>
          <w:p>
            <w:pPr>
              <w:spacing w:after="0" w:line="182" w:lineRule="exact"/>
              <w:rPr>
                <w:rFonts w:ascii="Arial" w:cs="Arial" w:eastAsia="Arial" w:hAnsi="Arial"/>
                <w:sz w:val="18"/>
                <w:szCs w:val="18"/>
                <w:color w:val="auto"/>
              </w:rPr>
            </w:pPr>
            <w:hyperlink r:id="rId224">
              <w:r>
                <w:rPr>
                  <w:rFonts w:ascii="Arial" w:cs="Arial" w:eastAsia="Arial" w:hAnsi="Arial"/>
                  <w:sz w:val="18"/>
                  <w:szCs w:val="18"/>
                  <w:color w:val="auto"/>
                </w:rPr>
                <w:t>Agreement between Microsoft Corporation</w:t>
              </w:r>
            </w:hyperlink>
          </w:p>
        </w:tc>
        <w:tc>
          <w:tcPr>
            <w:tcW w:w="9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0" w:type="dxa"/>
            <w:vAlign w:val="bottom"/>
            <w:tcBorders>
              <w:top w:val="single" w:sz="8" w:color="0000EE"/>
            </w:tcBorders>
            <w:gridSpan w:val="15"/>
          </w:tcPr>
          <w:p>
            <w:pPr>
              <w:spacing w:after="0" w:line="182" w:lineRule="exact"/>
              <w:rPr>
                <w:rFonts w:ascii="Arial" w:cs="Arial" w:eastAsia="Arial" w:hAnsi="Arial"/>
                <w:sz w:val="18"/>
                <w:szCs w:val="18"/>
                <w:color w:val="auto"/>
              </w:rPr>
            </w:pPr>
            <w:hyperlink r:id="rId224">
              <w:r>
                <w:rPr>
                  <w:rFonts w:ascii="Arial" w:cs="Arial" w:eastAsia="Arial" w:hAnsi="Arial"/>
                  <w:sz w:val="18"/>
                  <w:szCs w:val="18"/>
                  <w:color w:val="auto"/>
                </w:rPr>
                <w:t>and Satya Nadella</w:t>
              </w:r>
            </w:hyperlink>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ind w:left="20"/>
              <w:spacing w:after="0"/>
              <w:rPr>
                <w:sz w:val="20"/>
                <w:szCs w:val="20"/>
                <w:color w:val="auto"/>
              </w:rPr>
            </w:pPr>
            <w:r>
              <w:rPr>
                <w:rFonts w:ascii="Arial" w:cs="Arial" w:eastAsia="Arial" w:hAnsi="Arial"/>
                <w:sz w:val="18"/>
                <w:szCs w:val="18"/>
                <w:color w:val="auto"/>
              </w:rPr>
              <w:t>10.25*</w:t>
            </w:r>
          </w:p>
        </w:tc>
        <w:tc>
          <w:tcPr>
            <w:tcW w:w="200" w:type="dxa"/>
            <w:vAlign w:val="bottom"/>
          </w:tcPr>
          <w:p>
            <w:pPr>
              <w:spacing w:after="0"/>
              <w:rPr>
                <w:sz w:val="24"/>
                <w:szCs w:val="24"/>
                <w:color w:val="auto"/>
              </w:rPr>
            </w:pPr>
          </w:p>
        </w:tc>
        <w:tc>
          <w:tcPr>
            <w:tcW w:w="3580" w:type="dxa"/>
            <w:vAlign w:val="bottom"/>
            <w:gridSpan w:val="18"/>
          </w:tcPr>
          <w:p>
            <w:pPr>
              <w:spacing w:after="0"/>
              <w:rPr>
                <w:rFonts w:ascii="Arial" w:cs="Arial" w:eastAsia="Arial" w:hAnsi="Arial"/>
                <w:sz w:val="18"/>
                <w:szCs w:val="18"/>
                <w:color w:val="auto"/>
              </w:rPr>
            </w:pPr>
            <w:hyperlink r:id="rId225">
              <w:r>
                <w:rPr>
                  <w:rFonts w:ascii="Arial" w:cs="Arial" w:eastAsia="Arial" w:hAnsi="Arial"/>
                  <w:sz w:val="18"/>
                  <w:szCs w:val="18"/>
                  <w:color w:val="auto"/>
                </w:rPr>
                <w:t>Offer Letter, dated October 25, 2020,</w:t>
              </w:r>
            </w:hyperlink>
          </w:p>
        </w:tc>
        <w:tc>
          <w:tcPr>
            <w:tcW w:w="920" w:type="dxa"/>
            <w:vAlign w:val="bottom"/>
          </w:tcPr>
          <w:p>
            <w:pPr>
              <w:spacing w:after="0"/>
              <w:rPr>
                <w:sz w:val="24"/>
                <w:szCs w:val="24"/>
                <w:color w:val="auto"/>
              </w:rPr>
            </w:pPr>
          </w:p>
        </w:tc>
        <w:tc>
          <w:tcPr>
            <w:tcW w:w="1440" w:type="dxa"/>
            <w:vAlign w:val="bottom"/>
          </w:tcPr>
          <w:p>
            <w:pPr>
              <w:jc w:val="right"/>
              <w:ind w:right="218"/>
              <w:spacing w:after="0"/>
              <w:rPr>
                <w:sz w:val="20"/>
                <w:szCs w:val="20"/>
                <w:color w:val="auto"/>
              </w:rPr>
            </w:pPr>
            <w:r>
              <w:rPr>
                <w:rFonts w:ascii="Arial" w:cs="Arial" w:eastAsia="Arial" w:hAnsi="Arial"/>
                <w:sz w:val="18"/>
                <w:szCs w:val="18"/>
                <w:color w:val="auto"/>
              </w:rPr>
              <w:t>10-Q</w:t>
            </w:r>
          </w:p>
        </w:tc>
        <w:tc>
          <w:tcPr>
            <w:tcW w:w="1600" w:type="dxa"/>
            <w:vAlign w:val="bottom"/>
          </w:tcPr>
          <w:p>
            <w:pPr>
              <w:jc w:val="right"/>
              <w:ind w:right="324"/>
              <w:spacing w:after="0"/>
              <w:rPr>
                <w:sz w:val="20"/>
                <w:szCs w:val="20"/>
                <w:color w:val="auto"/>
              </w:rPr>
            </w:pPr>
            <w:r>
              <w:rPr>
                <w:rFonts w:ascii="Arial" w:cs="Arial" w:eastAsia="Arial" w:hAnsi="Arial"/>
                <w:sz w:val="18"/>
                <w:szCs w:val="18"/>
                <w:color w:val="auto"/>
              </w:rPr>
              <w:t>9/30/2021</w:t>
            </w:r>
          </w:p>
        </w:tc>
        <w:tc>
          <w:tcPr>
            <w:tcW w:w="1200" w:type="dxa"/>
            <w:vAlign w:val="bottom"/>
          </w:tcPr>
          <w:p>
            <w:pPr>
              <w:ind w:left="420"/>
              <w:spacing w:after="0"/>
              <w:rPr>
                <w:sz w:val="20"/>
                <w:szCs w:val="20"/>
                <w:color w:val="auto"/>
              </w:rPr>
            </w:pPr>
            <w:r>
              <w:rPr>
                <w:rFonts w:ascii="Arial" w:cs="Arial" w:eastAsia="Arial" w:hAnsi="Arial"/>
                <w:sz w:val="18"/>
                <w:szCs w:val="18"/>
                <w:color w:val="auto"/>
              </w:rPr>
              <w:t>10.27</w:t>
            </w:r>
          </w:p>
        </w:tc>
        <w:tc>
          <w:tcPr>
            <w:tcW w:w="1240" w:type="dxa"/>
            <w:vAlign w:val="bottom"/>
          </w:tcPr>
          <w:p>
            <w:pPr>
              <w:jc w:val="right"/>
              <w:spacing w:after="0"/>
              <w:rPr>
                <w:sz w:val="20"/>
                <w:szCs w:val="20"/>
                <w:color w:val="auto"/>
              </w:rPr>
            </w:pPr>
            <w:r>
              <w:rPr>
                <w:rFonts w:ascii="Arial" w:cs="Arial" w:eastAsia="Arial" w:hAnsi="Arial"/>
                <w:sz w:val="18"/>
                <w:szCs w:val="18"/>
                <w:color w:val="auto"/>
              </w:rPr>
              <w:t>10/26/2021</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60" w:type="dxa"/>
            <w:vAlign w:val="bottom"/>
            <w:tcBorders>
              <w:top w:val="single" w:sz="8" w:color="0000EE"/>
            </w:tcBorders>
            <w:gridSpan w:val="11"/>
          </w:tcPr>
          <w:p>
            <w:pPr>
              <w:spacing w:after="0" w:line="182" w:lineRule="exact"/>
              <w:rPr>
                <w:rFonts w:ascii="Arial" w:cs="Arial" w:eastAsia="Arial" w:hAnsi="Arial"/>
                <w:sz w:val="18"/>
                <w:szCs w:val="18"/>
                <w:color w:val="auto"/>
              </w:rPr>
            </w:pPr>
            <w:hyperlink r:id="rId225">
              <w:r>
                <w:rPr>
                  <w:rFonts w:ascii="Arial" w:cs="Arial" w:eastAsia="Arial" w:hAnsi="Arial"/>
                  <w:sz w:val="18"/>
                  <w:szCs w:val="18"/>
                  <w:color w:val="auto"/>
                </w:rPr>
                <w:t>between Microsoft Corporation and</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4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auto"/>
                <w:w w:val="95"/>
              </w:rPr>
            </w:pPr>
            <w:hyperlink r:id="rId225">
              <w:r>
                <w:rPr>
                  <w:rFonts w:ascii="Arial" w:cs="Arial" w:eastAsia="Arial" w:hAnsi="Arial"/>
                  <w:sz w:val="18"/>
                  <w:szCs w:val="18"/>
                  <w:color w:val="auto"/>
                  <w:w w:val="95"/>
                </w:rPr>
                <w:t>Christopher Young</w:t>
              </w:r>
            </w:hyperlink>
          </w:p>
        </w:tc>
        <w:tc>
          <w:tcPr>
            <w:tcW w:w="1360" w:type="dxa"/>
            <w:vAlign w:val="bottom"/>
            <w:tcBorders>
              <w:top w:val="single" w:sz="8" w:color="0000EE"/>
            </w:tcBorders>
            <w:gridSpan w:val="7"/>
          </w:tcPr>
          <w:p>
            <w:pPr>
              <w:spacing w:after="0"/>
              <w:rPr>
                <w:sz w:val="15"/>
                <w:szCs w:val="15"/>
                <w:color w:val="auto"/>
              </w:rPr>
            </w:pPr>
          </w:p>
        </w:tc>
        <w:tc>
          <w:tcPr>
            <w:tcW w:w="2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20"/>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24"/>
                <w:szCs w:val="24"/>
                <w:color w:val="auto"/>
              </w:rPr>
            </w:pPr>
          </w:p>
        </w:tc>
        <w:tc>
          <w:tcPr>
            <w:tcW w:w="3580" w:type="dxa"/>
            <w:vAlign w:val="bottom"/>
            <w:gridSpan w:val="18"/>
          </w:tcPr>
          <w:p>
            <w:pPr>
              <w:spacing w:after="0"/>
              <w:rPr>
                <w:sz w:val="20"/>
                <w:szCs w:val="20"/>
                <w:color w:val="auto"/>
              </w:rPr>
            </w:pPr>
            <w:r>
              <w:rPr>
                <w:rFonts w:ascii="Arial" w:cs="Arial" w:eastAsia="Arial" w:hAnsi="Arial"/>
                <w:sz w:val="18"/>
                <w:szCs w:val="18"/>
                <w:color w:val="auto"/>
              </w:rPr>
              <w:t>General Insider Trading Policy</w:t>
            </w:r>
          </w:p>
        </w:tc>
        <w:tc>
          <w:tcPr>
            <w:tcW w:w="92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ind w:left="20"/>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24"/>
                <w:szCs w:val="24"/>
                <w:color w:val="auto"/>
              </w:rPr>
            </w:pPr>
          </w:p>
        </w:tc>
        <w:tc>
          <w:tcPr>
            <w:tcW w:w="26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auto"/>
                <w:w w:val="98"/>
              </w:rPr>
              <w:t>Restricted Trading Window Policy</w:t>
            </w:r>
          </w:p>
        </w:tc>
        <w:tc>
          <w:tcPr>
            <w:tcW w:w="900" w:type="dxa"/>
            <w:vAlign w:val="bottom"/>
            <w:gridSpan w:val="8"/>
          </w:tcPr>
          <w:p>
            <w:pPr>
              <w:spacing w:after="0"/>
              <w:rPr>
                <w:sz w:val="24"/>
                <w:szCs w:val="24"/>
                <w:color w:val="auto"/>
              </w:rPr>
            </w:pPr>
          </w:p>
        </w:tc>
        <w:tc>
          <w:tcPr>
            <w:tcW w:w="92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20"/>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24"/>
                <w:szCs w:val="24"/>
                <w:color w:val="auto"/>
              </w:rPr>
            </w:pPr>
          </w:p>
        </w:tc>
        <w:tc>
          <w:tcPr>
            <w:tcW w:w="3580" w:type="dxa"/>
            <w:vAlign w:val="bottom"/>
            <w:gridSpan w:val="18"/>
          </w:tcPr>
          <w:p>
            <w:pPr>
              <w:spacing w:after="0"/>
              <w:rPr>
                <w:sz w:val="20"/>
                <w:szCs w:val="20"/>
                <w:color w:val="auto"/>
              </w:rPr>
            </w:pPr>
            <w:r>
              <w:rPr>
                <w:rFonts w:ascii="Arial" w:cs="Arial" w:eastAsia="Arial" w:hAnsi="Arial"/>
                <w:sz w:val="18"/>
                <w:szCs w:val="18"/>
                <w:color w:val="auto"/>
              </w:rPr>
              <w:t>Insider Trading Compliance and</w:t>
            </w:r>
          </w:p>
        </w:tc>
        <w:tc>
          <w:tcPr>
            <w:tcW w:w="92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560" w:type="dxa"/>
            <w:vAlign w:val="bottom"/>
            <w:tcBorders>
              <w:top w:val="single" w:sz="8" w:color="0000EE"/>
              <w:bottom w:val="single" w:sz="8" w:color="0000EE"/>
            </w:tcBorders>
            <w:gridSpan w:val="7"/>
          </w:tcPr>
          <w:p>
            <w:pPr>
              <w:spacing w:after="0" w:line="182" w:lineRule="exact"/>
              <w:rPr>
                <w:sz w:val="20"/>
                <w:szCs w:val="20"/>
                <w:color w:val="auto"/>
              </w:rPr>
            </w:pPr>
            <w:r>
              <w:rPr>
                <w:rFonts w:ascii="Arial" w:cs="Arial" w:eastAsia="Arial" w:hAnsi="Arial"/>
                <w:sz w:val="18"/>
                <w:szCs w:val="18"/>
                <w:color w:val="auto"/>
                <w:w w:val="96"/>
              </w:rPr>
              <w:t>Preclearance Policies for Section</w:t>
            </w:r>
          </w:p>
        </w:tc>
        <w:tc>
          <w:tcPr>
            <w:tcW w:w="20" w:type="dxa"/>
            <w:vAlign w:val="bottom"/>
            <w:tcBorders>
              <w:bottom w:val="single" w:sz="8" w:color="0000EE"/>
            </w:tcBorders>
          </w:tcPr>
          <w:p>
            <w:pPr>
              <w:spacing w:after="0"/>
              <w:rPr>
                <w:sz w:val="15"/>
                <w:szCs w:val="15"/>
                <w:color w:val="auto"/>
              </w:rPr>
            </w:pPr>
          </w:p>
        </w:tc>
        <w:tc>
          <w:tcPr>
            <w:tcW w:w="980" w:type="dxa"/>
            <w:vAlign w:val="bottom"/>
            <w:tcBorders>
              <w:bottom w:val="single" w:sz="8" w:color="0000EE"/>
            </w:tcBorders>
            <w:gridSpan w:val="9"/>
          </w:tcPr>
          <w:p>
            <w:pPr>
              <w:ind w:left="80"/>
              <w:spacing w:after="0" w:line="182" w:lineRule="exact"/>
              <w:rPr>
                <w:sz w:val="20"/>
                <w:szCs w:val="20"/>
                <w:color w:val="auto"/>
              </w:rPr>
            </w:pPr>
            <w:r>
              <w:rPr>
                <w:rFonts w:ascii="Arial" w:cs="Arial" w:eastAsia="Arial" w:hAnsi="Arial"/>
                <w:sz w:val="18"/>
                <w:szCs w:val="18"/>
                <w:color w:val="auto"/>
              </w:rPr>
              <w:t>16 Officers</w:t>
            </w:r>
          </w:p>
        </w:tc>
        <w:tc>
          <w:tcPr>
            <w:tcW w:w="9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80" w:type="dxa"/>
            <w:vAlign w:val="bottom"/>
            <w:gridSpan w:val="18"/>
          </w:tcPr>
          <w:p>
            <w:pPr>
              <w:spacing w:after="0" w:line="182" w:lineRule="exact"/>
              <w:rPr>
                <w:sz w:val="20"/>
                <w:szCs w:val="20"/>
                <w:color w:val="auto"/>
              </w:rPr>
            </w:pPr>
            <w:r>
              <w:rPr>
                <w:rFonts w:ascii="Arial" w:cs="Arial" w:eastAsia="Arial" w:hAnsi="Arial"/>
                <w:sz w:val="18"/>
                <w:szCs w:val="18"/>
                <w:color w:val="auto"/>
              </w:rPr>
              <w:t>and Directors of Microsoft</w:t>
            </w:r>
          </w:p>
        </w:tc>
        <w:tc>
          <w:tcPr>
            <w:tcW w:w="9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ind w:left="2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3580" w:type="dxa"/>
            <w:vAlign w:val="bottom"/>
            <w:gridSpan w:val="18"/>
          </w:tcPr>
          <w:p>
            <w:pPr>
              <w:spacing w:after="0"/>
              <w:rPr>
                <w:sz w:val="20"/>
                <w:szCs w:val="20"/>
                <w:color w:val="auto"/>
              </w:rPr>
            </w:pPr>
            <w:r>
              <w:rPr>
                <w:rFonts w:ascii="Arial" w:cs="Arial" w:eastAsia="Arial" w:hAnsi="Arial"/>
                <w:sz w:val="18"/>
                <w:szCs w:val="18"/>
                <w:color w:val="auto"/>
              </w:rPr>
              <w:t>Subsidiaries of Registrant</w:t>
            </w:r>
          </w:p>
        </w:tc>
        <w:tc>
          <w:tcPr>
            <w:tcW w:w="92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ind w:left="20"/>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24"/>
                <w:szCs w:val="24"/>
                <w:color w:val="auto"/>
              </w:rPr>
            </w:pPr>
          </w:p>
        </w:tc>
        <w:tc>
          <w:tcPr>
            <w:tcW w:w="3580" w:type="dxa"/>
            <w:vAlign w:val="bottom"/>
            <w:gridSpan w:val="18"/>
          </w:tcPr>
          <w:p>
            <w:pPr>
              <w:spacing w:after="0"/>
              <w:rPr>
                <w:sz w:val="20"/>
                <w:szCs w:val="20"/>
                <w:color w:val="auto"/>
              </w:rPr>
            </w:pPr>
            <w:r>
              <w:rPr>
                <w:rFonts w:ascii="Arial" w:cs="Arial" w:eastAsia="Arial" w:hAnsi="Arial"/>
                <w:sz w:val="18"/>
                <w:szCs w:val="18"/>
                <w:color w:val="auto"/>
              </w:rPr>
              <w:t>Consent of Independent Registered Public</w:t>
            </w:r>
          </w:p>
        </w:tc>
        <w:tc>
          <w:tcPr>
            <w:tcW w:w="92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28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auto"/>
                <w:w w:val="96"/>
              </w:rPr>
              <w:t>Accounting Firm</w:t>
            </w:r>
          </w:p>
        </w:tc>
        <w:tc>
          <w:tcPr>
            <w:tcW w:w="2140" w:type="dxa"/>
            <w:vAlign w:val="bottom"/>
            <w:tcBorders>
              <w:top w:val="single" w:sz="8" w:color="0000EE"/>
            </w:tcBorders>
            <w:gridSpan w:val="15"/>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3580" w:type="dxa"/>
            <w:vAlign w:val="bottom"/>
            <w:gridSpan w:val="18"/>
          </w:tcPr>
          <w:p>
            <w:pPr>
              <w:spacing w:after="0"/>
              <w:rPr>
                <w:sz w:val="20"/>
                <w:szCs w:val="20"/>
                <w:color w:val="auto"/>
              </w:rPr>
            </w:pPr>
            <w:r>
              <w:rPr>
                <w:rFonts w:ascii="Arial" w:cs="Arial" w:eastAsia="Arial" w:hAnsi="Arial"/>
                <w:sz w:val="18"/>
                <w:szCs w:val="18"/>
                <w:color w:val="auto"/>
              </w:rPr>
              <w:t>Certification of Chief Executive Officer</w:t>
            </w:r>
          </w:p>
        </w:tc>
        <w:tc>
          <w:tcPr>
            <w:tcW w:w="92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auto"/>
                <w:w w:val="94"/>
              </w:rPr>
              <w:t>Pursuant to Section 302 of the Sarbanes</w:t>
            </w:r>
          </w:p>
        </w:tc>
        <w:tc>
          <w:tcPr>
            <w:tcW w:w="500" w:type="dxa"/>
            <w:vAlign w:val="bottom"/>
            <w:gridSpan w:val="4"/>
          </w:tcPr>
          <w:p>
            <w:pPr>
              <w:jc w:val="right"/>
              <w:ind w:right="280"/>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auto"/>
                <w:w w:val="99"/>
              </w:rPr>
              <w:t>Oxley Act of 2002</w:t>
            </w:r>
          </w:p>
        </w:tc>
        <w:tc>
          <w:tcPr>
            <w:tcW w:w="1840" w:type="dxa"/>
            <w:vAlign w:val="bottom"/>
            <w:tcBorders>
              <w:top w:val="single" w:sz="8" w:color="0000EE"/>
            </w:tcBorders>
            <w:gridSpan w:val="12"/>
          </w:tcPr>
          <w:p>
            <w:pPr>
              <w:spacing w:after="0"/>
              <w:rPr>
                <w:sz w:val="15"/>
                <w:szCs w:val="15"/>
                <w:color w:val="auto"/>
              </w:rPr>
            </w:pPr>
          </w:p>
        </w:tc>
        <w:tc>
          <w:tcPr>
            <w:tcW w:w="28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2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304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auto"/>
              </w:rPr>
              <w:t>Certification of Chief Financial Officer</w:t>
            </w:r>
          </w:p>
        </w:tc>
        <w:tc>
          <w:tcPr>
            <w:tcW w:w="540" w:type="dxa"/>
            <w:vAlign w:val="bottom"/>
            <w:gridSpan w:val="5"/>
          </w:tcPr>
          <w:p>
            <w:pPr>
              <w:spacing w:after="0"/>
              <w:rPr>
                <w:sz w:val="24"/>
                <w:szCs w:val="24"/>
                <w:color w:val="auto"/>
              </w:rPr>
            </w:pPr>
          </w:p>
        </w:tc>
        <w:tc>
          <w:tcPr>
            <w:tcW w:w="92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80" w:type="dxa"/>
            <w:vAlign w:val="bottom"/>
            <w:gridSpan w:val="18"/>
          </w:tcPr>
          <w:p>
            <w:pPr>
              <w:spacing w:after="0" w:line="182" w:lineRule="exact"/>
              <w:rPr>
                <w:sz w:val="20"/>
                <w:szCs w:val="20"/>
                <w:color w:val="auto"/>
              </w:rPr>
            </w:pPr>
            <w:r>
              <w:rPr>
                <w:rFonts w:ascii="Arial" w:cs="Arial" w:eastAsia="Arial" w:hAnsi="Arial"/>
                <w:sz w:val="18"/>
                <w:szCs w:val="18"/>
                <w:color w:val="auto"/>
              </w:rPr>
              <w:t>Pursuant to Section 302 of the Sarbanes-</w:t>
            </w:r>
          </w:p>
        </w:tc>
        <w:tc>
          <w:tcPr>
            <w:tcW w:w="9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auto"/>
                <w:w w:val="99"/>
              </w:rPr>
              <w:t>Oxley Act of 2002</w:t>
            </w:r>
          </w:p>
        </w:tc>
        <w:tc>
          <w:tcPr>
            <w:tcW w:w="1840" w:type="dxa"/>
            <w:vAlign w:val="bottom"/>
            <w:tcBorders>
              <w:top w:val="single" w:sz="8" w:color="0000EE"/>
            </w:tcBorders>
            <w:gridSpan w:val="12"/>
          </w:tcPr>
          <w:p>
            <w:pPr>
              <w:spacing w:after="0"/>
              <w:rPr>
                <w:sz w:val="15"/>
                <w:szCs w:val="15"/>
                <w:color w:val="auto"/>
              </w:rPr>
            </w:pPr>
          </w:p>
        </w:tc>
        <w:tc>
          <w:tcPr>
            <w:tcW w:w="28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2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3580" w:type="dxa"/>
            <w:vAlign w:val="bottom"/>
            <w:gridSpan w:val="18"/>
          </w:tcPr>
          <w:p>
            <w:pPr>
              <w:spacing w:after="0"/>
              <w:rPr>
                <w:sz w:val="20"/>
                <w:szCs w:val="20"/>
                <w:color w:val="auto"/>
              </w:rPr>
            </w:pPr>
            <w:r>
              <w:rPr>
                <w:rFonts w:ascii="Arial" w:cs="Arial" w:eastAsia="Arial" w:hAnsi="Arial"/>
                <w:sz w:val="18"/>
                <w:szCs w:val="18"/>
                <w:color w:val="auto"/>
              </w:rPr>
              <w:t>Certification of Chief Executive Officer</w:t>
            </w:r>
          </w:p>
        </w:tc>
        <w:tc>
          <w:tcPr>
            <w:tcW w:w="92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auto"/>
                <w:w w:val="94"/>
              </w:rPr>
              <w:t>Pursuant to Section 906 of the Sarbanes</w:t>
            </w:r>
          </w:p>
        </w:tc>
        <w:tc>
          <w:tcPr>
            <w:tcW w:w="500" w:type="dxa"/>
            <w:vAlign w:val="bottom"/>
            <w:gridSpan w:val="4"/>
          </w:tcPr>
          <w:p>
            <w:pPr>
              <w:jc w:val="right"/>
              <w:ind w:right="280"/>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auto"/>
                <w:w w:val="99"/>
              </w:rPr>
              <w:t>Oxley Act of 2002</w:t>
            </w:r>
          </w:p>
        </w:tc>
        <w:tc>
          <w:tcPr>
            <w:tcW w:w="1840" w:type="dxa"/>
            <w:vAlign w:val="bottom"/>
            <w:tcBorders>
              <w:top w:val="single" w:sz="8" w:color="0000EE"/>
            </w:tcBorders>
            <w:gridSpan w:val="12"/>
          </w:tcPr>
          <w:p>
            <w:pPr>
              <w:spacing w:after="0"/>
              <w:rPr>
                <w:sz w:val="15"/>
                <w:szCs w:val="15"/>
                <w:color w:val="auto"/>
              </w:rPr>
            </w:pPr>
          </w:p>
        </w:tc>
        <w:tc>
          <w:tcPr>
            <w:tcW w:w="28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2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304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auto"/>
              </w:rPr>
              <w:t>Certification of Chief Financial Officer</w:t>
            </w:r>
          </w:p>
        </w:tc>
        <w:tc>
          <w:tcPr>
            <w:tcW w:w="540" w:type="dxa"/>
            <w:vAlign w:val="bottom"/>
            <w:gridSpan w:val="5"/>
          </w:tcPr>
          <w:p>
            <w:pPr>
              <w:spacing w:after="0"/>
              <w:rPr>
                <w:sz w:val="24"/>
                <w:szCs w:val="24"/>
                <w:color w:val="auto"/>
              </w:rPr>
            </w:pPr>
          </w:p>
        </w:tc>
        <w:tc>
          <w:tcPr>
            <w:tcW w:w="92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80" w:type="dxa"/>
            <w:vAlign w:val="bottom"/>
            <w:gridSpan w:val="18"/>
          </w:tcPr>
          <w:p>
            <w:pPr>
              <w:spacing w:after="0" w:line="182" w:lineRule="exact"/>
              <w:rPr>
                <w:sz w:val="20"/>
                <w:szCs w:val="20"/>
                <w:color w:val="auto"/>
              </w:rPr>
            </w:pPr>
            <w:r>
              <w:rPr>
                <w:rFonts w:ascii="Arial" w:cs="Arial" w:eastAsia="Arial" w:hAnsi="Arial"/>
                <w:sz w:val="18"/>
                <w:szCs w:val="18"/>
                <w:color w:val="auto"/>
              </w:rPr>
              <w:t>Pursuant to Section 906 of the Sarbanes-</w:t>
            </w:r>
          </w:p>
        </w:tc>
        <w:tc>
          <w:tcPr>
            <w:tcW w:w="9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auto"/>
                <w:w w:val="99"/>
              </w:rPr>
              <w:t>Oxley Act of 2002</w:t>
            </w:r>
          </w:p>
        </w:tc>
        <w:tc>
          <w:tcPr>
            <w:tcW w:w="1840" w:type="dxa"/>
            <w:vAlign w:val="bottom"/>
            <w:tcBorders>
              <w:top w:val="single" w:sz="8" w:color="0000EE"/>
            </w:tcBorders>
            <w:gridSpan w:val="12"/>
          </w:tcPr>
          <w:p>
            <w:pPr>
              <w:spacing w:after="0"/>
              <w:rPr>
                <w:sz w:val="15"/>
                <w:szCs w:val="15"/>
                <w:color w:val="auto"/>
              </w:rPr>
            </w:pPr>
          </w:p>
        </w:tc>
        <w:tc>
          <w:tcPr>
            <w:tcW w:w="28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20"/>
              <w:spacing w:after="0"/>
              <w:rPr>
                <w:sz w:val="20"/>
                <w:szCs w:val="20"/>
                <w:color w:val="auto"/>
              </w:rPr>
            </w:pPr>
            <w:r>
              <w:rPr>
                <w:rFonts w:ascii="Arial" w:cs="Arial" w:eastAsia="Arial" w:hAnsi="Arial"/>
                <w:sz w:val="18"/>
                <w:szCs w:val="18"/>
                <w:color w:val="auto"/>
              </w:rPr>
              <w:t>97.1*</w:t>
            </w:r>
          </w:p>
        </w:tc>
        <w:tc>
          <w:tcPr>
            <w:tcW w:w="200" w:type="dxa"/>
            <w:vAlign w:val="bottom"/>
          </w:tcPr>
          <w:p>
            <w:pPr>
              <w:spacing w:after="0"/>
              <w:rPr>
                <w:sz w:val="24"/>
                <w:szCs w:val="24"/>
                <w:color w:val="auto"/>
              </w:rPr>
            </w:pPr>
          </w:p>
        </w:tc>
        <w:tc>
          <w:tcPr>
            <w:tcW w:w="3580" w:type="dxa"/>
            <w:vAlign w:val="bottom"/>
            <w:gridSpan w:val="18"/>
          </w:tcPr>
          <w:p>
            <w:pPr>
              <w:spacing w:after="0"/>
              <w:rPr>
                <w:sz w:val="20"/>
                <w:szCs w:val="20"/>
                <w:color w:val="auto"/>
              </w:rPr>
            </w:pPr>
            <w:r>
              <w:rPr>
                <w:rFonts w:ascii="Arial" w:cs="Arial" w:eastAsia="Arial" w:hAnsi="Arial"/>
                <w:sz w:val="18"/>
                <w:szCs w:val="18"/>
                <w:color w:val="auto"/>
              </w:rPr>
              <w:t>Microsoft Corporation Executive</w:t>
            </w:r>
          </w:p>
        </w:tc>
        <w:tc>
          <w:tcPr>
            <w:tcW w:w="92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tcBorders>
              <w:top w:val="single" w:sz="8" w:color="0000EE"/>
              <w:bottom w:val="single" w:sz="8" w:color="0000EE"/>
            </w:tcBorders>
            <w:gridSpan w:val="7"/>
          </w:tcPr>
          <w:p>
            <w:pPr>
              <w:spacing w:after="0" w:line="182" w:lineRule="exact"/>
              <w:rPr>
                <w:sz w:val="20"/>
                <w:szCs w:val="20"/>
                <w:color w:val="auto"/>
              </w:rPr>
            </w:pPr>
            <w:r>
              <w:rPr>
                <w:rFonts w:ascii="Arial" w:cs="Arial" w:eastAsia="Arial" w:hAnsi="Arial"/>
                <w:sz w:val="18"/>
                <w:szCs w:val="18"/>
                <w:color w:val="auto"/>
                <w:w w:val="99"/>
              </w:rPr>
              <w:t>Compensation Recovery Policy</w:t>
            </w:r>
          </w:p>
        </w:tc>
        <w:tc>
          <w:tcPr>
            <w:tcW w:w="100" w:type="dxa"/>
            <w:vAlign w:val="bottom"/>
            <w:tcBorders>
              <w:top w:val="single" w:sz="8" w:color="0000EE"/>
            </w:tcBorders>
            <w:gridSpan w:val="2"/>
          </w:tcPr>
          <w:p>
            <w:pPr>
              <w:spacing w:after="0"/>
              <w:rPr>
                <w:sz w:val="15"/>
                <w:szCs w:val="15"/>
                <w:color w:val="auto"/>
              </w:rPr>
            </w:pPr>
          </w:p>
        </w:tc>
        <w:tc>
          <w:tcPr>
            <w:tcW w:w="980" w:type="dxa"/>
            <w:vAlign w:val="bottom"/>
            <w:gridSpan w:val="9"/>
          </w:tcPr>
          <w:p>
            <w:pPr>
              <w:spacing w:after="0"/>
              <w:rPr>
                <w:sz w:val="15"/>
                <w:szCs w:val="15"/>
                <w:color w:val="auto"/>
              </w:rPr>
            </w:pPr>
          </w:p>
        </w:tc>
        <w:tc>
          <w:tcPr>
            <w:tcW w:w="9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960" w:type="dxa"/>
            <w:vAlign w:val="bottom"/>
          </w:tcPr>
          <w:p>
            <w:pPr>
              <w:ind w:left="20"/>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4"/>
                <w:szCs w:val="24"/>
                <w:color w:val="auto"/>
              </w:rPr>
            </w:pPr>
          </w:p>
        </w:tc>
        <w:tc>
          <w:tcPr>
            <w:tcW w:w="3580" w:type="dxa"/>
            <w:vAlign w:val="bottom"/>
            <w:gridSpan w:val="18"/>
          </w:tcPr>
          <w:p>
            <w:pPr>
              <w:spacing w:after="0"/>
              <w:rPr>
                <w:sz w:val="20"/>
                <w:szCs w:val="20"/>
                <w:color w:val="auto"/>
              </w:rPr>
            </w:pPr>
            <w:r>
              <w:rPr>
                <w:rFonts w:ascii="Arial" w:cs="Arial" w:eastAsia="Arial" w:hAnsi="Arial"/>
                <w:sz w:val="18"/>
                <w:szCs w:val="18"/>
                <w:color w:val="auto"/>
              </w:rPr>
              <w:t>Inline XBRL Instance Document—the</w:t>
            </w:r>
          </w:p>
        </w:tc>
        <w:tc>
          <w:tcPr>
            <w:tcW w:w="92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gridSpan w:val="18"/>
          </w:tcPr>
          <w:p>
            <w:pPr>
              <w:spacing w:after="0" w:line="202" w:lineRule="exact"/>
              <w:rPr>
                <w:sz w:val="20"/>
                <w:szCs w:val="20"/>
                <w:color w:val="auto"/>
              </w:rPr>
            </w:pPr>
            <w:r>
              <w:rPr>
                <w:rFonts w:ascii="Arial" w:cs="Arial" w:eastAsia="Arial" w:hAnsi="Arial"/>
                <w:sz w:val="18"/>
                <w:szCs w:val="18"/>
                <w:color w:val="auto"/>
              </w:rPr>
              <w:t>instance document does not appear in the</w:t>
            </w: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gridSpan w:val="18"/>
          </w:tcPr>
          <w:p>
            <w:pPr>
              <w:spacing w:after="0" w:line="202" w:lineRule="exact"/>
              <w:rPr>
                <w:sz w:val="20"/>
                <w:szCs w:val="20"/>
                <w:color w:val="auto"/>
              </w:rPr>
            </w:pPr>
            <w:r>
              <w:rPr>
                <w:rFonts w:ascii="Arial" w:cs="Arial" w:eastAsia="Arial" w:hAnsi="Arial"/>
                <w:sz w:val="18"/>
                <w:szCs w:val="18"/>
                <w:color w:val="auto"/>
              </w:rPr>
              <w:t>Interactive Data File as its XBRL tags are</w:t>
            </w: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gridSpan w:val="18"/>
          </w:tcPr>
          <w:p>
            <w:pPr>
              <w:spacing w:after="0"/>
              <w:rPr>
                <w:sz w:val="20"/>
                <w:szCs w:val="20"/>
                <w:color w:val="auto"/>
              </w:rPr>
            </w:pPr>
            <w:r>
              <w:rPr>
                <w:rFonts w:ascii="Arial" w:cs="Arial" w:eastAsia="Arial" w:hAnsi="Arial"/>
                <w:sz w:val="18"/>
                <w:szCs w:val="18"/>
                <w:color w:val="auto"/>
              </w:rPr>
              <w:t>embedded within the Inline XBRL document</w:t>
            </w:r>
          </w:p>
        </w:tc>
        <w:tc>
          <w:tcPr>
            <w:tcW w:w="9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960" w:type="dxa"/>
            <w:vAlign w:val="bottom"/>
          </w:tcPr>
          <w:p>
            <w:pPr>
              <w:ind w:left="20"/>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2"/>
                <w:szCs w:val="22"/>
                <w:color w:val="auto"/>
              </w:rPr>
            </w:pPr>
          </w:p>
        </w:tc>
        <w:tc>
          <w:tcPr>
            <w:tcW w:w="358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w:t>
            </w:r>
          </w:p>
        </w:tc>
        <w:tc>
          <w:tcPr>
            <w:tcW w:w="92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14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gridSpan w:val="18"/>
          </w:tcPr>
          <w:p>
            <w:pPr>
              <w:spacing w:after="0"/>
              <w:rPr>
                <w:sz w:val="20"/>
                <w:szCs w:val="20"/>
                <w:color w:val="auto"/>
              </w:rPr>
            </w:pPr>
            <w:r>
              <w:rPr>
                <w:rFonts w:ascii="Arial" w:cs="Arial" w:eastAsia="Arial" w:hAnsi="Arial"/>
                <w:sz w:val="18"/>
                <w:szCs w:val="18"/>
                <w:color w:val="auto"/>
              </w:rPr>
              <w:t>With Embedded Linkbase Documents</w:t>
            </w:r>
          </w:p>
        </w:tc>
        <w:tc>
          <w:tcPr>
            <w:tcW w:w="9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960" w:type="dxa"/>
            <w:vAlign w:val="bottom"/>
          </w:tcPr>
          <w:p>
            <w:pPr>
              <w:ind w:left="2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2"/>
                <w:szCs w:val="22"/>
                <w:color w:val="auto"/>
              </w:rPr>
            </w:pPr>
          </w:p>
        </w:tc>
        <w:tc>
          <w:tcPr>
            <w:tcW w:w="3580" w:type="dxa"/>
            <w:vAlign w:val="bottom"/>
            <w:gridSpan w:val="18"/>
          </w:tcPr>
          <w:p>
            <w:pPr>
              <w:spacing w:after="0"/>
              <w:rPr>
                <w:sz w:val="20"/>
                <w:szCs w:val="20"/>
                <w:color w:val="auto"/>
              </w:rPr>
            </w:pPr>
            <w:r>
              <w:rPr>
                <w:rFonts w:ascii="Arial" w:cs="Arial" w:eastAsia="Arial" w:hAnsi="Arial"/>
                <w:sz w:val="18"/>
                <w:szCs w:val="18"/>
                <w:color w:val="auto"/>
              </w:rPr>
              <w:t>Cover page formatted as Inline XBRL and</w:t>
            </w:r>
          </w:p>
        </w:tc>
        <w:tc>
          <w:tcPr>
            <w:tcW w:w="920" w:type="dxa"/>
            <w:vAlign w:val="bottom"/>
          </w:tcPr>
          <w:p>
            <w:pPr>
              <w:jc w:val="center"/>
              <w:ind w:left="33"/>
              <w:spacing w:after="0"/>
              <w:rPr>
                <w:sz w:val="20"/>
                <w:szCs w:val="20"/>
                <w:color w:val="auto"/>
              </w:rPr>
            </w:pPr>
            <w:r>
              <w:rPr>
                <w:rFonts w:ascii="Arial" w:cs="Arial" w:eastAsia="Arial" w:hAnsi="Arial"/>
                <w:sz w:val="18"/>
                <w:szCs w:val="18"/>
                <w:color w:val="auto"/>
                <w:w w:val="99"/>
              </w:rPr>
              <w:t>X</w:t>
            </w:r>
          </w:p>
        </w:tc>
        <w:tc>
          <w:tcPr>
            <w:tcW w:w="14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gridSpan w:val="18"/>
          </w:tcPr>
          <w:p>
            <w:pPr>
              <w:spacing w:after="0"/>
              <w:rPr>
                <w:sz w:val="20"/>
                <w:szCs w:val="20"/>
                <w:color w:val="auto"/>
              </w:rPr>
            </w:pPr>
            <w:r>
              <w:rPr>
                <w:rFonts w:ascii="Arial" w:cs="Arial" w:eastAsia="Arial" w:hAnsi="Arial"/>
                <w:sz w:val="18"/>
                <w:szCs w:val="18"/>
                <w:color w:val="auto"/>
              </w:rPr>
              <w:t>contained in Exhibit 101</w:t>
            </w:r>
          </w:p>
        </w:tc>
        <w:tc>
          <w:tcPr>
            <w:tcW w:w="9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4960" w:firstLine="8"/>
        <w:spacing w:after="0" w:line="269" w:lineRule="auto"/>
        <w:tabs>
          <w:tab w:leader="none" w:pos="4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Indicates a management contract or compensatory plan or arrangement. </w:t>
      </w:r>
      <w:r>
        <w:rPr>
          <w:rFonts w:ascii="Arial" w:cs="Arial" w:eastAsia="Arial" w:hAnsi="Arial"/>
          <w:sz w:val="18"/>
          <w:szCs w:val="18"/>
          <w:color w:val="auto"/>
        </w:rPr>
        <w:t xml:space="preserve">** </w:t>
      </w:r>
      <w:r>
        <w:rPr>
          <w:rFonts w:ascii="Arial" w:cs="Arial" w:eastAsia="Arial" w:hAnsi="Arial"/>
          <w:sz w:val="18"/>
          <w:szCs w:val="18"/>
          <w:i w:val="1"/>
          <w:iCs w:val="1"/>
          <w:color w:val="auto"/>
        </w:rPr>
        <w:t>Furnished, not filed.</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75" w:right="439" w:bottom="1440" w:gutter="0" w:footer="0" w:header="0"/>
        </w:sectPr>
      </w:pPr>
    </w:p>
    <w:bookmarkStart w:id="109" w:name="page110"/>
    <w:bookmarkEnd w:id="109"/>
    <w:p>
      <w:pPr>
        <w:ind w:left="5360"/>
        <w:spacing w:after="0"/>
        <w:rPr>
          <w:sz w:val="20"/>
          <w:szCs w:val="20"/>
          <w:color w:val="auto"/>
        </w:rPr>
      </w:pPr>
      <w:r>
        <w:rPr>
          <w:rFonts w:ascii="Arial" w:cs="Arial" w:eastAsia="Arial" w:hAnsi="Arial"/>
          <w:sz w:val="13"/>
          <w:szCs w:val="13"/>
          <w:u w:val="single" w:color="auto"/>
          <w:color w:val="auto"/>
        </w:rPr>
        <w:t>PART IV</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16</w:t>
      </w:r>
    </w:p>
    <w:p>
      <w:pPr>
        <w:spacing w:after="0" w:line="160" w:lineRule="exact"/>
        <w:rPr>
          <w:sz w:val="20"/>
          <w:szCs w:val="20"/>
          <w:color w:val="auto"/>
        </w:rPr>
      </w:pPr>
    </w:p>
    <w:p>
      <w:pPr>
        <w:jc w:val="right"/>
        <w:ind w:right="2879"/>
        <w:spacing w:after="0"/>
        <w:rPr>
          <w:sz w:val="20"/>
          <w:szCs w:val="20"/>
          <w:color w:val="auto"/>
        </w:rPr>
      </w:pPr>
      <w:r>
        <w:rPr>
          <w:rFonts w:ascii="Arial" w:cs="Arial" w:eastAsia="Arial" w:hAnsi="Arial"/>
          <w:sz w:val="22"/>
          <w:szCs w:val="22"/>
          <w:b w:val="1"/>
          <w:bCs w:val="1"/>
          <w:color w:val="auto"/>
        </w:rPr>
        <w:t>ITEM 16. FORM 10-K SUMMARY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5"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the City of Redmond, State of Washington, on July 30, 2024.</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ICROSOFT</w:t>
      </w:r>
      <w:r>
        <w:rPr>
          <w:rFonts w:ascii="Arial" w:cs="Arial" w:eastAsia="Arial" w:hAnsi="Arial"/>
          <w:sz w:val="18"/>
          <w:szCs w:val="18"/>
          <w:color w:val="auto"/>
        </w:rPr>
        <w:t xml:space="preserve"> C</w:t>
      </w:r>
      <w:r>
        <w:rPr>
          <w:rFonts w:ascii="Arial" w:cs="Arial" w:eastAsia="Arial" w:hAnsi="Arial"/>
          <w:sz w:val="13"/>
          <w:szCs w:val="13"/>
          <w:color w:val="auto"/>
        </w:rPr>
        <w:t>ORPORATION</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LICE</w:t>
      </w:r>
      <w:r>
        <w:rPr>
          <w:rFonts w:ascii="Arial" w:cs="Arial" w:eastAsia="Arial" w:hAnsi="Arial"/>
          <w:sz w:val="18"/>
          <w:szCs w:val="18"/>
          <w:color w:val="auto"/>
        </w:rPr>
        <w:t xml:space="preserve"> L. J</w:t>
      </w:r>
      <w:r>
        <w:rPr>
          <w:rFonts w:ascii="Arial" w:cs="Arial" w:eastAsia="Arial" w:hAnsi="Arial"/>
          <w:sz w:val="13"/>
          <w:szCs w:val="13"/>
          <w:color w:val="auto"/>
        </w:rPr>
        <w:t>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66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Alice L. Jolla</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Corporate Vice President and Chief Accounting Officer (Principal</w:t>
      </w:r>
    </w:p>
    <w:p>
      <w:pPr>
        <w:ind w:left="20"/>
        <w:spacing w:after="0"/>
        <w:rPr>
          <w:sz w:val="20"/>
          <w:szCs w:val="20"/>
          <w:color w:val="auto"/>
        </w:rPr>
      </w:pPr>
      <w:r>
        <w:rPr>
          <w:rFonts w:ascii="Arial" w:cs="Arial" w:eastAsia="Arial" w:hAnsi="Arial"/>
          <w:sz w:val="18"/>
          <w:szCs w:val="18"/>
          <w:color w:val="auto"/>
        </w:rPr>
        <w:t>Accounting Officer)</w:t>
      </w:r>
    </w:p>
    <w:p>
      <w:pPr>
        <w:spacing w:after="0" w:line="18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Registrant and in the capacities indicated on July 30,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Arial" w:cs="Arial" w:eastAsia="Arial" w:hAnsi="Arial"/>
                <w:sz w:val="13"/>
                <w:szCs w:val="13"/>
                <w:b w:val="1"/>
                <w:bCs w:val="1"/>
                <w:color w:val="auto"/>
              </w:rPr>
              <w:t>Signature</w:t>
            </w:r>
          </w:p>
        </w:tc>
        <w:tc>
          <w:tcPr>
            <w:tcW w:w="20" w:type="dxa"/>
            <w:vAlign w:val="bottom"/>
          </w:tcPr>
          <w:p>
            <w:pPr>
              <w:spacing w:after="0"/>
              <w:rPr>
                <w:sz w:val="16"/>
                <w:szCs w:val="16"/>
                <w:color w:val="auto"/>
              </w:rPr>
            </w:pPr>
          </w:p>
        </w:tc>
        <w:tc>
          <w:tcPr>
            <w:tcW w:w="5720" w:type="dxa"/>
            <w:vAlign w:val="bottom"/>
          </w:tcPr>
          <w:p>
            <w:pPr>
              <w:ind w:left="120"/>
              <w:spacing w:after="0"/>
              <w:rPr>
                <w:sz w:val="20"/>
                <w:szCs w:val="20"/>
                <w:color w:val="auto"/>
              </w:rPr>
            </w:pPr>
            <w:r>
              <w:rPr>
                <w:rFonts w:ascii="Arial" w:cs="Arial" w:eastAsia="Arial" w:hAnsi="Arial"/>
                <w:sz w:val="13"/>
                <w:szCs w:val="13"/>
                <w:b w:val="1"/>
                <w:bCs w:val="1"/>
                <w:color w:val="auto"/>
              </w:rPr>
              <w:t>Title</w:t>
            </w:r>
          </w:p>
        </w:tc>
        <w:tc>
          <w:tcPr>
            <w:tcW w:w="0" w:type="dxa"/>
            <w:vAlign w:val="bottom"/>
          </w:tcPr>
          <w:p>
            <w:pPr>
              <w:spacing w:after="0"/>
              <w:rPr>
                <w:sz w:val="1"/>
                <w:szCs w:val="1"/>
                <w:color w:val="auto"/>
              </w:rPr>
            </w:pPr>
          </w:p>
        </w:tc>
      </w:tr>
      <w:tr>
        <w:trPr>
          <w:trHeight w:val="98"/>
        </w:trPr>
        <w:tc>
          <w:tcPr>
            <w:tcW w:w="2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tc>
        <w:tc>
          <w:tcPr>
            <w:tcW w:w="20" w:type="dxa"/>
            <w:vAlign w:val="bottom"/>
          </w:tcPr>
          <w:p>
            <w:pPr>
              <w:spacing w:after="0"/>
              <w:rPr>
                <w:sz w:val="24"/>
                <w:szCs w:val="24"/>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5720" w:type="dxa"/>
            <w:vAlign w:val="bottom"/>
            <w:vMerge w:val="restart"/>
          </w:tcPr>
          <w:p>
            <w:pPr>
              <w:ind w:left="1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Satya Nadella</w:t>
            </w:r>
          </w:p>
        </w:tc>
        <w:tc>
          <w:tcPr>
            <w:tcW w:w="20" w:type="dxa"/>
            <w:vAlign w:val="bottom"/>
            <w:vMerge w:val="continue"/>
          </w:tcPr>
          <w:p>
            <w:pPr>
              <w:spacing w:after="0"/>
              <w:rPr>
                <w:sz w:val="20"/>
                <w:szCs w:val="20"/>
                <w:color w:val="auto"/>
              </w:rPr>
            </w:pPr>
          </w:p>
        </w:tc>
        <w:tc>
          <w:tcPr>
            <w:tcW w:w="5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3"/>
                <w:szCs w:val="13"/>
                <w:color w:val="auto"/>
              </w:rPr>
              <w:t>EID</w:t>
            </w:r>
            <w:r>
              <w:rPr>
                <w:rFonts w:ascii="Arial" w:cs="Arial" w:eastAsia="Arial" w:hAnsi="Arial"/>
                <w:sz w:val="18"/>
                <w:szCs w:val="18"/>
                <w:color w:val="auto"/>
              </w:rPr>
              <w:t xml:space="preserve"> H</w:t>
            </w:r>
            <w:r>
              <w:rPr>
                <w:rFonts w:ascii="Arial" w:cs="Arial" w:eastAsia="Arial" w:hAnsi="Arial"/>
                <w:sz w:val="13"/>
                <w:szCs w:val="13"/>
                <w:color w:val="auto"/>
              </w:rPr>
              <w:t>OFFMAN</w:t>
            </w:r>
          </w:p>
        </w:tc>
        <w:tc>
          <w:tcPr>
            <w:tcW w:w="20" w:type="dxa"/>
            <w:vAlign w:val="bottom"/>
          </w:tcPr>
          <w:p>
            <w:pPr>
              <w:spacing w:after="0"/>
              <w:rPr>
                <w:sz w:val="24"/>
                <w:szCs w:val="24"/>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Reid Hoffman</w:t>
            </w:r>
          </w:p>
        </w:tc>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w:t>
            </w:r>
            <w:r>
              <w:rPr>
                <w:rFonts w:ascii="Arial" w:cs="Arial" w:eastAsia="Arial" w:hAnsi="Arial"/>
                <w:sz w:val="13"/>
                <w:szCs w:val="13"/>
                <w:color w:val="auto"/>
              </w:rPr>
              <w:t>UGH</w:t>
            </w:r>
            <w:r>
              <w:rPr>
                <w:rFonts w:ascii="Arial" w:cs="Arial" w:eastAsia="Arial" w:hAnsi="Arial"/>
                <w:sz w:val="18"/>
                <w:szCs w:val="18"/>
                <w:color w:val="auto"/>
              </w:rPr>
              <w:t xml:space="preserve"> F. J</w:t>
            </w:r>
            <w:r>
              <w:rPr>
                <w:rFonts w:ascii="Arial" w:cs="Arial" w:eastAsia="Arial" w:hAnsi="Arial"/>
                <w:sz w:val="13"/>
                <w:szCs w:val="13"/>
                <w:color w:val="auto"/>
              </w:rPr>
              <w:t>OHNSTON</w:t>
            </w:r>
          </w:p>
        </w:tc>
        <w:tc>
          <w:tcPr>
            <w:tcW w:w="20" w:type="dxa"/>
            <w:vAlign w:val="bottom"/>
          </w:tcPr>
          <w:p>
            <w:pPr>
              <w:spacing w:after="0"/>
              <w:rPr>
                <w:sz w:val="24"/>
                <w:szCs w:val="24"/>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Hugh F. Johnston</w:t>
            </w:r>
          </w:p>
        </w:tc>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w:t>
            </w:r>
            <w:r>
              <w:rPr>
                <w:rFonts w:ascii="Arial" w:cs="Arial" w:eastAsia="Arial" w:hAnsi="Arial"/>
                <w:sz w:val="13"/>
                <w:szCs w:val="13"/>
                <w:color w:val="auto"/>
              </w:rPr>
              <w:t>ERI</w:t>
            </w:r>
            <w:r>
              <w:rPr>
                <w:rFonts w:ascii="Arial" w:cs="Arial" w:eastAsia="Arial" w:hAnsi="Arial"/>
                <w:sz w:val="18"/>
                <w:szCs w:val="18"/>
                <w:color w:val="auto"/>
              </w:rPr>
              <w:t xml:space="preserve"> L. L</w:t>
            </w:r>
            <w:r>
              <w:rPr>
                <w:rFonts w:ascii="Arial" w:cs="Arial" w:eastAsia="Arial" w:hAnsi="Arial"/>
                <w:sz w:val="13"/>
                <w:szCs w:val="13"/>
                <w:color w:val="auto"/>
              </w:rPr>
              <w:t>IST</w:t>
            </w:r>
          </w:p>
        </w:tc>
        <w:tc>
          <w:tcPr>
            <w:tcW w:w="20" w:type="dxa"/>
            <w:vAlign w:val="bottom"/>
          </w:tcPr>
          <w:p>
            <w:pPr>
              <w:spacing w:after="0"/>
              <w:rPr>
                <w:sz w:val="24"/>
                <w:szCs w:val="24"/>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Teri L. List</w:t>
            </w:r>
          </w:p>
        </w:tc>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ATHERINE</w:t>
            </w:r>
            <w:r>
              <w:rPr>
                <w:rFonts w:ascii="Arial" w:cs="Arial" w:eastAsia="Arial" w:hAnsi="Arial"/>
                <w:sz w:val="18"/>
                <w:szCs w:val="18"/>
                <w:color w:val="auto"/>
              </w:rPr>
              <w:t xml:space="preserve"> M</w:t>
            </w:r>
            <w:r>
              <w:rPr>
                <w:rFonts w:ascii="Arial" w:cs="Arial" w:eastAsia="Arial" w:hAnsi="Arial"/>
                <w:sz w:val="13"/>
                <w:szCs w:val="13"/>
                <w:color w:val="auto"/>
              </w:rPr>
              <w:t>AC</w:t>
            </w:r>
            <w:r>
              <w:rPr>
                <w:rFonts w:ascii="Arial" w:cs="Arial" w:eastAsia="Arial" w:hAnsi="Arial"/>
                <w:sz w:val="18"/>
                <w:szCs w:val="18"/>
                <w:color w:val="auto"/>
              </w:rPr>
              <w:t>G</w:t>
            </w:r>
            <w:r>
              <w:rPr>
                <w:rFonts w:ascii="Arial" w:cs="Arial" w:eastAsia="Arial" w:hAnsi="Arial"/>
                <w:sz w:val="13"/>
                <w:szCs w:val="13"/>
                <w:color w:val="auto"/>
              </w:rPr>
              <w:t>REGOR</w:t>
            </w:r>
          </w:p>
        </w:tc>
        <w:tc>
          <w:tcPr>
            <w:tcW w:w="20" w:type="dxa"/>
            <w:vAlign w:val="bottom"/>
            <w:tcBorders>
              <w:bottom w:val="single" w:sz="8" w:color="auto"/>
            </w:tcBorders>
          </w:tcPr>
          <w:p>
            <w:pPr>
              <w:spacing w:after="0"/>
              <w:rPr>
                <w:sz w:val="24"/>
                <w:szCs w:val="24"/>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Catherine MacGregor</w:t>
            </w:r>
          </w:p>
        </w:tc>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w:t>
            </w:r>
            <w:r>
              <w:rPr>
                <w:rFonts w:ascii="Arial" w:cs="Arial" w:eastAsia="Arial" w:hAnsi="Arial"/>
                <w:sz w:val="13"/>
                <w:szCs w:val="13"/>
                <w:color w:val="auto"/>
              </w:rPr>
              <w:t>ARK</w:t>
            </w:r>
            <w:r>
              <w:rPr>
                <w:rFonts w:ascii="Arial" w:cs="Arial" w:eastAsia="Arial" w:hAnsi="Arial"/>
                <w:sz w:val="18"/>
                <w:szCs w:val="18"/>
                <w:color w:val="auto"/>
              </w:rPr>
              <w:t xml:space="preserve"> A. L. M</w:t>
            </w:r>
            <w:r>
              <w:rPr>
                <w:rFonts w:ascii="Arial" w:cs="Arial" w:eastAsia="Arial" w:hAnsi="Arial"/>
                <w:sz w:val="13"/>
                <w:szCs w:val="13"/>
                <w:color w:val="auto"/>
              </w:rPr>
              <w:t>ASON</w:t>
            </w:r>
          </w:p>
        </w:tc>
        <w:tc>
          <w:tcPr>
            <w:tcW w:w="20" w:type="dxa"/>
            <w:vAlign w:val="bottom"/>
            <w:tcBorders>
              <w:bottom w:val="single" w:sz="8" w:color="auto"/>
            </w:tcBorders>
          </w:tcPr>
          <w:p>
            <w:pPr>
              <w:spacing w:after="0"/>
              <w:rPr>
                <w:sz w:val="24"/>
                <w:szCs w:val="24"/>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Mark A. L. Mason</w:t>
            </w:r>
          </w:p>
        </w:tc>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ANDRA</w:t>
            </w:r>
            <w:r>
              <w:rPr>
                <w:rFonts w:ascii="Arial" w:cs="Arial" w:eastAsia="Arial" w:hAnsi="Arial"/>
                <w:sz w:val="18"/>
                <w:szCs w:val="18"/>
                <w:color w:val="auto"/>
              </w:rPr>
              <w:t xml:space="preserve"> E. P</w:t>
            </w:r>
            <w:r>
              <w:rPr>
                <w:rFonts w:ascii="Arial" w:cs="Arial" w:eastAsia="Arial" w:hAnsi="Arial"/>
                <w:sz w:val="13"/>
                <w:szCs w:val="13"/>
                <w:color w:val="auto"/>
              </w:rPr>
              <w:t>ETERSON</w:t>
            </w:r>
          </w:p>
        </w:tc>
        <w:tc>
          <w:tcPr>
            <w:tcW w:w="20" w:type="dxa"/>
            <w:vAlign w:val="bottom"/>
          </w:tcPr>
          <w:p>
            <w:pPr>
              <w:spacing w:after="0"/>
              <w:rPr>
                <w:sz w:val="24"/>
                <w:szCs w:val="24"/>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Lead Independent Director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Sandra E. Peterson</w:t>
            </w:r>
          </w:p>
        </w:tc>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w:t>
            </w:r>
            <w:r>
              <w:rPr>
                <w:rFonts w:ascii="Arial" w:cs="Arial" w:eastAsia="Arial" w:hAnsi="Arial"/>
                <w:sz w:val="13"/>
                <w:szCs w:val="13"/>
                <w:color w:val="auto"/>
              </w:rPr>
              <w:t>ENNY</w:t>
            </w:r>
            <w:r>
              <w:rPr>
                <w:rFonts w:ascii="Arial" w:cs="Arial" w:eastAsia="Arial" w:hAnsi="Arial"/>
                <w:sz w:val="18"/>
                <w:szCs w:val="18"/>
                <w:color w:val="auto"/>
              </w:rPr>
              <w:t xml:space="preserve"> S. P</w:t>
            </w:r>
            <w:r>
              <w:rPr>
                <w:rFonts w:ascii="Arial" w:cs="Arial" w:eastAsia="Arial" w:hAnsi="Arial"/>
                <w:sz w:val="13"/>
                <w:szCs w:val="13"/>
                <w:color w:val="auto"/>
              </w:rPr>
              <w:t>RITZKER</w:t>
            </w:r>
          </w:p>
        </w:tc>
        <w:tc>
          <w:tcPr>
            <w:tcW w:w="20" w:type="dxa"/>
            <w:vAlign w:val="bottom"/>
          </w:tcPr>
          <w:p>
            <w:pPr>
              <w:spacing w:after="0"/>
              <w:rPr>
                <w:sz w:val="24"/>
                <w:szCs w:val="24"/>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Penny S. Pritzker</w:t>
            </w:r>
          </w:p>
        </w:tc>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ARLOS</w:t>
            </w:r>
            <w:r>
              <w:rPr>
                <w:rFonts w:ascii="Arial" w:cs="Arial" w:eastAsia="Arial" w:hAnsi="Arial"/>
                <w:sz w:val="18"/>
                <w:szCs w:val="18"/>
                <w:color w:val="auto"/>
              </w:rPr>
              <w:t xml:space="preserve"> A. R</w:t>
            </w:r>
            <w:r>
              <w:rPr>
                <w:rFonts w:ascii="Arial" w:cs="Arial" w:eastAsia="Arial" w:hAnsi="Arial"/>
                <w:sz w:val="13"/>
                <w:szCs w:val="13"/>
                <w:color w:val="auto"/>
              </w:rPr>
              <w:t>ODRIGUEZ</w:t>
            </w:r>
          </w:p>
        </w:tc>
        <w:tc>
          <w:tcPr>
            <w:tcW w:w="20" w:type="dxa"/>
            <w:vAlign w:val="bottom"/>
            <w:tcBorders>
              <w:bottom w:val="single" w:sz="8" w:color="auto"/>
            </w:tcBorders>
          </w:tcPr>
          <w:p>
            <w:pPr>
              <w:spacing w:after="0"/>
              <w:rPr>
                <w:sz w:val="24"/>
                <w:szCs w:val="24"/>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Carlos A. Rodriguez</w:t>
            </w:r>
          </w:p>
        </w:tc>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HARLES</w:t>
            </w:r>
            <w:r>
              <w:rPr>
                <w:rFonts w:ascii="Arial" w:cs="Arial" w:eastAsia="Arial" w:hAnsi="Arial"/>
                <w:sz w:val="18"/>
                <w:szCs w:val="18"/>
                <w:color w:val="auto"/>
              </w:rPr>
              <w:t xml:space="preserve"> W. S</w:t>
            </w:r>
            <w:r>
              <w:rPr>
                <w:rFonts w:ascii="Arial" w:cs="Arial" w:eastAsia="Arial" w:hAnsi="Arial"/>
                <w:sz w:val="13"/>
                <w:szCs w:val="13"/>
                <w:color w:val="auto"/>
              </w:rPr>
              <w:t>CHARF</w:t>
            </w:r>
          </w:p>
        </w:tc>
        <w:tc>
          <w:tcPr>
            <w:tcW w:w="20" w:type="dxa"/>
            <w:vAlign w:val="bottom"/>
          </w:tcPr>
          <w:p>
            <w:pPr>
              <w:spacing w:after="0"/>
              <w:rPr>
                <w:sz w:val="24"/>
                <w:szCs w:val="24"/>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Charles W. Scharf</w:t>
            </w:r>
          </w:p>
        </w:tc>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3"/>
                <w:szCs w:val="13"/>
                <w:color w:val="auto"/>
              </w:rPr>
              <w:t>OHN</w:t>
            </w:r>
            <w:r>
              <w:rPr>
                <w:rFonts w:ascii="Arial" w:cs="Arial" w:eastAsia="Arial" w:hAnsi="Arial"/>
                <w:sz w:val="18"/>
                <w:szCs w:val="18"/>
                <w:color w:val="auto"/>
              </w:rPr>
              <w:t xml:space="preserve"> W. S</w:t>
            </w:r>
            <w:r>
              <w:rPr>
                <w:rFonts w:ascii="Arial" w:cs="Arial" w:eastAsia="Arial" w:hAnsi="Arial"/>
                <w:sz w:val="13"/>
                <w:szCs w:val="13"/>
                <w:color w:val="auto"/>
              </w:rPr>
              <w:t>TANTON</w:t>
            </w:r>
          </w:p>
        </w:tc>
        <w:tc>
          <w:tcPr>
            <w:tcW w:w="20" w:type="dxa"/>
            <w:vAlign w:val="bottom"/>
          </w:tcPr>
          <w:p>
            <w:pPr>
              <w:spacing w:after="0"/>
              <w:rPr>
                <w:sz w:val="24"/>
                <w:szCs w:val="24"/>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John W. Stanton</w:t>
            </w:r>
          </w:p>
        </w:tc>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w:t>
            </w:r>
            <w:r>
              <w:rPr>
                <w:rFonts w:ascii="Arial" w:cs="Arial" w:eastAsia="Arial" w:hAnsi="Arial"/>
                <w:sz w:val="13"/>
                <w:szCs w:val="13"/>
                <w:color w:val="auto"/>
              </w:rPr>
              <w:t>MMA</w:t>
            </w:r>
            <w:r>
              <w:rPr>
                <w:rFonts w:ascii="Arial" w:cs="Arial" w:eastAsia="Arial" w:hAnsi="Arial"/>
                <w:sz w:val="18"/>
                <w:szCs w:val="18"/>
                <w:color w:val="auto"/>
              </w:rPr>
              <w:t xml:space="preserve"> N. W</w:t>
            </w:r>
            <w:r>
              <w:rPr>
                <w:rFonts w:ascii="Arial" w:cs="Arial" w:eastAsia="Arial" w:hAnsi="Arial"/>
                <w:sz w:val="13"/>
                <w:szCs w:val="13"/>
                <w:color w:val="auto"/>
              </w:rPr>
              <w:t>ALMSLEY</w:t>
            </w:r>
          </w:p>
        </w:tc>
        <w:tc>
          <w:tcPr>
            <w:tcW w:w="20" w:type="dxa"/>
            <w:vAlign w:val="bottom"/>
          </w:tcPr>
          <w:p>
            <w:pPr>
              <w:spacing w:after="0"/>
              <w:rPr>
                <w:sz w:val="24"/>
                <w:szCs w:val="24"/>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Emma N. Walmsley</w:t>
            </w:r>
          </w:p>
        </w:tc>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tc>
        <w:tc>
          <w:tcPr>
            <w:tcW w:w="20" w:type="dxa"/>
            <w:vAlign w:val="bottom"/>
          </w:tcPr>
          <w:p>
            <w:pPr>
              <w:spacing w:after="0"/>
              <w:rPr>
                <w:sz w:val="24"/>
                <w:szCs w:val="24"/>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5720" w:type="dxa"/>
            <w:vAlign w:val="bottom"/>
            <w:vMerge w:val="restart"/>
          </w:tcPr>
          <w:p>
            <w:pPr>
              <w:ind w:left="1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Amy E. Hood</w:t>
            </w:r>
          </w:p>
        </w:tc>
        <w:tc>
          <w:tcPr>
            <w:tcW w:w="20" w:type="dxa"/>
            <w:vAlign w:val="bottom"/>
          </w:tcPr>
          <w:p>
            <w:pPr>
              <w:spacing w:after="0"/>
              <w:rPr>
                <w:sz w:val="20"/>
                <w:szCs w:val="20"/>
                <w:color w:val="auto"/>
              </w:rPr>
            </w:pPr>
          </w:p>
        </w:tc>
        <w:tc>
          <w:tcPr>
            <w:tcW w:w="5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LICE</w:t>
            </w:r>
            <w:r>
              <w:rPr>
                <w:rFonts w:ascii="Arial" w:cs="Arial" w:eastAsia="Arial" w:hAnsi="Arial"/>
                <w:sz w:val="18"/>
                <w:szCs w:val="18"/>
                <w:color w:val="auto"/>
              </w:rPr>
              <w:t xml:space="preserve"> L. J</w:t>
            </w:r>
            <w:r>
              <w:rPr>
                <w:rFonts w:ascii="Arial" w:cs="Arial" w:eastAsia="Arial" w:hAnsi="Arial"/>
                <w:sz w:val="13"/>
                <w:szCs w:val="13"/>
                <w:color w:val="auto"/>
              </w:rPr>
              <w:t>OLLA</w:t>
            </w:r>
          </w:p>
        </w:tc>
        <w:tc>
          <w:tcPr>
            <w:tcW w:w="20" w:type="dxa"/>
            <w:vAlign w:val="bottom"/>
          </w:tcPr>
          <w:p>
            <w:pPr>
              <w:spacing w:after="0"/>
              <w:rPr>
                <w:sz w:val="24"/>
                <w:szCs w:val="24"/>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Corporate Vice President and Chief Accounting Officer</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5720" w:type="dxa"/>
            <w:vAlign w:val="bottom"/>
            <w:vMerge w:val="restart"/>
          </w:tcPr>
          <w:p>
            <w:pPr>
              <w:ind w:left="1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Alice L. Jolla</w:t>
            </w:r>
          </w:p>
        </w:tc>
        <w:tc>
          <w:tcPr>
            <w:tcW w:w="20" w:type="dxa"/>
            <w:vAlign w:val="bottom"/>
          </w:tcPr>
          <w:p>
            <w:pPr>
              <w:spacing w:after="0"/>
              <w:rPr>
                <w:sz w:val="20"/>
                <w:szCs w:val="20"/>
                <w:color w:val="auto"/>
              </w:rPr>
            </w:pPr>
          </w:p>
        </w:tc>
        <w:tc>
          <w:tcPr>
            <w:tcW w:w="5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5740" w:type="dxa"/>
            <w:vAlign w:val="bottom"/>
            <w:gridSpan w:val="2"/>
          </w:tcPr>
          <w:p>
            <w:pPr>
              <w:jc w:val="right"/>
              <w:ind w:right="5411"/>
              <w:spacing w:after="0"/>
              <w:rPr>
                <w:sz w:val="20"/>
                <w:szCs w:val="20"/>
                <w:color w:val="auto"/>
              </w:rPr>
            </w:pPr>
            <w:r>
              <w:rPr>
                <w:rFonts w:ascii="Arial" w:cs="Arial" w:eastAsia="Arial" w:hAnsi="Arial"/>
                <w:sz w:val="14"/>
                <w:szCs w:val="14"/>
                <w:color w:val="auto"/>
                <w:w w:val="94"/>
              </w:rPr>
              <w:t>111</w:t>
            </w:r>
          </w:p>
        </w:tc>
        <w:tc>
          <w:tcPr>
            <w:tcW w:w="0" w:type="dxa"/>
            <w:vAlign w:val="bottom"/>
          </w:tcPr>
          <w:p>
            <w:pPr>
              <w:spacing w:after="0"/>
              <w:rPr>
                <w:sz w:val="1"/>
                <w:szCs w:val="1"/>
                <w:color w:val="auto"/>
              </w:rPr>
            </w:pPr>
          </w:p>
        </w:tc>
      </w:tr>
      <w:tr>
        <w:trPr>
          <w:trHeight w:val="744"/>
        </w:trPr>
        <w:tc>
          <w:tcPr>
            <w:tcW w:w="2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1" w:name="page112"/>
    <w:bookmarkEnd w:id="111"/>
    <w:p>
      <w:pPr>
        <w:ind w:left="10260"/>
        <w:spacing w:after="0"/>
        <w:rPr>
          <w:sz w:val="20"/>
          <w:szCs w:val="20"/>
          <w:color w:val="auto"/>
        </w:rPr>
      </w:pPr>
      <w:r>
        <w:rPr>
          <w:rFonts w:ascii="Arial" w:cs="Arial" w:eastAsia="Arial" w:hAnsi="Arial"/>
          <w:sz w:val="18"/>
          <w:szCs w:val="18"/>
          <w:color w:val="auto"/>
        </w:rPr>
        <w:t>Exhibit 4.26</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REGISTERED PURSUANT TO SECTION 12 OF THE</w:t>
      </w:r>
    </w:p>
    <w:p>
      <w:pPr>
        <w:jc w:val="center"/>
        <w:ind w:right="40"/>
        <w:spacing w:after="0"/>
        <w:rPr>
          <w:sz w:val="20"/>
          <w:szCs w:val="20"/>
          <w:color w:val="auto"/>
        </w:rPr>
      </w:pPr>
      <w:r>
        <w:rPr>
          <w:rFonts w:ascii="Arial" w:cs="Arial" w:eastAsia="Arial" w:hAnsi="Arial"/>
          <w:sz w:val="18"/>
          <w:szCs w:val="18"/>
          <w:b w:val="1"/>
          <w:bCs w:val="1"/>
          <w:color w:val="auto"/>
        </w:rPr>
        <w:t>SECURITIES EXCHANGE ACT OF 1934</w:t>
      </w:r>
    </w:p>
    <w:p>
      <w:pPr>
        <w:spacing w:after="0" w:line="140" w:lineRule="exact"/>
        <w:rPr>
          <w:sz w:val="20"/>
          <w:szCs w:val="20"/>
          <w:color w:val="auto"/>
        </w:rPr>
      </w:pPr>
    </w:p>
    <w:p>
      <w:pPr>
        <w:jc w:val="both"/>
        <w:ind w:right="460"/>
        <w:spacing w:after="0" w:line="271" w:lineRule="auto"/>
        <w:rPr>
          <w:sz w:val="20"/>
          <w:szCs w:val="20"/>
          <w:color w:val="auto"/>
        </w:rPr>
      </w:pPr>
      <w:r>
        <w:rPr>
          <w:rFonts w:ascii="Arial" w:cs="Arial" w:eastAsia="Arial" w:hAnsi="Arial"/>
          <w:sz w:val="18"/>
          <w:szCs w:val="18"/>
          <w:color w:val="auto"/>
        </w:rPr>
        <w:t>As of July 30, 2024, Microsoft Corporation has three classes of securities registered under Section 12 of the Securities Exchange Act of 1934, as amended (the “Exchange Act”): (1) our Common Stock; (2) our 3.125% Notes due 2028; and (3) our 2.625% Notes due 2033.</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158"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following description of our Common Stock is a summary and does not purport to be complete. It is subject to and qualified in its entirety by reference to our Amended and Restated Articles of Incorporation (the “Articles of Incorporation”) and our Amended and Restated Bylaws (the “Bylaws”), each of which are incorporated by reference as an exhibit to the Annual Report on Form 10-K of which this Exhibit 4.1 is a part. We encourage you to read our Articles of Incorporation, our Bylaws and the applicable provisions of Washington Business Corporation Act, Title 23B of the Revised Code of Washington, for additional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Shares</w:t>
      </w:r>
    </w:p>
    <w:p>
      <w:pPr>
        <w:spacing w:after="0" w:line="15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authorized capital shares consist of 24,000,000,000 shares of common stock, $ 0.00000625 par value per share (“Common Stock”), and 100,000,000 shares of series preferred stock, $0.01 par value per share (“Preferred Stock”). The outstanding shares of our Common Stock are fully paid and nonassessable.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Holders of Common Stock are entitled to one vote per share on all matters voted on by the stockholders, including the election of directors.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does not have cumulative voting rights.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Subject to the rights of holders of outstanding shares of Preferred Stock, if any, the holders of Common Stock are entitled to receive dividends, if any, as may be declared from time to time by the Board of Directors in its discretion out of funds legally available for the payment of dividends.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58"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Subject to any preferential rights of outstanding shares of Preferred Stock, holders of Common Stock will share ratably in all assets legally available for distribution to our stockholders in the event of dissolution.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and Preferences</w:t>
      </w:r>
    </w:p>
    <w:p>
      <w:pPr>
        <w:spacing w:after="0" w:line="15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Our Common Stock has no sinking fund or redemption provisions or preemptive, conversion or exchange rights. Holders of Common Stock may act by unanimous written consent.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is traded on The Nasdaq Stock Market LLC under the trading symbol “MSFT.”</w:t>
      </w:r>
    </w:p>
    <w:p>
      <w:pPr>
        <w:spacing w:after="0" w:line="15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Description of the Notes</w:t>
      </w:r>
    </w:p>
    <w:p>
      <w:pPr>
        <w:spacing w:after="0" w:line="15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following description of our 3.125% Notes due 2028 (the “2028 Notes”) and our 2.625% Notes due 2033 (the “2033 Notes” and, together with the 2028 Notes, the “notes”), is a summary and does not purport to be complete. It is subject to and qualified in its entirety by reference to the indenture, dated as of May 18, 2009 (the “Base Indenture”), between Microsoft Corporation and The Bank of New York Mellon Trust Company, N.A., as trustee, as supplemented in the case of the 2028 Notes, by the seventh supplemental indenture, dated as of December 6, 2013, and, as supplemented in the case of the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2" w:name="page113"/>
    <w:bookmarkEnd w:id="112"/>
    <w:p>
      <w:pPr>
        <w:spacing w:after="0" w:line="13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Notes, by the fifth supplemental indenture dated as of May 1, 2013 (the Base Indenture, as supplemented by the fifth and seventh supplemental indentures, the “indenture”), which are incorporated by reference as exhibits to the Annual Report on Form 10-K of which this Exhibit 4.1 is a part. The 2028 Notes and the 2033 Notes are each traded on The New York Stock Exchange under the bond trading symbols of “MSFT28” and “MSFT33,”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encourage you to read the above referenced indenture, as supplemented, for additional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certain of the specific terms and conditions of the indenture supplements with respect to each of the notes.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2033 Notes were initially issued in an €550,000,000 aggregate principal amount. The 2028 Notes were initially issued in an</w:t>
      </w:r>
    </w:p>
    <w:p>
      <w:pPr>
        <w:spacing w:after="0" w:line="1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€1,750,000,000 aggregate principal amount. We are permitted to issue additional notes of each series of notes without the consent of the holders of that series of notes, but we will not issue such additional notes unless they are fungible for U.S. federal income tax purposes with the relevant series of notes offered. As of July 30, 2024 no such additional notes have been issued.</w:t>
      </w:r>
    </w:p>
    <w:p>
      <w:pPr>
        <w:spacing w:after="0" w:line="125" w:lineRule="exact"/>
        <w:rPr>
          <w:sz w:val="20"/>
          <w:szCs w:val="20"/>
          <w:color w:val="auto"/>
        </w:rPr>
      </w:pPr>
    </w:p>
    <w:p>
      <w:pPr>
        <w:ind w:right="900"/>
        <w:spacing w:after="0" w:line="271" w:lineRule="auto"/>
        <w:rPr>
          <w:sz w:val="20"/>
          <w:szCs w:val="20"/>
          <w:color w:val="auto"/>
        </w:rPr>
      </w:pPr>
      <w:r>
        <w:rPr>
          <w:rFonts w:ascii="Arial" w:cs="Arial" w:eastAsia="Arial" w:hAnsi="Arial"/>
          <w:sz w:val="18"/>
          <w:szCs w:val="18"/>
          <w:color w:val="auto"/>
        </w:rPr>
        <w:t>The notes are senior unsecured obligations and rank equally with our other unsecured and unsubordinated debt from time to time outstanding.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maturity date of the 2028 Notes is December 6, 2028. The maturity date of the 2033 Notes is May 2, 2033.</w:t>
      </w:r>
    </w:p>
    <w:p>
      <w:pPr>
        <w:spacing w:after="0" w:line="158"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The notes will be subject to legal defeasance and covenant defeasance as provided under the “Discharge, Defeasance and Covenant Defeasance” section set forth below.</w:t>
      </w:r>
    </w:p>
    <w:p>
      <w:pPr>
        <w:spacing w:after="0" w:line="10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notes were issued in a form of one or more fully registered global securities, without coupons, in denominations of €100,000 in principal amount and integral multiples of €1,000 in excess thereof.</w:t>
      </w:r>
    </w:p>
    <w:p>
      <w:pPr>
        <w:spacing w:after="0" w:line="100" w:lineRule="exact"/>
        <w:rPr>
          <w:sz w:val="20"/>
          <w:szCs w:val="20"/>
          <w:color w:val="auto"/>
        </w:rPr>
      </w:pPr>
    </w:p>
    <w:p>
      <w:pPr>
        <w:ind w:right="2040"/>
        <w:spacing w:after="0" w:line="422" w:lineRule="auto"/>
        <w:rPr>
          <w:sz w:val="20"/>
          <w:szCs w:val="20"/>
          <w:color w:val="auto"/>
        </w:rPr>
      </w:pPr>
      <w:r>
        <w:rPr>
          <w:rFonts w:ascii="Arial" w:cs="Arial" w:eastAsia="Arial" w:hAnsi="Arial"/>
          <w:sz w:val="18"/>
          <w:szCs w:val="18"/>
          <w:color w:val="auto"/>
        </w:rPr>
        <w:t xml:space="preserve">The notes are not redeemable at the option of the holder prior to maturity and will not benefit from any sinking fund. </w:t>
      </w:r>
      <w:r>
        <w:rPr>
          <w:rFonts w:ascii="Arial" w:cs="Arial" w:eastAsia="Arial" w:hAnsi="Arial"/>
          <w:sz w:val="18"/>
          <w:szCs w:val="18"/>
          <w:b w:val="1"/>
          <w:bCs w:val="1"/>
          <w:color w:val="auto"/>
        </w:rPr>
        <w:t>Interest and Principal</w:t>
      </w:r>
    </w:p>
    <w:p>
      <w:pPr>
        <w:spacing w:after="0" w:line="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2028 Notes bear interest from December 6, 2013 at a fixed interest rate of 3.125% per annum. The 2033 Notes bear interest from May 2, 2013 at a fixed interest rate of 2.625% per annum. Interest is paid annually on December 6 for the 2028 Notes and on May 2 for the 2033 Notes, and on the maturity date of each series of notes (the “interest payment date”). We will pay interest on the notes to the persons in whose names the notes are registered at the close of business on the May 1 or December 5 or May 1, as applicable (in each case, whether or not a business day) immediately preceding the related interest payment date. Interest on the notes will be computed on the basis of the actual number of days in the period for which interest is being calculated and the actual number of days from and including the last date on which interest was paid on the notes (or the original issue date if no interest has been paid or duly provided for on the notes), to but excluding the next date on which interest is paid or duly provided for. This payment convention is referred to as Actual/Actual (ICMA) as defined in the rulebook of the International Capital Market Association.</w:t>
      </w:r>
    </w:p>
    <w:p>
      <w:pPr>
        <w:spacing w:after="0" w:line="12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We will pay the principal of and interest on each note to the registered holder in euro in immediately available funds;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2028 Notes, 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The amount payable on any date in euro will be converted into U.S. dollars at the rate mandated by the U.S. Federal Reserve Board as of the close of business on the second business day prior to the relevant payment date or, in the event the U.S. Federal Reserve Board has not mandated a rate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3" w:name="page114"/>
    <w:bookmarkEnd w:id="113"/>
    <w:p>
      <w:pPr>
        <w:spacing w:after="0" w:line="13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conversion, on the basis of the most recent U.S. dollar/euro exchange rate published in The Wall Street Journal on or prior to the second business day prior to the relevant payment date. Any payment in respect of the notes so made in U.S. dollars will not constitute an event of default under the notes or the indenture governing the notes. So long as the notes are in book-entry form, we will make payments of principal and interest through the London paying agent described below.</w:t>
      </w:r>
    </w:p>
    <w:p>
      <w:pPr>
        <w:spacing w:after="0" w:line="12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Interest payable on any interest payment date for a series of notes or the maturity date for that series of notes will be the amount of interest accrued from, and including, the next preceding interest payment date for such notes in respect of which interest has been paid or duly provided for (or from and including the original issue date, if no interest has been paid or duly provided for with respect to the notes of that series) to, but excluding, such interest payment date or maturity date, as the case may be. If any interest payment date falls on a day that is not a business day, the interest payment will be made on the next succeeding business day, and we will not be liable for any additional interest as a result of the delay in payment. If a maturity date falls on a day that is not a business day, the related payment of principal and interest will be made on the next succeeding business day, and no interest will accrue on the amounts so payable for the period from and after such date to the next succeeding business day. The term “business day” means any day, other than a Saturday or a Sunday, (1) which is not a day on which banking institutions are authorized or obligated by law or executive order to close in New York City or London and (2) on which the Trans-European Automated Real-time Gross Settlement Express Transfer system (the TARGET2 system), or any successor thereto, is open.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5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At any time prior to September 6, 2028, we will have the right at our option to redeem the 2028 Notes, in whole or in part, at any time or from time to time, on at least 30 days’ but not more than 60 days’ prior notice mailed to the registered address of each holder of the 2028 Notes, at a redemption price, calculated by us, equal to the greater of (1) 100% of the principal amount of the 2028 Notes to be redeemed and (2) the sum of the present values of each remaining scheduled payment of principal and interest on the 2028 Notes to be redeemed (exclusive of interest accrued to the date of redemption) discounted to the redemption date on an annual basis (Actual/Actual (ICMA)) at the applicable Bond Rate plus 20 basis points.</w:t>
      </w:r>
    </w:p>
    <w:p>
      <w:pPr>
        <w:spacing w:after="0" w:line="12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At any time prior to February 2, 2033, we will have the right at our option to redeem the notes, in whole or in part, at any time or from time to time, on at least 30 days’ but not more than 60 days’ prior notice mailed to the registered address of each holder of the notes, at a redemption price equal to the greater of (1) 100% of the principal amount of the notes to be redeemed and (2) the sum of the present values of each remaining scheduled payment of principal and interest on the notes to be redeemed (exclusive of interest accrued to the date of redemption) discounted to the redemption date on an annual basis (Actual/Actual (ICMA)) at the applicable Bond Rate plus 12.5 basis points.</w:t>
      </w:r>
    </w:p>
    <w:p>
      <w:pPr>
        <w:spacing w:after="0" w:line="12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At any time on or after September 6, 2028, we will have the right at our option to redeem the 2028 Notes, in whole or in part, on at least 30 days’ but not more than 60 days’ notice, at any time at a redemption price equal to 100% of the principal amount of the 2028 Notes to be redeemed.</w:t>
      </w:r>
    </w:p>
    <w:p>
      <w:pPr>
        <w:spacing w:after="0" w:line="115"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At any time on or after February 2, 2033, we will have the right at our option to redeem the 2033 Notes, in whole or in part, on at least 30 days’ but not more than 60 days’ notice, at any time at a redemption price equal to 100% of the principal amount of the notes to be redeemed.</w:t>
      </w:r>
    </w:p>
    <w:p>
      <w:pPr>
        <w:spacing w:after="0" w:line="115"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color w:val="auto"/>
        </w:rPr>
        <w:t>The redemption price for the notes will include, in each case, accrued and unpaid interest on the principal amount of the notes to be redeemed to the redemption date. The redemption price paid for the notes upon any such redemption will be paid in euro.</w:t>
      </w:r>
    </w:p>
    <w:p>
      <w:pPr>
        <w:spacing w:after="0" w:line="100"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“Bond Rate” means, with respect to any redemption date, the rate per annum equal to the annual equivalent yield to maturity or interpolated maturity (on a day count basis) of the applicable Comparable Government Issue (computed as of the third business day immediately preceding the redemption date), assuming a price for such Comparable Government Issue (expressed as a percentage of its principal amount) equal to the applicable Comparable Price for such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3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“Comparable Government Issue” means the euro-denominated security issued by the German government selected by an Independent Investment Banker as having an actual or interpolated maturity comparable to the remaining term of the series of notes to be redeemed that would be utilized, at the time of selection and in accordance with customary financial practice, in pricing new issues of corporate debt securities of a comparable maturity to the remaining term of the notes of such series.</w:t>
      </w:r>
    </w:p>
    <w:p>
      <w:pPr>
        <w:spacing w:after="0" w:line="12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“Comparable Price” means, with respect to any redemption date (1) the arithmetic average of the Reference Dealer Quotations for such redemption date, after excluding the highest and lowest such Reference Dealer Quotations or (2) if we obtain fewer than four such Reference Dealer Quotations, the arithmetic average of all such quotations for such redemption date.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“Independent Investment Banker” means an investment bank of international standing appointed by us.</w:t>
      </w:r>
    </w:p>
    <w:p>
      <w:pPr>
        <w:spacing w:after="0" w:line="158"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“Reference Dealer” means a broker of, or a market maker in, the Comparable Government Issue selected by the Independent Investment Banker.</w:t>
      </w:r>
    </w:p>
    <w:p>
      <w:pPr>
        <w:spacing w:after="0" w:line="10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“Reference Dealer Quotation” means, with respect to each Reference Dealer and any redemption date, the arithmetic average, as determined by us, of the bid and asked prices for the applicable Comparable Government Issue (expressed in each case as a percentage of its principal amount) quoted in writing to us by such Reference Dealer at 11:00 a.m. (London time) on the third business day preceding such redemption date.</w:t>
      </w:r>
    </w:p>
    <w:p>
      <w:pPr>
        <w:spacing w:after="0" w:line="120"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 xml:space="preserve">On and after a redemption date, interest will cease to accrue on the notes called for redemption or any portion of any series of the notes called for redemption (unless we default in the payment of the redemption price and accrued and unpaid interest). On or before the redemption date, we will deposit with the London paying agent money sufficient to pay the redemption price of and (unless the redemption date shall be an interest payment date) accrued and unpaid interest to the redemption date on the notes to be redeemed on such date. If less than all of the notes of a series are to be redeemed, the notes of such series to be redeemed will be selected by the trustee by such method as the trustee will deem fair and appropriate;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notes of a principal amount of €100,000 or less shall be redeemed in part.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Upon Tax Event</w:t>
      </w:r>
    </w:p>
    <w:p>
      <w:pPr>
        <w:spacing w:after="0" w:line="15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We may redeem the notes of any series at our option in whole, but not in part, on at least 15 days’ but not more than 60 days’ notice, at a redemption price equal to 100% of their principal amount (plus any accrued interest and additional amounts then payable with respect to the notes of that series), if we determine that (A) as a result of any change or amendment to the laws, treaties, regulations or rulings of the United States or any political subdivision or taxing authority thereof, which change or amendment is announced and becomes effective after the date of the applicable prospectus supplement, we have become obligated to pay additional amounts as described under “-Payment of Additional Amounts” on any notes of such series or (B) after the date of the applicable prospectus supplement, any change in the official application, enforcement or interpretation of those laws, treaties, regulations or rulings, including a holding by a court of competent jurisdiction in the United States or any other action, taken by any taxing authority or a court of competent jurisdiction in the United States, whether or not such action was taken or made with respect to us, results in a material probability that we have or will become obligated to pay additional amounts as described under “-Payment of Additional Amounts” on any notes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we determine, in our business judgment, that the obligation to pay such additional amounts cannot be avoided by use of reasonable measures available to us, not including substitution of the obligor under the notes of such series. Prior to the mailing of any notice of such a redemption, we will deliver to the trustee (1) an officer’s certificate stating that we are entitled to effect such a redemption and setting forth a statement of facts showing that the conditions precedent to the right of our company to so redeem have occurred and (2) an opinion of counsel to that effect based on that statement of facts.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158"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All payments of principal and interest in respect of the notes will be made free and clear of, and without deduction or withholding for or on account of any present or future taxes, duties, assessments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governmental charges of whatsoever nature imposed, levied, collected, withheld or assessed by the United States or any political subdivision or taxing authority of or in the United States, unless such withholding or deduction is required by law.</w:t>
      </w:r>
    </w:p>
    <w:p>
      <w:pPr>
        <w:spacing w:after="0" w:line="10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will pay to the beneficial owner of notes who is a Non-U.S. Person (as defined below) additional amounts as may be necessary so that every net payment of the principal of and premium, if any, and interest on such holder’s note, after deduction or withholding for or on account of any present or future tax, assessment or other governmental charge imposed upon that beneficial owner by the United States or any taxing authority thereof or therein, will not be less than the amount provided in such holder’s notes to be then due and payable. We will not be required, however, to make any payment of additional amounts for or on account of:</w:t>
      </w:r>
    </w:p>
    <w:p>
      <w:pPr>
        <w:spacing w:after="0" w:line="122" w:lineRule="exact"/>
        <w:rPr>
          <w:sz w:val="20"/>
          <w:szCs w:val="20"/>
          <w:color w:val="auto"/>
        </w:rPr>
      </w:pPr>
    </w:p>
    <w:p>
      <w:pPr>
        <w:ind w:left="760" w:right="20" w:hanging="378"/>
        <w:spacing w:after="0" w:line="239"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would not have been imposed but for (1) the existence of any present or former connection (other than a connection arising solely from the ownership of those notes or the receipt of payments in respect of those notes) between that beneficial owner, or between a fiduciary, settlor, beneficiary of, member or shareholder of, or possessor of a power over, that beneficial owner, if that beneficial owner is an estate, trust, partnership or corporation, and the United States, including that beneficial owner, or that fiduciary, settlor, beneficiary, member, shareholder or possessor, being or having been a citizen or resident or treated as a resident of the United States or being or having been engaged in trade or business or present in the United States or having had a permanent establishment in the United States or (2) the presentation of a debt security for payment on a date more than 30 days after the later of the date on which that payment becomes due and payable and the date on which payment is duly provided for;</w:t>
      </w:r>
    </w:p>
    <w:p>
      <w:pPr>
        <w:spacing w:after="0" w:line="129" w:lineRule="exact"/>
        <w:rPr>
          <w:rFonts w:ascii="Arial" w:cs="Arial" w:eastAsia="Arial" w:hAnsi="Arial"/>
          <w:sz w:val="18"/>
          <w:szCs w:val="18"/>
          <w:color w:val="auto"/>
        </w:rPr>
      </w:pPr>
    </w:p>
    <w:p>
      <w:pPr>
        <w:ind w:left="760" w:right="340" w:hanging="378"/>
        <w:spacing w:after="0" w:line="271"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estate, inheritance, gift, sales, transfer, excise, personal property, wealth, interest equalization or similar tax, assessment or other governmental charge;</w:t>
      </w:r>
    </w:p>
    <w:p>
      <w:pPr>
        <w:spacing w:after="0" w:line="99" w:lineRule="exact"/>
        <w:rPr>
          <w:rFonts w:ascii="Arial" w:cs="Arial" w:eastAsia="Arial" w:hAnsi="Arial"/>
          <w:sz w:val="18"/>
          <w:szCs w:val="18"/>
          <w:color w:val="auto"/>
        </w:rPr>
      </w:pPr>
    </w:p>
    <w:p>
      <w:pPr>
        <w:ind w:left="760" w:hanging="378"/>
        <w:spacing w:after="0" w:line="247"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on foreign personal holding company income or by reason of that beneficial owner’s past or present status as a passive foreign investment company, a controlled foreign corporation, a foreign tax exempt organization or a personal holding company with respect to the United States or as a corporation that accumulates earnings to avoid U.S. federal income tax;</w:t>
      </w:r>
    </w:p>
    <w:p>
      <w:pPr>
        <w:spacing w:after="0" w:line="119" w:lineRule="exact"/>
        <w:rPr>
          <w:rFonts w:ascii="Arial" w:cs="Arial" w:eastAsia="Arial" w:hAnsi="Arial"/>
          <w:sz w:val="18"/>
          <w:szCs w:val="18"/>
          <w:color w:val="auto"/>
        </w:rPr>
      </w:pPr>
    </w:p>
    <w:p>
      <w:pPr>
        <w:ind w:left="760" w:right="160" w:hanging="378"/>
        <w:spacing w:after="0" w:line="271"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tax, assessment or other governmental charge which is payable otherwise than by withholding from payment of principal of or premium, if any, or interest on such holder’s notes;</w:t>
      </w:r>
    </w:p>
    <w:p>
      <w:pPr>
        <w:spacing w:after="0" w:line="99" w:lineRule="exact"/>
        <w:rPr>
          <w:rFonts w:ascii="Arial" w:cs="Arial" w:eastAsia="Arial" w:hAnsi="Arial"/>
          <w:sz w:val="18"/>
          <w:szCs w:val="18"/>
          <w:color w:val="auto"/>
        </w:rPr>
      </w:pPr>
    </w:p>
    <w:p>
      <w:pPr>
        <w:ind w:left="760" w:right="280" w:hanging="378"/>
        <w:spacing w:after="0" w:line="271"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tax, assessment or other governmental charge required to be withheld by any paying agent from any payment of principal of and premium, if any, or interest on any note if that payment can be made without withholding by any other paying agent;</w:t>
      </w:r>
    </w:p>
    <w:p>
      <w:pPr>
        <w:spacing w:after="0" w:line="99" w:lineRule="exact"/>
        <w:rPr>
          <w:rFonts w:ascii="Arial" w:cs="Arial" w:eastAsia="Arial" w:hAnsi="Arial"/>
          <w:sz w:val="18"/>
          <w:szCs w:val="18"/>
          <w:color w:val="auto"/>
        </w:rPr>
      </w:pPr>
    </w:p>
    <w:p>
      <w:pPr>
        <w:ind w:left="760" w:right="160" w:hanging="378"/>
        <w:spacing w:after="0" w:line="242"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tax, assessment or other governmental charge which would not have been imposed but for the failure of a beneficial owner or any holder of notes to comply with our request to comply with certification, information, documentation or other reporting requirements concerning the nationality, residence, identity or connections with the United States of the beneficial owner or any holder of the notes (including, but not limited to, the requirement to provide Internal Revenue Service Forms W-8BEN, Forms W-8ECI, or any subsequent versions thereof or successor thereto, and including, without limitation, any documentation requirement under an applicable income tax treaty);</w:t>
      </w:r>
    </w:p>
    <w:p>
      <w:pPr>
        <w:spacing w:after="0" w:line="124" w:lineRule="exact"/>
        <w:rPr>
          <w:rFonts w:ascii="Arial" w:cs="Arial" w:eastAsia="Arial" w:hAnsi="Arial"/>
          <w:sz w:val="18"/>
          <w:szCs w:val="18"/>
          <w:color w:val="auto"/>
        </w:rPr>
      </w:pPr>
    </w:p>
    <w:p>
      <w:pPr>
        <w:jc w:val="both"/>
        <w:ind w:left="760" w:right="220" w:hanging="378"/>
        <w:spacing w:after="0" w:line="247"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on interest received by (1) a 10% shareholder (as defined in Section 871(h)(3)(B) of the U.S. Internal Revenue Code of 1986, as amended (the “Code”), and the regulations that may be promulgated thereunder) of our company or (2) a controlled foreign corporation that is related to us within the meaning of Section 864(d)(4) of the Code, or (3) a bank receiving interest described in Section 881(c)(3)(A)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6" w:name="page117"/>
    <w:bookmarkEnd w:id="116"/>
    <w:p>
      <w:pPr>
        <w:spacing w:after="0" w:line="139" w:lineRule="exact"/>
        <w:rPr>
          <w:sz w:val="20"/>
          <w:szCs w:val="20"/>
          <w:color w:val="auto"/>
        </w:rPr>
      </w:pPr>
    </w:p>
    <w:p>
      <w:pPr>
        <w:ind w:left="760" w:right="120" w:hanging="378"/>
        <w:spacing w:after="0" w:line="253"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withholding or deduction that is imposed on a payment to an individual and is required to be made pursuant to European Council Directive 2003/48/EC relating to the taxation of savings, or any law implementing or complying with, or introduced in order to conform to, such Directive;</w:t>
      </w:r>
    </w:p>
    <w:p>
      <w:pPr>
        <w:spacing w:after="0" w:line="114" w:lineRule="exact"/>
        <w:rPr>
          <w:rFonts w:ascii="Arial" w:cs="Arial" w:eastAsia="Arial" w:hAnsi="Arial"/>
          <w:sz w:val="18"/>
          <w:szCs w:val="18"/>
          <w:color w:val="auto"/>
        </w:rPr>
      </w:pPr>
    </w:p>
    <w:p>
      <w:pPr>
        <w:ind w:left="760" w:right="200" w:hanging="378"/>
        <w:spacing w:after="0" w:line="253"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with respect to the 2028 Notes, any taxes payable under Sections 1471 through 1474 of the Code (or any amended or successor version of such Sections), any regulations or other guidance thereunder, or any agreement (including any intergovernmental agreement) entered into in connection therewith; or</w:t>
      </w:r>
    </w:p>
    <w:p>
      <w:pPr>
        <w:spacing w:after="0" w:line="114" w:lineRule="exact"/>
        <w:rPr>
          <w:rFonts w:ascii="Arial" w:cs="Arial" w:eastAsia="Arial" w:hAnsi="Arial"/>
          <w:sz w:val="18"/>
          <w:szCs w:val="18"/>
          <w:color w:val="auto"/>
        </w:rPr>
      </w:pPr>
    </w:p>
    <w:p>
      <w:pPr>
        <w:ind w:left="760" w:hanging="378"/>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combination of items (a), (b), (c), (d), (e), (f), (g), (h) and (i);</w:t>
      </w:r>
    </w:p>
    <w:p>
      <w:pPr>
        <w:spacing w:after="0" w:line="15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nor will we pay any additional amounts to any beneficial owner or holder of notes who is a fiduciary or partnership to the extent that a beneficiary or settlor with respect to that fiduciary or a member of that partnership or a beneficial owner thereof would not have been entitled to the payment of those additional amounts had that beneficiary, settlor, member or beneficial owner been the beneficial owner of those notes.</w:t>
      </w:r>
    </w:p>
    <w:p>
      <w:pPr>
        <w:spacing w:after="0" w:line="120"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As used in the preceding paragraph, “Non-U.S. Person” means any corporation, partnership, individual or fiduciary that is, for United States federal income tax purposes, a foreign corporation, a non-resident alien individual who has not made a valid election to be treated as a United States resident, a non-resident fiduciary of a foreign estate or trust or a foreign partnership, one or more of the members of which is, as to the United States, a foreign corporation, a non-resident alien individual or a non-resident fiduciary of a foreign estate or trust.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and Settlement</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Each series of notes was issued in the form of one or more global securities, in definitive, fully registered form without interest coupons, each of which we refer to as a “global security.” Each such global security was deposited with The Bank of New York Mellon, as common depositary (the “Common Depositary”) and registered in the name of the Common Depositary or its nominee.</w:t>
      </w:r>
    </w:p>
    <w:p>
      <w:pPr>
        <w:spacing w:after="0" w:line="11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Beneficial interests in the global securities are represented, and transfers of such beneficial interest was effected, through accounts of financial institutions acting on behalf of beneficial owners as direct or indirect participants in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which we refer to as “Clearstream,” or Euroclear Bank SA/ NV, as operator of the Euroclear System, which we refer to as “Euroclear.” Investors may hold notes directly through Clearstream or Euroclear, if they are participants in such systems, or indirectly through organizations that are participants in such systems.</w:t>
      </w:r>
    </w:p>
    <w:p>
      <w:pPr>
        <w:spacing w:after="0" w:line="12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Beneficial interests in the global securities will be shown on, and transfers of beneficial interests in the global securities are made only through, records maintained by Clearstream or Euroclear and their participants. The London paying agent will wire payments on the notes to the Common Depositary as the holder of the global securities. The trustee, the London paying agent and we will treat the Common Depositary or any successor nominee to the Common Depositary as the owner of the global securities for all purposes. Accordingly, the trustee, the London paying agent and we will have no direct responsibility or liability to pay amounts due with respect to the global securities to you or any other beneficial owners in the global securities. Any redemption or other notices with respect to the notes will be sent by us directly to Clearstream or Euroclear, which will, in turn, inform the direct participants (or the indirect participants), which will then contact you as a beneficial holder, all in accordance with the rules of Clearstream or Euroclear, as the case may be, and the internal procedures of the direct participant (or the indirect participant) through which beneficial interest in the notes are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7" w:name="page118"/>
    <w:bookmarkEnd w:id="117"/>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56"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Subject to certain conditions, the notes represented by the global securities are exchangeable for certificated notes in definitive form of like tenor in minimum denominations of €100,000 principal amount and integral multiples of €1,000 in excess thereof if:</w:t>
      </w:r>
    </w:p>
    <w:p>
      <w:pPr>
        <w:spacing w:after="0" w:line="100" w:lineRule="exact"/>
        <w:rPr>
          <w:sz w:val="20"/>
          <w:szCs w:val="20"/>
          <w:color w:val="auto"/>
        </w:rPr>
      </w:pPr>
    </w:p>
    <w:p>
      <w:pPr>
        <w:ind w:left="760" w:hanging="378"/>
        <w:spacing w:after="0" w:line="271" w:lineRule="auto"/>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Common Depositary notifies us that it is unwilling or unable to continue as depositary or if the Common Depositary ceases to be eligible under the indenture and we do not appoint a successor depository within 90 days;</w:t>
      </w:r>
    </w:p>
    <w:p>
      <w:pPr>
        <w:spacing w:after="0" w:line="99" w:lineRule="exact"/>
        <w:rPr>
          <w:rFonts w:ascii="Arial" w:cs="Arial" w:eastAsia="Arial" w:hAnsi="Arial"/>
          <w:sz w:val="18"/>
          <w:szCs w:val="18"/>
          <w:color w:val="auto"/>
        </w:rPr>
      </w:pPr>
    </w:p>
    <w:p>
      <w:pPr>
        <w:ind w:left="760" w:right="320" w:hanging="378"/>
        <w:spacing w:after="0" w:line="271" w:lineRule="auto"/>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determine that the notes will no longer be represented by global securities and execute and deliver to the trustee an order to that effect; or</w:t>
      </w:r>
    </w:p>
    <w:p>
      <w:pPr>
        <w:spacing w:after="0" w:line="99" w:lineRule="exact"/>
        <w:rPr>
          <w:rFonts w:ascii="Arial" w:cs="Arial" w:eastAsia="Arial" w:hAnsi="Arial"/>
          <w:sz w:val="18"/>
          <w:szCs w:val="18"/>
          <w:color w:val="auto"/>
        </w:rPr>
      </w:pPr>
    </w:p>
    <w:p>
      <w:pPr>
        <w:ind w:left="760" w:hanging="378"/>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event of default with respect to the notes will have occurred and be continuing.</w:t>
      </w:r>
    </w:p>
    <w:p>
      <w:pPr>
        <w:spacing w:after="0" w:line="15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the Common Depositary shall direct. Subject to the foregoing, a global security is not exchangeable, except for a global security of the same aggregate denomination to be registered in the name of the Common Depositary or its nominee.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 Paying Agents and Security Registrar</w:t>
      </w:r>
    </w:p>
    <w:p>
      <w:pPr>
        <w:spacing w:after="0" w:line="15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Bank of New York Mellon Trust Company, N.A. is the trustee under the indenture governing the notes. The Bank of New York Mellon Trust Company, N.A. is a national banking association organized under and governed by the laws of the United States of America, and provides trust services and acts as indenture trustee for numerous corporate securities issuances, including for other series of debt securities of which we are the issuer. The Bank of New York Mellon, London Branch, is the paying agent for the notes in London.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Indenture Provisions: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Governing Law</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indenture and the notes are governed by, and construed in accordance with, the laws of the State of New York.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Merger and Sale of Assets</w:t>
      </w:r>
    </w:p>
    <w:p>
      <w:pPr>
        <w:spacing w:after="0" w:line="15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indenture provides that we may consolidate with or merge with or into any other person, and may sell, transfer, or lease or convey all or substantially all of our properties and assets to another person; provided that the following conditions are satisfied:</w:t>
      </w:r>
    </w:p>
    <w:p>
      <w:pPr>
        <w:spacing w:after="0" w:line="100" w:lineRule="exact"/>
        <w:rPr>
          <w:sz w:val="20"/>
          <w:szCs w:val="20"/>
          <w:color w:val="auto"/>
        </w:rPr>
      </w:pPr>
    </w:p>
    <w:p>
      <w:pPr>
        <w:ind w:left="1280" w:right="220" w:hanging="374"/>
        <w:spacing w:after="0" w:line="243" w:lineRule="auto"/>
        <w:tabs>
          <w:tab w:leader="none" w:pos="128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we are the continuing entity, or the resulting, surviving or transferee person (the “Successor”) is a person organized and existing under the laws of the United States of America, any state thereof or the District of Columbia and the Successor (if not us) will expressly assume, by supplemental indenture, all of our obligations under the debt securities and the indenture and, for each security that by its terms provides for conversion, provide for the right to convert such security in accordance with its terms;</w:t>
      </w:r>
    </w:p>
    <w:p>
      <w:pPr>
        <w:spacing w:after="0" w:line="125" w:lineRule="exact"/>
        <w:rPr>
          <w:rFonts w:ascii="Times New Roman" w:cs="Times New Roman" w:eastAsia="Times New Roman" w:hAnsi="Times New Roman"/>
          <w:sz w:val="18"/>
          <w:szCs w:val="18"/>
          <w:color w:val="auto"/>
        </w:rPr>
      </w:pPr>
    </w:p>
    <w:p>
      <w:pPr>
        <w:ind w:left="1280" w:right="400" w:hanging="374"/>
        <w:spacing w:after="0" w:line="270" w:lineRule="auto"/>
        <w:tabs>
          <w:tab w:leader="none" w:pos="128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immediately after giving effect to such transaction, no default or event of default under the indenture has occurred and is continuing; and</w:t>
      </w:r>
    </w:p>
    <w:p>
      <w:pPr>
        <w:spacing w:after="0" w:line="100" w:lineRule="exact"/>
        <w:rPr>
          <w:rFonts w:ascii="Times New Roman" w:cs="Times New Roman" w:eastAsia="Times New Roman" w:hAnsi="Times New Roman"/>
          <w:sz w:val="18"/>
          <w:szCs w:val="18"/>
          <w:color w:val="auto"/>
        </w:rPr>
      </w:pPr>
    </w:p>
    <w:p>
      <w:pPr>
        <w:ind w:left="1280" w:right="180" w:hanging="374"/>
        <w:spacing w:after="0" w:line="270" w:lineRule="auto"/>
        <w:tabs>
          <w:tab w:leader="none" w:pos="128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if requested, the trustee receives from us, an officers’ certificate and an opinion of counsel that the merger, consolidation or transfer and such supplemental indenture, as the case may be, complies with the applicable provisions of the indenture.</w:t>
      </w:r>
    </w:p>
    <w:p>
      <w:pPr>
        <w:spacing w:after="0" w:line="10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we consolidate or merge with or into any other person or sell, transfer, lease or convey all or substantially all of our properties and assets in accordance with the indenture, the Successor will be substituted for us in the indenture, with the same effect as if it had been an original party to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139"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As a result, the Successor may exercise our rights and powers under the indenture, and we will be released from all our liabilities and obligations under the indenture and under the debt securities.</w:t>
      </w:r>
    </w:p>
    <w:p>
      <w:pPr>
        <w:spacing w:after="0" w:line="1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Any substitution of the Successor for us might be deemed for federal income tax purposes to be an exchange of the debt securities for “new” debt securities, resulting in recognition of gain or loss for such purposes and possibly certain other adverse tax consequences to beneficial owners of the debt securities. Holders should consult their own tax advisors regarding the tax consequences of any such substitution.</w:t>
      </w:r>
    </w:p>
    <w:p>
      <w:pPr>
        <w:spacing w:after="0" w:line="115" w:lineRule="exact"/>
        <w:rPr>
          <w:sz w:val="20"/>
          <w:szCs w:val="20"/>
          <w:color w:val="auto"/>
        </w:rPr>
      </w:pPr>
    </w:p>
    <w:p>
      <w:pPr>
        <w:ind w:right="200"/>
        <w:spacing w:after="0" w:line="301" w:lineRule="auto"/>
        <w:rPr>
          <w:sz w:val="20"/>
          <w:szCs w:val="20"/>
          <w:color w:val="auto"/>
        </w:rPr>
      </w:pPr>
      <w:r>
        <w:rPr>
          <w:rFonts w:ascii="Arial" w:cs="Arial" w:eastAsia="Arial" w:hAnsi="Arial"/>
          <w:sz w:val="17"/>
          <w:szCs w:val="17"/>
          <w:color w:val="auto"/>
        </w:rPr>
        <w:t>For purposes of this covenant, “person” means any individual, corporation, partnership, limited liability company, joint venture, association, joint-stock company, trust, unincorporated organization or government or any agency or political subdivision thereof or any other entity.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Each of the following events are defined in the indenture as an “event of default” (whatever the reason for such event of default and whether or not it will be voluntary or involuntary or be effected by operation of law or pursuant to any judgment, decree or order of any court or any order, rule or regulation of any administrative or governmental body) with respect to the debt securities of any series:</w:t>
      </w:r>
    </w:p>
    <w:p>
      <w:pPr>
        <w:spacing w:after="0" w:line="115" w:lineRule="exact"/>
        <w:rPr>
          <w:sz w:val="20"/>
          <w:szCs w:val="20"/>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securities of that series for 30 days after becoming due;</w:t>
      </w:r>
    </w:p>
    <w:p>
      <w:pPr>
        <w:spacing w:after="0" w:line="157" w:lineRule="exact"/>
        <w:rPr>
          <w:rFonts w:ascii="Arial" w:cs="Arial" w:eastAsia="Arial" w:hAnsi="Arial"/>
          <w:sz w:val="18"/>
          <w:szCs w:val="18"/>
          <w:color w:val="auto"/>
        </w:rPr>
      </w:pPr>
    </w:p>
    <w:p>
      <w:pPr>
        <w:ind w:right="400" w:firstLine="8"/>
        <w:spacing w:after="0" w:line="271" w:lineRule="auto"/>
        <w:tabs>
          <w:tab w:leader="none" w:pos="27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if any, on any debt securities of that series when it becomes due and payable at its stated maturity, upon optional redemption, upon declaration or otherwise;</w:t>
      </w:r>
    </w:p>
    <w:p>
      <w:pPr>
        <w:spacing w:after="0" w:line="99" w:lineRule="exact"/>
        <w:rPr>
          <w:rFonts w:ascii="Arial" w:cs="Arial" w:eastAsia="Arial" w:hAnsi="Arial"/>
          <w:sz w:val="18"/>
          <w:szCs w:val="18"/>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any debt securities of that series;</w:t>
      </w:r>
    </w:p>
    <w:p>
      <w:pPr>
        <w:spacing w:after="0" w:line="157" w:lineRule="exact"/>
        <w:rPr>
          <w:rFonts w:ascii="Arial" w:cs="Arial" w:eastAsia="Arial" w:hAnsi="Arial"/>
          <w:sz w:val="18"/>
          <w:szCs w:val="18"/>
          <w:color w:val="auto"/>
        </w:rPr>
      </w:pPr>
    </w:p>
    <w:p>
      <w:pPr>
        <w:ind w:right="60" w:firstLine="8"/>
        <w:spacing w:after="0" w:line="253" w:lineRule="auto"/>
        <w:tabs>
          <w:tab w:leader="none" w:pos="27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agreement of ours in the indenture with respect to the debt securities of that series (other than as referred to in clause (1), (2) or (3) above), which continues for a period of 90 days after written notice to us by the trustee or to us and the trustee by the holders of at least 25% in aggregate principal amount of the outstanding debt securities of that series;</w:t>
      </w:r>
    </w:p>
    <w:p>
      <w:pPr>
        <w:spacing w:after="0" w:line="114" w:lineRule="exact"/>
        <w:rPr>
          <w:rFonts w:ascii="Arial" w:cs="Arial" w:eastAsia="Arial" w:hAnsi="Arial"/>
          <w:sz w:val="18"/>
          <w:szCs w:val="18"/>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pursuant to or within the meaning of the Bankruptcy Law:</w:t>
      </w:r>
    </w:p>
    <w:p>
      <w:pPr>
        <w:spacing w:after="0" w:line="157" w:lineRule="exact"/>
        <w:rPr>
          <w:rFonts w:ascii="Arial" w:cs="Arial" w:eastAsia="Arial" w:hAnsi="Arial"/>
          <w:sz w:val="18"/>
          <w:szCs w:val="18"/>
          <w:color w:val="auto"/>
        </w:rPr>
      </w:pPr>
    </w:p>
    <w:p>
      <w:pPr>
        <w:ind w:left="1720" w:hanging="364"/>
        <w:spacing w:after="0"/>
        <w:tabs>
          <w:tab w:leader="none" w:pos="1720" w:val="left"/>
        </w:tabs>
        <w:numPr>
          <w:ilvl w:val="1"/>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commence a voluntary case or proceeding;</w:t>
      </w:r>
    </w:p>
    <w:p>
      <w:pPr>
        <w:spacing w:after="0" w:line="170" w:lineRule="exact"/>
        <w:rPr>
          <w:rFonts w:ascii="Times New Roman" w:cs="Times New Roman" w:eastAsia="Times New Roman" w:hAnsi="Times New Roman"/>
          <w:sz w:val="18"/>
          <w:szCs w:val="18"/>
          <w:color w:val="auto"/>
        </w:rPr>
      </w:pPr>
    </w:p>
    <w:p>
      <w:pPr>
        <w:ind w:left="1720" w:hanging="364"/>
        <w:spacing w:after="0"/>
        <w:tabs>
          <w:tab w:leader="none" w:pos="1720" w:val="left"/>
        </w:tabs>
        <w:numPr>
          <w:ilvl w:val="1"/>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consent to the entry of an order for relief against us in an involuntary case or proceeding;</w:t>
      </w:r>
    </w:p>
    <w:p>
      <w:pPr>
        <w:spacing w:after="0" w:line="170" w:lineRule="exact"/>
        <w:rPr>
          <w:rFonts w:ascii="Times New Roman" w:cs="Times New Roman" w:eastAsia="Times New Roman" w:hAnsi="Times New Roman"/>
          <w:sz w:val="18"/>
          <w:szCs w:val="18"/>
          <w:color w:val="auto"/>
        </w:rPr>
      </w:pPr>
    </w:p>
    <w:p>
      <w:pPr>
        <w:ind w:left="1720" w:hanging="364"/>
        <w:spacing w:after="0"/>
        <w:tabs>
          <w:tab w:leader="none" w:pos="1720" w:val="left"/>
        </w:tabs>
        <w:numPr>
          <w:ilvl w:val="1"/>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consent to the appointment of a Custodian of us or for all or substantially all of our property;</w:t>
      </w:r>
    </w:p>
    <w:p>
      <w:pPr>
        <w:spacing w:after="0" w:line="170" w:lineRule="exact"/>
        <w:rPr>
          <w:rFonts w:ascii="Times New Roman" w:cs="Times New Roman" w:eastAsia="Times New Roman" w:hAnsi="Times New Roman"/>
          <w:sz w:val="18"/>
          <w:szCs w:val="18"/>
          <w:color w:val="auto"/>
        </w:rPr>
      </w:pPr>
    </w:p>
    <w:p>
      <w:pPr>
        <w:ind w:left="1720" w:hanging="364"/>
        <w:spacing w:after="0"/>
        <w:tabs>
          <w:tab w:leader="none" w:pos="1720" w:val="left"/>
        </w:tabs>
        <w:numPr>
          <w:ilvl w:val="1"/>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make a general assignment for the benefit of our creditors;</w:t>
      </w:r>
    </w:p>
    <w:p>
      <w:pPr>
        <w:spacing w:after="0" w:line="170" w:lineRule="exact"/>
        <w:rPr>
          <w:rFonts w:ascii="Times New Roman" w:cs="Times New Roman" w:eastAsia="Times New Roman" w:hAnsi="Times New Roman"/>
          <w:sz w:val="18"/>
          <w:szCs w:val="18"/>
          <w:color w:val="auto"/>
        </w:rPr>
      </w:pPr>
    </w:p>
    <w:p>
      <w:pPr>
        <w:ind w:left="1720" w:hanging="364"/>
        <w:spacing w:after="0"/>
        <w:tabs>
          <w:tab w:leader="none" w:pos="1720" w:val="left"/>
        </w:tabs>
        <w:numPr>
          <w:ilvl w:val="1"/>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file a petition in bankruptcy or answer or consent seeking reorganization or relief;</w:t>
      </w:r>
    </w:p>
    <w:p>
      <w:pPr>
        <w:spacing w:after="0" w:line="170" w:lineRule="exact"/>
        <w:rPr>
          <w:rFonts w:ascii="Times New Roman" w:cs="Times New Roman" w:eastAsia="Times New Roman" w:hAnsi="Times New Roman"/>
          <w:sz w:val="18"/>
          <w:szCs w:val="18"/>
          <w:color w:val="auto"/>
        </w:rPr>
      </w:pPr>
    </w:p>
    <w:p>
      <w:pPr>
        <w:ind w:left="1720" w:hanging="364"/>
        <w:spacing w:after="0"/>
        <w:tabs>
          <w:tab w:leader="none" w:pos="1720" w:val="left"/>
        </w:tabs>
        <w:numPr>
          <w:ilvl w:val="1"/>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consent to the filing of such petition or the appointment of or taking possession by a Custodian; or</w:t>
      </w:r>
    </w:p>
    <w:p>
      <w:pPr>
        <w:spacing w:after="0" w:line="170" w:lineRule="exact"/>
        <w:rPr>
          <w:rFonts w:ascii="Times New Roman" w:cs="Times New Roman" w:eastAsia="Times New Roman" w:hAnsi="Times New Roman"/>
          <w:sz w:val="18"/>
          <w:szCs w:val="18"/>
          <w:color w:val="auto"/>
        </w:rPr>
      </w:pPr>
    </w:p>
    <w:p>
      <w:pPr>
        <w:ind w:left="1720" w:hanging="364"/>
        <w:spacing w:after="0"/>
        <w:tabs>
          <w:tab w:leader="none" w:pos="1720" w:val="left"/>
        </w:tabs>
        <w:numPr>
          <w:ilvl w:val="1"/>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take any comparable action under any foreign laws relating to insolvency;</w:t>
      </w:r>
    </w:p>
    <w:p>
      <w:pPr>
        <w:spacing w:after="0" w:line="170"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57" w:lineRule="exact"/>
        <w:rPr>
          <w:rFonts w:ascii="Arial" w:cs="Arial" w:eastAsia="Arial" w:hAnsi="Arial"/>
          <w:sz w:val="18"/>
          <w:szCs w:val="18"/>
          <w:color w:val="auto"/>
        </w:rPr>
      </w:pPr>
    </w:p>
    <w:p>
      <w:pPr>
        <w:ind w:left="1720" w:hanging="364"/>
        <w:spacing w:after="0"/>
        <w:tabs>
          <w:tab w:leader="none" w:pos="1720" w:val="left"/>
        </w:tabs>
        <w:numPr>
          <w:ilvl w:val="1"/>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is for relief against us in an involuntary case, or adjudicates us insolvent or bankrupt;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9" w:name="page120"/>
    <w:bookmarkEnd w:id="119"/>
    <w:p>
      <w:pPr>
        <w:spacing w:after="0" w:line="139" w:lineRule="exact"/>
        <w:rPr>
          <w:sz w:val="20"/>
          <w:szCs w:val="20"/>
          <w:color w:val="auto"/>
        </w:rPr>
      </w:pPr>
    </w:p>
    <w:p>
      <w:pPr>
        <w:ind w:left="1720" w:hanging="364"/>
        <w:spacing w:after="0"/>
        <w:tabs>
          <w:tab w:leader="none" w:pos="1720" w:val="left"/>
        </w:tabs>
        <w:numPr>
          <w:ilvl w:val="1"/>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appoints a Custodian of us or for all or substantially all of our property; or</w:t>
      </w:r>
    </w:p>
    <w:p>
      <w:pPr>
        <w:spacing w:after="0" w:line="170" w:lineRule="exact"/>
        <w:rPr>
          <w:rFonts w:ascii="Times New Roman" w:cs="Times New Roman" w:eastAsia="Times New Roman" w:hAnsi="Times New Roman"/>
          <w:sz w:val="18"/>
          <w:szCs w:val="18"/>
          <w:color w:val="auto"/>
        </w:rPr>
      </w:pPr>
    </w:p>
    <w:p>
      <w:pPr>
        <w:ind w:right="1840" w:firstLine="1356"/>
        <w:spacing w:after="0" w:line="429" w:lineRule="auto"/>
        <w:tabs>
          <w:tab w:leader="none" w:pos="1722" w:val="left"/>
        </w:tabs>
        <w:numPr>
          <w:ilvl w:val="1"/>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orders the winding-up or liquidation of us (or any similar relief is granted under any foreign laws); and the order or decree remains unstayed and in effect for 90 days; or</w:t>
      </w:r>
    </w:p>
    <w:p>
      <w:pPr>
        <w:spacing w:after="0" w:line="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occurs.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“Bankruptcy Law” means Title 11, United States Code or any similar federal or state or foreign law for the relief of debtors.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“Custodian” means any custodian, receiver, trustee, assignee, liquidator or other similar official under any Bankruptcy Law.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If an event of default with respect to debt securities of any series (other than an event of default relating to certain events of bankruptcy, insolvency, or reorganization of us) occurs and is continuing, the trustee by notice to us, or the holders of at least 25% in aggregate principal amount of the outstanding debt securities of that series by notice to us and the trustee, may, and the trustee at the request of these holders will, declare the principal of and premium, if any, and accrued and unpaid interest on all the debt securities of that series to be due and payable. Upon such a declaration, such principal, premium and accrued and unpaid interest will be due and payable immediately. If an event of default relating to certain events of bankruptcy, insolvency, or reorganization of us occurs and is continuing, the principal of and premium, if any, and accrued and unpaid interest on the debt securities of that series will become and be immediately due and payable without any declaration or other act on the part of the trustee or any holders.</w:t>
      </w:r>
    </w:p>
    <w:p>
      <w:pPr>
        <w:spacing w:after="0" w:line="12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holders of not less than a majority in aggregate principal amount of the outstanding debt securities of any series may rescind a declaration of acceleration and its consequences, if we have deposited certain sums with the trustee and all events of default with respect to the debt securities of that series, other than the non-payment of the principal or interest which have become due solely by such acceleration, have been cured or waived, as provided in the indenture.</w:t>
      </w:r>
    </w:p>
    <w:p>
      <w:pPr>
        <w:spacing w:after="0" w:line="120"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w:t>
      </w:r>
    </w:p>
    <w:p>
      <w:pPr>
        <w:spacing w:after="0" w:line="10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are required to furnish the trustee annually a statement by certain of our officers to the effect that, to the best of their knowledge, we are not in default in the fulfillment of any of our obligations under the indenture or, if there has been a default in the fulfillment of any such obligation, specifying each such default.</w:t>
      </w:r>
    </w:p>
    <w:p>
      <w:pPr>
        <w:spacing w:after="0" w:line="11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No holder of any debt securities of any series will have any right to institute any judicial or other proceeding with respect to the indenture, or for the appointment of a receiver or trustee, or for any other remedy unless:</w:t>
      </w:r>
    </w:p>
    <w:p>
      <w:pPr>
        <w:spacing w:after="0" w:line="100" w:lineRule="exact"/>
        <w:rPr>
          <w:sz w:val="20"/>
          <w:szCs w:val="20"/>
          <w:color w:val="auto"/>
        </w:rPr>
      </w:pPr>
    </w:p>
    <w:p>
      <w:pPr>
        <w:ind w:right="220" w:firstLine="8"/>
        <w:spacing w:after="0" w:line="271" w:lineRule="auto"/>
        <w:tabs>
          <w:tab w:leader="none" w:pos="2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and such holder has given the trustee prior written notice of such continuing event of default with respect to the debt securities of that series;</w:t>
      </w:r>
    </w:p>
    <w:p>
      <w:pPr>
        <w:spacing w:after="0" w:line="99" w:lineRule="exact"/>
        <w:rPr>
          <w:rFonts w:ascii="Arial" w:cs="Arial" w:eastAsia="Arial" w:hAnsi="Arial"/>
          <w:sz w:val="18"/>
          <w:szCs w:val="18"/>
          <w:color w:val="auto"/>
        </w:rPr>
      </w:pPr>
    </w:p>
    <w:p>
      <w:pPr>
        <w:ind w:right="300" w:firstLine="8"/>
        <w:spacing w:after="0" w:line="271" w:lineRule="auto"/>
        <w:tabs>
          <w:tab w:leader="none" w:pos="2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holders of not less than 25% of the aggregate principal amount of the outstanding debt securities of that series have requested the trustee to institute proceedings in respect of such event of default;</w:t>
      </w:r>
    </w:p>
    <w:p>
      <w:pPr>
        <w:spacing w:after="0" w:line="99" w:lineRule="exact"/>
        <w:rPr>
          <w:rFonts w:ascii="Arial" w:cs="Arial" w:eastAsia="Arial" w:hAnsi="Arial"/>
          <w:sz w:val="18"/>
          <w:szCs w:val="18"/>
          <w:color w:val="auto"/>
        </w:rPr>
      </w:pPr>
    </w:p>
    <w:p>
      <w:pPr>
        <w:ind w:right="540" w:firstLine="8"/>
        <w:spacing w:after="0" w:line="271" w:lineRule="auto"/>
        <w:tabs>
          <w:tab w:leader="none" w:pos="2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has been offered indemnity reasonably satisfactory to it against its costs, expenses and liabilities in complying with such request;</w:t>
      </w:r>
    </w:p>
    <w:p>
      <w:pPr>
        <w:spacing w:after="0" w:line="99" w:lineRule="exact"/>
        <w:rPr>
          <w:rFonts w:ascii="Arial" w:cs="Arial" w:eastAsia="Arial" w:hAnsi="Arial"/>
          <w:sz w:val="18"/>
          <w:szCs w:val="18"/>
          <w:color w:val="auto"/>
        </w:rPr>
      </w:pPr>
    </w:p>
    <w:p>
      <w:pPr>
        <w:ind w:left="280" w:hanging="272"/>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has failed to institute proceedings 60 days after the receipt of such notice, request and offer of indemnity; and</w:t>
      </w:r>
    </w:p>
    <w:p>
      <w:pPr>
        <w:spacing w:after="0" w:line="157" w:lineRule="exact"/>
        <w:rPr>
          <w:rFonts w:ascii="Arial" w:cs="Arial" w:eastAsia="Arial" w:hAnsi="Arial"/>
          <w:sz w:val="18"/>
          <w:szCs w:val="18"/>
          <w:color w:val="auto"/>
        </w:rPr>
      </w:pPr>
    </w:p>
    <w:p>
      <w:pPr>
        <w:ind w:right="160" w:firstLine="8"/>
        <w:spacing w:after="0" w:line="271" w:lineRule="auto"/>
        <w:tabs>
          <w:tab w:leader="none" w:pos="2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for 60 days by the holders of a majority in aggregate principal amount of the outstanding debt securities of that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3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holders of a majority in aggregate principal amount of outstanding debt securities of a series will have the right, subject to certain limitations, to direct the time, method and place of conducting any proceeding for any remedy available to the trustee with respect to the debt securities of that series or exercising any trust or power conferred to the trustee, and to waive certain defaults. The indenture provides that if an event of default occurs and is continuing, the trustee will exercise such of its rights and powers under the indenture, and use the same degree of care and skill in their exercise, as a prudent person would exercise or use under the circumstances in the conduct of such person’s own affairs. Subject to such provisions, the trustee will be under no obligation to exercise any of its rights or powers under the indenture at the request of any of the holders of the debt securities of a series unless they will have offered to the trustee security or indemnity satisfactory to the trustee against the costs, expenses and liabilities which might be incurred by it in compliance with such request.</w:t>
      </w:r>
    </w:p>
    <w:p>
      <w:pPr>
        <w:spacing w:after="0" w:line="126"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Notwithstanding the foregoing, the holder of any debt security will have an absolute and unconditional right to receive payment of the principal of and premium, if any, and interest on that debt security on or after the due dates expressed in that debt security and to institute suit for the enforcement of payment.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Discharge, Defeasance and Covenant Defeasance</w:t>
      </w:r>
    </w:p>
    <w:p>
      <w:pPr>
        <w:spacing w:after="0" w:line="156"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We may discharge certain obligations to holders of the debt securities of a series that have not already been delivered to the trustee for cancellation and that either have become due and payable or will become due and payable within one year (or scheduled for redemption within one year) by depositing with the trustee, in trust, money in an amount sufficient to pay the entire indebtedness including the principal and premium, if any, and interest to the date of such deposit (if the debt securities have become due and payable) or to the maturity thereof or the redemption date of the debt securities of that series, as the case may be. We may direct the trustee to invest such funds in U.S. Treasury securities with a maturity of one year or less or in a money market fund that invests solely in short-term U.S. Treasury securities.</w:t>
      </w:r>
    </w:p>
    <w:p>
      <w:pPr>
        <w:spacing w:after="0" w:line="11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indenture provides that we may elect either (1) to defease and be discharged from any and all obligations with respect to the debt securities of a series (except for, among other things, obligations to register the transfer or exchange of the debt securities, to replace temporary or mutilated, destroyed, lost or stolen debt securities, to maintain an office or agency with respect to the debt securities and to hold moneys for payment in trust) (“legal defeasance”) or (2) to be released from our obligations to comply with the restrictive covenants under the indenture, and any omission to comply with such obligations will not constitute a default or an event of default with respect to the debt securities of a series and clauses (4) and (7) under “-Events of Default” will no longer be applied (“covenant defeasance”). Legal defeasance or covenant defeasance, as the case may be, will be conditioned upon, among other things, the irrevocable deposit by us with the trustee, in trust, of an amount, or U.S. government obligations, or both, applicable to the debt securities of that series which through the scheduled payment of principal and interest in accordance with their terms will provide money in an amount sufficient to pay the principal or premium, if any, and interest on the debt securities on the scheduled due dates therefor.</w:t>
      </w:r>
    </w:p>
    <w:p>
      <w:pPr>
        <w:spacing w:after="0" w:line="126"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If we effect covenant defeasance with respect to the debt securities of any series, the amount, or U.S. government obligations, or both, on deposit with the trustee will be sufficient, in the opinion of a nationally recognized firm of independent accountants, to pay amounts due on the debt securities of that series at the time of the stated maturity but may not be sufficient to pay amounts due on the debt securities of that series at the time of the acceleration resulting from such event of default. However, we would remain liable to make payment of such amounts due at the time of acceleration.</w:t>
      </w:r>
    </w:p>
    <w:p>
      <w:pPr>
        <w:spacing w:after="0" w:line="122"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We have elected pursuant to Section 1301 of the indenture, to have both Section 1302 (legal defeasance) and Section 1303 (covenant defeasance) of the indenture apply to the all of the notes.</w:t>
      </w:r>
    </w:p>
    <w:p>
      <w:pPr>
        <w:spacing w:after="0" w:line="10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With respect to the 2028 Notes, “U.S. government obligation” means (I)(x) any security which is (i) a direct obligation of the United States of America for the payment of which the full faith and credit of the United States of America is pledged or (ii) an obligation of a Person (as defined in the indenture) controlled or supervised by and acting as an agency or instrumentality of the United States of America the payment of which is unconditionally guaranteed as a full faith and credit obligation by the United States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America, which, in either case (I)(x)(i)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 or (II)(x) any security which is (i) a direct obligation of the German Government (as defined in the indenture) or (ii) an obligation of a Person (as defined in the indenture) controlled or supervised by and acting as an agency or instrumentality of the German Government (as defined in the indenture) the payment of which is fully and unconditionally guaranteed by the German Government (as defined in the indenture), the central bank of the German Government (as defined in the indenture) or a governmental agency of the German Government (as defined in the indenture), which, in either case (II)(x)(i) or (ii), is not callable or redeemable at the option of the issuer thereof, and (y) certificates, depositary receipts or other instruments which evidence a direct ownership interest in obligations described in clause (II)(x)(i) or (ii) above or in any specific principal or interest payments due in respect thereof.</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With respect to the 2033 Notes, “U.S. government obligation” means (x) any security which is (i) a direct obligation of the United States of America for the payment of which the full faith and credit of the United States of America is pledged or (ii) an obligation of a Person (as defined in the indenture)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of 1933, as amended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3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 will be required to deliver to the trustee an opinion of counsel that the deposit and related defeasance will not cause the holders and beneficial owners of the debt securities of that series to recognize income, gain or loss for federal income tax purposes. If we elect legal defeasance, that opinion of counsel must be based upon a ruling from the U.S. Internal Revenue Service or a change in law to that effect.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may exercise our legal defeasance option notwithstanding our prior exercise of our covenant defeasance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2" w:name="page123"/>
    <w:bookmarkEnd w:id="122"/>
    <w:p>
      <w:pPr>
        <w:jc w:val="right"/>
        <w:spacing w:after="0"/>
        <w:rPr>
          <w:sz w:val="20"/>
          <w:szCs w:val="20"/>
          <w:color w:val="auto"/>
        </w:rPr>
      </w:pPr>
      <w:r>
        <w:rPr>
          <w:rFonts w:ascii="Arial" w:cs="Arial" w:eastAsia="Arial" w:hAnsi="Arial"/>
          <w:sz w:val="19"/>
          <w:szCs w:val="19"/>
          <w:color w:val="auto"/>
        </w:rPr>
        <w:t>Exhibit 10.5</w:t>
      </w:r>
    </w:p>
    <w:p>
      <w:pPr>
        <w:spacing w:after="0" w:line="203"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212121"/>
        </w:rPr>
        <w:t>MICROSOFT CORPORATION DEFERRED COMPENSATION PLAN</w:t>
      </w:r>
    </w:p>
    <w:p>
      <w:pPr>
        <w:spacing w:after="0" w:line="6"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212121"/>
        </w:rPr>
        <w:t>(Amended and Restated Effective as of April 1, 2024)</w:t>
      </w:r>
    </w:p>
    <w:p>
      <w:pPr>
        <w:spacing w:after="0" w:line="200" w:lineRule="exact"/>
        <w:rPr>
          <w:sz w:val="20"/>
          <w:szCs w:val="20"/>
          <w:color w:val="auto"/>
        </w:rPr>
      </w:pPr>
    </w:p>
    <w:p>
      <w:pPr>
        <w:spacing w:after="0" w:line="208" w:lineRule="exact"/>
        <w:rPr>
          <w:sz w:val="20"/>
          <w:szCs w:val="20"/>
          <w:color w:val="auto"/>
        </w:rPr>
      </w:pPr>
    </w:p>
    <w:p>
      <w:pPr>
        <w:ind w:left="820" w:hanging="812"/>
        <w:spacing w:after="0"/>
        <w:tabs>
          <w:tab w:leader="none" w:pos="820" w:val="left"/>
        </w:tabs>
        <w:numPr>
          <w:ilvl w:val="0"/>
          <w:numId w:val="58"/>
        </w:numPr>
        <w:rPr>
          <w:rFonts w:ascii="Arial" w:cs="Arial" w:eastAsia="Arial" w:hAnsi="Arial"/>
          <w:sz w:val="19"/>
          <w:szCs w:val="19"/>
          <w:u w:val="single" w:color="auto"/>
          <w:color w:val="212121"/>
        </w:rPr>
      </w:pPr>
      <w:r>
        <w:rPr>
          <w:rFonts w:ascii="Arial" w:cs="Arial" w:eastAsia="Arial" w:hAnsi="Arial"/>
          <w:sz w:val="19"/>
          <w:szCs w:val="19"/>
          <w:u w:val="single" w:color="auto"/>
          <w:color w:val="212121"/>
        </w:rPr>
        <w:t>Purpose.</w:t>
      </w:r>
    </w:p>
    <w:p>
      <w:pPr>
        <w:spacing w:after="0" w:line="214" w:lineRule="exact"/>
        <w:rPr>
          <w:sz w:val="20"/>
          <w:szCs w:val="20"/>
          <w:color w:val="auto"/>
        </w:rPr>
      </w:pPr>
    </w:p>
    <w:p>
      <w:pPr>
        <w:ind w:left="20" w:right="420" w:firstLine="753"/>
        <w:spacing w:after="0" w:line="248" w:lineRule="auto"/>
        <w:rPr>
          <w:sz w:val="20"/>
          <w:szCs w:val="20"/>
          <w:color w:val="auto"/>
        </w:rPr>
      </w:pPr>
      <w:r>
        <w:rPr>
          <w:rFonts w:ascii="Arial" w:cs="Arial" w:eastAsia="Arial" w:hAnsi="Arial"/>
          <w:sz w:val="19"/>
          <w:szCs w:val="19"/>
          <w:color w:val="212121"/>
        </w:rPr>
        <w:t>The purpose of the Microsoft Corporation Deferred Compensation Plan (the "Plan") is to further the long-term growth of Microsoft Corporation (the "Company") by allowing selected Company executives and other senior management or highly compensated employees to defer receipt of certain compensation in order to keep such employees’ financial interests aligned with the Company and provide them with a long-term incentive to continue employment with the Company.</w:t>
      </w:r>
    </w:p>
    <w:p>
      <w:pPr>
        <w:spacing w:after="0" w:line="177" w:lineRule="exact"/>
        <w:rPr>
          <w:sz w:val="20"/>
          <w:szCs w:val="20"/>
          <w:color w:val="auto"/>
        </w:rPr>
      </w:pPr>
    </w:p>
    <w:p>
      <w:pPr>
        <w:ind w:left="20" w:right="500" w:firstLine="744"/>
        <w:spacing w:after="0" w:line="270" w:lineRule="auto"/>
        <w:rPr>
          <w:sz w:val="20"/>
          <w:szCs w:val="20"/>
          <w:color w:val="auto"/>
        </w:rPr>
      </w:pPr>
      <w:r>
        <w:rPr>
          <w:rFonts w:ascii="Arial" w:cs="Arial" w:eastAsia="Arial" w:hAnsi="Arial"/>
          <w:sz w:val="19"/>
          <w:szCs w:val="19"/>
          <w:color w:val="212121"/>
        </w:rPr>
        <w:t>The Plan was formerly known as the 1998 Microsoft Corporation Stock Option Gain and Bonus Deferral Program. The name of the Plan was changed pursuant to a restatement effective January 1, 2006.</w:t>
      </w:r>
    </w:p>
    <w:p>
      <w:pPr>
        <w:spacing w:after="0" w:line="156" w:lineRule="exact"/>
        <w:rPr>
          <w:sz w:val="20"/>
          <w:szCs w:val="20"/>
          <w:color w:val="auto"/>
        </w:rPr>
      </w:pPr>
    </w:p>
    <w:p>
      <w:pPr>
        <w:ind w:left="20" w:right="220" w:firstLine="744"/>
        <w:spacing w:after="0" w:line="243" w:lineRule="auto"/>
        <w:rPr>
          <w:sz w:val="20"/>
          <w:szCs w:val="20"/>
          <w:color w:val="auto"/>
        </w:rPr>
      </w:pPr>
      <w:r>
        <w:rPr>
          <w:rFonts w:ascii="Arial" w:cs="Arial" w:eastAsia="Arial" w:hAnsi="Arial"/>
          <w:sz w:val="19"/>
          <w:szCs w:val="19"/>
          <w:color w:val="212121"/>
        </w:rPr>
        <w:t>This Plan is intended (1) to comply with section 409A of the Internal Revenue Code, as amended (the "Code") and official guidance issued thereunder (except with respect to amounts covered by Appendix B), and (2) to be "a plan which is unfunded and is maintained by an employer primarily for the purpose of providing deferred compensation for a select group of management or highly compensated employees" within the meaning of sections 201(2), 301(a)(3) and 401(a)(1) of the Employee Retirement Income Security Act of 1974. Notwithstanding any other provision of this Plan, this Plan shall be interpreted, operated and administered in a manner consistent with these intentions.</w:t>
      </w:r>
    </w:p>
    <w:p>
      <w:pPr>
        <w:spacing w:after="0" w:line="185" w:lineRule="exact"/>
        <w:rPr>
          <w:sz w:val="20"/>
          <w:szCs w:val="20"/>
          <w:color w:val="auto"/>
        </w:rPr>
      </w:pPr>
    </w:p>
    <w:p>
      <w:pPr>
        <w:ind w:left="780" w:hanging="742"/>
        <w:spacing w:after="0"/>
        <w:tabs>
          <w:tab w:leader="none" w:pos="780" w:val="left"/>
        </w:tabs>
        <w:numPr>
          <w:ilvl w:val="0"/>
          <w:numId w:val="59"/>
        </w:numPr>
        <w:rPr>
          <w:rFonts w:ascii="Arial" w:cs="Arial" w:eastAsia="Arial" w:hAnsi="Arial"/>
          <w:sz w:val="19"/>
          <w:szCs w:val="19"/>
          <w:u w:val="single" w:color="auto"/>
          <w:color w:val="212121"/>
        </w:rPr>
      </w:pPr>
      <w:r>
        <w:rPr>
          <w:rFonts w:ascii="Arial" w:cs="Arial" w:eastAsia="Arial" w:hAnsi="Arial"/>
          <w:sz w:val="19"/>
          <w:szCs w:val="19"/>
          <w:u w:val="single" w:color="auto"/>
          <w:color w:val="212121"/>
        </w:rPr>
        <w:t>Effective Date</w:t>
      </w:r>
      <w:r>
        <w:rPr>
          <w:rFonts w:ascii="Arial" w:cs="Arial" w:eastAsia="Arial" w:hAnsi="Arial"/>
          <w:sz w:val="19"/>
          <w:szCs w:val="19"/>
          <w:color w:val="212121"/>
        </w:rPr>
        <w:t>.</w:t>
      </w:r>
    </w:p>
    <w:p>
      <w:pPr>
        <w:spacing w:after="0" w:line="214" w:lineRule="exact"/>
        <w:rPr>
          <w:sz w:val="20"/>
          <w:szCs w:val="20"/>
          <w:color w:val="auto"/>
        </w:rPr>
      </w:pPr>
    </w:p>
    <w:p>
      <w:pPr>
        <w:ind w:left="40" w:right="360" w:firstLine="747"/>
        <w:spacing w:after="0" w:line="270" w:lineRule="auto"/>
        <w:rPr>
          <w:sz w:val="20"/>
          <w:szCs w:val="20"/>
          <w:color w:val="auto"/>
        </w:rPr>
      </w:pPr>
      <w:r>
        <w:rPr>
          <w:rFonts w:ascii="Arial" w:cs="Arial" w:eastAsia="Arial" w:hAnsi="Arial"/>
          <w:sz w:val="19"/>
          <w:szCs w:val="19"/>
          <w:color w:val="212121"/>
        </w:rPr>
        <w:t>The Plan was originally effective November 18, 1998. Except as specifically set forth below, this restatement of the Plan is effective as of April 1, 2024.</w:t>
      </w:r>
    </w:p>
    <w:p>
      <w:pPr>
        <w:spacing w:after="0" w:line="264" w:lineRule="exact"/>
        <w:rPr>
          <w:sz w:val="20"/>
          <w:szCs w:val="20"/>
          <w:color w:val="auto"/>
        </w:rPr>
      </w:pPr>
    </w:p>
    <w:p>
      <w:pPr>
        <w:ind w:left="780" w:hanging="742"/>
        <w:spacing w:after="0"/>
        <w:tabs>
          <w:tab w:leader="none" w:pos="780" w:val="left"/>
        </w:tabs>
        <w:numPr>
          <w:ilvl w:val="0"/>
          <w:numId w:val="60"/>
        </w:numPr>
        <w:rPr>
          <w:rFonts w:ascii="Arial" w:cs="Arial" w:eastAsia="Arial" w:hAnsi="Arial"/>
          <w:sz w:val="19"/>
          <w:szCs w:val="19"/>
          <w:u w:val="single" w:color="auto"/>
          <w:color w:val="212121"/>
        </w:rPr>
      </w:pPr>
      <w:r>
        <w:rPr>
          <w:rFonts w:ascii="Arial" w:cs="Arial" w:eastAsia="Arial" w:hAnsi="Arial"/>
          <w:sz w:val="19"/>
          <w:szCs w:val="19"/>
          <w:u w:val="single" w:color="auto"/>
          <w:color w:val="212121"/>
        </w:rPr>
        <w:t>Definitions</w:t>
      </w:r>
      <w:r>
        <w:rPr>
          <w:rFonts w:ascii="Arial" w:cs="Arial" w:eastAsia="Arial" w:hAnsi="Arial"/>
          <w:sz w:val="19"/>
          <w:szCs w:val="19"/>
          <w:color w:val="212121"/>
        </w:rPr>
        <w:t>.</w:t>
      </w:r>
    </w:p>
    <w:p>
      <w:pPr>
        <w:spacing w:after="0" w:line="214" w:lineRule="exact"/>
        <w:rPr>
          <w:sz w:val="20"/>
          <w:szCs w:val="20"/>
          <w:color w:val="auto"/>
        </w:rPr>
      </w:pPr>
    </w:p>
    <w:p>
      <w:pPr>
        <w:ind w:left="40" w:right="420" w:firstLine="751"/>
        <w:spacing w:after="0" w:line="254" w:lineRule="auto"/>
        <w:rPr>
          <w:sz w:val="20"/>
          <w:szCs w:val="20"/>
          <w:color w:val="auto"/>
        </w:rPr>
      </w:pPr>
      <w:r>
        <w:rPr>
          <w:rFonts w:ascii="Arial" w:cs="Arial" w:eastAsia="Arial" w:hAnsi="Arial"/>
          <w:sz w:val="19"/>
          <w:szCs w:val="19"/>
          <w:u w:val="single" w:color="auto"/>
          <w:color w:val="212121"/>
        </w:rPr>
        <w:t>Account</w:t>
      </w:r>
      <w:r>
        <w:rPr>
          <w:rFonts w:ascii="Arial" w:cs="Arial" w:eastAsia="Arial" w:hAnsi="Arial"/>
          <w:sz w:val="19"/>
          <w:szCs w:val="19"/>
          <w:color w:val="212121"/>
        </w:rPr>
        <w:t xml:space="preserve"> - means a bookkeeping account established by the Company for each Participant electing to defer Eligible Income under the Plan, which may include sub-accounts for different types of Eligible Income deferred and for amounts payable at different times and/or payable in different forms.</w:t>
      </w:r>
    </w:p>
    <w:p>
      <w:pPr>
        <w:spacing w:after="0" w:line="170" w:lineRule="exact"/>
        <w:rPr>
          <w:sz w:val="20"/>
          <w:szCs w:val="20"/>
          <w:color w:val="auto"/>
        </w:rPr>
      </w:pPr>
    </w:p>
    <w:p>
      <w:pPr>
        <w:jc w:val="both"/>
        <w:ind w:left="40" w:right="400" w:firstLine="749"/>
        <w:spacing w:after="0" w:line="254" w:lineRule="auto"/>
        <w:rPr>
          <w:sz w:val="20"/>
          <w:szCs w:val="20"/>
          <w:color w:val="auto"/>
        </w:rPr>
      </w:pPr>
      <w:r>
        <w:rPr>
          <w:rFonts w:ascii="Arial" w:cs="Arial" w:eastAsia="Arial" w:hAnsi="Arial"/>
          <w:sz w:val="19"/>
          <w:szCs w:val="19"/>
          <w:u w:val="single" w:color="auto"/>
          <w:color w:val="212121"/>
        </w:rPr>
        <w:t>Acquisition Retention Bonus</w:t>
      </w:r>
      <w:r>
        <w:rPr>
          <w:rFonts w:ascii="Arial" w:cs="Arial" w:eastAsia="Arial" w:hAnsi="Arial"/>
          <w:sz w:val="19"/>
          <w:szCs w:val="19"/>
          <w:color w:val="212121"/>
        </w:rPr>
        <w:t xml:space="preserve"> - means a bonus provided to a Newly Hired Eligible Employee who continues employment with the Company or a Designated Subsidiary after the acquisition of a business by the Company or a Designated Subsidiary or who </w:t>
      </w:r>
      <w:r>
        <w:rPr>
          <w:rFonts w:ascii="Arial" w:cs="Arial" w:eastAsia="Arial" w:hAnsi="Arial"/>
          <w:sz w:val="19"/>
          <w:szCs w:val="19"/>
          <w:color w:val="28282A"/>
        </w:rPr>
        <w:t>begins employment with the Company or a Designated Subsidiary as part of a strateg</w:t>
      </w:r>
      <w:r>
        <w:rPr>
          <w:rFonts w:ascii="Arial" w:cs="Arial" w:eastAsia="Arial" w:hAnsi="Arial"/>
          <w:sz w:val="19"/>
          <w:szCs w:val="19"/>
          <w:color w:val="4F4D4F"/>
        </w:rPr>
        <w:t>i</w:t>
      </w:r>
      <w:r>
        <w:rPr>
          <w:rFonts w:ascii="Arial" w:cs="Arial" w:eastAsia="Arial" w:hAnsi="Arial"/>
          <w:sz w:val="19"/>
          <w:szCs w:val="19"/>
          <w:color w:val="28282A"/>
        </w:rPr>
        <w:t>c alliance.</w:t>
      </w:r>
    </w:p>
    <w:p>
      <w:pPr>
        <w:spacing w:after="0" w:line="170" w:lineRule="exact"/>
        <w:rPr>
          <w:sz w:val="20"/>
          <w:szCs w:val="20"/>
          <w:color w:val="auto"/>
        </w:rPr>
      </w:pPr>
    </w:p>
    <w:p>
      <w:pPr>
        <w:ind w:left="40" w:right="840" w:firstLine="753"/>
        <w:spacing w:after="0" w:line="270" w:lineRule="auto"/>
        <w:rPr>
          <w:sz w:val="20"/>
          <w:szCs w:val="20"/>
          <w:color w:val="auto"/>
        </w:rPr>
      </w:pPr>
      <w:r>
        <w:rPr>
          <w:rFonts w:ascii="Arial" w:cs="Arial" w:eastAsia="Arial" w:hAnsi="Arial"/>
          <w:sz w:val="19"/>
          <w:szCs w:val="19"/>
          <w:u w:val="single" w:color="auto"/>
          <w:color w:val="28282A"/>
        </w:rPr>
        <w:t>Affiliate</w:t>
      </w:r>
      <w:r>
        <w:rPr>
          <w:rFonts w:ascii="Arial" w:cs="Arial" w:eastAsia="Arial" w:hAnsi="Arial"/>
          <w:sz w:val="19"/>
          <w:szCs w:val="19"/>
          <w:color w:val="28282A"/>
        </w:rPr>
        <w:t xml:space="preserve"> - means any corporation or other entity that is </w:t>
      </w:r>
      <w:r>
        <w:rPr>
          <w:rFonts w:ascii="Arial" w:cs="Arial" w:eastAsia="Arial" w:hAnsi="Arial"/>
          <w:sz w:val="19"/>
          <w:szCs w:val="19"/>
          <w:color w:val="212121"/>
        </w:rPr>
        <w:t>treated</w:t>
      </w:r>
      <w:r>
        <w:rPr>
          <w:rFonts w:ascii="Arial" w:cs="Arial" w:eastAsia="Arial" w:hAnsi="Arial"/>
          <w:sz w:val="19"/>
          <w:szCs w:val="19"/>
          <w:color w:val="28282A"/>
        </w:rPr>
        <w:t xml:space="preserve"> as a single employer with the Company under Code section 414.</w:t>
      </w:r>
    </w:p>
    <w:p>
      <w:pPr>
        <w:spacing w:after="0" w:line="200" w:lineRule="exact"/>
        <w:rPr>
          <w:sz w:val="20"/>
          <w:szCs w:val="20"/>
          <w:color w:val="auto"/>
        </w:rPr>
      </w:pPr>
    </w:p>
    <w:p>
      <w:pPr>
        <w:spacing w:after="0" w:line="388"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474345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422" w:right="339" w:bottom="1440" w:gutter="0" w:footer="0" w:header="0"/>
        </w:sectPr>
      </w:pPr>
    </w:p>
    <w:bookmarkStart w:id="123" w:name="page124"/>
    <w:bookmarkEnd w:id="123"/>
    <w:p>
      <w:pPr>
        <w:ind w:left="760"/>
        <w:spacing w:after="0"/>
        <w:rPr>
          <w:sz w:val="20"/>
          <w:szCs w:val="20"/>
          <w:color w:val="auto"/>
        </w:rPr>
      </w:pPr>
      <w:r>
        <w:rPr>
          <w:rFonts w:ascii="Arial" w:cs="Arial" w:eastAsia="Arial" w:hAnsi="Arial"/>
          <w:sz w:val="19"/>
          <w:szCs w:val="19"/>
          <w:u w:val="single" w:color="auto"/>
          <w:color w:val="28282A"/>
        </w:rPr>
        <w:t>Annual Base Salary</w:t>
      </w:r>
      <w:r>
        <w:rPr>
          <w:rFonts w:ascii="Arial" w:cs="Arial" w:eastAsia="Arial" w:hAnsi="Arial"/>
          <w:sz w:val="19"/>
          <w:szCs w:val="19"/>
          <w:color w:val="28282A"/>
        </w:rPr>
        <w:t xml:space="preserve"> - means the regular annual base salary paid to an Eligible Employee.</w:t>
      </w:r>
    </w:p>
    <w:p>
      <w:pPr>
        <w:spacing w:after="0" w:line="214" w:lineRule="exact"/>
        <w:rPr>
          <w:sz w:val="20"/>
          <w:szCs w:val="20"/>
          <w:color w:val="auto"/>
        </w:rPr>
      </w:pPr>
    </w:p>
    <w:p>
      <w:pPr>
        <w:jc w:val="both"/>
        <w:ind w:left="20" w:right="240" w:firstLine="753"/>
        <w:spacing w:after="0" w:line="254" w:lineRule="auto"/>
        <w:rPr>
          <w:sz w:val="20"/>
          <w:szCs w:val="20"/>
          <w:color w:val="auto"/>
        </w:rPr>
      </w:pPr>
      <w:r>
        <w:rPr>
          <w:rFonts w:ascii="Arial" w:cs="Arial" w:eastAsia="Arial" w:hAnsi="Arial"/>
          <w:sz w:val="19"/>
          <w:szCs w:val="19"/>
          <w:u w:val="single" w:color="auto"/>
          <w:color w:val="28282A"/>
        </w:rPr>
        <w:t>Annual Bonus</w:t>
      </w:r>
      <w:r>
        <w:rPr>
          <w:rFonts w:ascii="Arial" w:cs="Arial" w:eastAsia="Arial" w:hAnsi="Arial"/>
          <w:sz w:val="19"/>
          <w:szCs w:val="19"/>
          <w:color w:val="28282A"/>
        </w:rPr>
        <w:t xml:space="preserve"> - means the amount payable to an Eligible Employee as an annual bonus that is awarded in connection with the Company's annual process under the Annual Bonus Plan or the cash portion of awards under the Executive Incentive Plan.</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9"/>
          <w:szCs w:val="19"/>
          <w:u w:val="single" w:color="auto"/>
          <w:color w:val="28282A"/>
        </w:rPr>
        <w:t>Board</w:t>
      </w:r>
      <w:r>
        <w:rPr>
          <w:rFonts w:ascii="Arial" w:cs="Arial" w:eastAsia="Arial" w:hAnsi="Arial"/>
          <w:sz w:val="19"/>
          <w:szCs w:val="19"/>
          <w:color w:val="28282A"/>
        </w:rPr>
        <w:t xml:space="preserve"> - means the Board of Directors of Microsoft Corporation.</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9"/>
          <w:szCs w:val="19"/>
          <w:u w:val="single" w:color="auto"/>
          <w:color w:val="28282A"/>
        </w:rPr>
        <w:t>Code</w:t>
      </w:r>
      <w:r>
        <w:rPr>
          <w:rFonts w:ascii="Arial" w:cs="Arial" w:eastAsia="Arial" w:hAnsi="Arial"/>
          <w:sz w:val="19"/>
          <w:szCs w:val="19"/>
          <w:color w:val="28282A"/>
        </w:rPr>
        <w:t xml:space="preserve"> - means the Internal Revenue Code of 1986, as amended.</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9"/>
          <w:szCs w:val="19"/>
          <w:u w:val="single" w:color="auto"/>
          <w:color w:val="28282A"/>
        </w:rPr>
        <w:t>Company</w:t>
      </w:r>
      <w:r>
        <w:rPr>
          <w:rFonts w:ascii="Arial" w:cs="Arial" w:eastAsia="Arial" w:hAnsi="Arial"/>
          <w:sz w:val="19"/>
          <w:szCs w:val="19"/>
          <w:color w:val="28282A"/>
        </w:rPr>
        <w:t xml:space="preserve"> - means Microsoft Corporation.</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9"/>
          <w:szCs w:val="19"/>
          <w:u w:val="single" w:color="auto"/>
          <w:color w:val="28282A"/>
        </w:rPr>
        <w:t>Date of Hire</w:t>
      </w:r>
      <w:r>
        <w:rPr>
          <w:rFonts w:ascii="Arial" w:cs="Arial" w:eastAsia="Arial" w:hAnsi="Arial"/>
          <w:sz w:val="19"/>
          <w:szCs w:val="19"/>
          <w:color w:val="28282A"/>
        </w:rPr>
        <w:t xml:space="preserve"> - means the date of a Participant's first day of active employment with the Company and its Affiliates.</w:t>
      </w:r>
    </w:p>
    <w:p>
      <w:pPr>
        <w:spacing w:after="0" w:line="214" w:lineRule="exact"/>
        <w:rPr>
          <w:sz w:val="20"/>
          <w:szCs w:val="20"/>
          <w:color w:val="auto"/>
        </w:rPr>
      </w:pPr>
    </w:p>
    <w:p>
      <w:pPr>
        <w:ind w:left="20" w:right="120" w:firstLine="753"/>
        <w:spacing w:after="0" w:line="270" w:lineRule="auto"/>
        <w:rPr>
          <w:sz w:val="20"/>
          <w:szCs w:val="20"/>
          <w:color w:val="auto"/>
        </w:rPr>
      </w:pPr>
      <w:r>
        <w:rPr>
          <w:rFonts w:ascii="Arial" w:cs="Arial" w:eastAsia="Arial" w:hAnsi="Arial"/>
          <w:sz w:val="19"/>
          <w:szCs w:val="19"/>
          <w:u w:val="single" w:color="auto"/>
          <w:color w:val="28282A"/>
        </w:rPr>
        <w:t>Designated Subsidiary</w:t>
      </w:r>
      <w:r>
        <w:rPr>
          <w:rFonts w:ascii="Arial" w:cs="Arial" w:eastAsia="Arial" w:hAnsi="Arial"/>
          <w:sz w:val="19"/>
          <w:szCs w:val="19"/>
          <w:color w:val="28282A"/>
        </w:rPr>
        <w:t xml:space="preserve"> - means a subsidiary of the Company that has been approved for participation in the Plan by the Senior HR Officer. A listing of the Designated Subsidiaries is in Appendix A.</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9"/>
          <w:szCs w:val="19"/>
          <w:u w:val="single" w:color="auto"/>
          <w:color w:val="28282A"/>
        </w:rPr>
        <w:t>Disabled</w:t>
      </w:r>
      <w:r>
        <w:rPr>
          <w:rFonts w:ascii="Arial" w:cs="Arial" w:eastAsia="Arial" w:hAnsi="Arial"/>
          <w:sz w:val="19"/>
          <w:szCs w:val="19"/>
          <w:color w:val="28282A"/>
        </w:rPr>
        <w:t xml:space="preserve"> - means:</w:t>
      </w:r>
    </w:p>
    <w:p>
      <w:pPr>
        <w:spacing w:after="0" w:line="214" w:lineRule="exact"/>
        <w:rPr>
          <w:sz w:val="20"/>
          <w:szCs w:val="20"/>
          <w:color w:val="auto"/>
        </w:rPr>
      </w:pPr>
    </w:p>
    <w:p>
      <w:pPr>
        <w:ind w:left="60" w:right="120" w:firstLine="946"/>
        <w:spacing w:after="0" w:line="243" w:lineRule="auto"/>
        <w:tabs>
          <w:tab w:leader="none" w:pos="1387" w:val="left"/>
        </w:tabs>
        <w:numPr>
          <w:ilvl w:val="0"/>
          <w:numId w:val="61"/>
        </w:numPr>
        <w:rPr>
          <w:rFonts w:ascii="Arial" w:cs="Arial" w:eastAsia="Arial" w:hAnsi="Arial"/>
          <w:sz w:val="19"/>
          <w:szCs w:val="19"/>
          <w:color w:val="28282A"/>
        </w:rPr>
      </w:pPr>
      <w:r>
        <w:rPr>
          <w:rFonts w:ascii="Arial" w:cs="Arial" w:eastAsia="Arial" w:hAnsi="Arial"/>
          <w:sz w:val="19"/>
          <w:szCs w:val="19"/>
          <w:color w:val="28282A"/>
        </w:rPr>
        <w:t xml:space="preserve">A Participant (1) </w:t>
      </w:r>
      <w:r>
        <w:rPr>
          <w:rFonts w:ascii="Arial" w:cs="Arial" w:eastAsia="Arial" w:hAnsi="Arial"/>
          <w:sz w:val="19"/>
          <w:szCs w:val="19"/>
          <w:color w:val="3F3D3F"/>
        </w:rPr>
        <w:t>is</w:t>
      </w:r>
      <w:r>
        <w:rPr>
          <w:rFonts w:ascii="Arial" w:cs="Arial" w:eastAsia="Arial" w:hAnsi="Arial"/>
          <w:sz w:val="19"/>
          <w:szCs w:val="19"/>
          <w:color w:val="28282A"/>
        </w:rPr>
        <w:t xml:space="preserve"> unable to engage in any substantial gainful activity by reason of any medically determinable physical or mental impairment which can be expected to result in death or can be expected to last for a continuous period of not less than 12 months, or (2) is, by reason of any medically determinable physical or mental impairment which can be expected to result in death or can be expected to last for a continuous per</w:t>
      </w:r>
      <w:r>
        <w:rPr>
          <w:rFonts w:ascii="Arial" w:cs="Arial" w:eastAsia="Arial" w:hAnsi="Arial"/>
          <w:sz w:val="19"/>
          <w:szCs w:val="19"/>
          <w:color w:val="695D60"/>
        </w:rPr>
        <w:t>i</w:t>
      </w:r>
      <w:r>
        <w:rPr>
          <w:rFonts w:ascii="Arial" w:cs="Arial" w:eastAsia="Arial" w:hAnsi="Arial"/>
          <w:sz w:val="19"/>
          <w:szCs w:val="19"/>
          <w:color w:val="28282A"/>
        </w:rPr>
        <w:t xml:space="preserve">od of not less than 12 months, receiving income replacement benefits </w:t>
      </w:r>
      <w:r>
        <w:rPr>
          <w:rFonts w:ascii="Arial" w:cs="Arial" w:eastAsia="Arial" w:hAnsi="Arial"/>
          <w:sz w:val="19"/>
          <w:szCs w:val="19"/>
          <w:color w:val="3F3D3F"/>
        </w:rPr>
        <w:t>for</w:t>
      </w:r>
      <w:r>
        <w:rPr>
          <w:rFonts w:ascii="Arial" w:cs="Arial" w:eastAsia="Arial" w:hAnsi="Arial"/>
          <w:sz w:val="19"/>
          <w:szCs w:val="19"/>
          <w:color w:val="28282A"/>
        </w:rPr>
        <w:t xml:space="preserve"> a period of not less than 3 months under an accident and health plan coveri</w:t>
      </w:r>
      <w:r>
        <w:rPr>
          <w:rFonts w:ascii="Arial" w:cs="Arial" w:eastAsia="Arial" w:hAnsi="Arial"/>
          <w:sz w:val="19"/>
          <w:szCs w:val="19"/>
          <w:color w:val="4F4D4F"/>
        </w:rPr>
        <w:t>n</w:t>
      </w:r>
      <w:r>
        <w:rPr>
          <w:rFonts w:ascii="Arial" w:cs="Arial" w:eastAsia="Arial" w:hAnsi="Arial"/>
          <w:sz w:val="19"/>
          <w:szCs w:val="19"/>
          <w:color w:val="28282A"/>
        </w:rPr>
        <w:t>g employees of the participant's employer</w:t>
      </w:r>
      <w:r>
        <w:rPr>
          <w:rFonts w:ascii="Arial" w:cs="Arial" w:eastAsia="Arial" w:hAnsi="Arial"/>
          <w:sz w:val="19"/>
          <w:szCs w:val="19"/>
          <w:color w:val="4F4D4F"/>
        </w:rPr>
        <w:t>.</w:t>
      </w:r>
    </w:p>
    <w:p>
      <w:pPr>
        <w:spacing w:after="0" w:line="184" w:lineRule="exact"/>
        <w:rPr>
          <w:rFonts w:ascii="Arial" w:cs="Arial" w:eastAsia="Arial" w:hAnsi="Arial"/>
          <w:sz w:val="19"/>
          <w:szCs w:val="19"/>
          <w:color w:val="28282A"/>
        </w:rPr>
      </w:pPr>
    </w:p>
    <w:p>
      <w:pPr>
        <w:ind w:left="60" w:firstLine="946"/>
        <w:spacing w:after="0" w:line="245" w:lineRule="auto"/>
        <w:tabs>
          <w:tab w:leader="none" w:pos="1387" w:val="left"/>
        </w:tabs>
        <w:numPr>
          <w:ilvl w:val="0"/>
          <w:numId w:val="61"/>
        </w:numPr>
        <w:rPr>
          <w:rFonts w:ascii="Arial" w:cs="Arial" w:eastAsia="Arial" w:hAnsi="Arial"/>
          <w:sz w:val="19"/>
          <w:szCs w:val="19"/>
          <w:color w:val="212121"/>
        </w:rPr>
      </w:pPr>
      <w:r>
        <w:rPr>
          <w:rFonts w:ascii="Arial" w:cs="Arial" w:eastAsia="Arial" w:hAnsi="Arial"/>
          <w:sz w:val="19"/>
          <w:szCs w:val="19"/>
          <w:color w:val="212121"/>
        </w:rPr>
        <w:t>The Plan Administrator, in its complete and sole discretion, shall determine whether a Participant is Disabled. The Plan Administrator may require that the Participant submit to an examination on an annual basis, at the expense of the Company, by a competent physician or medical clinic selected by the Plan Administrator to assist in determining whether the Participant is Disabled. On the basis of such medical evidence, the determination of the Plan Administrator as to whether or not the Participant is Disabled (or whether such Participant continues to be Disabled) shall be conclusive.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9"/>
          <w:szCs w:val="19"/>
          <w:u w:val="single" w:color="auto"/>
          <w:color w:val="212121"/>
        </w:rPr>
        <w:t>Eligible Employee</w:t>
      </w:r>
      <w:r>
        <w:rPr>
          <w:rFonts w:ascii="Arial" w:cs="Arial" w:eastAsia="Arial" w:hAnsi="Arial"/>
          <w:sz w:val="19"/>
          <w:szCs w:val="19"/>
          <w:color w:val="212121"/>
        </w:rPr>
        <w:t xml:space="preserve"> - </w:t>
      </w:r>
      <w:r>
        <w:rPr>
          <w:rFonts w:ascii="Arial" w:cs="Arial" w:eastAsia="Arial" w:hAnsi="Arial"/>
          <w:sz w:val="19"/>
          <w:szCs w:val="19"/>
          <w:color w:val="28282A"/>
        </w:rPr>
        <w:t>means</w:t>
      </w:r>
      <w:r>
        <w:rPr>
          <w:rFonts w:ascii="Arial" w:cs="Arial" w:eastAsia="Arial" w:hAnsi="Arial"/>
          <w:sz w:val="19"/>
          <w:szCs w:val="19"/>
          <w:color w:val="212121"/>
        </w:rPr>
        <w:t>:</w:t>
      </w:r>
    </w:p>
    <w:p>
      <w:pPr>
        <w:spacing w:after="0" w:line="214" w:lineRule="exact"/>
        <w:rPr>
          <w:sz w:val="20"/>
          <w:szCs w:val="20"/>
          <w:color w:val="auto"/>
        </w:rPr>
      </w:pPr>
    </w:p>
    <w:p>
      <w:pPr>
        <w:ind w:right="40" w:firstLine="704"/>
        <w:spacing w:after="0" w:line="254" w:lineRule="auto"/>
        <w:rPr>
          <w:sz w:val="20"/>
          <w:szCs w:val="20"/>
          <w:color w:val="auto"/>
        </w:rPr>
      </w:pPr>
      <w:r>
        <w:rPr>
          <w:rFonts w:ascii="Arial" w:cs="Arial" w:eastAsia="Arial" w:hAnsi="Arial"/>
          <w:sz w:val="19"/>
          <w:szCs w:val="19"/>
          <w:color w:val="212121"/>
        </w:rPr>
        <w:t>(a)An Employee of the Company or a Designated Subsidiary working in the U.S. at the Company's stock level 68 or above and, effective with respect to Eligible Income earned for periods beginning on or after January 1, 2012, an Employee of the Company or a Designated Subsidiary working in the U.S. at the Company's stock level 67 or above.</w:t>
      </w:r>
    </w:p>
    <w:p>
      <w:pPr>
        <w:spacing w:after="0" w:line="170" w:lineRule="exact"/>
        <w:rPr>
          <w:sz w:val="20"/>
          <w:szCs w:val="20"/>
          <w:color w:val="auto"/>
        </w:rPr>
      </w:pPr>
    </w:p>
    <w:p>
      <w:pPr>
        <w:ind w:right="40" w:firstLine="704"/>
        <w:spacing w:after="0" w:line="270" w:lineRule="auto"/>
        <w:rPr>
          <w:sz w:val="20"/>
          <w:szCs w:val="20"/>
          <w:color w:val="auto"/>
        </w:rPr>
      </w:pPr>
      <w:r>
        <w:rPr>
          <w:rFonts w:ascii="Arial" w:cs="Arial" w:eastAsia="Arial" w:hAnsi="Arial"/>
          <w:sz w:val="19"/>
          <w:szCs w:val="19"/>
          <w:color w:val="212121"/>
        </w:rPr>
        <w:t>(b)An Employee meeting the criteria of subsection (a) will not fail to be considered an Eligible Employee solely as a result of being on paid or unpaid leave.</w:t>
      </w:r>
    </w:p>
    <w:p>
      <w:pPr>
        <w:spacing w:after="0" w:line="156" w:lineRule="exact"/>
        <w:rPr>
          <w:sz w:val="20"/>
          <w:szCs w:val="20"/>
          <w:color w:val="auto"/>
        </w:rPr>
      </w:pPr>
    </w:p>
    <w:p>
      <w:pPr>
        <w:ind w:left="20" w:right="280" w:firstLine="753"/>
        <w:spacing w:after="0" w:line="243" w:lineRule="auto"/>
        <w:rPr>
          <w:sz w:val="20"/>
          <w:szCs w:val="20"/>
          <w:color w:val="auto"/>
        </w:rPr>
      </w:pPr>
      <w:r>
        <w:rPr>
          <w:rFonts w:ascii="Arial" w:cs="Arial" w:eastAsia="Arial" w:hAnsi="Arial"/>
          <w:sz w:val="19"/>
          <w:szCs w:val="19"/>
          <w:u w:val="single" w:color="auto"/>
          <w:color w:val="212121"/>
        </w:rPr>
        <w:t>Eligible Income</w:t>
      </w:r>
      <w:r>
        <w:rPr>
          <w:rFonts w:ascii="Arial" w:cs="Arial" w:eastAsia="Arial" w:hAnsi="Arial"/>
          <w:sz w:val="19"/>
          <w:szCs w:val="19"/>
          <w:color w:val="212121"/>
        </w:rPr>
        <w:t xml:space="preserve"> - means compensation </w:t>
      </w:r>
      <w:r>
        <w:rPr>
          <w:rFonts w:ascii="Arial" w:cs="Arial" w:eastAsia="Arial" w:hAnsi="Arial"/>
          <w:sz w:val="19"/>
          <w:szCs w:val="19"/>
          <w:color w:val="000000"/>
        </w:rPr>
        <w:t>which</w:t>
      </w:r>
      <w:r>
        <w:rPr>
          <w:rFonts w:ascii="Arial" w:cs="Arial" w:eastAsia="Arial" w:hAnsi="Arial"/>
          <w:sz w:val="19"/>
          <w:szCs w:val="19"/>
          <w:color w:val="212121"/>
        </w:rPr>
        <w:t xml:space="preserve"> may be deferred under the Plan, as from time to time determined by </w:t>
      </w:r>
      <w:r>
        <w:rPr>
          <w:rFonts w:ascii="Arial" w:cs="Arial" w:eastAsia="Arial" w:hAnsi="Arial"/>
          <w:sz w:val="19"/>
          <w:szCs w:val="19"/>
          <w:color w:val="333333"/>
        </w:rPr>
        <w:t>the</w:t>
      </w:r>
      <w:r>
        <w:rPr>
          <w:rFonts w:ascii="Arial" w:cs="Arial" w:eastAsia="Arial" w:hAnsi="Arial"/>
          <w:sz w:val="19"/>
          <w:szCs w:val="19"/>
          <w:color w:val="212121"/>
        </w:rPr>
        <w:t xml:space="preserve"> Plan Administrator, including without limitation (1) Regular Enrollment Compensation and (2) New Hire Enrollment Compensation</w:t>
      </w:r>
      <w:r>
        <w:rPr>
          <w:rFonts w:ascii="Arial" w:cs="Arial" w:eastAsia="Arial" w:hAnsi="Arial"/>
          <w:sz w:val="19"/>
          <w:szCs w:val="19"/>
          <w:color w:val="4D4D4D"/>
        </w:rPr>
        <w:t>.</w:t>
      </w:r>
    </w:p>
    <w:p>
      <w:pPr>
        <w:spacing w:after="0" w:line="2" w:lineRule="exact"/>
        <w:rPr>
          <w:sz w:val="20"/>
          <w:szCs w:val="20"/>
          <w:color w:val="auto"/>
        </w:rPr>
      </w:pPr>
    </w:p>
    <w:p>
      <w:pPr>
        <w:ind w:left="20" w:firstLine="3"/>
        <w:spacing w:after="0" w:line="251" w:lineRule="auto"/>
        <w:rPr>
          <w:sz w:val="20"/>
          <w:szCs w:val="20"/>
          <w:color w:val="auto"/>
        </w:rPr>
      </w:pPr>
      <w:r>
        <w:rPr>
          <w:rFonts w:ascii="Arial" w:cs="Arial" w:eastAsia="Arial" w:hAnsi="Arial"/>
          <w:sz w:val="19"/>
          <w:szCs w:val="19"/>
          <w:color w:val="212121"/>
        </w:rPr>
        <w:t>Amounts will qualify as "Eligible Income" only if the Participant is on the U.S. payroll of the Company or its Affiliates at the time the amount is payable to the Participant absent deferral. For</w:t>
      </w: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474345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60" w:top="1422" w:right="579" w:bottom="1440" w:gutter="0" w:footer="0" w:header="0"/>
        </w:sectPr>
      </w:pPr>
    </w:p>
    <w:bookmarkStart w:id="124" w:name="page125"/>
    <w:bookmarkEnd w:id="124"/>
    <w:p>
      <w:pPr>
        <w:ind w:right="60"/>
        <w:spacing w:after="0" w:line="254" w:lineRule="auto"/>
        <w:rPr>
          <w:sz w:val="20"/>
          <w:szCs w:val="20"/>
          <w:color w:val="auto"/>
        </w:rPr>
      </w:pPr>
      <w:r>
        <w:rPr>
          <w:rFonts w:ascii="Arial" w:cs="Arial" w:eastAsia="Arial" w:hAnsi="Arial"/>
          <w:sz w:val="19"/>
          <w:szCs w:val="19"/>
          <w:color w:val="212121"/>
        </w:rPr>
        <w:t>the avoidance of doubt, “Eligible Income” does not include severance pay, revenue-based incentives, commitment-based incentives, SCA bonuses, or any other pay that the Plan Administrator does not classify as Regular Enrollment Compensation or New Hire Enrollment Compensation.</w:t>
      </w:r>
    </w:p>
    <w:p>
      <w:pPr>
        <w:spacing w:after="0" w:line="170" w:lineRule="exact"/>
        <w:rPr>
          <w:sz w:val="20"/>
          <w:szCs w:val="20"/>
          <w:color w:val="auto"/>
        </w:rPr>
      </w:pPr>
    </w:p>
    <w:p>
      <w:pPr>
        <w:ind w:firstLine="753"/>
        <w:spacing w:after="0" w:line="266" w:lineRule="auto"/>
        <w:rPr>
          <w:sz w:val="20"/>
          <w:szCs w:val="20"/>
          <w:color w:val="auto"/>
        </w:rPr>
      </w:pPr>
      <w:r>
        <w:rPr>
          <w:rFonts w:ascii="Arial" w:cs="Arial" w:eastAsia="Arial" w:hAnsi="Arial"/>
          <w:sz w:val="18"/>
          <w:szCs w:val="18"/>
          <w:u w:val="single" w:color="auto"/>
          <w:color w:val="212121"/>
        </w:rPr>
        <w:t>Employee</w:t>
      </w:r>
      <w:r>
        <w:rPr>
          <w:rFonts w:ascii="Arial" w:cs="Arial" w:eastAsia="Arial" w:hAnsi="Arial"/>
          <w:sz w:val="18"/>
          <w:szCs w:val="18"/>
          <w:color w:val="212121"/>
        </w:rPr>
        <w:t xml:space="preserve"> - means an individual who is a regular employee on the U.S. payroll of the Company or its Affiliates. The term </w:t>
      </w:r>
      <w:r>
        <w:rPr>
          <w:rFonts w:ascii="Arial" w:cs="Arial" w:eastAsia="Arial" w:hAnsi="Arial"/>
          <w:sz w:val="18"/>
          <w:szCs w:val="18"/>
          <w:color w:val="131313"/>
        </w:rPr>
        <w:t xml:space="preserve">"Employee" </w:t>
      </w:r>
      <w:r>
        <w:rPr>
          <w:rFonts w:ascii="Arial" w:cs="Arial" w:eastAsia="Arial" w:hAnsi="Arial"/>
          <w:sz w:val="18"/>
          <w:szCs w:val="18"/>
          <w:color w:val="212121"/>
        </w:rPr>
        <w:t>shall not include a person hired as an independent contractor, leased employee, consultant, or a person otherwise</w:t>
      </w:r>
      <w:r>
        <w:rPr>
          <w:rFonts w:ascii="Arial" w:cs="Arial" w:eastAsia="Arial" w:hAnsi="Arial"/>
          <w:sz w:val="18"/>
          <w:szCs w:val="18"/>
          <w:color w:val="131313"/>
        </w:rPr>
        <w:t xml:space="preserve"> </w:t>
      </w:r>
      <w:r>
        <w:rPr>
          <w:rFonts w:ascii="Arial" w:cs="Arial" w:eastAsia="Arial" w:hAnsi="Arial"/>
          <w:sz w:val="18"/>
          <w:szCs w:val="18"/>
          <w:color w:val="212121"/>
        </w:rPr>
        <w:t>designated by the Company or an Affiliate as not eligible to participate in the Plan, even if such person is determined to be a common law employee of the Company or an Affiliate, retroactively or prospectively, by any governmental or judicial authority.</w:t>
      </w:r>
    </w:p>
    <w:p>
      <w:pPr>
        <w:spacing w:after="0" w:line="162" w:lineRule="exact"/>
        <w:rPr>
          <w:sz w:val="20"/>
          <w:szCs w:val="20"/>
          <w:color w:val="auto"/>
        </w:rPr>
      </w:pPr>
    </w:p>
    <w:p>
      <w:pPr>
        <w:ind w:left="740"/>
        <w:spacing w:after="0"/>
        <w:rPr>
          <w:sz w:val="20"/>
          <w:szCs w:val="20"/>
          <w:color w:val="auto"/>
        </w:rPr>
      </w:pPr>
      <w:r>
        <w:rPr>
          <w:rFonts w:ascii="Arial" w:cs="Arial" w:eastAsia="Arial" w:hAnsi="Arial"/>
          <w:sz w:val="19"/>
          <w:szCs w:val="19"/>
          <w:u w:val="single" w:color="auto"/>
          <w:color w:val="212121"/>
        </w:rPr>
        <w:t>ERISA</w:t>
      </w:r>
      <w:r>
        <w:rPr>
          <w:rFonts w:ascii="Arial" w:cs="Arial" w:eastAsia="Arial" w:hAnsi="Arial"/>
          <w:sz w:val="19"/>
          <w:szCs w:val="19"/>
          <w:color w:val="212121"/>
        </w:rPr>
        <w:t xml:space="preserve"> - means the Employee Retirement Income Security Act of 1974, as amended.</w:t>
      </w:r>
    </w:p>
    <w:p>
      <w:pPr>
        <w:spacing w:after="0" w:line="214" w:lineRule="exact"/>
        <w:rPr>
          <w:sz w:val="20"/>
          <w:szCs w:val="20"/>
          <w:color w:val="auto"/>
        </w:rPr>
      </w:pPr>
    </w:p>
    <w:p>
      <w:pPr>
        <w:ind w:right="300" w:firstLine="753"/>
        <w:spacing w:after="0" w:line="270" w:lineRule="auto"/>
        <w:rPr>
          <w:sz w:val="20"/>
          <w:szCs w:val="20"/>
          <w:color w:val="auto"/>
        </w:rPr>
      </w:pPr>
      <w:r>
        <w:rPr>
          <w:rFonts w:ascii="Arial" w:cs="Arial" w:eastAsia="Arial" w:hAnsi="Arial"/>
          <w:sz w:val="19"/>
          <w:szCs w:val="19"/>
          <w:u w:val="single" w:color="auto"/>
          <w:color w:val="212121"/>
        </w:rPr>
        <w:t>Fiscal Year Compensation</w:t>
      </w:r>
      <w:r>
        <w:rPr>
          <w:rFonts w:ascii="Arial" w:cs="Arial" w:eastAsia="Arial" w:hAnsi="Arial"/>
          <w:sz w:val="19"/>
          <w:szCs w:val="19"/>
          <w:color w:val="212121"/>
        </w:rPr>
        <w:t xml:space="preserve"> - means "fiscal year compensation" as defined under Treas. Reg. § 1.409A-2(a)(6) or any successor thereto.</w:t>
      </w:r>
    </w:p>
    <w:p>
      <w:pPr>
        <w:spacing w:after="0" w:line="156" w:lineRule="exact"/>
        <w:rPr>
          <w:sz w:val="20"/>
          <w:szCs w:val="20"/>
          <w:color w:val="auto"/>
        </w:rPr>
      </w:pPr>
    </w:p>
    <w:p>
      <w:pPr>
        <w:jc w:val="both"/>
        <w:ind w:right="120" w:firstLine="753"/>
        <w:spacing w:after="0" w:line="254" w:lineRule="auto"/>
        <w:rPr>
          <w:sz w:val="20"/>
          <w:szCs w:val="20"/>
          <w:color w:val="auto"/>
        </w:rPr>
      </w:pPr>
      <w:r>
        <w:rPr>
          <w:rFonts w:ascii="Arial" w:cs="Arial" w:eastAsia="Arial" w:hAnsi="Arial"/>
          <w:sz w:val="19"/>
          <w:szCs w:val="19"/>
          <w:u w:val="single" w:color="auto"/>
          <w:color w:val="212121"/>
        </w:rPr>
        <w:t>Hire Date</w:t>
      </w:r>
      <w:r>
        <w:rPr>
          <w:rFonts w:ascii="Arial" w:cs="Arial" w:eastAsia="Arial" w:hAnsi="Arial"/>
          <w:sz w:val="19"/>
          <w:szCs w:val="19"/>
          <w:color w:val="212121"/>
        </w:rPr>
        <w:t xml:space="preserve"> - means the date an Employee becomes employed by the Company or a Designated Subsidiary. In the case of an individual who becomes an Employee upon the acquisition of a business by the Company or a Designated Subsidiary, the Employee's "Hire Date" shall be such Employee’s transfer date.</w:t>
      </w:r>
    </w:p>
    <w:p>
      <w:pPr>
        <w:spacing w:after="0" w:line="170" w:lineRule="exact"/>
        <w:rPr>
          <w:sz w:val="20"/>
          <w:szCs w:val="20"/>
          <w:color w:val="auto"/>
        </w:rPr>
      </w:pPr>
    </w:p>
    <w:p>
      <w:pPr>
        <w:ind w:firstLine="753"/>
        <w:spacing w:after="0" w:line="254" w:lineRule="auto"/>
        <w:rPr>
          <w:sz w:val="20"/>
          <w:szCs w:val="20"/>
          <w:color w:val="auto"/>
        </w:rPr>
      </w:pPr>
      <w:r>
        <w:rPr>
          <w:rFonts w:ascii="Arial" w:cs="Arial" w:eastAsia="Arial" w:hAnsi="Arial"/>
          <w:sz w:val="19"/>
          <w:szCs w:val="19"/>
          <w:u w:val="single" w:color="auto"/>
          <w:color w:val="28262A"/>
        </w:rPr>
        <w:t>Investment Options</w:t>
      </w:r>
      <w:r>
        <w:rPr>
          <w:rFonts w:ascii="Arial" w:cs="Arial" w:eastAsia="Arial" w:hAnsi="Arial"/>
          <w:sz w:val="19"/>
          <w:szCs w:val="19"/>
          <w:color w:val="28262A"/>
        </w:rPr>
        <w:t xml:space="preserve"> - means a set of investment options, which may include investment opt</w:t>
      </w:r>
      <w:r>
        <w:rPr>
          <w:rFonts w:ascii="Arial" w:cs="Arial" w:eastAsia="Arial" w:hAnsi="Arial"/>
          <w:sz w:val="19"/>
          <w:szCs w:val="19"/>
          <w:color w:val="57545B"/>
        </w:rPr>
        <w:t>i</w:t>
      </w:r>
      <w:r>
        <w:rPr>
          <w:rFonts w:ascii="Arial" w:cs="Arial" w:eastAsia="Arial" w:hAnsi="Arial"/>
          <w:sz w:val="19"/>
          <w:szCs w:val="19"/>
          <w:color w:val="28262A"/>
        </w:rPr>
        <w:t>ons offered under the 401(k) Plan, and which are from time to time determined by the Plan Administrator and used to credit earnings, ga</w:t>
      </w:r>
      <w:r>
        <w:rPr>
          <w:rFonts w:ascii="Arial" w:cs="Arial" w:eastAsia="Arial" w:hAnsi="Arial"/>
          <w:sz w:val="19"/>
          <w:szCs w:val="19"/>
          <w:color w:val="413F42"/>
        </w:rPr>
        <w:t>i</w:t>
      </w:r>
      <w:r>
        <w:rPr>
          <w:rFonts w:ascii="Arial" w:cs="Arial" w:eastAsia="Arial" w:hAnsi="Arial"/>
          <w:sz w:val="19"/>
          <w:szCs w:val="19"/>
          <w:color w:val="28262A"/>
        </w:rPr>
        <w:t>ns, and losses on Account balances</w:t>
      </w:r>
      <w:r>
        <w:rPr>
          <w:rFonts w:ascii="Arial" w:cs="Arial" w:eastAsia="Arial" w:hAnsi="Arial"/>
          <w:sz w:val="19"/>
          <w:szCs w:val="19"/>
          <w:color w:val="646464"/>
        </w:rPr>
        <w:t>.</w:t>
      </w:r>
    </w:p>
    <w:p>
      <w:pPr>
        <w:spacing w:after="0" w:line="170" w:lineRule="exact"/>
        <w:rPr>
          <w:sz w:val="20"/>
          <w:szCs w:val="20"/>
          <w:color w:val="auto"/>
        </w:rPr>
      </w:pPr>
    </w:p>
    <w:p>
      <w:pPr>
        <w:jc w:val="both"/>
        <w:ind w:right="60" w:firstLine="753"/>
        <w:spacing w:after="0" w:line="262" w:lineRule="auto"/>
        <w:rPr>
          <w:sz w:val="20"/>
          <w:szCs w:val="20"/>
          <w:color w:val="auto"/>
        </w:rPr>
      </w:pPr>
      <w:r>
        <w:rPr>
          <w:rFonts w:ascii="Arial" w:cs="Arial" w:eastAsia="Arial" w:hAnsi="Arial"/>
          <w:sz w:val="18"/>
          <w:szCs w:val="18"/>
          <w:u w:val="single" w:color="auto"/>
          <w:color w:val="28262A"/>
        </w:rPr>
        <w:t>Key Employee</w:t>
      </w:r>
      <w:r>
        <w:rPr>
          <w:rFonts w:ascii="Arial" w:cs="Arial" w:eastAsia="Arial" w:hAnsi="Arial"/>
          <w:sz w:val="18"/>
          <w:szCs w:val="18"/>
          <w:color w:val="28262A"/>
        </w:rPr>
        <w:t xml:space="preserve"> - means an employee treated as a "specified employee" under Code s</w:t>
      </w:r>
      <w:r>
        <w:rPr>
          <w:rFonts w:ascii="Arial" w:cs="Arial" w:eastAsia="Arial" w:hAnsi="Arial"/>
          <w:sz w:val="18"/>
          <w:szCs w:val="18"/>
          <w:color w:val="413F42"/>
        </w:rPr>
        <w:t>e</w:t>
      </w:r>
      <w:r>
        <w:rPr>
          <w:rFonts w:ascii="Arial" w:cs="Arial" w:eastAsia="Arial" w:hAnsi="Arial"/>
          <w:sz w:val="18"/>
          <w:szCs w:val="18"/>
          <w:color w:val="28262A"/>
        </w:rPr>
        <w:t>ction 409A(a)(2)(B)(i) as of such employee’s Separation from Service (i.e., a key employee (as defined under Code section 416(i) without regard to paragraph (5) thereof) of a corporation any stock of which is publicly traded on an established securities market or otherwise). Key Employees shall be determined in accordance with Code section 409A, using a December 31 identification date. A listing of Key Employees as of an identification date shall be effective for the 12-month period beginning on the April 1 following the identification date.</w:t>
      </w:r>
    </w:p>
    <w:p>
      <w:pPr>
        <w:spacing w:after="0" w:line="166" w:lineRule="exact"/>
        <w:rPr>
          <w:sz w:val="20"/>
          <w:szCs w:val="20"/>
          <w:color w:val="auto"/>
        </w:rPr>
      </w:pPr>
    </w:p>
    <w:p>
      <w:pPr>
        <w:ind w:right="120" w:firstLine="753"/>
        <w:spacing w:after="0" w:line="299" w:lineRule="auto"/>
        <w:rPr>
          <w:sz w:val="20"/>
          <w:szCs w:val="20"/>
          <w:color w:val="auto"/>
        </w:rPr>
      </w:pPr>
      <w:r>
        <w:rPr>
          <w:rFonts w:ascii="Arial" w:cs="Arial" w:eastAsia="Arial" w:hAnsi="Arial"/>
          <w:sz w:val="18"/>
          <w:szCs w:val="18"/>
          <w:u w:val="single" w:color="auto"/>
          <w:color w:val="28262A"/>
        </w:rPr>
        <w:t>New Hire Enrollment Compensation</w:t>
      </w:r>
      <w:r>
        <w:rPr>
          <w:rFonts w:ascii="Arial" w:cs="Arial" w:eastAsia="Arial" w:hAnsi="Arial"/>
          <w:sz w:val="18"/>
          <w:szCs w:val="18"/>
          <w:color w:val="28262A"/>
        </w:rPr>
        <w:t xml:space="preserve"> - means compensation for a Newly Hired Eligible Emp</w:t>
      </w:r>
      <w:r>
        <w:rPr>
          <w:rFonts w:ascii="Arial" w:cs="Arial" w:eastAsia="Arial" w:hAnsi="Arial"/>
          <w:sz w:val="18"/>
          <w:szCs w:val="18"/>
          <w:color w:val="646464"/>
        </w:rPr>
        <w:t>l</w:t>
      </w:r>
      <w:r>
        <w:rPr>
          <w:rFonts w:ascii="Arial" w:cs="Arial" w:eastAsia="Arial" w:hAnsi="Arial"/>
          <w:sz w:val="18"/>
          <w:szCs w:val="18"/>
          <w:color w:val="28262A"/>
        </w:rPr>
        <w:t xml:space="preserve">oyee which is from time to time determined by the Plan Administrator, including without limitation a (1) Signing Bonus </w:t>
      </w:r>
      <w:r>
        <w:rPr>
          <w:rFonts w:ascii="Arial" w:cs="Arial" w:eastAsia="Arial" w:hAnsi="Arial"/>
          <w:sz w:val="18"/>
          <w:szCs w:val="18"/>
          <w:color w:val="413F42"/>
        </w:rPr>
        <w:t>and</w:t>
      </w:r>
      <w:r>
        <w:rPr>
          <w:rFonts w:ascii="Arial" w:cs="Arial" w:eastAsia="Arial" w:hAnsi="Arial"/>
          <w:sz w:val="18"/>
          <w:szCs w:val="18"/>
          <w:color w:val="28262A"/>
        </w:rPr>
        <w:t xml:space="preserve"> (2) Acquisition Retention Bonus.</w:t>
      </w:r>
    </w:p>
    <w:p>
      <w:pPr>
        <w:spacing w:after="0" w:line="132" w:lineRule="exact"/>
        <w:rPr>
          <w:sz w:val="20"/>
          <w:szCs w:val="20"/>
          <w:color w:val="auto"/>
        </w:rPr>
      </w:pPr>
    </w:p>
    <w:p>
      <w:pPr>
        <w:ind w:right="60" w:firstLine="753"/>
        <w:spacing w:after="0" w:line="242" w:lineRule="auto"/>
        <w:rPr>
          <w:sz w:val="20"/>
          <w:szCs w:val="20"/>
          <w:color w:val="auto"/>
        </w:rPr>
      </w:pPr>
      <w:r>
        <w:rPr>
          <w:rFonts w:ascii="Arial" w:cs="Arial" w:eastAsia="Arial" w:hAnsi="Arial"/>
          <w:sz w:val="19"/>
          <w:szCs w:val="19"/>
          <w:u w:val="single" w:color="auto"/>
          <w:color w:val="28262A"/>
        </w:rPr>
        <w:t>Newly Hired Eligible Employee</w:t>
      </w:r>
      <w:r>
        <w:rPr>
          <w:rFonts w:ascii="Arial" w:cs="Arial" w:eastAsia="Arial" w:hAnsi="Arial"/>
          <w:sz w:val="19"/>
          <w:szCs w:val="19"/>
          <w:color w:val="28262A"/>
        </w:rPr>
        <w:t xml:space="preserve"> - means an </w:t>
      </w:r>
      <w:r>
        <w:rPr>
          <w:rFonts w:ascii="Arial" w:cs="Arial" w:eastAsia="Arial" w:hAnsi="Arial"/>
          <w:sz w:val="19"/>
          <w:szCs w:val="19"/>
          <w:color w:val="6E727E"/>
        </w:rPr>
        <w:t>i</w:t>
      </w:r>
      <w:r>
        <w:rPr>
          <w:rFonts w:ascii="Arial" w:cs="Arial" w:eastAsia="Arial" w:hAnsi="Arial"/>
          <w:sz w:val="19"/>
          <w:szCs w:val="19"/>
          <w:color w:val="28262A"/>
        </w:rPr>
        <w:t>nd</w:t>
      </w:r>
      <w:r>
        <w:rPr>
          <w:rFonts w:ascii="Arial" w:cs="Arial" w:eastAsia="Arial" w:hAnsi="Arial"/>
          <w:sz w:val="19"/>
          <w:szCs w:val="19"/>
          <w:color w:val="413F42"/>
        </w:rPr>
        <w:t>i</w:t>
      </w:r>
      <w:r>
        <w:rPr>
          <w:rFonts w:ascii="Arial" w:cs="Arial" w:eastAsia="Arial" w:hAnsi="Arial"/>
          <w:sz w:val="19"/>
          <w:szCs w:val="19"/>
          <w:color w:val="28262A"/>
        </w:rPr>
        <w:t>vidual hired by the Comp</w:t>
      </w:r>
      <w:r>
        <w:rPr>
          <w:rFonts w:ascii="Arial" w:cs="Arial" w:eastAsia="Arial" w:hAnsi="Arial"/>
          <w:sz w:val="19"/>
          <w:szCs w:val="19"/>
          <w:color w:val="413F42"/>
        </w:rPr>
        <w:t>a</w:t>
      </w:r>
      <w:r>
        <w:rPr>
          <w:rFonts w:ascii="Arial" w:cs="Arial" w:eastAsia="Arial" w:hAnsi="Arial"/>
          <w:sz w:val="19"/>
          <w:szCs w:val="19"/>
          <w:color w:val="28262A"/>
        </w:rPr>
        <w:t>ny or a Designated Subsidiary who meets the criteria for an Eligible Employee on such individual’s Hire Date, provided that an individual who has previously worked for the Company or an Affiliate will only qualify as a "Newly Hired E</w:t>
      </w:r>
      <w:r>
        <w:rPr>
          <w:rFonts w:ascii="Arial" w:cs="Arial" w:eastAsia="Arial" w:hAnsi="Arial"/>
          <w:sz w:val="19"/>
          <w:szCs w:val="19"/>
          <w:color w:val="57545B"/>
        </w:rPr>
        <w:t>li</w:t>
      </w:r>
      <w:r>
        <w:rPr>
          <w:rFonts w:ascii="Arial" w:cs="Arial" w:eastAsia="Arial" w:hAnsi="Arial"/>
          <w:sz w:val="19"/>
          <w:szCs w:val="19"/>
          <w:color w:val="28262A"/>
        </w:rPr>
        <w:t>gible Employee" if such individual meets the requ</w:t>
      </w:r>
      <w:r>
        <w:rPr>
          <w:rFonts w:ascii="Arial" w:cs="Arial" w:eastAsia="Arial" w:hAnsi="Arial"/>
          <w:sz w:val="19"/>
          <w:szCs w:val="19"/>
          <w:color w:val="413F42"/>
        </w:rPr>
        <w:t>i</w:t>
      </w:r>
      <w:r>
        <w:rPr>
          <w:rFonts w:ascii="Arial" w:cs="Arial" w:eastAsia="Arial" w:hAnsi="Arial"/>
          <w:sz w:val="19"/>
          <w:szCs w:val="19"/>
          <w:color w:val="28262A"/>
        </w:rPr>
        <w:t>rements of Treas. Reg. § 1.409A-2(a)(7) or any successor thereto</w:t>
      </w:r>
      <w:r>
        <w:rPr>
          <w:rFonts w:ascii="Arial" w:cs="Arial" w:eastAsia="Arial" w:hAnsi="Arial"/>
          <w:sz w:val="19"/>
          <w:szCs w:val="19"/>
          <w:color w:val="646464"/>
        </w:rPr>
        <w:t>.</w:t>
      </w:r>
      <w:r>
        <w:rPr>
          <w:rFonts w:ascii="Arial" w:cs="Arial" w:eastAsia="Arial" w:hAnsi="Arial"/>
          <w:sz w:val="19"/>
          <w:szCs w:val="19"/>
          <w:color w:val="28262A"/>
        </w:rPr>
        <w:t xml:space="preserve"> Generally, a re-hired individual will meet these requirements if (1) such individual has been paid any and all amounts due unde</w:t>
      </w:r>
      <w:r>
        <w:rPr>
          <w:rFonts w:ascii="Arial" w:cs="Arial" w:eastAsia="Arial" w:hAnsi="Arial"/>
          <w:sz w:val="19"/>
          <w:szCs w:val="19"/>
          <w:color w:val="57545B"/>
        </w:rPr>
        <w:t>r</w:t>
      </w:r>
      <w:r>
        <w:rPr>
          <w:rFonts w:ascii="Arial" w:cs="Arial" w:eastAsia="Arial" w:hAnsi="Arial"/>
          <w:sz w:val="19"/>
          <w:szCs w:val="19"/>
          <w:color w:val="28262A"/>
        </w:rPr>
        <w:t xml:space="preserve"> the Plan (and any plans required to be aggregated with the Plan under Code section 409A) prior to re-hire, or (2) such individual has not been eligible to participate, other th</w:t>
      </w:r>
      <w:r>
        <w:rPr>
          <w:rFonts w:ascii="Arial" w:cs="Arial" w:eastAsia="Arial" w:hAnsi="Arial"/>
          <w:sz w:val="19"/>
          <w:szCs w:val="19"/>
          <w:color w:val="413F42"/>
        </w:rPr>
        <w:t>a</w:t>
      </w:r>
      <w:r>
        <w:rPr>
          <w:rFonts w:ascii="Arial" w:cs="Arial" w:eastAsia="Arial" w:hAnsi="Arial"/>
          <w:sz w:val="19"/>
          <w:szCs w:val="19"/>
          <w:color w:val="28262A"/>
        </w:rPr>
        <w:t>n the accrual of earnings, in the Plan (or any other plan required to be aggregated with the P</w:t>
      </w:r>
      <w:r>
        <w:rPr>
          <w:rFonts w:ascii="Arial" w:cs="Arial" w:eastAsia="Arial" w:hAnsi="Arial"/>
          <w:sz w:val="19"/>
          <w:szCs w:val="19"/>
          <w:color w:val="6E727E"/>
        </w:rPr>
        <w:t>l</w:t>
      </w:r>
      <w:r>
        <w:rPr>
          <w:rFonts w:ascii="Arial" w:cs="Arial" w:eastAsia="Arial" w:hAnsi="Arial"/>
          <w:sz w:val="19"/>
          <w:szCs w:val="19"/>
          <w:color w:val="28262A"/>
        </w:rPr>
        <w:t>an under Code section 409A) for at least 24 months.</w:t>
      </w:r>
    </w:p>
    <w:p>
      <w:pPr>
        <w:spacing w:after="0" w:line="186" w:lineRule="exact"/>
        <w:rPr>
          <w:sz w:val="20"/>
          <w:szCs w:val="20"/>
          <w:color w:val="auto"/>
        </w:rPr>
      </w:pPr>
    </w:p>
    <w:p>
      <w:pPr>
        <w:ind w:right="460" w:firstLine="753"/>
        <w:spacing w:after="0" w:line="270" w:lineRule="auto"/>
        <w:rPr>
          <w:sz w:val="20"/>
          <w:szCs w:val="20"/>
          <w:color w:val="auto"/>
        </w:rPr>
      </w:pPr>
      <w:r>
        <w:rPr>
          <w:rFonts w:ascii="Arial" w:cs="Arial" w:eastAsia="Arial" w:hAnsi="Arial"/>
          <w:sz w:val="19"/>
          <w:szCs w:val="19"/>
          <w:u w:val="single" w:color="auto"/>
          <w:color w:val="28262A"/>
        </w:rPr>
        <w:t>Open Enrollment</w:t>
      </w:r>
      <w:r>
        <w:rPr>
          <w:rFonts w:ascii="Arial" w:cs="Arial" w:eastAsia="Arial" w:hAnsi="Arial"/>
          <w:sz w:val="19"/>
          <w:szCs w:val="19"/>
          <w:color w:val="28262A"/>
        </w:rPr>
        <w:t xml:space="preserve"> - means the period or periods during each Plan Year when Eligible Employees may elect to defer amounts under the Plan</w:t>
      </w:r>
      <w:r>
        <w:rPr>
          <w:rFonts w:ascii="Arial" w:cs="Arial" w:eastAsia="Arial" w:hAnsi="Arial"/>
          <w:sz w:val="19"/>
          <w:szCs w:val="19"/>
          <w:color w:val="413F42"/>
        </w:rPr>
        <w:t>.</w:t>
      </w:r>
      <w:r>
        <w:rPr>
          <w:rFonts w:ascii="Arial" w:cs="Arial" w:eastAsia="Arial" w:hAnsi="Arial"/>
          <w:sz w:val="19"/>
          <w:szCs w:val="19"/>
          <w:color w:val="28262A"/>
        </w:rPr>
        <w:t xml:space="preserve"> Op</w:t>
      </w:r>
      <w:r>
        <w:rPr>
          <w:rFonts w:ascii="Arial" w:cs="Arial" w:eastAsia="Arial" w:hAnsi="Arial"/>
          <w:sz w:val="19"/>
          <w:szCs w:val="19"/>
          <w:color w:val="413F42"/>
        </w:rPr>
        <w:t>e</w:t>
      </w:r>
      <w:r>
        <w:rPr>
          <w:rFonts w:ascii="Arial" w:cs="Arial" w:eastAsia="Arial" w:hAnsi="Arial"/>
          <w:sz w:val="19"/>
          <w:szCs w:val="19"/>
          <w:color w:val="28262A"/>
        </w:rPr>
        <w:t>n Enrollment shall be held at the time or times designated by the Plan Administrator.</w:t>
      </w:r>
    </w:p>
    <w:p>
      <w:pPr>
        <w:spacing w:after="0" w:line="200" w:lineRule="exact"/>
        <w:rPr>
          <w:sz w:val="20"/>
          <w:szCs w:val="20"/>
          <w:color w:val="auto"/>
        </w:rPr>
      </w:pPr>
    </w:p>
    <w:p>
      <w:pPr>
        <w:spacing w:after="0" w:line="388"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474345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480" w:top="1422" w:right="659" w:bottom="1440" w:gutter="0" w:footer="0" w:header="0"/>
        </w:sectPr>
      </w:pPr>
    </w:p>
    <w:bookmarkStart w:id="125" w:name="page126"/>
    <w:bookmarkEnd w:id="125"/>
    <w:p>
      <w:pPr>
        <w:ind w:left="740"/>
        <w:spacing w:after="0"/>
        <w:rPr>
          <w:sz w:val="20"/>
          <w:szCs w:val="20"/>
          <w:color w:val="auto"/>
        </w:rPr>
      </w:pPr>
      <w:r>
        <w:rPr>
          <w:rFonts w:ascii="Arial" w:cs="Arial" w:eastAsia="Arial" w:hAnsi="Arial"/>
          <w:sz w:val="19"/>
          <w:szCs w:val="19"/>
          <w:u w:val="single" w:color="auto"/>
          <w:color w:val="28262A"/>
        </w:rPr>
        <w:t>Participant</w:t>
      </w:r>
      <w:r>
        <w:rPr>
          <w:rFonts w:ascii="Arial" w:cs="Arial" w:eastAsia="Arial" w:hAnsi="Arial"/>
          <w:sz w:val="19"/>
          <w:szCs w:val="19"/>
          <w:color w:val="28262A"/>
        </w:rPr>
        <w:t xml:space="preserve"> - means an Eligible Employee who elects to defer Eligible Income under the Plan</w:t>
      </w:r>
      <w:r>
        <w:rPr>
          <w:rFonts w:ascii="Arial" w:cs="Arial" w:eastAsia="Arial" w:hAnsi="Arial"/>
          <w:sz w:val="19"/>
          <w:szCs w:val="19"/>
          <w:color w:val="413F42"/>
        </w:rPr>
        <w:t>.</w:t>
      </w:r>
    </w:p>
    <w:p>
      <w:pPr>
        <w:spacing w:after="0" w:line="214" w:lineRule="exact"/>
        <w:rPr>
          <w:sz w:val="20"/>
          <w:szCs w:val="20"/>
          <w:color w:val="auto"/>
        </w:rPr>
      </w:pPr>
    </w:p>
    <w:p>
      <w:pPr>
        <w:ind w:left="740"/>
        <w:spacing w:after="0"/>
        <w:rPr>
          <w:sz w:val="20"/>
          <w:szCs w:val="20"/>
          <w:color w:val="auto"/>
        </w:rPr>
      </w:pPr>
      <w:r>
        <w:rPr>
          <w:rFonts w:ascii="Arial" w:cs="Arial" w:eastAsia="Arial" w:hAnsi="Arial"/>
          <w:sz w:val="19"/>
          <w:szCs w:val="19"/>
          <w:u w:val="single" w:color="auto"/>
          <w:color w:val="28262A"/>
        </w:rPr>
        <w:t>Performance-Based Compensation</w:t>
      </w:r>
      <w:r>
        <w:rPr>
          <w:rFonts w:ascii="Arial" w:cs="Arial" w:eastAsia="Arial" w:hAnsi="Arial"/>
          <w:sz w:val="19"/>
          <w:szCs w:val="19"/>
          <w:color w:val="28262A"/>
        </w:rPr>
        <w:t xml:space="preserve"> - means "performance-based compensation" as defined under Code section 409A</w:t>
      </w:r>
      <w:r>
        <w:rPr>
          <w:rFonts w:ascii="Arial" w:cs="Arial" w:eastAsia="Arial" w:hAnsi="Arial"/>
          <w:sz w:val="19"/>
          <w:szCs w:val="19"/>
          <w:color w:val="413F42"/>
        </w:rPr>
        <w:t>.</w:t>
      </w:r>
    </w:p>
    <w:p>
      <w:pPr>
        <w:spacing w:after="0" w:line="214" w:lineRule="exact"/>
        <w:rPr>
          <w:sz w:val="20"/>
          <w:szCs w:val="20"/>
          <w:color w:val="auto"/>
        </w:rPr>
      </w:pPr>
    </w:p>
    <w:p>
      <w:pPr>
        <w:ind w:left="740"/>
        <w:spacing w:after="0"/>
        <w:rPr>
          <w:sz w:val="20"/>
          <w:szCs w:val="20"/>
          <w:color w:val="auto"/>
        </w:rPr>
      </w:pPr>
      <w:r>
        <w:rPr>
          <w:rFonts w:ascii="Arial" w:cs="Arial" w:eastAsia="Arial" w:hAnsi="Arial"/>
          <w:sz w:val="19"/>
          <w:szCs w:val="19"/>
          <w:u w:val="single" w:color="auto"/>
          <w:color w:val="232323"/>
        </w:rPr>
        <w:t>Plan</w:t>
      </w:r>
      <w:r>
        <w:rPr>
          <w:rFonts w:ascii="Arial" w:cs="Arial" w:eastAsia="Arial" w:hAnsi="Arial"/>
          <w:sz w:val="19"/>
          <w:szCs w:val="19"/>
          <w:color w:val="232323"/>
        </w:rPr>
        <w:t xml:space="preserve"> - means the Microsoft Corporation Deferred </w:t>
      </w:r>
      <w:r>
        <w:rPr>
          <w:rFonts w:ascii="Arial" w:cs="Arial" w:eastAsia="Arial" w:hAnsi="Arial"/>
          <w:sz w:val="19"/>
          <w:szCs w:val="19"/>
          <w:color w:val="28262A"/>
        </w:rPr>
        <w:t>Compensation</w:t>
      </w:r>
      <w:r>
        <w:rPr>
          <w:rFonts w:ascii="Arial" w:cs="Arial" w:eastAsia="Arial" w:hAnsi="Arial"/>
          <w:sz w:val="19"/>
          <w:szCs w:val="19"/>
          <w:color w:val="232323"/>
        </w:rPr>
        <w:t xml:space="preserve"> Plan, as amended from time to time.</w:t>
      </w:r>
    </w:p>
    <w:p>
      <w:pPr>
        <w:spacing w:after="0" w:line="214" w:lineRule="exact"/>
        <w:rPr>
          <w:sz w:val="20"/>
          <w:szCs w:val="20"/>
          <w:color w:val="auto"/>
        </w:rPr>
      </w:pPr>
    </w:p>
    <w:p>
      <w:pPr>
        <w:ind w:right="120" w:firstLine="753"/>
        <w:spacing w:after="0" w:line="270" w:lineRule="auto"/>
        <w:rPr>
          <w:sz w:val="20"/>
          <w:szCs w:val="20"/>
          <w:color w:val="auto"/>
        </w:rPr>
      </w:pPr>
      <w:r>
        <w:rPr>
          <w:rFonts w:ascii="Arial" w:cs="Arial" w:eastAsia="Arial" w:hAnsi="Arial"/>
          <w:sz w:val="19"/>
          <w:szCs w:val="19"/>
          <w:u w:val="single" w:color="auto"/>
          <w:color w:val="232323"/>
        </w:rPr>
        <w:t>Plan Administrator</w:t>
      </w:r>
      <w:r>
        <w:rPr>
          <w:rFonts w:ascii="Arial" w:cs="Arial" w:eastAsia="Arial" w:hAnsi="Arial"/>
          <w:sz w:val="19"/>
          <w:szCs w:val="19"/>
          <w:color w:val="232323"/>
        </w:rPr>
        <w:t xml:space="preserve"> - means the Senior HR Officer or, with respect to the eligibility of executive officers of the Company to participate in the Plan, the Compensation Committee of the Board.</w:t>
      </w:r>
    </w:p>
    <w:p>
      <w:pPr>
        <w:spacing w:after="0" w:line="156" w:lineRule="exact"/>
        <w:rPr>
          <w:sz w:val="20"/>
          <w:szCs w:val="20"/>
          <w:color w:val="auto"/>
        </w:rPr>
      </w:pPr>
    </w:p>
    <w:p>
      <w:pPr>
        <w:ind w:left="740"/>
        <w:spacing w:after="0"/>
        <w:rPr>
          <w:sz w:val="20"/>
          <w:szCs w:val="20"/>
          <w:color w:val="auto"/>
        </w:rPr>
      </w:pPr>
      <w:r>
        <w:rPr>
          <w:rFonts w:ascii="Arial" w:cs="Arial" w:eastAsia="Arial" w:hAnsi="Arial"/>
          <w:sz w:val="19"/>
          <w:szCs w:val="19"/>
          <w:u w:val="single" w:color="auto"/>
          <w:color w:val="232323"/>
        </w:rPr>
        <w:t>Plan Year</w:t>
      </w:r>
      <w:r>
        <w:rPr>
          <w:rFonts w:ascii="Arial" w:cs="Arial" w:eastAsia="Arial" w:hAnsi="Arial"/>
          <w:sz w:val="19"/>
          <w:szCs w:val="19"/>
          <w:color w:val="232323"/>
        </w:rPr>
        <w:t xml:space="preserve"> - means the 12-month period from January 1 to December 31.</w:t>
      </w:r>
    </w:p>
    <w:p>
      <w:pPr>
        <w:spacing w:after="0" w:line="214" w:lineRule="exact"/>
        <w:rPr>
          <w:sz w:val="20"/>
          <w:szCs w:val="20"/>
          <w:color w:val="auto"/>
        </w:rPr>
      </w:pPr>
    </w:p>
    <w:p>
      <w:pPr>
        <w:ind w:firstLine="753"/>
        <w:spacing w:after="0" w:line="245" w:lineRule="auto"/>
        <w:rPr>
          <w:sz w:val="20"/>
          <w:szCs w:val="20"/>
          <w:color w:val="auto"/>
        </w:rPr>
      </w:pPr>
      <w:r>
        <w:rPr>
          <w:rFonts w:ascii="Arial" w:cs="Arial" w:eastAsia="Arial" w:hAnsi="Arial"/>
          <w:sz w:val="19"/>
          <w:szCs w:val="19"/>
          <w:u w:val="single" w:color="auto"/>
          <w:color w:val="232323"/>
        </w:rPr>
        <w:t>Pre-2014 Election Amount</w:t>
      </w:r>
      <w:r>
        <w:rPr>
          <w:rFonts w:ascii="Arial" w:cs="Arial" w:eastAsia="Arial" w:hAnsi="Arial"/>
          <w:sz w:val="19"/>
          <w:szCs w:val="19"/>
          <w:color w:val="232323"/>
        </w:rPr>
        <w:t xml:space="preserve"> - means an amount deferred under the Plan (and earnings thereon) pursuant to a deferral election that (1) becomes irrevocable during an Open Enrollment period occurring before July 1, 2013, or (2) is made by a Newly Hired Eligible Employee under Section 5.1(b)(ii) and becomes irrevocable on or before December 31, 2013. Thus, Annual Base Salary amounts deferred after 2013 and Annual Bonuses deferred based on elections made after 2013 will not be considered Pre-2014 Election Amounts.</w:t>
      </w:r>
    </w:p>
    <w:p>
      <w:pPr>
        <w:spacing w:after="0" w:line="181" w:lineRule="exact"/>
        <w:rPr>
          <w:sz w:val="20"/>
          <w:szCs w:val="20"/>
          <w:color w:val="auto"/>
        </w:rPr>
      </w:pPr>
    </w:p>
    <w:p>
      <w:pPr>
        <w:ind w:right="940" w:firstLine="753"/>
        <w:spacing w:after="0" w:line="270" w:lineRule="auto"/>
        <w:rPr>
          <w:sz w:val="20"/>
          <w:szCs w:val="20"/>
          <w:color w:val="auto"/>
        </w:rPr>
      </w:pPr>
      <w:r>
        <w:rPr>
          <w:rFonts w:ascii="Arial" w:cs="Arial" w:eastAsia="Arial" w:hAnsi="Arial"/>
          <w:sz w:val="19"/>
          <w:szCs w:val="19"/>
          <w:u w:val="single" w:color="auto"/>
          <w:color w:val="232323"/>
        </w:rPr>
        <w:t>Regular Enrollment Compensation</w:t>
      </w:r>
      <w:r>
        <w:rPr>
          <w:rFonts w:ascii="Arial" w:cs="Arial" w:eastAsia="Arial" w:hAnsi="Arial"/>
          <w:sz w:val="19"/>
          <w:szCs w:val="19"/>
          <w:color w:val="232323"/>
        </w:rPr>
        <w:t xml:space="preserve"> - means compensation which is from time to time determined by the Plan Administrator, including without limitation (1) Annual Base Salary and (2) Annual Bonus.</w:t>
      </w:r>
    </w:p>
    <w:p>
      <w:pPr>
        <w:spacing w:after="0" w:line="156" w:lineRule="exact"/>
        <w:rPr>
          <w:sz w:val="20"/>
          <w:szCs w:val="20"/>
          <w:color w:val="auto"/>
        </w:rPr>
      </w:pPr>
    </w:p>
    <w:p>
      <w:pPr>
        <w:ind w:left="740"/>
        <w:spacing w:after="0"/>
        <w:rPr>
          <w:sz w:val="20"/>
          <w:szCs w:val="20"/>
          <w:color w:val="auto"/>
        </w:rPr>
      </w:pPr>
      <w:r>
        <w:rPr>
          <w:rFonts w:ascii="Arial" w:cs="Arial" w:eastAsia="Arial" w:hAnsi="Arial"/>
          <w:sz w:val="19"/>
          <w:szCs w:val="19"/>
          <w:u w:val="single" w:color="auto"/>
          <w:color w:val="232323"/>
        </w:rPr>
        <w:t>Retirement</w:t>
      </w:r>
      <w:r>
        <w:rPr>
          <w:rFonts w:ascii="Arial" w:cs="Arial" w:eastAsia="Arial" w:hAnsi="Arial"/>
          <w:sz w:val="19"/>
          <w:szCs w:val="19"/>
          <w:color w:val="232323"/>
        </w:rPr>
        <w:t xml:space="preserve"> - means a Separation from Service after attaining Retirement Age.</w:t>
      </w:r>
    </w:p>
    <w:p>
      <w:pPr>
        <w:spacing w:after="0" w:line="214" w:lineRule="exact"/>
        <w:rPr>
          <w:sz w:val="20"/>
          <w:szCs w:val="20"/>
          <w:color w:val="auto"/>
        </w:rPr>
      </w:pPr>
    </w:p>
    <w:p>
      <w:pPr>
        <w:ind w:right="40" w:firstLine="753"/>
        <w:spacing w:after="0" w:line="248" w:lineRule="auto"/>
        <w:rPr>
          <w:sz w:val="20"/>
          <w:szCs w:val="20"/>
          <w:color w:val="auto"/>
        </w:rPr>
      </w:pPr>
      <w:r>
        <w:rPr>
          <w:rFonts w:ascii="Arial" w:cs="Arial" w:eastAsia="Arial" w:hAnsi="Arial"/>
          <w:sz w:val="19"/>
          <w:szCs w:val="19"/>
          <w:u w:val="single" w:color="auto"/>
          <w:color w:val="232323"/>
        </w:rPr>
        <w:t>Retirement Age</w:t>
      </w:r>
      <w:r>
        <w:rPr>
          <w:rFonts w:ascii="Arial" w:cs="Arial" w:eastAsia="Arial" w:hAnsi="Arial"/>
          <w:sz w:val="19"/>
          <w:szCs w:val="19"/>
          <w:color w:val="232323"/>
        </w:rPr>
        <w:t xml:space="preserve"> - means one specified date for each Participant occurring on the earlier of: (1) Participant's attainment of age sixty-five (65), or (2) the later of Participant's attainment of age fifty-five (55) or the tenth (10th) anniversary of such Participant’s Date of Hire. When an Employee becomes eligible to participate in the Plan, the Plan Administrator shall determine the Retirement Age for the Employee as one specified date in accordance with the foregoing.</w:t>
      </w:r>
    </w:p>
    <w:p>
      <w:pPr>
        <w:spacing w:after="0" w:line="177" w:lineRule="exact"/>
        <w:rPr>
          <w:sz w:val="20"/>
          <w:szCs w:val="20"/>
          <w:color w:val="auto"/>
        </w:rPr>
      </w:pPr>
    </w:p>
    <w:p>
      <w:pPr>
        <w:ind w:left="740"/>
        <w:spacing w:after="0"/>
        <w:rPr>
          <w:sz w:val="20"/>
          <w:szCs w:val="20"/>
          <w:color w:val="auto"/>
        </w:rPr>
      </w:pPr>
      <w:r>
        <w:rPr>
          <w:rFonts w:ascii="Arial" w:cs="Arial" w:eastAsia="Arial" w:hAnsi="Arial"/>
          <w:sz w:val="19"/>
          <w:szCs w:val="19"/>
          <w:u w:val="single" w:color="auto"/>
          <w:color w:val="232323"/>
        </w:rPr>
        <w:t>Senior HR Officer</w:t>
      </w:r>
      <w:r>
        <w:rPr>
          <w:rFonts w:ascii="Arial" w:cs="Arial" w:eastAsia="Arial" w:hAnsi="Arial"/>
          <w:sz w:val="19"/>
          <w:szCs w:val="19"/>
          <w:color w:val="232323"/>
        </w:rPr>
        <w:t xml:space="preserve"> - means the senior officer in charge of the Human Resources department.</w:t>
      </w:r>
    </w:p>
    <w:p>
      <w:pPr>
        <w:spacing w:after="0" w:line="214" w:lineRule="exact"/>
        <w:rPr>
          <w:sz w:val="20"/>
          <w:szCs w:val="20"/>
          <w:color w:val="auto"/>
        </w:rPr>
      </w:pPr>
    </w:p>
    <w:p>
      <w:pPr>
        <w:ind w:right="480" w:firstLine="753"/>
        <w:spacing w:after="0" w:line="270" w:lineRule="auto"/>
        <w:rPr>
          <w:sz w:val="20"/>
          <w:szCs w:val="20"/>
          <w:color w:val="auto"/>
        </w:rPr>
      </w:pPr>
      <w:r>
        <w:rPr>
          <w:rFonts w:ascii="Arial" w:cs="Arial" w:eastAsia="Arial" w:hAnsi="Arial"/>
          <w:sz w:val="19"/>
          <w:szCs w:val="19"/>
          <w:u w:val="single" w:color="auto"/>
          <w:color w:val="232323"/>
        </w:rPr>
        <w:t>Separation from Service or Separates from Service</w:t>
      </w:r>
      <w:r>
        <w:rPr>
          <w:rFonts w:ascii="Arial" w:cs="Arial" w:eastAsia="Arial" w:hAnsi="Arial"/>
          <w:sz w:val="19"/>
          <w:szCs w:val="19"/>
          <w:color w:val="232323"/>
        </w:rPr>
        <w:t xml:space="preserve"> - means a </w:t>
      </w:r>
      <w:r>
        <w:rPr>
          <w:rFonts w:ascii="Arial" w:cs="Arial" w:eastAsia="Arial" w:hAnsi="Arial"/>
          <w:sz w:val="19"/>
          <w:szCs w:val="19"/>
          <w:color w:val="3B3B3B"/>
        </w:rPr>
        <w:t>"separation</w:t>
      </w:r>
      <w:r>
        <w:rPr>
          <w:rFonts w:ascii="Arial" w:cs="Arial" w:eastAsia="Arial" w:hAnsi="Arial"/>
          <w:sz w:val="19"/>
          <w:szCs w:val="19"/>
          <w:color w:val="232323"/>
        </w:rPr>
        <w:t xml:space="preserve"> from service" with the Company and its Affiliates within the meaning of Code section 409A.</w:t>
      </w:r>
    </w:p>
    <w:p>
      <w:pPr>
        <w:spacing w:after="0" w:line="156" w:lineRule="exact"/>
        <w:rPr>
          <w:sz w:val="20"/>
          <w:szCs w:val="20"/>
          <w:color w:val="auto"/>
        </w:rPr>
      </w:pPr>
    </w:p>
    <w:p>
      <w:pPr>
        <w:ind w:right="40" w:firstLine="753"/>
        <w:spacing w:after="0" w:line="245" w:lineRule="auto"/>
        <w:rPr>
          <w:sz w:val="20"/>
          <w:szCs w:val="20"/>
          <w:color w:val="auto"/>
        </w:rPr>
      </w:pPr>
      <w:r>
        <w:rPr>
          <w:rFonts w:ascii="Arial" w:cs="Arial" w:eastAsia="Arial" w:hAnsi="Arial"/>
          <w:sz w:val="19"/>
          <w:szCs w:val="19"/>
          <w:u w:val="single" w:color="auto"/>
          <w:color w:val="28262A"/>
        </w:rPr>
        <w:t>Signing Bonus</w:t>
      </w:r>
      <w:r>
        <w:rPr>
          <w:rFonts w:ascii="Arial" w:cs="Arial" w:eastAsia="Arial" w:hAnsi="Arial"/>
          <w:sz w:val="19"/>
          <w:szCs w:val="19"/>
          <w:color w:val="28262A"/>
        </w:rPr>
        <w:t xml:space="preserve"> - means a bonus provided to a Newly Hired Eligible Employee upon acceptance of an offer of employment with the Company or a Designated Subsidiary, including bonuses provided to a Newly Hired Eligible Employee </w:t>
      </w:r>
      <w:r>
        <w:rPr>
          <w:rFonts w:ascii="Arial" w:cs="Arial" w:eastAsia="Arial" w:hAnsi="Arial"/>
          <w:sz w:val="19"/>
          <w:szCs w:val="19"/>
          <w:color w:val="28282A"/>
        </w:rPr>
        <w:t>who</w:t>
      </w:r>
      <w:r>
        <w:rPr>
          <w:rFonts w:ascii="Arial" w:cs="Arial" w:eastAsia="Arial" w:hAnsi="Arial"/>
          <w:sz w:val="19"/>
          <w:szCs w:val="19"/>
          <w:color w:val="28262A"/>
        </w:rPr>
        <w:t xml:space="preserve"> </w:t>
      </w:r>
      <w:r>
        <w:rPr>
          <w:rFonts w:ascii="Arial" w:cs="Arial" w:eastAsia="Arial" w:hAnsi="Arial"/>
          <w:sz w:val="19"/>
          <w:szCs w:val="19"/>
          <w:color w:val="28282A"/>
        </w:rPr>
        <w:t xml:space="preserve">accepted an offer to continue </w:t>
      </w:r>
      <w:r>
        <w:rPr>
          <w:rFonts w:ascii="Arial" w:cs="Arial" w:eastAsia="Arial" w:hAnsi="Arial"/>
          <w:sz w:val="19"/>
          <w:szCs w:val="19"/>
          <w:color w:val="212121"/>
        </w:rPr>
        <w:t>employment</w:t>
      </w:r>
      <w:r>
        <w:rPr>
          <w:rFonts w:ascii="Arial" w:cs="Arial" w:eastAsia="Arial" w:hAnsi="Arial"/>
          <w:sz w:val="19"/>
          <w:szCs w:val="19"/>
          <w:color w:val="28282A"/>
        </w:rPr>
        <w:t xml:space="preserve"> with the Company or a Designated Subsidiary after the acquisition of a business by the Company or a Designated Subsidiary or to begin employment with the Company or Designated Subsidiary as part of a strategic alliance</w:t>
      </w:r>
      <w:r>
        <w:rPr>
          <w:rFonts w:ascii="Arial" w:cs="Arial" w:eastAsia="Arial" w:hAnsi="Arial"/>
          <w:sz w:val="19"/>
          <w:szCs w:val="19"/>
          <w:color w:val="646464"/>
        </w:rPr>
        <w:t>.</w:t>
      </w:r>
    </w:p>
    <w:p>
      <w:pPr>
        <w:spacing w:after="0" w:line="181" w:lineRule="exact"/>
        <w:rPr>
          <w:sz w:val="20"/>
          <w:szCs w:val="20"/>
          <w:color w:val="auto"/>
        </w:rPr>
      </w:pPr>
    </w:p>
    <w:p>
      <w:pPr>
        <w:ind w:left="740"/>
        <w:spacing w:after="0"/>
        <w:rPr>
          <w:sz w:val="20"/>
          <w:szCs w:val="20"/>
          <w:color w:val="auto"/>
        </w:rPr>
      </w:pPr>
      <w:r>
        <w:rPr>
          <w:rFonts w:ascii="Arial" w:cs="Arial" w:eastAsia="Arial" w:hAnsi="Arial"/>
          <w:sz w:val="19"/>
          <w:szCs w:val="19"/>
          <w:u w:val="single" w:color="auto"/>
          <w:color w:val="232323"/>
        </w:rPr>
        <w:t>401(k) Plan</w:t>
      </w:r>
      <w:r>
        <w:rPr>
          <w:rFonts w:ascii="Arial" w:cs="Arial" w:eastAsia="Arial" w:hAnsi="Arial"/>
          <w:sz w:val="19"/>
          <w:szCs w:val="19"/>
          <w:color w:val="232323"/>
        </w:rPr>
        <w:t xml:space="preserve"> - means the Microsoft Corporation Savings Plus 401(k) Plan.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474345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480" w:top="1422" w:right="699" w:bottom="1440" w:gutter="0" w:footer="0" w:header="0"/>
        </w:sectPr>
      </w:pPr>
    </w:p>
    <w:bookmarkStart w:id="126" w:name="page127"/>
    <w:bookmarkEnd w:id="126"/>
    <w:p>
      <w:pPr>
        <w:ind w:left="880" w:hanging="838"/>
        <w:spacing w:after="0"/>
        <w:tabs>
          <w:tab w:leader="none" w:pos="880" w:val="left"/>
        </w:tabs>
        <w:numPr>
          <w:ilvl w:val="0"/>
          <w:numId w:val="62"/>
        </w:numPr>
        <w:rPr>
          <w:rFonts w:ascii="Arial" w:cs="Arial" w:eastAsia="Arial" w:hAnsi="Arial"/>
          <w:sz w:val="19"/>
          <w:szCs w:val="19"/>
          <w:color w:val="232323"/>
        </w:rPr>
      </w:pPr>
      <w:r>
        <w:rPr>
          <w:rFonts w:ascii="Arial" w:cs="Arial" w:eastAsia="Arial" w:hAnsi="Arial"/>
          <w:sz w:val="19"/>
          <w:szCs w:val="19"/>
          <w:u w:val="single" w:color="auto"/>
          <w:color w:val="232323"/>
        </w:rPr>
        <w:t>Participation</w:t>
      </w:r>
      <w:r>
        <w:rPr>
          <w:rFonts w:ascii="Arial" w:cs="Arial" w:eastAsia="Arial" w:hAnsi="Arial"/>
          <w:sz w:val="19"/>
          <w:szCs w:val="19"/>
          <w:color w:val="232323"/>
        </w:rPr>
        <w:t>.</w:t>
      </w:r>
    </w:p>
    <w:p>
      <w:pPr>
        <w:spacing w:after="0" w:line="214" w:lineRule="exact"/>
        <w:rPr>
          <w:sz w:val="20"/>
          <w:szCs w:val="20"/>
          <w:color w:val="auto"/>
        </w:rPr>
      </w:pPr>
    </w:p>
    <w:p>
      <w:pPr>
        <w:ind w:left="100" w:right="80" w:firstLine="662"/>
        <w:spacing w:after="0" w:line="248" w:lineRule="auto"/>
        <w:rPr>
          <w:sz w:val="20"/>
          <w:szCs w:val="20"/>
          <w:color w:val="auto"/>
        </w:rPr>
      </w:pPr>
      <w:r>
        <w:rPr>
          <w:rFonts w:ascii="Arial" w:cs="Arial" w:eastAsia="Arial" w:hAnsi="Arial"/>
          <w:sz w:val="19"/>
          <w:szCs w:val="19"/>
          <w:color w:val="232323"/>
        </w:rPr>
        <w:t xml:space="preserve">4.1.An Eligible Employee becomes an active Participant in the Plan on the date the Eligible Employee first enrolls in the Plan by electing to defer all or any portion of such Eligible Employee’s Eligible Income. An Eligible Employee may enroll in the Plan during Open Enrollment in </w:t>
      </w:r>
      <w:r>
        <w:rPr>
          <w:rFonts w:ascii="Arial" w:cs="Arial" w:eastAsia="Arial" w:hAnsi="Arial"/>
          <w:sz w:val="19"/>
          <w:szCs w:val="19"/>
          <w:color w:val="2A2A2D"/>
        </w:rPr>
        <w:t>accordance with Section 5</w:t>
      </w:r>
      <w:r>
        <w:rPr>
          <w:rFonts w:ascii="Arial" w:cs="Arial" w:eastAsia="Arial" w:hAnsi="Arial"/>
          <w:sz w:val="19"/>
          <w:szCs w:val="19"/>
          <w:color w:val="626264"/>
        </w:rPr>
        <w:t>.</w:t>
      </w:r>
      <w:r>
        <w:rPr>
          <w:rFonts w:ascii="Arial" w:cs="Arial" w:eastAsia="Arial" w:hAnsi="Arial"/>
          <w:sz w:val="19"/>
          <w:szCs w:val="19"/>
          <w:color w:val="2A2A2D"/>
        </w:rPr>
        <w:t>1(b)(i) or pursuant to Section 5.1(c)</w:t>
      </w:r>
      <w:r>
        <w:rPr>
          <w:rFonts w:ascii="Arial" w:cs="Arial" w:eastAsia="Arial" w:hAnsi="Arial"/>
          <w:sz w:val="19"/>
          <w:szCs w:val="19"/>
          <w:color w:val="626264"/>
        </w:rPr>
        <w:t>.</w:t>
      </w:r>
      <w:r>
        <w:rPr>
          <w:rFonts w:ascii="Arial" w:cs="Arial" w:eastAsia="Arial" w:hAnsi="Arial"/>
          <w:sz w:val="19"/>
          <w:szCs w:val="19"/>
          <w:color w:val="232323"/>
        </w:rPr>
        <w:t xml:space="preserve"> </w:t>
      </w:r>
      <w:r>
        <w:rPr>
          <w:rFonts w:ascii="Arial" w:cs="Arial" w:eastAsia="Arial" w:hAnsi="Arial"/>
          <w:sz w:val="19"/>
          <w:szCs w:val="19"/>
          <w:color w:val="2A2A2D"/>
        </w:rPr>
        <w:t>A Newly Hired Eligible Employee</w:t>
      </w:r>
      <w:r>
        <w:rPr>
          <w:rFonts w:ascii="Arial" w:cs="Arial" w:eastAsia="Arial" w:hAnsi="Arial"/>
          <w:sz w:val="19"/>
          <w:szCs w:val="19"/>
          <w:color w:val="232323"/>
        </w:rPr>
        <w:t xml:space="preserve"> </w:t>
      </w:r>
      <w:r>
        <w:rPr>
          <w:rFonts w:ascii="Arial" w:cs="Arial" w:eastAsia="Arial" w:hAnsi="Arial"/>
          <w:sz w:val="19"/>
          <w:szCs w:val="19"/>
          <w:color w:val="2A2A2D"/>
        </w:rPr>
        <w:t>may enroll before such Newly Hired Eligible Employee’s Hire Date in accordance with 5.1</w:t>
      </w:r>
      <w:r>
        <w:rPr>
          <w:rFonts w:ascii="Arial" w:cs="Arial" w:eastAsia="Arial" w:hAnsi="Arial"/>
          <w:sz w:val="19"/>
          <w:szCs w:val="19"/>
          <w:color w:val="4D4D56"/>
        </w:rPr>
        <w:t>(</w:t>
      </w:r>
      <w:r>
        <w:rPr>
          <w:rFonts w:ascii="Arial" w:cs="Arial" w:eastAsia="Arial" w:hAnsi="Arial"/>
          <w:sz w:val="19"/>
          <w:szCs w:val="19"/>
          <w:color w:val="2A2A2D"/>
        </w:rPr>
        <w:t>b)(ii).</w:t>
      </w:r>
    </w:p>
    <w:p>
      <w:pPr>
        <w:spacing w:after="0" w:line="177" w:lineRule="exact"/>
        <w:rPr>
          <w:sz w:val="20"/>
          <w:szCs w:val="20"/>
          <w:color w:val="auto"/>
        </w:rPr>
      </w:pPr>
    </w:p>
    <w:p>
      <w:pPr>
        <w:ind w:left="100" w:right="340" w:firstLine="662"/>
        <w:spacing w:after="0" w:line="270" w:lineRule="auto"/>
        <w:rPr>
          <w:sz w:val="20"/>
          <w:szCs w:val="20"/>
          <w:color w:val="auto"/>
        </w:rPr>
      </w:pPr>
      <w:r>
        <w:rPr>
          <w:rFonts w:ascii="Arial" w:cs="Arial" w:eastAsia="Arial" w:hAnsi="Arial"/>
          <w:sz w:val="19"/>
          <w:szCs w:val="19"/>
          <w:color w:val="2A2A2D"/>
        </w:rPr>
        <w:t>4.2.An Elig</w:t>
      </w:r>
      <w:r>
        <w:rPr>
          <w:rFonts w:ascii="Arial" w:cs="Arial" w:eastAsia="Arial" w:hAnsi="Arial"/>
          <w:sz w:val="19"/>
          <w:szCs w:val="19"/>
          <w:color w:val="626264"/>
        </w:rPr>
        <w:t>i</w:t>
      </w:r>
      <w:r>
        <w:rPr>
          <w:rFonts w:ascii="Arial" w:cs="Arial" w:eastAsia="Arial" w:hAnsi="Arial"/>
          <w:sz w:val="19"/>
          <w:szCs w:val="19"/>
          <w:color w:val="2A2A2D"/>
        </w:rPr>
        <w:t>ble Employee who has been an active Parti</w:t>
      </w:r>
      <w:r>
        <w:rPr>
          <w:rFonts w:ascii="Arial" w:cs="Arial" w:eastAsia="Arial" w:hAnsi="Arial"/>
          <w:sz w:val="19"/>
          <w:szCs w:val="19"/>
          <w:color w:val="4D4D56"/>
        </w:rPr>
        <w:t>ci</w:t>
      </w:r>
      <w:r>
        <w:rPr>
          <w:rFonts w:ascii="Arial" w:cs="Arial" w:eastAsia="Arial" w:hAnsi="Arial"/>
          <w:sz w:val="19"/>
          <w:szCs w:val="19"/>
          <w:color w:val="2A2A2D"/>
        </w:rPr>
        <w:t>p</w:t>
      </w:r>
      <w:r>
        <w:rPr>
          <w:rFonts w:ascii="Arial" w:cs="Arial" w:eastAsia="Arial" w:hAnsi="Arial"/>
          <w:sz w:val="19"/>
          <w:szCs w:val="19"/>
          <w:color w:val="4D4D56"/>
        </w:rPr>
        <w:t>a</w:t>
      </w:r>
      <w:r>
        <w:rPr>
          <w:rFonts w:ascii="Arial" w:cs="Arial" w:eastAsia="Arial" w:hAnsi="Arial"/>
          <w:sz w:val="19"/>
          <w:szCs w:val="19"/>
          <w:color w:val="2A2A2D"/>
        </w:rPr>
        <w:t>nt under the Plan will cease to be a Participant on the date such Eligible Employee’s Account is fully distributed.</w:t>
      </w:r>
    </w:p>
    <w:p>
      <w:pPr>
        <w:spacing w:after="0" w:line="156" w:lineRule="exact"/>
        <w:rPr>
          <w:sz w:val="20"/>
          <w:szCs w:val="20"/>
          <w:color w:val="auto"/>
        </w:rPr>
      </w:pPr>
    </w:p>
    <w:p>
      <w:pPr>
        <w:ind w:left="880" w:hanging="838"/>
        <w:spacing w:after="0"/>
        <w:tabs>
          <w:tab w:leader="none" w:pos="880"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Participant Accounts</w:t>
      </w:r>
      <w:r>
        <w:rPr>
          <w:rFonts w:ascii="Arial" w:cs="Arial" w:eastAsia="Arial" w:hAnsi="Arial"/>
          <w:sz w:val="19"/>
          <w:szCs w:val="19"/>
          <w:color w:val="auto"/>
        </w:rPr>
        <w:t>.</w:t>
      </w:r>
    </w:p>
    <w:p>
      <w:pPr>
        <w:spacing w:after="0" w:line="214" w:lineRule="exact"/>
        <w:rPr>
          <w:sz w:val="20"/>
          <w:szCs w:val="20"/>
          <w:color w:val="auto"/>
        </w:rPr>
      </w:pPr>
    </w:p>
    <w:p>
      <w:pPr>
        <w:spacing w:after="0"/>
        <w:tabs>
          <w:tab w:leader="none" w:pos="800" w:val="left"/>
        </w:tabs>
        <w:rPr>
          <w:sz w:val="20"/>
          <w:szCs w:val="20"/>
          <w:color w:val="auto"/>
        </w:rPr>
      </w:pPr>
      <w:r>
        <w:rPr>
          <w:rFonts w:ascii="Arial" w:cs="Arial" w:eastAsia="Arial" w:hAnsi="Arial"/>
          <w:sz w:val="19"/>
          <w:szCs w:val="19"/>
          <w:color w:val="2A2A2D"/>
        </w:rPr>
        <w:t>5.1.</w:t>
      </w:r>
      <w:r>
        <w:rPr>
          <w:sz w:val="20"/>
          <w:szCs w:val="20"/>
          <w:color w:val="auto"/>
        </w:rPr>
        <w:tab/>
      </w:r>
      <w:r>
        <w:rPr>
          <w:rFonts w:ascii="Arial" w:cs="Arial" w:eastAsia="Arial" w:hAnsi="Arial"/>
          <w:sz w:val="18"/>
          <w:szCs w:val="18"/>
          <w:u w:val="single" w:color="auto"/>
          <w:color w:val="2A2A2D"/>
        </w:rPr>
        <w:t>Elections to Defer Elig</w:t>
      </w:r>
      <w:r>
        <w:rPr>
          <w:rFonts w:ascii="Arial" w:cs="Arial" w:eastAsia="Arial" w:hAnsi="Arial"/>
          <w:sz w:val="18"/>
          <w:szCs w:val="18"/>
          <w:u w:val="single" w:color="auto"/>
          <w:color w:val="626264"/>
        </w:rPr>
        <w:t>i</w:t>
      </w:r>
      <w:r>
        <w:rPr>
          <w:rFonts w:ascii="Arial" w:cs="Arial" w:eastAsia="Arial" w:hAnsi="Arial"/>
          <w:sz w:val="18"/>
          <w:szCs w:val="18"/>
          <w:u w:val="single" w:color="auto"/>
          <w:color w:val="2A2A2D"/>
        </w:rPr>
        <w:t>ble Income</w:t>
      </w:r>
      <w:r>
        <w:rPr>
          <w:rFonts w:ascii="Arial" w:cs="Arial" w:eastAsia="Arial" w:hAnsi="Arial"/>
          <w:sz w:val="18"/>
          <w:szCs w:val="18"/>
          <w:color w:val="2A2A2D"/>
        </w:rPr>
        <w:t>.</w:t>
      </w:r>
    </w:p>
    <w:p>
      <w:pPr>
        <w:spacing w:after="0" w:line="214" w:lineRule="exact"/>
        <w:rPr>
          <w:sz w:val="20"/>
          <w:szCs w:val="20"/>
          <w:color w:val="auto"/>
        </w:rPr>
      </w:pPr>
    </w:p>
    <w:p>
      <w:pPr>
        <w:ind w:left="180" w:right="480" w:firstLine="1420"/>
        <w:spacing w:after="0" w:line="270" w:lineRule="auto"/>
        <w:tabs>
          <w:tab w:leader="none" w:pos="1988" w:val="left"/>
        </w:tabs>
        <w:numPr>
          <w:ilvl w:val="0"/>
          <w:numId w:val="64"/>
        </w:numPr>
        <w:rPr>
          <w:rFonts w:ascii="Arial" w:cs="Arial" w:eastAsia="Arial" w:hAnsi="Arial"/>
          <w:sz w:val="19"/>
          <w:szCs w:val="19"/>
          <w:color w:val="462B34"/>
        </w:rPr>
      </w:pPr>
      <w:r>
        <w:rPr>
          <w:rFonts w:ascii="Arial" w:cs="Arial" w:eastAsia="Arial" w:hAnsi="Arial"/>
          <w:sz w:val="19"/>
          <w:szCs w:val="19"/>
          <w:u w:val="single" w:color="auto"/>
          <w:color w:val="462B34"/>
        </w:rPr>
        <w:t>Initial</w:t>
      </w:r>
      <w:r>
        <w:rPr>
          <w:rFonts w:ascii="Arial" w:cs="Arial" w:eastAsia="Arial" w:hAnsi="Arial"/>
          <w:sz w:val="19"/>
          <w:szCs w:val="19"/>
          <w:color w:val="462B34"/>
        </w:rPr>
        <w:t xml:space="preserve"> </w:t>
      </w:r>
      <w:r>
        <w:rPr>
          <w:rFonts w:ascii="Arial" w:cs="Arial" w:eastAsia="Arial" w:hAnsi="Arial"/>
          <w:sz w:val="19"/>
          <w:szCs w:val="19"/>
          <w:u w:val="single" w:color="auto"/>
          <w:color w:val="2A2A2D"/>
        </w:rPr>
        <w:t>Deferral Election</w:t>
      </w:r>
      <w:r>
        <w:rPr>
          <w:rFonts w:ascii="Arial" w:cs="Arial" w:eastAsia="Arial" w:hAnsi="Arial"/>
          <w:sz w:val="19"/>
          <w:szCs w:val="19"/>
          <w:color w:val="2A2A2D"/>
        </w:rPr>
        <w:t>. An Eligible Employee may make an irrevocable election to defer the following</w:t>
      </w:r>
      <w:r>
        <w:rPr>
          <w:rFonts w:ascii="Arial" w:cs="Arial" w:eastAsia="Arial" w:hAnsi="Arial"/>
          <w:sz w:val="19"/>
          <w:szCs w:val="19"/>
          <w:color w:val="462B34"/>
        </w:rPr>
        <w:t xml:space="preserve"> </w:t>
      </w:r>
      <w:r>
        <w:rPr>
          <w:rFonts w:ascii="Arial" w:cs="Arial" w:eastAsia="Arial" w:hAnsi="Arial"/>
          <w:sz w:val="19"/>
          <w:szCs w:val="19"/>
          <w:color w:val="2A2A2D"/>
        </w:rPr>
        <w:t xml:space="preserve">types of Eligible </w:t>
      </w:r>
      <w:r>
        <w:rPr>
          <w:rFonts w:ascii="Arial" w:cs="Arial" w:eastAsia="Arial" w:hAnsi="Arial"/>
          <w:sz w:val="19"/>
          <w:szCs w:val="19"/>
          <w:color w:val="626264"/>
        </w:rPr>
        <w:t>I</w:t>
      </w:r>
      <w:r>
        <w:rPr>
          <w:rFonts w:ascii="Arial" w:cs="Arial" w:eastAsia="Arial" w:hAnsi="Arial"/>
          <w:sz w:val="19"/>
          <w:szCs w:val="19"/>
          <w:color w:val="2A2A2D"/>
        </w:rPr>
        <w:t>ncome in one (1) percent increments up to the specified maximum percentages:</w:t>
      </w:r>
    </w:p>
    <w:p>
      <w:pPr>
        <w:spacing w:after="0" w:line="156" w:lineRule="exact"/>
        <w:rPr>
          <w:rFonts w:ascii="Arial" w:cs="Arial" w:eastAsia="Arial" w:hAnsi="Arial"/>
          <w:sz w:val="19"/>
          <w:szCs w:val="19"/>
          <w:color w:val="462B34"/>
        </w:rPr>
      </w:pPr>
    </w:p>
    <w:p>
      <w:pPr>
        <w:ind w:left="2960" w:hanging="536"/>
        <w:spacing w:after="0"/>
        <w:tabs>
          <w:tab w:leader="none" w:pos="2960" w:val="left"/>
        </w:tabs>
        <w:numPr>
          <w:ilvl w:val="1"/>
          <w:numId w:val="64"/>
        </w:numPr>
        <w:rPr>
          <w:rFonts w:ascii="Arial" w:cs="Arial" w:eastAsia="Arial" w:hAnsi="Arial"/>
          <w:sz w:val="19"/>
          <w:szCs w:val="19"/>
          <w:color w:val="2A2A2D"/>
        </w:rPr>
      </w:pPr>
      <w:r>
        <w:rPr>
          <w:rFonts w:ascii="Arial" w:cs="Arial" w:eastAsia="Arial" w:hAnsi="Arial"/>
          <w:sz w:val="19"/>
          <w:szCs w:val="19"/>
          <w:color w:val="2A2A2D"/>
        </w:rPr>
        <w:t>An Eligible Employee may elect to defer up to 75% o</w:t>
      </w:r>
      <w:r>
        <w:rPr>
          <w:rFonts w:ascii="Arial" w:cs="Arial" w:eastAsia="Arial" w:hAnsi="Arial"/>
          <w:sz w:val="19"/>
          <w:szCs w:val="19"/>
          <w:color w:val="4D4D56"/>
        </w:rPr>
        <w:t>f</w:t>
      </w:r>
      <w:r>
        <w:rPr>
          <w:rFonts w:ascii="Arial" w:cs="Arial" w:eastAsia="Arial" w:hAnsi="Arial"/>
          <w:sz w:val="19"/>
          <w:szCs w:val="19"/>
          <w:color w:val="2A2A2D"/>
        </w:rPr>
        <w:t xml:space="preserve"> such Eligible Employee’s Annual Base</w:t>
      </w:r>
    </w:p>
    <w:p>
      <w:pPr>
        <w:spacing w:after="0" w:line="15" w:lineRule="exact"/>
        <w:rPr>
          <w:rFonts w:ascii="Arial" w:cs="Arial" w:eastAsia="Arial" w:hAnsi="Arial"/>
          <w:sz w:val="19"/>
          <w:szCs w:val="19"/>
          <w:color w:val="2A2A2D"/>
        </w:rPr>
      </w:pPr>
    </w:p>
    <w:p>
      <w:pPr>
        <w:ind w:left="200"/>
        <w:spacing w:after="0"/>
        <w:rPr>
          <w:rFonts w:ascii="Arial" w:cs="Arial" w:eastAsia="Arial" w:hAnsi="Arial"/>
          <w:sz w:val="19"/>
          <w:szCs w:val="19"/>
          <w:color w:val="2A2A2D"/>
        </w:rPr>
      </w:pPr>
      <w:r>
        <w:rPr>
          <w:rFonts w:ascii="Arial" w:cs="Arial" w:eastAsia="Arial" w:hAnsi="Arial"/>
          <w:sz w:val="19"/>
          <w:szCs w:val="19"/>
          <w:color w:val="2A2A2D"/>
        </w:rPr>
        <w:t>Salary.</w:t>
      </w:r>
    </w:p>
    <w:p>
      <w:pPr>
        <w:spacing w:after="0" w:line="195" w:lineRule="exact"/>
        <w:rPr>
          <w:rFonts w:ascii="Arial" w:cs="Arial" w:eastAsia="Arial" w:hAnsi="Arial"/>
          <w:sz w:val="19"/>
          <w:szCs w:val="19"/>
          <w:color w:val="2A2A2D"/>
        </w:rPr>
      </w:pPr>
    </w:p>
    <w:p>
      <w:pPr>
        <w:ind w:left="2960" w:hanging="536"/>
        <w:spacing w:after="0"/>
        <w:tabs>
          <w:tab w:leader="none" w:pos="2960" w:val="left"/>
        </w:tabs>
        <w:numPr>
          <w:ilvl w:val="1"/>
          <w:numId w:val="64"/>
        </w:numPr>
        <w:rPr>
          <w:rFonts w:ascii="Arial" w:cs="Arial" w:eastAsia="Arial" w:hAnsi="Arial"/>
          <w:sz w:val="19"/>
          <w:szCs w:val="19"/>
          <w:color w:val="2A2A2D"/>
        </w:rPr>
      </w:pPr>
      <w:r>
        <w:rPr>
          <w:rFonts w:ascii="Arial" w:cs="Arial" w:eastAsia="Arial" w:hAnsi="Arial"/>
          <w:sz w:val="19"/>
          <w:szCs w:val="19"/>
          <w:color w:val="2A2A2D"/>
        </w:rPr>
        <w:t xml:space="preserve">An Eligible Employee may </w:t>
      </w:r>
      <w:r>
        <w:rPr>
          <w:rFonts w:ascii="Arial" w:cs="Arial" w:eastAsia="Arial" w:hAnsi="Arial"/>
          <w:sz w:val="19"/>
          <w:szCs w:val="19"/>
          <w:color w:val="4D4D56"/>
        </w:rPr>
        <w:t>el</w:t>
      </w:r>
      <w:r>
        <w:rPr>
          <w:rFonts w:ascii="Arial" w:cs="Arial" w:eastAsia="Arial" w:hAnsi="Arial"/>
          <w:sz w:val="19"/>
          <w:szCs w:val="19"/>
          <w:color w:val="2A2A2D"/>
        </w:rPr>
        <w:t>ect to defer up to 100</w:t>
      </w:r>
      <w:r>
        <w:rPr>
          <w:rFonts w:ascii="Arial" w:cs="Arial" w:eastAsia="Arial" w:hAnsi="Arial"/>
          <w:sz w:val="19"/>
          <w:szCs w:val="19"/>
          <w:color w:val="4D4D56"/>
        </w:rPr>
        <w:t>%</w:t>
      </w:r>
      <w:r>
        <w:rPr>
          <w:rFonts w:ascii="Arial" w:cs="Arial" w:eastAsia="Arial" w:hAnsi="Arial"/>
          <w:sz w:val="19"/>
          <w:szCs w:val="19"/>
          <w:color w:val="2A2A2D"/>
        </w:rPr>
        <w:t xml:space="preserve"> of an Annual Bonus.</w:t>
      </w:r>
    </w:p>
    <w:p>
      <w:pPr>
        <w:spacing w:after="0" w:line="213" w:lineRule="exact"/>
        <w:rPr>
          <w:rFonts w:ascii="Arial" w:cs="Arial" w:eastAsia="Arial" w:hAnsi="Arial"/>
          <w:sz w:val="19"/>
          <w:szCs w:val="19"/>
          <w:color w:val="2A2A2D"/>
        </w:rPr>
      </w:pPr>
    </w:p>
    <w:p>
      <w:pPr>
        <w:ind w:left="180" w:right="220" w:firstLine="2244"/>
        <w:spacing w:after="0" w:line="500" w:lineRule="auto"/>
        <w:tabs>
          <w:tab w:leader="none" w:pos="2946" w:val="left"/>
        </w:tabs>
        <w:numPr>
          <w:ilvl w:val="1"/>
          <w:numId w:val="64"/>
        </w:numPr>
        <w:rPr>
          <w:rFonts w:ascii="Arial" w:cs="Arial" w:eastAsia="Arial" w:hAnsi="Arial"/>
          <w:sz w:val="18"/>
          <w:szCs w:val="18"/>
          <w:color w:val="2A2A2D"/>
        </w:rPr>
      </w:pPr>
      <w:r>
        <w:rPr>
          <w:rFonts w:ascii="Arial" w:cs="Arial" w:eastAsia="Arial" w:hAnsi="Arial"/>
          <w:sz w:val="18"/>
          <w:szCs w:val="18"/>
          <w:color w:val="2A2A2D"/>
        </w:rPr>
        <w:t>An Eligible Emp</w:t>
      </w:r>
      <w:r>
        <w:rPr>
          <w:rFonts w:ascii="Arial" w:cs="Arial" w:eastAsia="Arial" w:hAnsi="Arial"/>
          <w:sz w:val="18"/>
          <w:szCs w:val="18"/>
          <w:color w:val="626264"/>
        </w:rPr>
        <w:t>l</w:t>
      </w:r>
      <w:r>
        <w:rPr>
          <w:rFonts w:ascii="Arial" w:cs="Arial" w:eastAsia="Arial" w:hAnsi="Arial"/>
          <w:sz w:val="18"/>
          <w:szCs w:val="18"/>
          <w:color w:val="2A2A2D"/>
        </w:rPr>
        <w:t>oyee may elect to defer up to 90% of New H</w:t>
      </w:r>
      <w:r>
        <w:rPr>
          <w:rFonts w:ascii="Arial" w:cs="Arial" w:eastAsia="Arial" w:hAnsi="Arial"/>
          <w:sz w:val="18"/>
          <w:szCs w:val="18"/>
          <w:color w:val="626264"/>
        </w:rPr>
        <w:t>i</w:t>
      </w:r>
      <w:r>
        <w:rPr>
          <w:rFonts w:ascii="Arial" w:cs="Arial" w:eastAsia="Arial" w:hAnsi="Arial"/>
          <w:sz w:val="18"/>
          <w:szCs w:val="18"/>
          <w:color w:val="2A2A2D"/>
        </w:rPr>
        <w:t>re Enrollment Compensation. Eligible Employees are not permitted to defer gains on the exercise of a stock optio</w:t>
      </w:r>
      <w:r>
        <w:rPr>
          <w:rFonts w:ascii="Arial" w:cs="Arial" w:eastAsia="Arial" w:hAnsi="Arial"/>
          <w:sz w:val="18"/>
          <w:szCs w:val="18"/>
          <w:color w:val="626264"/>
        </w:rPr>
        <w:t>n</w:t>
      </w:r>
      <w:r>
        <w:rPr>
          <w:rFonts w:ascii="Arial" w:cs="Arial" w:eastAsia="Arial" w:hAnsi="Arial"/>
          <w:sz w:val="18"/>
          <w:szCs w:val="18"/>
          <w:color w:val="2A2A2D"/>
        </w:rPr>
        <w:t xml:space="preserve"> under the Plan after Decembe</w:t>
      </w:r>
      <w:r>
        <w:rPr>
          <w:rFonts w:ascii="Arial" w:cs="Arial" w:eastAsia="Arial" w:hAnsi="Arial"/>
          <w:sz w:val="18"/>
          <w:szCs w:val="18"/>
          <w:color w:val="4D4D56"/>
        </w:rPr>
        <w:t>r</w:t>
      </w:r>
      <w:r>
        <w:rPr>
          <w:rFonts w:ascii="Arial" w:cs="Arial" w:eastAsia="Arial" w:hAnsi="Arial"/>
          <w:sz w:val="18"/>
          <w:szCs w:val="18"/>
          <w:color w:val="2A2A2D"/>
        </w:rPr>
        <w:t xml:space="preserve"> 31, 2004.</w:t>
      </w:r>
    </w:p>
    <w:p>
      <w:pPr>
        <w:spacing w:after="0" w:line="1" w:lineRule="exact"/>
        <w:rPr>
          <w:rFonts w:ascii="Arial" w:cs="Arial" w:eastAsia="Arial" w:hAnsi="Arial"/>
          <w:sz w:val="18"/>
          <w:szCs w:val="18"/>
          <w:color w:val="2A2A2D"/>
        </w:rPr>
      </w:pPr>
    </w:p>
    <w:p>
      <w:pPr>
        <w:ind w:left="1980" w:hanging="380"/>
        <w:spacing w:after="0"/>
        <w:tabs>
          <w:tab w:leader="none" w:pos="1980" w:val="left"/>
        </w:tabs>
        <w:numPr>
          <w:ilvl w:val="0"/>
          <w:numId w:val="64"/>
        </w:numPr>
        <w:rPr>
          <w:rFonts w:ascii="Arial" w:cs="Arial" w:eastAsia="Arial" w:hAnsi="Arial"/>
          <w:sz w:val="19"/>
          <w:szCs w:val="19"/>
          <w:color w:val="2A2A2D"/>
        </w:rPr>
      </w:pPr>
      <w:r>
        <w:rPr>
          <w:rFonts w:ascii="Arial" w:cs="Arial" w:eastAsia="Arial" w:hAnsi="Arial"/>
          <w:sz w:val="19"/>
          <w:szCs w:val="19"/>
          <w:u w:val="single" w:color="auto"/>
          <w:color w:val="2A2A2D"/>
        </w:rPr>
        <w:t>Time and Manner</w:t>
      </w:r>
      <w:r>
        <w:rPr>
          <w:rFonts w:ascii="Arial" w:cs="Arial" w:eastAsia="Arial" w:hAnsi="Arial"/>
          <w:sz w:val="19"/>
          <w:szCs w:val="19"/>
          <w:color w:val="2A2A2D"/>
        </w:rPr>
        <w:t xml:space="preserve"> </w:t>
      </w:r>
      <w:r>
        <w:rPr>
          <w:rFonts w:ascii="Arial" w:cs="Arial" w:eastAsia="Arial" w:hAnsi="Arial"/>
          <w:sz w:val="19"/>
          <w:szCs w:val="19"/>
          <w:u w:val="single" w:color="auto"/>
          <w:color w:val="4D4D56"/>
        </w:rPr>
        <w:t>o</w:t>
      </w:r>
      <w:r>
        <w:rPr>
          <w:rFonts w:ascii="Arial" w:cs="Arial" w:eastAsia="Arial" w:hAnsi="Arial"/>
          <w:sz w:val="19"/>
          <w:szCs w:val="19"/>
          <w:u w:val="single" w:color="auto"/>
          <w:color w:val="2A2A2D"/>
        </w:rPr>
        <w:t>f Making an Initial Election</w:t>
      </w:r>
      <w:r>
        <w:rPr>
          <w:rFonts w:ascii="Arial" w:cs="Arial" w:eastAsia="Arial" w:hAnsi="Arial"/>
          <w:sz w:val="19"/>
          <w:szCs w:val="19"/>
          <w:color w:val="2A2A2D"/>
        </w:rPr>
        <w:t>.</w:t>
      </w:r>
    </w:p>
    <w:p>
      <w:pPr>
        <w:spacing w:after="0" w:line="213" w:lineRule="exact"/>
        <w:rPr>
          <w:rFonts w:ascii="Arial" w:cs="Arial" w:eastAsia="Arial" w:hAnsi="Arial"/>
          <w:sz w:val="19"/>
          <w:szCs w:val="19"/>
          <w:color w:val="2A2A2D"/>
        </w:rPr>
      </w:pPr>
    </w:p>
    <w:p>
      <w:pPr>
        <w:ind w:left="200" w:right="100" w:firstLine="2239"/>
        <w:spacing w:after="0" w:line="245" w:lineRule="auto"/>
        <w:tabs>
          <w:tab w:leader="none" w:pos="2963" w:val="left"/>
        </w:tabs>
        <w:numPr>
          <w:ilvl w:val="2"/>
          <w:numId w:val="64"/>
        </w:numPr>
        <w:rPr>
          <w:rFonts w:ascii="Arial" w:cs="Arial" w:eastAsia="Arial" w:hAnsi="Arial"/>
          <w:sz w:val="19"/>
          <w:szCs w:val="19"/>
          <w:color w:val="2A2A2D"/>
        </w:rPr>
      </w:pPr>
      <w:r>
        <w:rPr>
          <w:rFonts w:ascii="Arial" w:cs="Arial" w:eastAsia="Arial" w:hAnsi="Arial"/>
          <w:sz w:val="19"/>
          <w:szCs w:val="19"/>
          <w:color w:val="2A2A2D"/>
        </w:rPr>
        <w:t>An Eligible Employee m</w:t>
      </w:r>
      <w:r>
        <w:rPr>
          <w:rFonts w:ascii="Arial" w:cs="Arial" w:eastAsia="Arial" w:hAnsi="Arial"/>
          <w:sz w:val="19"/>
          <w:szCs w:val="19"/>
          <w:color w:val="4D4D56"/>
        </w:rPr>
        <w:t>a</w:t>
      </w:r>
      <w:r>
        <w:rPr>
          <w:rFonts w:ascii="Arial" w:cs="Arial" w:eastAsia="Arial" w:hAnsi="Arial"/>
          <w:sz w:val="19"/>
          <w:szCs w:val="19"/>
          <w:color w:val="2A2A2D"/>
        </w:rPr>
        <w:t xml:space="preserve">y make an election to </w:t>
      </w:r>
      <w:r>
        <w:rPr>
          <w:rFonts w:ascii="Arial" w:cs="Arial" w:eastAsia="Arial" w:hAnsi="Arial"/>
          <w:sz w:val="19"/>
          <w:szCs w:val="19"/>
          <w:color w:val="626264"/>
        </w:rPr>
        <w:t>d</w:t>
      </w:r>
      <w:r>
        <w:rPr>
          <w:rFonts w:ascii="Arial" w:cs="Arial" w:eastAsia="Arial" w:hAnsi="Arial"/>
          <w:sz w:val="19"/>
          <w:szCs w:val="19"/>
          <w:color w:val="2A2A2D"/>
        </w:rPr>
        <w:t>efer one or more types of Regular Enro</w:t>
      </w:r>
      <w:r>
        <w:rPr>
          <w:rFonts w:ascii="Arial" w:cs="Arial" w:eastAsia="Arial" w:hAnsi="Arial"/>
          <w:sz w:val="19"/>
          <w:szCs w:val="19"/>
          <w:color w:val="4D4D56"/>
        </w:rPr>
        <w:t>ll</w:t>
      </w:r>
      <w:r>
        <w:rPr>
          <w:rFonts w:ascii="Arial" w:cs="Arial" w:eastAsia="Arial" w:hAnsi="Arial"/>
          <w:sz w:val="19"/>
          <w:szCs w:val="19"/>
          <w:color w:val="2A2A2D"/>
        </w:rPr>
        <w:t xml:space="preserve">ment Compensation during an Open Enrollment period that occurs </w:t>
      </w:r>
      <w:r>
        <w:rPr>
          <w:rFonts w:ascii="Arial" w:cs="Arial" w:eastAsia="Arial" w:hAnsi="Arial"/>
          <w:sz w:val="19"/>
          <w:szCs w:val="19"/>
          <w:color w:val="462B34"/>
        </w:rPr>
        <w:t>in</w:t>
      </w:r>
      <w:r>
        <w:rPr>
          <w:rFonts w:ascii="Arial" w:cs="Arial" w:eastAsia="Arial" w:hAnsi="Arial"/>
          <w:sz w:val="19"/>
          <w:szCs w:val="19"/>
          <w:color w:val="2A2A2D"/>
        </w:rPr>
        <w:t xml:space="preserve"> the Plan Year preceding the Plan Year in which the Regular Enrollment Compensation </w:t>
      </w:r>
      <w:r>
        <w:rPr>
          <w:rFonts w:ascii="Arial" w:cs="Arial" w:eastAsia="Arial" w:hAnsi="Arial"/>
          <w:sz w:val="19"/>
          <w:szCs w:val="19"/>
          <w:color w:val="4D4D56"/>
        </w:rPr>
        <w:t>b</w:t>
      </w:r>
      <w:r>
        <w:rPr>
          <w:rFonts w:ascii="Arial" w:cs="Arial" w:eastAsia="Arial" w:hAnsi="Arial"/>
          <w:sz w:val="19"/>
          <w:szCs w:val="19"/>
          <w:color w:val="2A2A2D"/>
        </w:rPr>
        <w:t>egins to be earned. A deferral election shall be made in accordance with procedu</w:t>
      </w:r>
      <w:r>
        <w:rPr>
          <w:rFonts w:ascii="Arial" w:cs="Arial" w:eastAsia="Arial" w:hAnsi="Arial"/>
          <w:sz w:val="19"/>
          <w:szCs w:val="19"/>
          <w:color w:val="626264"/>
        </w:rPr>
        <w:t>r</w:t>
      </w:r>
      <w:r>
        <w:rPr>
          <w:rFonts w:ascii="Arial" w:cs="Arial" w:eastAsia="Arial" w:hAnsi="Arial"/>
          <w:sz w:val="19"/>
          <w:szCs w:val="19"/>
          <w:color w:val="2A2A2D"/>
        </w:rPr>
        <w:t>es established by the Plan Administrator. An Employee's election during such an Open Enrollment period will not be given effect if the Employee ceases to be an Eligible Employee by the last day of the month in which the Open Enrollment period occurs.</w:t>
      </w:r>
    </w:p>
    <w:p>
      <w:pPr>
        <w:spacing w:after="0" w:line="180" w:lineRule="exact"/>
        <w:rPr>
          <w:rFonts w:ascii="Arial" w:cs="Arial" w:eastAsia="Arial" w:hAnsi="Arial"/>
          <w:sz w:val="19"/>
          <w:szCs w:val="19"/>
          <w:color w:val="2A2A2D"/>
        </w:rPr>
      </w:pPr>
    </w:p>
    <w:p>
      <w:pPr>
        <w:ind w:left="200" w:firstLine="2239"/>
        <w:spacing w:after="0" w:line="245" w:lineRule="auto"/>
        <w:tabs>
          <w:tab w:leader="none" w:pos="2963" w:val="left"/>
        </w:tabs>
        <w:numPr>
          <w:ilvl w:val="2"/>
          <w:numId w:val="64"/>
        </w:numPr>
        <w:rPr>
          <w:rFonts w:ascii="Arial" w:cs="Arial" w:eastAsia="Arial" w:hAnsi="Arial"/>
          <w:sz w:val="19"/>
          <w:szCs w:val="19"/>
          <w:color w:val="2A2A2D"/>
        </w:rPr>
      </w:pPr>
      <w:r>
        <w:rPr>
          <w:rFonts w:ascii="Arial" w:cs="Arial" w:eastAsia="Arial" w:hAnsi="Arial"/>
          <w:sz w:val="19"/>
          <w:szCs w:val="19"/>
          <w:color w:val="2A2A2D"/>
        </w:rPr>
        <w:t>A Newly Hired Eligible Employee may make a</w:t>
      </w:r>
      <w:r>
        <w:rPr>
          <w:rFonts w:ascii="Arial" w:cs="Arial" w:eastAsia="Arial" w:hAnsi="Arial"/>
          <w:sz w:val="19"/>
          <w:szCs w:val="19"/>
          <w:color w:val="4D4D56"/>
        </w:rPr>
        <w:t>n</w:t>
      </w:r>
      <w:r>
        <w:rPr>
          <w:rFonts w:ascii="Arial" w:cs="Arial" w:eastAsia="Arial" w:hAnsi="Arial"/>
          <w:sz w:val="19"/>
          <w:szCs w:val="19"/>
          <w:color w:val="2A2A2D"/>
        </w:rPr>
        <w:t xml:space="preserve"> elect</w:t>
      </w:r>
      <w:r>
        <w:rPr>
          <w:rFonts w:ascii="Arial" w:cs="Arial" w:eastAsia="Arial" w:hAnsi="Arial"/>
          <w:sz w:val="19"/>
          <w:szCs w:val="19"/>
          <w:color w:val="626264"/>
        </w:rPr>
        <w:t>i</w:t>
      </w:r>
      <w:r>
        <w:rPr>
          <w:rFonts w:ascii="Arial" w:cs="Arial" w:eastAsia="Arial" w:hAnsi="Arial"/>
          <w:sz w:val="19"/>
          <w:szCs w:val="19"/>
          <w:color w:val="2A2A2D"/>
        </w:rPr>
        <w:t>on to defer one or more types of New Hire Enrollment Compensation in accordance with procedures established by the Plan Administrator, provided such election occurs before such Newly Hired Eligible Employee’s Hire Date and such election sha</w:t>
      </w:r>
      <w:r>
        <w:rPr>
          <w:rFonts w:ascii="Arial" w:cs="Arial" w:eastAsia="Arial" w:hAnsi="Arial"/>
          <w:sz w:val="19"/>
          <w:szCs w:val="19"/>
          <w:color w:val="4D4D56"/>
        </w:rPr>
        <w:t>ll</w:t>
      </w:r>
      <w:r>
        <w:rPr>
          <w:rFonts w:ascii="Arial" w:cs="Arial" w:eastAsia="Arial" w:hAnsi="Arial"/>
          <w:sz w:val="19"/>
          <w:szCs w:val="19"/>
          <w:color w:val="2A2A2D"/>
        </w:rPr>
        <w:t xml:space="preserve"> only apply to amounts earned after the e</w:t>
      </w:r>
      <w:r>
        <w:rPr>
          <w:rFonts w:ascii="Arial" w:cs="Arial" w:eastAsia="Arial" w:hAnsi="Arial"/>
          <w:sz w:val="19"/>
          <w:szCs w:val="19"/>
          <w:color w:val="4D4D56"/>
        </w:rPr>
        <w:t>l</w:t>
      </w:r>
      <w:r>
        <w:rPr>
          <w:rFonts w:ascii="Arial" w:cs="Arial" w:eastAsia="Arial" w:hAnsi="Arial"/>
          <w:sz w:val="19"/>
          <w:szCs w:val="19"/>
          <w:color w:val="2A2A2D"/>
        </w:rPr>
        <w:t>ection is filed. A Newly Hired Eligible Employee may make an election to defer Regular Enrollment Compensation during an Open Enrollment period that follows o</w:t>
      </w:r>
      <w:r>
        <w:rPr>
          <w:rFonts w:ascii="Arial" w:cs="Arial" w:eastAsia="Arial" w:hAnsi="Arial"/>
          <w:sz w:val="19"/>
          <w:szCs w:val="19"/>
          <w:color w:val="626264"/>
        </w:rPr>
        <w:t>r</w:t>
      </w:r>
      <w:r>
        <w:rPr>
          <w:rFonts w:ascii="Arial" w:cs="Arial" w:eastAsia="Arial" w:hAnsi="Arial"/>
          <w:sz w:val="19"/>
          <w:szCs w:val="19"/>
          <w:color w:val="2A2A2D"/>
        </w:rPr>
        <w:t xml:space="preserve"> coincides with such Newly Hired Eligible Employee’s Hire Date</w:t>
      </w:r>
      <w:r>
        <w:rPr>
          <w:rFonts w:ascii="Arial" w:cs="Arial" w:eastAsia="Arial" w:hAnsi="Arial"/>
          <w:sz w:val="19"/>
          <w:szCs w:val="19"/>
          <w:color w:val="626264"/>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474345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20" w:top="1422" w:right="559" w:bottom="1440" w:gutter="0" w:footer="0" w:header="0"/>
        </w:sectPr>
      </w:pPr>
    </w:p>
    <w:bookmarkStart w:id="127" w:name="page128"/>
    <w:bookmarkEnd w:id="127"/>
    <w:p>
      <w:pPr>
        <w:ind w:right="320" w:firstLine="1420"/>
        <w:spacing w:after="0" w:line="270" w:lineRule="auto"/>
        <w:tabs>
          <w:tab w:leader="none" w:pos="1808" w:val="left"/>
        </w:tabs>
        <w:numPr>
          <w:ilvl w:val="0"/>
          <w:numId w:val="65"/>
        </w:numPr>
        <w:rPr>
          <w:rFonts w:ascii="Arial" w:cs="Arial" w:eastAsia="Arial" w:hAnsi="Arial"/>
          <w:sz w:val="19"/>
          <w:szCs w:val="19"/>
          <w:color w:val="232323"/>
        </w:rPr>
      </w:pPr>
      <w:r>
        <w:rPr>
          <w:rFonts w:ascii="Arial" w:cs="Arial" w:eastAsia="Arial" w:hAnsi="Arial"/>
          <w:sz w:val="19"/>
          <w:szCs w:val="19"/>
          <w:u w:val="single" w:color="auto"/>
          <w:color w:val="232323"/>
        </w:rPr>
        <w:t>Alternative Election Deadlines</w:t>
      </w:r>
      <w:r>
        <w:rPr>
          <w:rFonts w:ascii="Arial" w:cs="Arial" w:eastAsia="Arial" w:hAnsi="Arial"/>
          <w:sz w:val="19"/>
          <w:szCs w:val="19"/>
          <w:color w:val="232323"/>
        </w:rPr>
        <w:t>. Notwithstanding the rules in subsection (b), if the Plan Administrator, in its sole discretion, determines that:</w:t>
      </w:r>
    </w:p>
    <w:p>
      <w:pPr>
        <w:spacing w:after="0" w:line="156" w:lineRule="exact"/>
        <w:rPr>
          <w:rFonts w:ascii="Arial" w:cs="Arial" w:eastAsia="Arial" w:hAnsi="Arial"/>
          <w:sz w:val="19"/>
          <w:szCs w:val="19"/>
          <w:color w:val="232323"/>
        </w:rPr>
      </w:pPr>
    </w:p>
    <w:p>
      <w:pPr>
        <w:ind w:left="20" w:right="760" w:firstLine="2239"/>
        <w:spacing w:after="0" w:line="266" w:lineRule="auto"/>
        <w:tabs>
          <w:tab w:leader="none" w:pos="2774" w:val="left"/>
        </w:tabs>
        <w:numPr>
          <w:ilvl w:val="1"/>
          <w:numId w:val="65"/>
        </w:numPr>
        <w:rPr>
          <w:rFonts w:ascii="Arial" w:cs="Arial" w:eastAsia="Arial" w:hAnsi="Arial"/>
          <w:sz w:val="18"/>
          <w:szCs w:val="18"/>
          <w:color w:val="232323"/>
        </w:rPr>
      </w:pPr>
      <w:r>
        <w:rPr>
          <w:rFonts w:ascii="Arial" w:cs="Arial" w:eastAsia="Arial" w:hAnsi="Arial"/>
          <w:sz w:val="18"/>
          <w:szCs w:val="18"/>
          <w:color w:val="232323"/>
        </w:rPr>
        <w:t>Eligible Income constitutes Performance-Based Compensation that is based on services performed over a performance period of at least twelve (12) months, the Plan Administrator may establish procedures, including an Open Enrollment period, under which an Eligible Employee may elect to defer such Performance-Based Compensation, but such election must be made no later than six (6) months before the end of the performance period; or</w:t>
      </w:r>
    </w:p>
    <w:p>
      <w:pPr>
        <w:spacing w:after="0" w:line="162" w:lineRule="exact"/>
        <w:rPr>
          <w:rFonts w:ascii="Arial" w:cs="Arial" w:eastAsia="Arial" w:hAnsi="Arial"/>
          <w:sz w:val="18"/>
          <w:szCs w:val="18"/>
          <w:color w:val="232323"/>
        </w:rPr>
      </w:pPr>
    </w:p>
    <w:p>
      <w:pPr>
        <w:ind w:left="20" w:right="400" w:firstLine="2239"/>
        <w:spacing w:after="0" w:line="248" w:lineRule="auto"/>
        <w:tabs>
          <w:tab w:leader="none" w:pos="2774" w:val="left"/>
        </w:tabs>
        <w:numPr>
          <w:ilvl w:val="1"/>
          <w:numId w:val="65"/>
        </w:numPr>
        <w:rPr>
          <w:rFonts w:ascii="Arial" w:cs="Arial" w:eastAsia="Arial" w:hAnsi="Arial"/>
          <w:sz w:val="19"/>
          <w:szCs w:val="19"/>
          <w:color w:val="232323"/>
        </w:rPr>
      </w:pPr>
      <w:r>
        <w:rPr>
          <w:rFonts w:ascii="Arial" w:cs="Arial" w:eastAsia="Arial" w:hAnsi="Arial"/>
          <w:sz w:val="19"/>
          <w:szCs w:val="19"/>
          <w:color w:val="232323"/>
        </w:rPr>
        <w:t>Eligible Income constitutes Fiscal Year Compensation, the Plan Administrator may establish procedures, including an Open Enrollment period, under which an Eligible Employee may elect to defer such Fiscal Year Compensation, but such election must be made no later than the last day of the Company's fiscal year immediately preceding the first fiscal year in which services are performed related to such Eligible Income.</w:t>
      </w:r>
    </w:p>
    <w:p>
      <w:pPr>
        <w:spacing w:after="0" w:line="177" w:lineRule="exact"/>
        <w:rPr>
          <w:sz w:val="20"/>
          <w:szCs w:val="20"/>
          <w:color w:val="auto"/>
        </w:rPr>
      </w:pPr>
    </w:p>
    <w:p>
      <w:pPr>
        <w:ind w:right="540" w:firstLine="1511"/>
        <w:spacing w:after="0" w:line="270" w:lineRule="auto"/>
        <w:rPr>
          <w:sz w:val="20"/>
          <w:szCs w:val="20"/>
          <w:color w:val="auto"/>
        </w:rPr>
      </w:pPr>
      <w:r>
        <w:rPr>
          <w:rFonts w:ascii="Arial" w:cs="Arial" w:eastAsia="Arial" w:hAnsi="Arial"/>
          <w:sz w:val="19"/>
          <w:szCs w:val="19"/>
          <w:color w:val="232323"/>
        </w:rPr>
        <w:t>An Employee's election under this Section will not be given effect if the Employee ceases to be an Eligible Employee by the deadline stated above for making such an election.</w:t>
      </w:r>
    </w:p>
    <w:p>
      <w:pPr>
        <w:spacing w:after="0" w:line="156" w:lineRule="exact"/>
        <w:rPr>
          <w:sz w:val="20"/>
          <w:szCs w:val="20"/>
          <w:color w:val="auto"/>
        </w:rPr>
      </w:pPr>
    </w:p>
    <w:p>
      <w:pPr>
        <w:ind w:left="20" w:right="320" w:firstLine="1415"/>
        <w:spacing w:after="0" w:line="243" w:lineRule="auto"/>
        <w:tabs>
          <w:tab w:leader="none" w:pos="1813" w:val="left"/>
        </w:tabs>
        <w:numPr>
          <w:ilvl w:val="0"/>
          <w:numId w:val="66"/>
        </w:numPr>
        <w:rPr>
          <w:rFonts w:ascii="Arial" w:cs="Arial" w:eastAsia="Arial" w:hAnsi="Arial"/>
          <w:sz w:val="19"/>
          <w:szCs w:val="19"/>
          <w:color w:val="232323"/>
        </w:rPr>
      </w:pPr>
      <w:r>
        <w:rPr>
          <w:rFonts w:ascii="Arial" w:cs="Arial" w:eastAsia="Arial" w:hAnsi="Arial"/>
          <w:sz w:val="19"/>
          <w:szCs w:val="19"/>
          <w:u w:val="single" w:color="auto"/>
          <w:color w:val="232323"/>
        </w:rPr>
        <w:t>Cancellation of Election</w:t>
      </w:r>
      <w:r>
        <w:rPr>
          <w:rFonts w:ascii="Arial" w:cs="Arial" w:eastAsia="Arial" w:hAnsi="Arial"/>
          <w:sz w:val="19"/>
          <w:szCs w:val="19"/>
          <w:color w:val="232323"/>
        </w:rPr>
        <w:t>. If a Participant becomes Disabled, receives a hardship withdrawal under the 401(k) Plan, or the Plan Administrator determines the Participant meets the requirements to obtain a distribution under Section 6.6 on account of an unforeseeable emergency (regardless of whether such distribution is actually made) during a Plan Year, such Participant’s deferrals for such Plan Year shall be cancelled. For the avoidance of doubt, this Section 5.1(d) shall not affect such Participant’s deferral election made during Open Enrollment in such Plan Year with respect to amounts earned or payable in a subsequent Plan Year.</w:t>
      </w:r>
    </w:p>
    <w:p>
      <w:pPr>
        <w:spacing w:after="0" w:line="185" w:lineRule="exact"/>
        <w:rPr>
          <w:sz w:val="20"/>
          <w:szCs w:val="20"/>
          <w:color w:val="auto"/>
        </w:rPr>
      </w:pPr>
    </w:p>
    <w:p>
      <w:pPr>
        <w:ind w:left="20" w:firstLine="779"/>
        <w:spacing w:after="0" w:line="270" w:lineRule="auto"/>
        <w:rPr>
          <w:sz w:val="20"/>
          <w:szCs w:val="20"/>
          <w:color w:val="auto"/>
        </w:rPr>
      </w:pPr>
      <w:r>
        <w:rPr>
          <w:rFonts w:ascii="Arial" w:cs="Arial" w:eastAsia="Arial" w:hAnsi="Arial"/>
          <w:sz w:val="19"/>
          <w:szCs w:val="19"/>
          <w:color w:val="232323"/>
        </w:rPr>
        <w:t xml:space="preserve">5.2. </w:t>
      </w:r>
      <w:r>
        <w:rPr>
          <w:rFonts w:ascii="Arial" w:cs="Arial" w:eastAsia="Arial" w:hAnsi="Arial"/>
          <w:sz w:val="19"/>
          <w:szCs w:val="19"/>
          <w:u w:val="single" w:color="auto"/>
          <w:color w:val="232323"/>
        </w:rPr>
        <w:t>Crediting of Deferrals</w:t>
      </w:r>
      <w:r>
        <w:rPr>
          <w:rFonts w:ascii="Arial" w:cs="Arial" w:eastAsia="Arial" w:hAnsi="Arial"/>
          <w:sz w:val="19"/>
          <w:szCs w:val="19"/>
          <w:color w:val="232323"/>
        </w:rPr>
        <w:t>. Eligible Income deferred by a Participant under the Plan shall be credited to the Participant's Account as soon as practicable after the amounts would have otherwise been paid to the Participant.</w:t>
      </w:r>
    </w:p>
    <w:p>
      <w:pPr>
        <w:spacing w:after="0" w:line="156" w:lineRule="exact"/>
        <w:rPr>
          <w:sz w:val="20"/>
          <w:szCs w:val="20"/>
          <w:color w:val="auto"/>
        </w:rPr>
      </w:pPr>
    </w:p>
    <w:p>
      <w:pPr>
        <w:ind w:left="20" w:right="500" w:firstLine="779"/>
        <w:spacing w:after="0" w:line="270" w:lineRule="auto"/>
        <w:rPr>
          <w:sz w:val="20"/>
          <w:szCs w:val="20"/>
          <w:color w:val="auto"/>
        </w:rPr>
      </w:pPr>
      <w:r>
        <w:rPr>
          <w:rFonts w:ascii="Arial" w:cs="Arial" w:eastAsia="Arial" w:hAnsi="Arial"/>
          <w:sz w:val="19"/>
          <w:szCs w:val="19"/>
          <w:color w:val="232323"/>
        </w:rPr>
        <w:t xml:space="preserve">5.3. </w:t>
      </w:r>
      <w:r>
        <w:rPr>
          <w:rFonts w:ascii="Arial" w:cs="Arial" w:eastAsia="Arial" w:hAnsi="Arial"/>
          <w:sz w:val="19"/>
          <w:szCs w:val="19"/>
          <w:u w:val="single" w:color="auto"/>
          <w:color w:val="232323"/>
        </w:rPr>
        <w:t>Vesting</w:t>
      </w:r>
      <w:r>
        <w:rPr>
          <w:rFonts w:ascii="Arial" w:cs="Arial" w:eastAsia="Arial" w:hAnsi="Arial"/>
          <w:sz w:val="19"/>
          <w:szCs w:val="19"/>
          <w:color w:val="232323"/>
        </w:rPr>
        <w:t>. A Participant shall at all times be one-hundred (100) percent vested in any amounts credited to such Participant’s Account.</w:t>
      </w:r>
    </w:p>
    <w:p>
      <w:pPr>
        <w:spacing w:after="0" w:line="156" w:lineRule="exact"/>
        <w:rPr>
          <w:sz w:val="20"/>
          <w:szCs w:val="20"/>
          <w:color w:val="auto"/>
        </w:rPr>
      </w:pPr>
    </w:p>
    <w:p>
      <w:pPr>
        <w:ind w:left="20" w:right="40" w:firstLine="779"/>
        <w:spacing w:after="0" w:line="258" w:lineRule="auto"/>
        <w:rPr>
          <w:sz w:val="20"/>
          <w:szCs w:val="20"/>
          <w:color w:val="auto"/>
        </w:rPr>
      </w:pPr>
      <w:r>
        <w:rPr>
          <w:rFonts w:ascii="Arial" w:cs="Arial" w:eastAsia="Arial" w:hAnsi="Arial"/>
          <w:sz w:val="18"/>
          <w:szCs w:val="18"/>
          <w:color w:val="232323"/>
        </w:rPr>
        <w:t xml:space="preserve">5.4. </w:t>
      </w:r>
      <w:r>
        <w:rPr>
          <w:rFonts w:ascii="Arial" w:cs="Arial" w:eastAsia="Arial" w:hAnsi="Arial"/>
          <w:sz w:val="18"/>
          <w:szCs w:val="18"/>
          <w:u w:val="single" w:color="auto"/>
          <w:color w:val="232323"/>
        </w:rPr>
        <w:t>Investments and Earnings</w:t>
      </w:r>
      <w:r>
        <w:rPr>
          <w:rFonts w:ascii="Arial" w:cs="Arial" w:eastAsia="Arial" w:hAnsi="Arial"/>
          <w:sz w:val="18"/>
          <w:szCs w:val="18"/>
          <w:color w:val="232323"/>
        </w:rPr>
        <w:t xml:space="preserve">. The Company shall periodically credit gains, losses and earnings to a Participant's Account, until the full balance of the Account has been distributed. Amounts shall be credited to a Participant's Account under this Section based on the results that would have been achieved had amounts credited to the Account been invested as soon as practicable after crediting into the Investment Options selected by the Participant. The Plan Administrator shall specify procedures to allow Participants to make elections as to the deemed investment of amounts newly credited to such Participants’ Accounts, as well as the deemed investment of amounts previously credited to such Participants’ Accounts. Nothing in this Section or otherwise in the Plan, however, </w:t>
      </w:r>
      <w:r>
        <w:rPr>
          <w:rFonts w:ascii="Arial" w:cs="Arial" w:eastAsia="Arial" w:hAnsi="Arial"/>
          <w:sz w:val="18"/>
          <w:szCs w:val="18"/>
          <w:color w:val="2B2B2F"/>
        </w:rPr>
        <w:t>wi</w:t>
      </w:r>
      <w:r>
        <w:rPr>
          <w:rFonts w:ascii="Arial" w:cs="Arial" w:eastAsia="Arial" w:hAnsi="Arial"/>
          <w:sz w:val="18"/>
          <w:szCs w:val="18"/>
          <w:color w:val="525459"/>
        </w:rPr>
        <w:t>ll</w:t>
      </w:r>
      <w:r>
        <w:rPr>
          <w:rFonts w:ascii="Arial" w:cs="Arial" w:eastAsia="Arial" w:hAnsi="Arial"/>
          <w:sz w:val="18"/>
          <w:szCs w:val="18"/>
          <w:color w:val="232323"/>
        </w:rPr>
        <w:t xml:space="preserve"> </w:t>
      </w:r>
      <w:r>
        <w:rPr>
          <w:rFonts w:ascii="Arial" w:cs="Arial" w:eastAsia="Arial" w:hAnsi="Arial"/>
          <w:sz w:val="18"/>
          <w:szCs w:val="18"/>
          <w:color w:val="2B2B2F"/>
        </w:rPr>
        <w:t>require the Company to actually invest any amounts in such Investment Options or otherwise.</w:t>
      </w:r>
    </w:p>
    <w:p>
      <w:pPr>
        <w:spacing w:after="0" w:line="170" w:lineRule="exact"/>
        <w:rPr>
          <w:sz w:val="20"/>
          <w:szCs w:val="20"/>
          <w:color w:val="auto"/>
        </w:rPr>
      </w:pPr>
    </w:p>
    <w:p>
      <w:pPr>
        <w:ind w:left="20" w:right="140" w:firstLine="779"/>
        <w:spacing w:after="0" w:line="254" w:lineRule="auto"/>
        <w:rPr>
          <w:sz w:val="20"/>
          <w:szCs w:val="20"/>
          <w:color w:val="auto"/>
        </w:rPr>
      </w:pPr>
      <w:r>
        <w:rPr>
          <w:rFonts w:ascii="Arial" w:cs="Arial" w:eastAsia="Arial" w:hAnsi="Arial"/>
          <w:sz w:val="19"/>
          <w:szCs w:val="19"/>
          <w:color w:val="2B2B2F"/>
        </w:rPr>
        <w:t xml:space="preserve">5.5. </w:t>
      </w:r>
      <w:r>
        <w:rPr>
          <w:rFonts w:ascii="Arial" w:cs="Arial" w:eastAsia="Arial" w:hAnsi="Arial"/>
          <w:sz w:val="19"/>
          <w:szCs w:val="19"/>
          <w:u w:val="single" w:color="auto"/>
          <w:color w:val="2B2B2F"/>
        </w:rPr>
        <w:t>Employment, State and Local Taxes</w:t>
      </w:r>
      <w:r>
        <w:rPr>
          <w:rFonts w:ascii="Arial" w:cs="Arial" w:eastAsia="Arial" w:hAnsi="Arial"/>
          <w:sz w:val="19"/>
          <w:szCs w:val="19"/>
          <w:color w:val="2B2B2F"/>
        </w:rPr>
        <w:t>. The Participant's share of FICA and FUTA taxes, or any state or local taxes, owed on Eligible Income the Participant elects to defer shall be deducted from the amount deferred or from othe</w:t>
      </w:r>
      <w:r>
        <w:rPr>
          <w:rFonts w:ascii="Arial" w:cs="Arial" w:eastAsia="Arial" w:hAnsi="Arial"/>
          <w:sz w:val="19"/>
          <w:szCs w:val="19"/>
          <w:color w:val="525459"/>
        </w:rPr>
        <w:t>r</w:t>
      </w:r>
      <w:r>
        <w:rPr>
          <w:rFonts w:ascii="Arial" w:cs="Arial" w:eastAsia="Arial" w:hAnsi="Arial"/>
          <w:sz w:val="19"/>
          <w:szCs w:val="19"/>
          <w:color w:val="2B2B2F"/>
        </w:rPr>
        <w:t xml:space="preserve"> compensation payable to the Participant, at the election of the Company in accordance with Code section 409A.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474345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00" w:top="1422" w:right="399" w:bottom="1440" w:gutter="0" w:footer="0" w:header="0"/>
        </w:sectPr>
      </w:pPr>
    </w:p>
    <w:bookmarkStart w:id="128" w:name="page129"/>
    <w:bookmarkEnd w:id="128"/>
    <w:p>
      <w:pPr>
        <w:ind w:left="832" w:hanging="832"/>
        <w:spacing w:after="0"/>
        <w:tabs>
          <w:tab w:leader="none" w:pos="832" w:val="left"/>
        </w:tabs>
        <w:numPr>
          <w:ilvl w:val="0"/>
          <w:numId w:val="67"/>
        </w:numPr>
        <w:rPr>
          <w:rFonts w:ascii="Arial" w:cs="Arial" w:eastAsia="Arial" w:hAnsi="Arial"/>
          <w:sz w:val="19"/>
          <w:szCs w:val="19"/>
          <w:color w:val="2B2B2F"/>
        </w:rPr>
      </w:pPr>
      <w:r>
        <w:rPr>
          <w:rFonts w:ascii="Arial" w:cs="Arial" w:eastAsia="Arial" w:hAnsi="Arial"/>
          <w:sz w:val="19"/>
          <w:szCs w:val="19"/>
          <w:u w:val="single" w:color="auto"/>
          <w:color w:val="2B2B2F"/>
        </w:rPr>
        <w:t>Distribution of Account Balances</w:t>
      </w:r>
      <w:r>
        <w:rPr>
          <w:rFonts w:ascii="Arial" w:cs="Arial" w:eastAsia="Arial" w:hAnsi="Arial"/>
          <w:sz w:val="19"/>
          <w:szCs w:val="19"/>
          <w:color w:val="2B2B2F"/>
        </w:rPr>
        <w:t>.</w:t>
      </w:r>
    </w:p>
    <w:p>
      <w:pPr>
        <w:spacing w:after="0" w:line="213" w:lineRule="exact"/>
        <w:rPr>
          <w:rFonts w:ascii="Arial" w:cs="Arial" w:eastAsia="Arial" w:hAnsi="Arial"/>
          <w:sz w:val="19"/>
          <w:szCs w:val="19"/>
          <w:color w:val="2B2B2F"/>
        </w:rPr>
      </w:pPr>
    </w:p>
    <w:p>
      <w:pPr>
        <w:ind w:left="192"/>
        <w:spacing w:after="0"/>
        <w:rPr>
          <w:rFonts w:ascii="Arial" w:cs="Arial" w:eastAsia="Arial" w:hAnsi="Arial"/>
          <w:sz w:val="19"/>
          <w:szCs w:val="19"/>
          <w:color w:val="2B2B2F"/>
        </w:rPr>
      </w:pPr>
      <w:r>
        <w:rPr>
          <w:rFonts w:ascii="Arial" w:cs="Arial" w:eastAsia="Arial" w:hAnsi="Arial"/>
          <w:sz w:val="19"/>
          <w:szCs w:val="19"/>
          <w:color w:val="2B2B2F"/>
        </w:rPr>
        <w:t>6.1.</w:t>
      </w:r>
      <w:r>
        <w:rPr>
          <w:rFonts w:ascii="Arial" w:cs="Arial" w:eastAsia="Arial" w:hAnsi="Arial"/>
          <w:sz w:val="19"/>
          <w:szCs w:val="19"/>
          <w:u w:val="single" w:color="auto"/>
          <w:color w:val="2B2B2F"/>
        </w:rPr>
        <w:t>Distribution Form</w:t>
      </w:r>
      <w:r>
        <w:rPr>
          <w:rFonts w:ascii="Arial" w:cs="Arial" w:eastAsia="Arial" w:hAnsi="Arial"/>
          <w:sz w:val="19"/>
          <w:szCs w:val="19"/>
          <w:color w:val="6B696B"/>
        </w:rPr>
        <w:t>.</w:t>
      </w:r>
    </w:p>
    <w:p>
      <w:pPr>
        <w:spacing w:after="0" w:line="213" w:lineRule="exact"/>
        <w:rPr>
          <w:rFonts w:ascii="Arial" w:cs="Arial" w:eastAsia="Arial" w:hAnsi="Arial"/>
          <w:sz w:val="19"/>
          <w:szCs w:val="19"/>
          <w:color w:val="2B2B2F"/>
        </w:rPr>
      </w:pPr>
    </w:p>
    <w:p>
      <w:pPr>
        <w:ind w:left="272" w:right="300" w:firstLine="1385"/>
        <w:spacing w:after="0" w:line="270" w:lineRule="auto"/>
        <w:tabs>
          <w:tab w:leader="none" w:pos="1996" w:val="left"/>
        </w:tabs>
        <w:numPr>
          <w:ilvl w:val="1"/>
          <w:numId w:val="67"/>
        </w:numPr>
        <w:rPr>
          <w:rFonts w:ascii="Arial" w:cs="Arial" w:eastAsia="Arial" w:hAnsi="Arial"/>
          <w:sz w:val="19"/>
          <w:szCs w:val="19"/>
          <w:color w:val="2B2B2F"/>
        </w:rPr>
      </w:pPr>
      <w:r>
        <w:rPr>
          <w:rFonts w:ascii="Arial" w:cs="Arial" w:eastAsia="Arial" w:hAnsi="Arial"/>
          <w:sz w:val="19"/>
          <w:szCs w:val="19"/>
          <w:color w:val="2B2B2F"/>
        </w:rPr>
        <w:t>A Participant may elect to have amounts deferred un</w:t>
      </w:r>
      <w:r>
        <w:rPr>
          <w:rFonts w:ascii="Arial" w:cs="Arial" w:eastAsia="Arial" w:hAnsi="Arial"/>
          <w:sz w:val="19"/>
          <w:szCs w:val="19"/>
          <w:color w:val="525459"/>
        </w:rPr>
        <w:t>d</w:t>
      </w:r>
      <w:r>
        <w:rPr>
          <w:rFonts w:ascii="Arial" w:cs="Arial" w:eastAsia="Arial" w:hAnsi="Arial"/>
          <w:sz w:val="19"/>
          <w:szCs w:val="19"/>
          <w:color w:val="2B2B2F"/>
        </w:rPr>
        <w:t>er the Plan (and earnings thereon) distributed in a lump sum payment or in annua</w:t>
      </w:r>
      <w:r>
        <w:rPr>
          <w:rFonts w:ascii="Arial" w:cs="Arial" w:eastAsia="Arial" w:hAnsi="Arial"/>
          <w:sz w:val="19"/>
          <w:szCs w:val="19"/>
          <w:color w:val="525459"/>
        </w:rPr>
        <w:t>l</w:t>
      </w:r>
      <w:r>
        <w:rPr>
          <w:rFonts w:ascii="Arial" w:cs="Arial" w:eastAsia="Arial" w:hAnsi="Arial"/>
          <w:sz w:val="19"/>
          <w:szCs w:val="19"/>
          <w:color w:val="2B2B2F"/>
        </w:rPr>
        <w:t xml:space="preserve"> inst</w:t>
      </w:r>
      <w:r>
        <w:rPr>
          <w:rFonts w:ascii="Arial" w:cs="Arial" w:eastAsia="Arial" w:hAnsi="Arial"/>
          <w:sz w:val="19"/>
          <w:szCs w:val="19"/>
          <w:color w:val="525459"/>
        </w:rPr>
        <w:t>a</w:t>
      </w:r>
      <w:r>
        <w:rPr>
          <w:rFonts w:ascii="Arial" w:cs="Arial" w:eastAsia="Arial" w:hAnsi="Arial"/>
          <w:sz w:val="19"/>
          <w:szCs w:val="19"/>
          <w:color w:val="2B2B2F"/>
        </w:rPr>
        <w:t>llments over a period ranging from three (3) to fifteen (15) years.</w:t>
      </w:r>
    </w:p>
    <w:p>
      <w:pPr>
        <w:spacing w:after="0" w:line="156" w:lineRule="exact"/>
        <w:rPr>
          <w:rFonts w:ascii="Arial" w:cs="Arial" w:eastAsia="Arial" w:hAnsi="Arial"/>
          <w:sz w:val="19"/>
          <w:szCs w:val="19"/>
          <w:color w:val="2B2B2F"/>
        </w:rPr>
      </w:pPr>
    </w:p>
    <w:p>
      <w:pPr>
        <w:ind w:left="272" w:right="40" w:firstLine="1385"/>
        <w:spacing w:after="0" w:line="270" w:lineRule="auto"/>
        <w:tabs>
          <w:tab w:leader="none" w:pos="1996" w:val="left"/>
        </w:tabs>
        <w:numPr>
          <w:ilvl w:val="1"/>
          <w:numId w:val="67"/>
        </w:numPr>
        <w:rPr>
          <w:rFonts w:ascii="Arial" w:cs="Arial" w:eastAsia="Arial" w:hAnsi="Arial"/>
          <w:sz w:val="19"/>
          <w:szCs w:val="19"/>
          <w:color w:val="2B2B2F"/>
        </w:rPr>
      </w:pPr>
      <w:r>
        <w:rPr>
          <w:rFonts w:ascii="Arial" w:cs="Arial" w:eastAsia="Arial" w:hAnsi="Arial"/>
          <w:sz w:val="19"/>
          <w:szCs w:val="19"/>
          <w:color w:val="2B2B2F"/>
        </w:rPr>
        <w:t xml:space="preserve">A Participant must specify the form in which a deferred amount (and earnings thereon) will be distributed at the time of making the initial </w:t>
      </w:r>
      <w:r>
        <w:rPr>
          <w:rFonts w:ascii="Arial" w:cs="Arial" w:eastAsia="Arial" w:hAnsi="Arial"/>
          <w:sz w:val="19"/>
          <w:szCs w:val="19"/>
          <w:color w:val="443F44"/>
        </w:rPr>
        <w:t>deferral</w:t>
      </w:r>
      <w:r>
        <w:rPr>
          <w:rFonts w:ascii="Arial" w:cs="Arial" w:eastAsia="Arial" w:hAnsi="Arial"/>
          <w:sz w:val="19"/>
          <w:szCs w:val="19"/>
          <w:color w:val="2B2B2F"/>
        </w:rPr>
        <w:t xml:space="preserve"> election under Section 5</w:t>
      </w:r>
      <w:r>
        <w:rPr>
          <w:rFonts w:ascii="Arial" w:cs="Arial" w:eastAsia="Arial" w:hAnsi="Arial"/>
          <w:sz w:val="19"/>
          <w:szCs w:val="19"/>
          <w:color w:val="6B696B"/>
        </w:rPr>
        <w:t>.</w:t>
      </w:r>
      <w:r>
        <w:rPr>
          <w:rFonts w:ascii="Arial" w:cs="Arial" w:eastAsia="Arial" w:hAnsi="Arial"/>
          <w:sz w:val="19"/>
          <w:szCs w:val="19"/>
          <w:color w:val="2B2B2F"/>
        </w:rPr>
        <w:t>1</w:t>
      </w:r>
      <w:r>
        <w:rPr>
          <w:rFonts w:ascii="Arial" w:cs="Arial" w:eastAsia="Arial" w:hAnsi="Arial"/>
          <w:sz w:val="19"/>
          <w:szCs w:val="19"/>
          <w:color w:val="6B696B"/>
        </w:rPr>
        <w:t>.</w:t>
      </w:r>
    </w:p>
    <w:p>
      <w:pPr>
        <w:spacing w:after="0" w:line="156" w:lineRule="exact"/>
        <w:rPr>
          <w:rFonts w:ascii="Arial" w:cs="Arial" w:eastAsia="Arial" w:hAnsi="Arial"/>
          <w:sz w:val="19"/>
          <w:szCs w:val="19"/>
          <w:color w:val="2B2B2F"/>
        </w:rPr>
      </w:pPr>
    </w:p>
    <w:p>
      <w:pPr>
        <w:ind w:left="272" w:firstLine="1385"/>
        <w:spacing w:after="0" w:line="248" w:lineRule="auto"/>
        <w:tabs>
          <w:tab w:leader="none" w:pos="1996" w:val="left"/>
        </w:tabs>
        <w:numPr>
          <w:ilvl w:val="1"/>
          <w:numId w:val="67"/>
        </w:numPr>
        <w:rPr>
          <w:rFonts w:ascii="Arial" w:cs="Arial" w:eastAsia="Arial" w:hAnsi="Arial"/>
          <w:sz w:val="19"/>
          <w:szCs w:val="19"/>
          <w:color w:val="2B2B2F"/>
        </w:rPr>
      </w:pPr>
      <w:r>
        <w:rPr>
          <w:rFonts w:ascii="Arial" w:cs="Arial" w:eastAsia="Arial" w:hAnsi="Arial"/>
          <w:sz w:val="19"/>
          <w:szCs w:val="19"/>
          <w:color w:val="2B2B2F"/>
        </w:rPr>
        <w:t>Notwithstanding the distribution form elected under subsect</w:t>
      </w:r>
      <w:r>
        <w:rPr>
          <w:rFonts w:ascii="Arial" w:cs="Arial" w:eastAsia="Arial" w:hAnsi="Arial"/>
          <w:sz w:val="19"/>
          <w:szCs w:val="19"/>
          <w:color w:val="6B696B"/>
        </w:rPr>
        <w:t>i</w:t>
      </w:r>
      <w:r>
        <w:rPr>
          <w:rFonts w:ascii="Arial" w:cs="Arial" w:eastAsia="Arial" w:hAnsi="Arial"/>
          <w:sz w:val="19"/>
          <w:szCs w:val="19"/>
          <w:color w:val="2B2B2F"/>
        </w:rPr>
        <w:t>on (a), if at the time a portion of a Participant</w:t>
      </w:r>
      <w:r>
        <w:rPr>
          <w:rFonts w:ascii="Arial" w:cs="Arial" w:eastAsia="Arial" w:hAnsi="Arial"/>
          <w:sz w:val="19"/>
          <w:szCs w:val="19"/>
          <w:color w:val="525459"/>
        </w:rPr>
        <w:t>'</w:t>
      </w:r>
      <w:r>
        <w:rPr>
          <w:rFonts w:ascii="Arial" w:cs="Arial" w:eastAsia="Arial" w:hAnsi="Arial"/>
          <w:sz w:val="19"/>
          <w:szCs w:val="19"/>
          <w:color w:val="2B2B2F"/>
        </w:rPr>
        <w:t>s Account is to be distributed, the portion o</w:t>
      </w:r>
      <w:r>
        <w:rPr>
          <w:rFonts w:ascii="Arial" w:cs="Arial" w:eastAsia="Arial" w:hAnsi="Arial"/>
          <w:sz w:val="19"/>
          <w:szCs w:val="19"/>
          <w:color w:val="525459"/>
        </w:rPr>
        <w:t>f</w:t>
      </w:r>
      <w:r>
        <w:rPr>
          <w:rFonts w:ascii="Arial" w:cs="Arial" w:eastAsia="Arial" w:hAnsi="Arial"/>
          <w:sz w:val="19"/>
          <w:szCs w:val="19"/>
          <w:color w:val="2B2B2F"/>
        </w:rPr>
        <w:t xml:space="preserve"> the balance to be distributed </w:t>
      </w:r>
      <w:r>
        <w:rPr>
          <w:rFonts w:ascii="Arial" w:cs="Arial" w:eastAsia="Arial" w:hAnsi="Arial"/>
          <w:sz w:val="19"/>
          <w:szCs w:val="19"/>
          <w:color w:val="525459"/>
        </w:rPr>
        <w:t>i</w:t>
      </w:r>
      <w:r>
        <w:rPr>
          <w:rFonts w:ascii="Arial" w:cs="Arial" w:eastAsia="Arial" w:hAnsi="Arial"/>
          <w:sz w:val="19"/>
          <w:szCs w:val="19"/>
          <w:color w:val="2B2B2F"/>
        </w:rPr>
        <w:t xml:space="preserve">s less than $50,000, that portion shall be distributed </w:t>
      </w:r>
      <w:r>
        <w:rPr>
          <w:rFonts w:ascii="Arial" w:cs="Arial" w:eastAsia="Arial" w:hAnsi="Arial"/>
          <w:sz w:val="19"/>
          <w:szCs w:val="19"/>
          <w:color w:val="6B696B"/>
        </w:rPr>
        <w:t>i</w:t>
      </w:r>
      <w:r>
        <w:rPr>
          <w:rFonts w:ascii="Arial" w:cs="Arial" w:eastAsia="Arial" w:hAnsi="Arial"/>
          <w:sz w:val="19"/>
          <w:szCs w:val="19"/>
          <w:color w:val="2B2B2F"/>
        </w:rPr>
        <w:t xml:space="preserve">n </w:t>
      </w:r>
      <w:r>
        <w:rPr>
          <w:rFonts w:ascii="Arial" w:cs="Arial" w:eastAsia="Arial" w:hAnsi="Arial"/>
          <w:sz w:val="19"/>
          <w:szCs w:val="19"/>
          <w:color w:val="443F44"/>
        </w:rPr>
        <w:t>a</w:t>
      </w:r>
      <w:r>
        <w:rPr>
          <w:rFonts w:ascii="Arial" w:cs="Arial" w:eastAsia="Arial" w:hAnsi="Arial"/>
          <w:sz w:val="19"/>
          <w:szCs w:val="19"/>
          <w:color w:val="2B2B2F"/>
        </w:rPr>
        <w:t xml:space="preserve"> lump sum payment at such time, provided that this </w:t>
      </w:r>
      <w:r>
        <w:rPr>
          <w:rFonts w:ascii="Arial" w:cs="Arial" w:eastAsia="Arial" w:hAnsi="Arial"/>
          <w:sz w:val="19"/>
          <w:szCs w:val="19"/>
          <w:color w:val="525459"/>
        </w:rPr>
        <w:t>s</w:t>
      </w:r>
      <w:r>
        <w:rPr>
          <w:rFonts w:ascii="Arial" w:cs="Arial" w:eastAsia="Arial" w:hAnsi="Arial"/>
          <w:sz w:val="19"/>
          <w:szCs w:val="19"/>
          <w:color w:val="2B2B2F"/>
        </w:rPr>
        <w:t xml:space="preserve">ubsection (c) shall not apply to any </w:t>
      </w:r>
      <w:r>
        <w:rPr>
          <w:rFonts w:ascii="Arial" w:cs="Arial" w:eastAsia="Arial" w:hAnsi="Arial"/>
          <w:sz w:val="19"/>
          <w:szCs w:val="19"/>
          <w:color w:val="525459"/>
        </w:rPr>
        <w:t>am</w:t>
      </w:r>
      <w:r>
        <w:rPr>
          <w:rFonts w:ascii="Arial" w:cs="Arial" w:eastAsia="Arial" w:hAnsi="Arial"/>
          <w:sz w:val="19"/>
          <w:szCs w:val="19"/>
          <w:color w:val="2B2B2F"/>
        </w:rPr>
        <w:t>ounts deferred under the Plan pursuant to a deferral election that becomes irrevocable on or after June 30, 2011 (and earnings thereon).</w:t>
      </w:r>
    </w:p>
    <w:p>
      <w:pPr>
        <w:spacing w:after="0" w:line="176" w:lineRule="exact"/>
        <w:rPr>
          <w:rFonts w:ascii="Arial" w:cs="Arial" w:eastAsia="Arial" w:hAnsi="Arial"/>
          <w:sz w:val="19"/>
          <w:szCs w:val="19"/>
          <w:color w:val="2B2B2F"/>
        </w:rPr>
      </w:pPr>
    </w:p>
    <w:p>
      <w:pPr>
        <w:ind w:left="1992" w:hanging="335"/>
        <w:spacing w:after="0"/>
        <w:tabs>
          <w:tab w:leader="none" w:pos="1992" w:val="left"/>
        </w:tabs>
        <w:numPr>
          <w:ilvl w:val="1"/>
          <w:numId w:val="67"/>
        </w:numPr>
        <w:rPr>
          <w:rFonts w:ascii="Arial" w:cs="Arial" w:eastAsia="Arial" w:hAnsi="Arial"/>
          <w:sz w:val="19"/>
          <w:szCs w:val="19"/>
          <w:color w:val="2B2B2F"/>
        </w:rPr>
      </w:pPr>
      <w:r>
        <w:rPr>
          <w:rFonts w:ascii="Arial" w:cs="Arial" w:eastAsia="Arial" w:hAnsi="Arial"/>
          <w:sz w:val="19"/>
          <w:szCs w:val="19"/>
          <w:color w:val="2B2B2F"/>
        </w:rPr>
        <w:t>Distribution of a Participant's Account balance shall be made in cash.</w:t>
      </w:r>
    </w:p>
    <w:p>
      <w:pPr>
        <w:spacing w:after="0" w:line="214" w:lineRule="exact"/>
        <w:rPr>
          <w:sz w:val="20"/>
          <w:szCs w:val="20"/>
          <w:color w:val="auto"/>
        </w:rPr>
      </w:pPr>
    </w:p>
    <w:p>
      <w:pPr>
        <w:ind w:left="292" w:right="180" w:firstLine="749"/>
        <w:spacing w:after="0" w:line="270" w:lineRule="auto"/>
        <w:rPr>
          <w:sz w:val="20"/>
          <w:szCs w:val="20"/>
          <w:color w:val="auto"/>
        </w:rPr>
      </w:pPr>
      <w:r>
        <w:rPr>
          <w:rFonts w:ascii="Arial" w:cs="Arial" w:eastAsia="Arial" w:hAnsi="Arial"/>
          <w:sz w:val="19"/>
          <w:szCs w:val="19"/>
          <w:color w:val="2B2B2F"/>
        </w:rPr>
        <w:t xml:space="preserve">6.2. </w:t>
      </w:r>
      <w:r>
        <w:rPr>
          <w:rFonts w:ascii="Arial" w:cs="Arial" w:eastAsia="Arial" w:hAnsi="Arial"/>
          <w:sz w:val="19"/>
          <w:szCs w:val="19"/>
          <w:u w:val="single" w:color="auto"/>
          <w:color w:val="2B2B2F"/>
        </w:rPr>
        <w:t>Distribution Time of Post-2013 Election Amounts</w:t>
      </w:r>
      <w:r>
        <w:rPr>
          <w:rFonts w:ascii="Arial" w:cs="Arial" w:eastAsia="Arial" w:hAnsi="Arial"/>
          <w:sz w:val="19"/>
          <w:szCs w:val="19"/>
          <w:color w:val="2B2B2F"/>
        </w:rPr>
        <w:t xml:space="preserve">. The rules in this Section 6.2 shall apply to amounts deferred under the Plan, excluding any portion </w:t>
      </w:r>
      <w:r>
        <w:rPr>
          <w:rFonts w:ascii="Arial" w:cs="Arial" w:eastAsia="Arial" w:hAnsi="Arial"/>
          <w:sz w:val="19"/>
          <w:szCs w:val="19"/>
          <w:color w:val="443F44"/>
        </w:rPr>
        <w:t>of</w:t>
      </w:r>
      <w:r>
        <w:rPr>
          <w:rFonts w:ascii="Arial" w:cs="Arial" w:eastAsia="Arial" w:hAnsi="Arial"/>
          <w:sz w:val="19"/>
          <w:szCs w:val="19"/>
          <w:color w:val="2B2B2F"/>
        </w:rPr>
        <w:t xml:space="preserve"> a Participant's Account attributable to Pre-2014 Election Amounts.</w:t>
      </w:r>
    </w:p>
    <w:p>
      <w:pPr>
        <w:spacing w:after="0" w:line="156" w:lineRule="exact"/>
        <w:rPr>
          <w:sz w:val="20"/>
          <w:szCs w:val="20"/>
          <w:color w:val="auto"/>
        </w:rPr>
      </w:pPr>
    </w:p>
    <w:p>
      <w:pPr>
        <w:ind w:left="2032" w:hanging="355"/>
        <w:spacing w:after="0"/>
        <w:tabs>
          <w:tab w:leader="none" w:pos="2032" w:val="left"/>
        </w:tabs>
        <w:numPr>
          <w:ilvl w:val="0"/>
          <w:numId w:val="68"/>
        </w:numPr>
        <w:rPr>
          <w:rFonts w:ascii="Arial" w:cs="Arial" w:eastAsia="Arial" w:hAnsi="Arial"/>
          <w:sz w:val="19"/>
          <w:szCs w:val="19"/>
          <w:color w:val="2B2B2F"/>
        </w:rPr>
      </w:pPr>
      <w:r>
        <w:rPr>
          <w:rFonts w:ascii="Arial" w:cs="Arial" w:eastAsia="Arial" w:hAnsi="Arial"/>
          <w:sz w:val="19"/>
          <w:szCs w:val="19"/>
          <w:color w:val="2B2B2F"/>
        </w:rPr>
        <w:t>A Part</w:t>
      </w:r>
      <w:r>
        <w:rPr>
          <w:rFonts w:ascii="Arial" w:cs="Arial" w:eastAsia="Arial" w:hAnsi="Arial"/>
          <w:sz w:val="19"/>
          <w:szCs w:val="19"/>
          <w:color w:val="525459"/>
        </w:rPr>
        <w:t>ic</w:t>
      </w:r>
      <w:r>
        <w:rPr>
          <w:rFonts w:ascii="Arial" w:cs="Arial" w:eastAsia="Arial" w:hAnsi="Arial"/>
          <w:sz w:val="19"/>
          <w:szCs w:val="19"/>
          <w:color w:val="2B2B2F"/>
        </w:rPr>
        <w:t>ipant may elect to have d</w:t>
      </w:r>
      <w:r>
        <w:rPr>
          <w:rFonts w:ascii="Arial" w:cs="Arial" w:eastAsia="Arial" w:hAnsi="Arial"/>
          <w:sz w:val="19"/>
          <w:szCs w:val="19"/>
          <w:color w:val="6B696B"/>
        </w:rPr>
        <w:t>i</w:t>
      </w:r>
      <w:r>
        <w:rPr>
          <w:rFonts w:ascii="Arial" w:cs="Arial" w:eastAsia="Arial" w:hAnsi="Arial"/>
          <w:sz w:val="19"/>
          <w:szCs w:val="19"/>
          <w:color w:val="2B2B2F"/>
        </w:rPr>
        <w:t>stribution of a deferred amount (and earnings thereon) commence as of</w:t>
      </w:r>
    </w:p>
    <w:p>
      <w:pPr>
        <w:spacing w:after="0" w:line="15" w:lineRule="exact"/>
        <w:rPr>
          <w:rFonts w:ascii="Arial" w:cs="Arial" w:eastAsia="Arial" w:hAnsi="Arial"/>
          <w:sz w:val="19"/>
          <w:szCs w:val="19"/>
          <w:color w:val="2B2B2F"/>
        </w:rPr>
      </w:pPr>
    </w:p>
    <w:p>
      <w:pPr>
        <w:ind w:left="292"/>
        <w:spacing w:after="0"/>
        <w:rPr>
          <w:rFonts w:ascii="Arial" w:cs="Arial" w:eastAsia="Arial" w:hAnsi="Arial"/>
          <w:sz w:val="19"/>
          <w:szCs w:val="19"/>
          <w:color w:val="2B2B2F"/>
        </w:rPr>
      </w:pPr>
      <w:r>
        <w:rPr>
          <w:rFonts w:ascii="Arial" w:cs="Arial" w:eastAsia="Arial" w:hAnsi="Arial"/>
          <w:sz w:val="19"/>
          <w:szCs w:val="19"/>
          <w:color w:val="2B2B2F"/>
        </w:rPr>
        <w:t>the following dates</w:t>
      </w:r>
      <w:r>
        <w:rPr>
          <w:rFonts w:ascii="Arial" w:cs="Arial" w:eastAsia="Arial" w:hAnsi="Arial"/>
          <w:sz w:val="19"/>
          <w:szCs w:val="19"/>
          <w:color w:val="525459"/>
        </w:rPr>
        <w:t>:</w:t>
      </w:r>
    </w:p>
    <w:p>
      <w:pPr>
        <w:spacing w:after="0" w:line="195" w:lineRule="exact"/>
        <w:rPr>
          <w:rFonts w:ascii="Arial" w:cs="Arial" w:eastAsia="Arial" w:hAnsi="Arial"/>
          <w:sz w:val="19"/>
          <w:szCs w:val="19"/>
          <w:color w:val="2B2B2F"/>
        </w:rPr>
      </w:pPr>
    </w:p>
    <w:p>
      <w:pPr>
        <w:ind w:left="3272" w:hanging="742"/>
        <w:spacing w:after="0"/>
        <w:tabs>
          <w:tab w:leader="none" w:pos="3272" w:val="left"/>
        </w:tabs>
        <w:numPr>
          <w:ilvl w:val="1"/>
          <w:numId w:val="68"/>
        </w:numPr>
        <w:rPr>
          <w:rFonts w:ascii="Arial" w:cs="Arial" w:eastAsia="Arial" w:hAnsi="Arial"/>
          <w:sz w:val="19"/>
          <w:szCs w:val="19"/>
          <w:color w:val="2B2B2F"/>
        </w:rPr>
      </w:pPr>
      <w:r>
        <w:rPr>
          <w:rFonts w:ascii="Arial" w:cs="Arial" w:eastAsia="Arial" w:hAnsi="Arial"/>
          <w:sz w:val="19"/>
          <w:szCs w:val="19"/>
          <w:color w:val="2B2B2F"/>
        </w:rPr>
        <w:t>A specified time (a particular month and year); or</w:t>
      </w:r>
    </w:p>
    <w:p>
      <w:pPr>
        <w:spacing w:after="0" w:line="213" w:lineRule="exact"/>
        <w:rPr>
          <w:rFonts w:ascii="Arial" w:cs="Arial" w:eastAsia="Arial" w:hAnsi="Arial"/>
          <w:sz w:val="19"/>
          <w:szCs w:val="19"/>
          <w:color w:val="2B2B2F"/>
        </w:rPr>
      </w:pPr>
    </w:p>
    <w:p>
      <w:pPr>
        <w:ind w:left="292" w:right="180" w:firstLine="2239"/>
        <w:spacing w:after="0" w:line="270" w:lineRule="auto"/>
        <w:tabs>
          <w:tab w:leader="none" w:pos="3045" w:val="left"/>
        </w:tabs>
        <w:numPr>
          <w:ilvl w:val="1"/>
          <w:numId w:val="68"/>
        </w:numPr>
        <w:rPr>
          <w:rFonts w:ascii="Arial" w:cs="Arial" w:eastAsia="Arial" w:hAnsi="Arial"/>
          <w:sz w:val="19"/>
          <w:szCs w:val="19"/>
          <w:color w:val="2B2B2F"/>
        </w:rPr>
      </w:pPr>
      <w:r>
        <w:rPr>
          <w:rFonts w:ascii="Arial" w:cs="Arial" w:eastAsia="Arial" w:hAnsi="Arial"/>
          <w:sz w:val="19"/>
          <w:szCs w:val="19"/>
          <w:color w:val="2B2B2F"/>
        </w:rPr>
        <w:t>Upon the Participant's Separation from Service (in which case distributions will commence in the month following Separation from Service).</w:t>
      </w:r>
    </w:p>
    <w:p>
      <w:pPr>
        <w:spacing w:after="0" w:line="156" w:lineRule="exact"/>
        <w:rPr>
          <w:rFonts w:ascii="Arial" w:cs="Arial" w:eastAsia="Arial" w:hAnsi="Arial"/>
          <w:sz w:val="19"/>
          <w:szCs w:val="19"/>
          <w:color w:val="2B2B2F"/>
        </w:rPr>
      </w:pPr>
    </w:p>
    <w:p>
      <w:pPr>
        <w:ind w:left="292" w:right="20" w:firstLine="1385"/>
        <w:spacing w:after="0" w:line="270" w:lineRule="auto"/>
        <w:tabs>
          <w:tab w:leader="none" w:pos="2036" w:val="left"/>
        </w:tabs>
        <w:numPr>
          <w:ilvl w:val="0"/>
          <w:numId w:val="68"/>
        </w:numPr>
        <w:rPr>
          <w:rFonts w:ascii="Arial" w:cs="Arial" w:eastAsia="Arial" w:hAnsi="Arial"/>
          <w:sz w:val="19"/>
          <w:szCs w:val="19"/>
          <w:color w:val="2B2B2F"/>
        </w:rPr>
      </w:pPr>
      <w:r>
        <w:rPr>
          <w:rFonts w:ascii="Arial" w:cs="Arial" w:eastAsia="Arial" w:hAnsi="Arial"/>
          <w:sz w:val="19"/>
          <w:szCs w:val="19"/>
          <w:color w:val="2B2B2F"/>
        </w:rPr>
        <w:t>A Participant must specify such Participant’s distribution commencement election at the time of making the initial deferra</w:t>
      </w:r>
      <w:r>
        <w:rPr>
          <w:rFonts w:ascii="Arial" w:cs="Arial" w:eastAsia="Arial" w:hAnsi="Arial"/>
          <w:sz w:val="19"/>
          <w:szCs w:val="19"/>
          <w:color w:val="525459"/>
        </w:rPr>
        <w:t>l</w:t>
      </w:r>
      <w:r>
        <w:rPr>
          <w:rFonts w:ascii="Arial" w:cs="Arial" w:eastAsia="Arial" w:hAnsi="Arial"/>
          <w:sz w:val="19"/>
          <w:szCs w:val="19"/>
          <w:color w:val="2B2B2F"/>
        </w:rPr>
        <w:t xml:space="preserve"> election under Section 5.1.</w:t>
      </w:r>
    </w:p>
    <w:p>
      <w:pPr>
        <w:spacing w:after="0" w:line="156" w:lineRule="exact"/>
        <w:rPr>
          <w:rFonts w:ascii="Arial" w:cs="Arial" w:eastAsia="Arial" w:hAnsi="Arial"/>
          <w:sz w:val="19"/>
          <w:szCs w:val="19"/>
          <w:color w:val="2B2B2F"/>
        </w:rPr>
      </w:pPr>
    </w:p>
    <w:p>
      <w:pPr>
        <w:ind w:left="292" w:right="100" w:firstLine="1385"/>
        <w:spacing w:after="0" w:line="254" w:lineRule="auto"/>
        <w:tabs>
          <w:tab w:leader="none" w:pos="2036" w:val="left"/>
        </w:tabs>
        <w:numPr>
          <w:ilvl w:val="0"/>
          <w:numId w:val="68"/>
        </w:numPr>
        <w:rPr>
          <w:rFonts w:ascii="Arial" w:cs="Arial" w:eastAsia="Arial" w:hAnsi="Arial"/>
          <w:sz w:val="19"/>
          <w:szCs w:val="19"/>
          <w:color w:val="212121"/>
        </w:rPr>
      </w:pPr>
      <w:r>
        <w:rPr>
          <w:rFonts w:ascii="Arial" w:cs="Arial" w:eastAsia="Arial" w:hAnsi="Arial"/>
          <w:sz w:val="19"/>
          <w:szCs w:val="19"/>
          <w:color w:val="212121"/>
        </w:rPr>
        <w:t>If a Participant elects to have a deferred amount distributed as of a specified time, the specified time must be at least twelve (12) months after the date on which the final payment of the deferred amount would have been made to the Participant absent deferral.</w:t>
      </w:r>
    </w:p>
    <w:p>
      <w:pPr>
        <w:spacing w:after="0" w:line="170" w:lineRule="exact"/>
        <w:rPr>
          <w:sz w:val="20"/>
          <w:szCs w:val="20"/>
          <w:color w:val="auto"/>
        </w:rPr>
      </w:pPr>
    </w:p>
    <w:p>
      <w:pPr>
        <w:ind w:left="292" w:firstLine="749"/>
        <w:spacing w:after="0" w:line="270" w:lineRule="auto"/>
        <w:rPr>
          <w:sz w:val="20"/>
          <w:szCs w:val="20"/>
          <w:color w:val="auto"/>
        </w:rPr>
      </w:pPr>
      <w:r>
        <w:rPr>
          <w:rFonts w:ascii="Arial" w:cs="Arial" w:eastAsia="Arial" w:hAnsi="Arial"/>
          <w:sz w:val="19"/>
          <w:szCs w:val="19"/>
          <w:color w:val="212121"/>
        </w:rPr>
        <w:t xml:space="preserve">6.3. </w:t>
      </w:r>
      <w:r>
        <w:rPr>
          <w:rFonts w:ascii="Arial" w:cs="Arial" w:eastAsia="Arial" w:hAnsi="Arial"/>
          <w:sz w:val="19"/>
          <w:szCs w:val="19"/>
          <w:u w:val="single" w:color="auto"/>
          <w:color w:val="212121"/>
        </w:rPr>
        <w:t>Distribution of Pre-2014 Election Amounts Upon Separation from Service</w:t>
      </w:r>
      <w:r>
        <w:rPr>
          <w:rFonts w:ascii="Arial" w:cs="Arial" w:eastAsia="Arial" w:hAnsi="Arial"/>
          <w:sz w:val="19"/>
          <w:szCs w:val="19"/>
          <w:color w:val="212121"/>
        </w:rPr>
        <w:t>. The rules in this Section 6.3 shall only apply to Pre-2014 Election Amounts.</w:t>
      </w:r>
    </w:p>
    <w:p>
      <w:pPr>
        <w:spacing w:after="0" w:line="156" w:lineRule="exact"/>
        <w:rPr>
          <w:sz w:val="20"/>
          <w:szCs w:val="20"/>
          <w:color w:val="auto"/>
        </w:rPr>
      </w:pPr>
    </w:p>
    <w:p>
      <w:pPr>
        <w:ind w:left="1792"/>
        <w:spacing w:after="0"/>
        <w:rPr>
          <w:sz w:val="20"/>
          <w:szCs w:val="20"/>
          <w:color w:val="auto"/>
        </w:rPr>
      </w:pPr>
      <w:r>
        <w:rPr>
          <w:rFonts w:ascii="Arial" w:cs="Arial" w:eastAsia="Arial" w:hAnsi="Arial"/>
          <w:sz w:val="19"/>
          <w:szCs w:val="19"/>
          <w:color w:val="212121"/>
        </w:rPr>
        <w:t>(a)If a Participant has reached Retirement Age at the time of Separation from Service, the distribution of a</w:t>
      </w:r>
    </w:p>
    <w:p>
      <w:pPr>
        <w:spacing w:after="0" w:line="16" w:lineRule="exact"/>
        <w:rPr>
          <w:sz w:val="20"/>
          <w:szCs w:val="20"/>
          <w:color w:val="auto"/>
        </w:rPr>
      </w:pPr>
    </w:p>
    <w:p>
      <w:pPr>
        <w:ind w:left="292"/>
        <w:spacing w:after="0"/>
        <w:rPr>
          <w:sz w:val="20"/>
          <w:szCs w:val="20"/>
          <w:color w:val="auto"/>
        </w:rPr>
      </w:pPr>
      <w:r>
        <w:rPr>
          <w:rFonts w:ascii="Arial" w:cs="Arial" w:eastAsia="Arial" w:hAnsi="Arial"/>
          <w:sz w:val="19"/>
          <w:szCs w:val="19"/>
          <w:color w:val="212121"/>
        </w:rPr>
        <w:t>Pre-2014 Election Amount will commence as follows:</w:t>
      </w:r>
    </w:p>
    <w:p>
      <w:pPr>
        <w:spacing w:after="0" w:line="196" w:lineRule="exact"/>
        <w:rPr>
          <w:sz w:val="20"/>
          <w:szCs w:val="20"/>
          <w:color w:val="auto"/>
        </w:rPr>
      </w:pPr>
    </w:p>
    <w:p>
      <w:pPr>
        <w:ind w:left="292" w:right="1420" w:firstLine="2239"/>
        <w:spacing w:after="0" w:line="270" w:lineRule="auto"/>
        <w:tabs>
          <w:tab w:leader="none" w:pos="3006" w:val="left"/>
        </w:tabs>
        <w:numPr>
          <w:ilvl w:val="0"/>
          <w:numId w:val="69"/>
        </w:numPr>
        <w:rPr>
          <w:rFonts w:ascii="Arial" w:cs="Arial" w:eastAsia="Arial" w:hAnsi="Arial"/>
          <w:sz w:val="19"/>
          <w:szCs w:val="19"/>
          <w:color w:val="212121"/>
        </w:rPr>
      </w:pPr>
      <w:r>
        <w:rPr>
          <w:rFonts w:ascii="Arial" w:cs="Arial" w:eastAsia="Arial" w:hAnsi="Arial"/>
          <w:sz w:val="19"/>
          <w:szCs w:val="19"/>
          <w:color w:val="212121"/>
        </w:rPr>
        <w:t>If the Participant elected commencement upon Retirement, the distribution will commence in the month following Retirement.</w:t>
      </w:r>
    </w:p>
    <w:p>
      <w:pPr>
        <w:spacing w:after="0" w:line="156" w:lineRule="exact"/>
        <w:rPr>
          <w:rFonts w:ascii="Arial" w:cs="Arial" w:eastAsia="Arial" w:hAnsi="Arial"/>
          <w:sz w:val="19"/>
          <w:szCs w:val="19"/>
          <w:color w:val="212121"/>
        </w:rPr>
      </w:pPr>
    </w:p>
    <w:p>
      <w:pPr>
        <w:ind w:left="292" w:right="1040" w:firstLine="2239"/>
        <w:spacing w:after="0" w:line="270" w:lineRule="auto"/>
        <w:tabs>
          <w:tab w:leader="none" w:pos="3006" w:val="left"/>
        </w:tabs>
        <w:numPr>
          <w:ilvl w:val="0"/>
          <w:numId w:val="69"/>
        </w:numPr>
        <w:rPr>
          <w:rFonts w:ascii="Arial" w:cs="Arial" w:eastAsia="Arial" w:hAnsi="Arial"/>
          <w:sz w:val="19"/>
          <w:szCs w:val="19"/>
          <w:color w:val="212121"/>
        </w:rPr>
      </w:pPr>
      <w:r>
        <w:rPr>
          <w:rFonts w:ascii="Arial" w:cs="Arial" w:eastAsia="Arial" w:hAnsi="Arial"/>
          <w:sz w:val="19"/>
          <w:szCs w:val="19"/>
          <w:color w:val="212121"/>
        </w:rPr>
        <w:t>If the Participant elected commencement upon a specified time, the distribution will commence in the specified month and year.</w:t>
      </w:r>
    </w:p>
    <w:p>
      <w:pPr>
        <w:spacing w:after="0" w:line="200" w:lineRule="exact"/>
        <w:rPr>
          <w:sz w:val="20"/>
          <w:szCs w:val="20"/>
          <w:color w:val="auto"/>
        </w:rPr>
      </w:pPr>
    </w:p>
    <w:p>
      <w:pPr>
        <w:spacing w:after="0" w:line="388" w:lineRule="exact"/>
        <w:rPr>
          <w:sz w:val="20"/>
          <w:szCs w:val="20"/>
          <w:color w:val="auto"/>
        </w:rPr>
      </w:pPr>
    </w:p>
    <w:p>
      <w:pPr>
        <w:jc w:val="center"/>
        <w:ind w:right="-291"/>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474345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52"/>
          </w:cols>
          <w:pgMar w:left="328" w:top="1422" w:right="619" w:bottom="1440" w:gutter="0" w:footer="0" w:header="0"/>
        </w:sectPr>
      </w:pPr>
    </w:p>
    <w:bookmarkStart w:id="129" w:name="page130"/>
    <w:bookmarkEnd w:id="129"/>
    <w:p>
      <w:pPr>
        <w:ind w:right="360" w:firstLine="1497"/>
        <w:spacing w:after="0" w:line="243" w:lineRule="auto"/>
        <w:rPr>
          <w:sz w:val="20"/>
          <w:szCs w:val="20"/>
          <w:color w:val="auto"/>
        </w:rPr>
      </w:pPr>
      <w:r>
        <w:rPr>
          <w:rFonts w:ascii="Arial" w:cs="Arial" w:eastAsia="Arial" w:hAnsi="Arial"/>
          <w:sz w:val="19"/>
          <w:szCs w:val="19"/>
          <w:color w:val="212121"/>
        </w:rPr>
        <w:t>(b)Notwithstanding a Participant's elections with respect to Pre-2014 Election Amounts, (i) if a Participant Separates from Service prior to reaching Retirement Age, the portion of such Participant’s Account balance attributable to Pre-2014 Election Amounts shall be distributed in an immediate lump sum payment in the month following the Separation from Service, and (ii) if a Participant becomes Disabled prior to attaining Retirement Age while employed with the Company or an Affiliate, the portion of such Participant’s Account balance attributable to Pre-2014 Election Amounts shall be distributed in an immediate lump sum payment in the month following the date the Participant becomes Disabled.</w:t>
      </w:r>
    </w:p>
    <w:p>
      <w:pPr>
        <w:spacing w:after="0" w:line="185" w:lineRule="exact"/>
        <w:rPr>
          <w:sz w:val="20"/>
          <w:szCs w:val="20"/>
          <w:color w:val="auto"/>
        </w:rPr>
      </w:pPr>
    </w:p>
    <w:p>
      <w:pPr>
        <w:ind w:firstLine="749"/>
        <w:spacing w:after="0" w:line="243" w:lineRule="auto"/>
        <w:rPr>
          <w:sz w:val="20"/>
          <w:szCs w:val="20"/>
          <w:color w:val="auto"/>
        </w:rPr>
      </w:pPr>
      <w:r>
        <w:rPr>
          <w:rFonts w:ascii="Arial" w:cs="Arial" w:eastAsia="Arial" w:hAnsi="Arial"/>
          <w:sz w:val="19"/>
          <w:szCs w:val="19"/>
          <w:color w:val="212121"/>
        </w:rPr>
        <w:t xml:space="preserve">6.4. </w:t>
      </w:r>
      <w:r>
        <w:rPr>
          <w:rFonts w:ascii="Arial" w:cs="Arial" w:eastAsia="Arial" w:hAnsi="Arial"/>
          <w:sz w:val="19"/>
          <w:szCs w:val="19"/>
          <w:u w:val="single" w:color="auto"/>
          <w:color w:val="212121"/>
        </w:rPr>
        <w:t>Key Employee Delay</w:t>
      </w:r>
      <w:r>
        <w:rPr>
          <w:rFonts w:ascii="Arial" w:cs="Arial" w:eastAsia="Arial" w:hAnsi="Arial"/>
          <w:sz w:val="19"/>
          <w:szCs w:val="19"/>
          <w:color w:val="212121"/>
        </w:rPr>
        <w:t xml:space="preserve">. Except as otherwise permitted </w:t>
      </w:r>
      <w:r>
        <w:rPr>
          <w:rFonts w:ascii="Arial" w:cs="Arial" w:eastAsia="Arial" w:hAnsi="Arial"/>
          <w:sz w:val="19"/>
          <w:szCs w:val="19"/>
          <w:color w:val="383838"/>
        </w:rPr>
        <w:t>under</w:t>
      </w:r>
      <w:r>
        <w:rPr>
          <w:rFonts w:ascii="Arial" w:cs="Arial" w:eastAsia="Arial" w:hAnsi="Arial"/>
          <w:sz w:val="19"/>
          <w:szCs w:val="19"/>
          <w:color w:val="212121"/>
        </w:rPr>
        <w:t xml:space="preserve"> IRS guidance, if a distribution is to be made upon the Separation from Service of a Key Employee, distribution may not be made before the date which is six months after the date of the Key Employee's Separation from Service (or, if earlier, before the date of death of the Key Employee). Any payments that would otherwise be made during this period of delay shall be paid in accordance with the elected distribution method and the terms of the Plan in the seventh month following Separation from Service (or, if earlier, following the Key Employee's death in accordance with Sections 6.5(a) and (b) below).</w:t>
      </w:r>
    </w:p>
    <w:p>
      <w:pPr>
        <w:spacing w:after="0" w:line="185" w:lineRule="exact"/>
        <w:rPr>
          <w:sz w:val="20"/>
          <w:szCs w:val="20"/>
          <w:color w:val="auto"/>
        </w:rPr>
      </w:pPr>
    </w:p>
    <w:p>
      <w:pPr>
        <w:ind w:left="740"/>
        <w:spacing w:after="0"/>
        <w:tabs>
          <w:tab w:leader="none" w:pos="1260" w:val="left"/>
        </w:tabs>
        <w:rPr>
          <w:sz w:val="20"/>
          <w:szCs w:val="20"/>
          <w:color w:val="auto"/>
        </w:rPr>
      </w:pPr>
      <w:r>
        <w:rPr>
          <w:rFonts w:ascii="Arial" w:cs="Arial" w:eastAsia="Arial" w:hAnsi="Arial"/>
          <w:sz w:val="19"/>
          <w:szCs w:val="19"/>
          <w:color w:val="212121"/>
        </w:rPr>
        <w:t>6.5.</w:t>
      </w:r>
      <w:r>
        <w:rPr>
          <w:sz w:val="20"/>
          <w:szCs w:val="20"/>
          <w:color w:val="auto"/>
        </w:rPr>
        <w:tab/>
      </w:r>
      <w:r>
        <w:rPr>
          <w:rFonts w:ascii="Arial" w:cs="Arial" w:eastAsia="Arial" w:hAnsi="Arial"/>
          <w:sz w:val="18"/>
          <w:szCs w:val="18"/>
          <w:u w:val="single" w:color="auto"/>
          <w:color w:val="212121"/>
        </w:rPr>
        <w:t>Distributions Upon Death</w:t>
      </w:r>
      <w:r>
        <w:rPr>
          <w:rFonts w:ascii="Arial" w:cs="Arial" w:eastAsia="Arial" w:hAnsi="Arial"/>
          <w:sz w:val="18"/>
          <w:szCs w:val="18"/>
          <w:color w:val="212121"/>
        </w:rPr>
        <w:t>.</w:t>
      </w:r>
    </w:p>
    <w:p>
      <w:pPr>
        <w:spacing w:after="0" w:line="214" w:lineRule="exact"/>
        <w:rPr>
          <w:sz w:val="20"/>
          <w:szCs w:val="20"/>
          <w:color w:val="auto"/>
        </w:rPr>
      </w:pPr>
    </w:p>
    <w:p>
      <w:pPr>
        <w:ind w:right="320" w:firstLine="1400"/>
        <w:spacing w:after="0" w:line="242" w:lineRule="auto"/>
        <w:tabs>
          <w:tab w:leader="none" w:pos="1741" w:val="left"/>
        </w:tabs>
        <w:numPr>
          <w:ilvl w:val="0"/>
          <w:numId w:val="70"/>
        </w:numPr>
        <w:rPr>
          <w:rFonts w:ascii="Arial" w:cs="Arial" w:eastAsia="Arial" w:hAnsi="Arial"/>
          <w:sz w:val="19"/>
          <w:szCs w:val="19"/>
          <w:color w:val="212121"/>
        </w:rPr>
      </w:pPr>
      <w:r>
        <w:rPr>
          <w:rFonts w:ascii="Arial" w:cs="Arial" w:eastAsia="Arial" w:hAnsi="Arial"/>
          <w:sz w:val="19"/>
          <w:szCs w:val="19"/>
          <w:color w:val="212121"/>
        </w:rPr>
        <w:t xml:space="preserve">Notwithstanding a Participant's elections with respect to Pre-2014 Election Amounts, if a Participant dies prior to attaining Retirement Age while employed with the Company or an Affiliate, the portion of such Participant’s Account balance attributable to the Pre-2014 Election Amounts shall be distributed to the Participant's beneficiary in an </w:t>
      </w:r>
      <w:r>
        <w:rPr>
          <w:rFonts w:ascii="Arial" w:cs="Arial" w:eastAsia="Arial" w:hAnsi="Arial"/>
          <w:sz w:val="19"/>
          <w:szCs w:val="19"/>
          <w:color w:val="2A282B"/>
        </w:rPr>
        <w:t>immediate</w:t>
      </w:r>
      <w:r>
        <w:rPr>
          <w:rFonts w:ascii="Arial" w:cs="Arial" w:eastAsia="Arial" w:hAnsi="Arial"/>
          <w:sz w:val="19"/>
          <w:szCs w:val="19"/>
          <w:color w:val="212121"/>
        </w:rPr>
        <w:t xml:space="preserve"> </w:t>
      </w:r>
      <w:r>
        <w:rPr>
          <w:rFonts w:ascii="Arial" w:cs="Arial" w:eastAsia="Arial" w:hAnsi="Arial"/>
          <w:sz w:val="19"/>
          <w:szCs w:val="19"/>
          <w:color w:val="2A282B"/>
        </w:rPr>
        <w:t>single lump sum payment as soon as administratively feasible following the Participant's death</w:t>
      </w:r>
      <w:r>
        <w:rPr>
          <w:rFonts w:ascii="Arial" w:cs="Arial" w:eastAsia="Arial" w:hAnsi="Arial"/>
          <w:sz w:val="19"/>
          <w:szCs w:val="19"/>
          <w:color w:val="696970"/>
        </w:rPr>
        <w:t>.</w:t>
      </w:r>
      <w:r>
        <w:rPr>
          <w:rFonts w:ascii="Arial" w:cs="Arial" w:eastAsia="Arial" w:hAnsi="Arial"/>
          <w:sz w:val="19"/>
          <w:szCs w:val="19"/>
          <w:color w:val="2A282B"/>
        </w:rPr>
        <w:t xml:space="preserve"> </w:t>
      </w:r>
      <w:r>
        <w:rPr>
          <w:rFonts w:ascii="Arial" w:cs="Arial" w:eastAsia="Arial" w:hAnsi="Arial"/>
          <w:sz w:val="19"/>
          <w:szCs w:val="19"/>
          <w:color w:val="212121"/>
        </w:rPr>
        <w:t>For the avoidance of doubt</w:t>
      </w:r>
      <w:r>
        <w:rPr>
          <w:rFonts w:ascii="Arial" w:cs="Arial" w:eastAsia="Arial" w:hAnsi="Arial"/>
          <w:sz w:val="19"/>
          <w:szCs w:val="19"/>
          <w:color w:val="000000"/>
        </w:rPr>
        <w:t>, if a</w:t>
      </w:r>
      <w:r>
        <w:rPr>
          <w:rFonts w:ascii="Arial" w:cs="Arial" w:eastAsia="Arial" w:hAnsi="Arial"/>
          <w:sz w:val="19"/>
          <w:szCs w:val="19"/>
          <w:color w:val="2A282B"/>
        </w:rPr>
        <w:t xml:space="preserve"> </w:t>
      </w:r>
      <w:r>
        <w:rPr>
          <w:rFonts w:ascii="Arial" w:cs="Arial" w:eastAsia="Arial" w:hAnsi="Arial"/>
          <w:sz w:val="19"/>
          <w:szCs w:val="19"/>
          <w:color w:val="000000"/>
        </w:rPr>
        <w:t>Participant attains Retirement Age while employed with the Company or an Affiliate, and dies thereafter (whether employed by the Company or an Affiliate at the time of death or not), the portion of such Participant’s Account balance attributable to the Pre-2014 Election Amounts shall be distributed to the Participant's beneficiary in the time and form of payment elected by the Participant under Section 6.1 and 6.3</w:t>
      </w:r>
      <w:r>
        <w:rPr>
          <w:rFonts w:ascii="Arial" w:cs="Arial" w:eastAsia="Arial" w:hAnsi="Arial"/>
          <w:sz w:val="19"/>
          <w:szCs w:val="19"/>
          <w:color w:val="696970"/>
        </w:rPr>
        <w:t>.</w:t>
      </w:r>
    </w:p>
    <w:p>
      <w:pPr>
        <w:spacing w:after="0" w:line="181" w:lineRule="exact"/>
        <w:rPr>
          <w:rFonts w:ascii="Arial" w:cs="Arial" w:eastAsia="Arial" w:hAnsi="Arial"/>
          <w:sz w:val="19"/>
          <w:szCs w:val="19"/>
          <w:color w:val="212121"/>
        </w:rPr>
      </w:pPr>
    </w:p>
    <w:p>
      <w:pPr>
        <w:ind w:right="580" w:firstLine="1400"/>
        <w:spacing w:after="0" w:line="274" w:lineRule="auto"/>
        <w:tabs>
          <w:tab w:leader="none" w:pos="1741" w:val="left"/>
        </w:tabs>
        <w:numPr>
          <w:ilvl w:val="0"/>
          <w:numId w:val="70"/>
        </w:numPr>
        <w:rPr>
          <w:rFonts w:ascii="Arial" w:cs="Arial" w:eastAsia="Arial" w:hAnsi="Arial"/>
          <w:sz w:val="18"/>
          <w:szCs w:val="18"/>
          <w:color w:val="2A282B"/>
        </w:rPr>
      </w:pPr>
      <w:r>
        <w:rPr>
          <w:rFonts w:ascii="Arial" w:cs="Arial" w:eastAsia="Arial" w:hAnsi="Arial"/>
          <w:sz w:val="18"/>
          <w:szCs w:val="18"/>
          <w:color w:val="2A282B"/>
        </w:rPr>
        <w:t>Notwithstanding a Participant's elect</w:t>
      </w:r>
      <w:r>
        <w:rPr>
          <w:rFonts w:ascii="Arial" w:cs="Arial" w:eastAsia="Arial" w:hAnsi="Arial"/>
          <w:sz w:val="18"/>
          <w:szCs w:val="18"/>
          <w:color w:val="696970"/>
        </w:rPr>
        <w:t>i</w:t>
      </w:r>
      <w:r>
        <w:rPr>
          <w:rFonts w:ascii="Arial" w:cs="Arial" w:eastAsia="Arial" w:hAnsi="Arial"/>
          <w:sz w:val="18"/>
          <w:szCs w:val="18"/>
          <w:color w:val="2A282B"/>
        </w:rPr>
        <w:t>ons under Sections 6.</w:t>
      </w:r>
      <w:r>
        <w:rPr>
          <w:rFonts w:ascii="Arial" w:cs="Arial" w:eastAsia="Arial" w:hAnsi="Arial"/>
          <w:sz w:val="18"/>
          <w:szCs w:val="18"/>
          <w:color w:val="696970"/>
        </w:rPr>
        <w:t>1</w:t>
      </w:r>
      <w:r>
        <w:rPr>
          <w:rFonts w:ascii="Arial" w:cs="Arial" w:eastAsia="Arial" w:hAnsi="Arial"/>
          <w:sz w:val="18"/>
          <w:szCs w:val="18"/>
          <w:color w:val="2A282B"/>
        </w:rPr>
        <w:t xml:space="preserve"> and 6.2, if a Participant dies, such Participant’s Account balance, excluding any portion attributable to Pre</w:t>
      </w:r>
      <w:r>
        <w:rPr>
          <w:rFonts w:ascii="Arial" w:cs="Arial" w:eastAsia="Arial" w:hAnsi="Arial"/>
          <w:sz w:val="18"/>
          <w:szCs w:val="18"/>
          <w:color w:val="696970"/>
        </w:rPr>
        <w:t>-</w:t>
      </w:r>
      <w:r>
        <w:rPr>
          <w:rFonts w:ascii="Arial" w:cs="Arial" w:eastAsia="Arial" w:hAnsi="Arial"/>
          <w:sz w:val="18"/>
          <w:szCs w:val="18"/>
          <w:color w:val="2A282B"/>
        </w:rPr>
        <w:t>2014 Election Amounts, shall be distributed to the Participant's beneficiary in a single lump sum payment as soon as administratively feasible following the Participant's death.</w:t>
      </w:r>
    </w:p>
    <w:p>
      <w:pPr>
        <w:spacing w:after="0" w:line="155" w:lineRule="exact"/>
        <w:rPr>
          <w:rFonts w:ascii="Arial" w:cs="Arial" w:eastAsia="Arial" w:hAnsi="Arial"/>
          <w:sz w:val="18"/>
          <w:szCs w:val="18"/>
          <w:color w:val="2A282B"/>
        </w:rPr>
      </w:pPr>
    </w:p>
    <w:p>
      <w:pPr>
        <w:jc w:val="both"/>
        <w:ind w:right="280" w:firstLine="1400"/>
        <w:spacing w:after="0" w:line="266" w:lineRule="auto"/>
        <w:tabs>
          <w:tab w:leader="none" w:pos="1741" w:val="left"/>
        </w:tabs>
        <w:numPr>
          <w:ilvl w:val="0"/>
          <w:numId w:val="70"/>
        </w:numPr>
        <w:rPr>
          <w:rFonts w:ascii="Arial" w:cs="Arial" w:eastAsia="Arial" w:hAnsi="Arial"/>
          <w:sz w:val="18"/>
          <w:szCs w:val="18"/>
          <w:color w:val="2A282B"/>
        </w:rPr>
      </w:pPr>
      <w:r>
        <w:rPr>
          <w:rFonts w:ascii="Arial" w:cs="Arial" w:eastAsia="Arial" w:hAnsi="Arial"/>
          <w:sz w:val="18"/>
          <w:szCs w:val="18"/>
          <w:color w:val="2A282B"/>
        </w:rPr>
        <w:t>A Participant shall designate a beneficiary prior to death in accordance with procedures established by the Plan Administrator. If a Participan</w:t>
      </w:r>
      <w:r>
        <w:rPr>
          <w:rFonts w:ascii="Arial" w:cs="Arial" w:eastAsia="Arial" w:hAnsi="Arial"/>
          <w:sz w:val="18"/>
          <w:szCs w:val="18"/>
          <w:color w:val="4F5056"/>
        </w:rPr>
        <w:t>t</w:t>
      </w:r>
      <w:r>
        <w:rPr>
          <w:rFonts w:ascii="Arial" w:cs="Arial" w:eastAsia="Arial" w:hAnsi="Arial"/>
          <w:sz w:val="18"/>
          <w:szCs w:val="18"/>
          <w:color w:val="2A282B"/>
        </w:rPr>
        <w:t xml:space="preserve"> has not properly designated a beneficiary or if no designated beneficiary is </w:t>
      </w:r>
      <w:r>
        <w:rPr>
          <w:rFonts w:ascii="Arial" w:cs="Arial" w:eastAsia="Arial" w:hAnsi="Arial"/>
          <w:sz w:val="18"/>
          <w:szCs w:val="18"/>
          <w:color w:val="4F5056"/>
        </w:rPr>
        <w:t>li</w:t>
      </w:r>
      <w:r>
        <w:rPr>
          <w:rFonts w:ascii="Arial" w:cs="Arial" w:eastAsia="Arial" w:hAnsi="Arial"/>
          <w:sz w:val="18"/>
          <w:szCs w:val="18"/>
          <w:color w:val="2A282B"/>
        </w:rPr>
        <w:t>ving on the date of distribution, the Participant’s Account shall be distributed to the Participant's beneficiary designated under the 401(k) Plan, or if no designated beneficiary under the 401(k) Plan is living, in accordance with the default provisions under the 401(k) Plan.</w:t>
      </w:r>
    </w:p>
    <w:p>
      <w:pPr>
        <w:spacing w:after="0" w:line="162" w:lineRule="exact"/>
        <w:rPr>
          <w:rFonts w:ascii="Arial" w:cs="Arial" w:eastAsia="Arial" w:hAnsi="Arial"/>
          <w:sz w:val="18"/>
          <w:szCs w:val="18"/>
          <w:color w:val="2A282B"/>
        </w:rPr>
      </w:pPr>
    </w:p>
    <w:p>
      <w:pPr>
        <w:ind w:right="280" w:firstLine="1400"/>
        <w:spacing w:after="0" w:line="245" w:lineRule="auto"/>
        <w:tabs>
          <w:tab w:leader="none" w:pos="1741" w:val="left"/>
        </w:tabs>
        <w:numPr>
          <w:ilvl w:val="0"/>
          <w:numId w:val="70"/>
        </w:numPr>
        <w:rPr>
          <w:rFonts w:ascii="Arial" w:cs="Arial" w:eastAsia="Arial" w:hAnsi="Arial"/>
          <w:sz w:val="19"/>
          <w:szCs w:val="19"/>
          <w:color w:val="2A282B"/>
        </w:rPr>
      </w:pPr>
      <w:r>
        <w:rPr>
          <w:rFonts w:ascii="Arial" w:cs="Arial" w:eastAsia="Arial" w:hAnsi="Arial"/>
          <w:sz w:val="19"/>
          <w:szCs w:val="19"/>
          <w:color w:val="2A282B"/>
        </w:rPr>
        <w:t xml:space="preserve">For purposes of determining the proper </w:t>
      </w:r>
      <w:r>
        <w:rPr>
          <w:rFonts w:ascii="Arial" w:cs="Arial" w:eastAsia="Arial" w:hAnsi="Arial"/>
          <w:sz w:val="19"/>
          <w:szCs w:val="19"/>
          <w:color w:val="4F5056"/>
        </w:rPr>
        <w:t>d</w:t>
      </w:r>
      <w:r>
        <w:rPr>
          <w:rFonts w:ascii="Arial" w:cs="Arial" w:eastAsia="Arial" w:hAnsi="Arial"/>
          <w:sz w:val="19"/>
          <w:szCs w:val="19"/>
          <w:color w:val="2A282B"/>
        </w:rPr>
        <w:t xml:space="preserve">eath beneficiary under this Plan, </w:t>
      </w:r>
      <w:r>
        <w:rPr>
          <w:rFonts w:ascii="Arial" w:cs="Arial" w:eastAsia="Arial" w:hAnsi="Arial"/>
          <w:sz w:val="19"/>
          <w:szCs w:val="19"/>
          <w:color w:val="4F5056"/>
        </w:rPr>
        <w:t>t</w:t>
      </w:r>
      <w:r>
        <w:rPr>
          <w:rFonts w:ascii="Arial" w:cs="Arial" w:eastAsia="Arial" w:hAnsi="Arial"/>
          <w:sz w:val="19"/>
          <w:szCs w:val="19"/>
          <w:color w:val="2A282B"/>
        </w:rPr>
        <w:t>hi</w:t>
      </w:r>
      <w:r>
        <w:rPr>
          <w:rFonts w:ascii="Arial" w:cs="Arial" w:eastAsia="Arial" w:hAnsi="Arial"/>
          <w:sz w:val="19"/>
          <w:szCs w:val="19"/>
          <w:color w:val="4F5056"/>
        </w:rPr>
        <w:t>s</w:t>
      </w:r>
      <w:r>
        <w:rPr>
          <w:rFonts w:ascii="Arial" w:cs="Arial" w:eastAsia="Arial" w:hAnsi="Arial"/>
          <w:sz w:val="19"/>
          <w:szCs w:val="19"/>
          <w:color w:val="2A282B"/>
        </w:rPr>
        <w:t xml:space="preserve"> Plan shall not be interpreted as preempting applicable state law regarding the ownership rights of Accounts upon a Participant's death. For example, although this Plan states that upon a Participant</w:t>
      </w:r>
      <w:r>
        <w:rPr>
          <w:rFonts w:ascii="Arial" w:cs="Arial" w:eastAsia="Arial" w:hAnsi="Arial"/>
          <w:sz w:val="19"/>
          <w:szCs w:val="19"/>
          <w:color w:val="4F5056"/>
        </w:rPr>
        <w:t>'</w:t>
      </w:r>
      <w:r>
        <w:rPr>
          <w:rFonts w:ascii="Arial" w:cs="Arial" w:eastAsia="Arial" w:hAnsi="Arial"/>
          <w:sz w:val="19"/>
          <w:szCs w:val="19"/>
          <w:color w:val="2A282B"/>
        </w:rPr>
        <w:t>s death, Account balances will be paid to such Participant’s beneficiary</w:t>
      </w:r>
      <w:r>
        <w:rPr>
          <w:rFonts w:ascii="Arial" w:cs="Arial" w:eastAsia="Arial" w:hAnsi="Arial"/>
          <w:sz w:val="19"/>
          <w:szCs w:val="19"/>
          <w:color w:val="4F5056"/>
        </w:rPr>
        <w:t>,</w:t>
      </w:r>
      <w:r>
        <w:rPr>
          <w:rFonts w:ascii="Arial" w:cs="Arial" w:eastAsia="Arial" w:hAnsi="Arial"/>
          <w:sz w:val="19"/>
          <w:szCs w:val="19"/>
          <w:color w:val="2A282B"/>
        </w:rPr>
        <w:t xml:space="preserve"> the personal representative may be obliga</w:t>
      </w:r>
      <w:r>
        <w:rPr>
          <w:rFonts w:ascii="Arial" w:cs="Arial" w:eastAsia="Arial" w:hAnsi="Arial"/>
          <w:sz w:val="19"/>
          <w:szCs w:val="19"/>
          <w:color w:val="4F5056"/>
        </w:rPr>
        <w:t>t</w:t>
      </w:r>
      <w:r>
        <w:rPr>
          <w:rFonts w:ascii="Arial" w:cs="Arial" w:eastAsia="Arial" w:hAnsi="Arial"/>
          <w:sz w:val="19"/>
          <w:szCs w:val="19"/>
          <w:color w:val="2A282B"/>
        </w:rPr>
        <w:t>ed to pay any benefits owed to a spouse or otherwise as a result of any applicable community property laws</w:t>
      </w:r>
      <w:r>
        <w:rPr>
          <w:rFonts w:ascii="Arial" w:cs="Arial" w:eastAsia="Arial" w:hAnsi="Arial"/>
          <w:sz w:val="19"/>
          <w:szCs w:val="19"/>
          <w:color w:val="4F5056"/>
        </w:rPr>
        <w:t>.</w:t>
      </w:r>
    </w:p>
    <w:p>
      <w:pPr>
        <w:spacing w:after="0" w:line="181" w:lineRule="exact"/>
        <w:rPr>
          <w:sz w:val="20"/>
          <w:szCs w:val="20"/>
          <w:color w:val="auto"/>
        </w:rPr>
      </w:pPr>
    </w:p>
    <w:p>
      <w:pPr>
        <w:ind w:right="440" w:firstLine="749"/>
        <w:spacing w:after="0" w:line="270" w:lineRule="auto"/>
        <w:rPr>
          <w:sz w:val="20"/>
          <w:szCs w:val="20"/>
          <w:color w:val="auto"/>
        </w:rPr>
      </w:pPr>
      <w:r>
        <w:rPr>
          <w:rFonts w:ascii="Arial" w:cs="Arial" w:eastAsia="Arial" w:hAnsi="Arial"/>
          <w:sz w:val="19"/>
          <w:szCs w:val="19"/>
          <w:color w:val="2A282B"/>
        </w:rPr>
        <w:t xml:space="preserve">6.6. </w:t>
      </w:r>
      <w:r>
        <w:rPr>
          <w:rFonts w:ascii="Arial" w:cs="Arial" w:eastAsia="Arial" w:hAnsi="Arial"/>
          <w:sz w:val="19"/>
          <w:szCs w:val="19"/>
          <w:u w:val="single" w:color="auto"/>
          <w:color w:val="2A282B"/>
        </w:rPr>
        <w:t>Withdrawals for Unforeseeab</w:t>
      </w:r>
      <w:r>
        <w:rPr>
          <w:rFonts w:ascii="Arial" w:cs="Arial" w:eastAsia="Arial" w:hAnsi="Arial"/>
          <w:sz w:val="19"/>
          <w:szCs w:val="19"/>
          <w:u w:val="single" w:color="auto"/>
          <w:color w:val="33424D"/>
        </w:rPr>
        <w:t>l</w:t>
      </w:r>
      <w:r>
        <w:rPr>
          <w:rFonts w:ascii="Arial" w:cs="Arial" w:eastAsia="Arial" w:hAnsi="Arial"/>
          <w:sz w:val="19"/>
          <w:szCs w:val="19"/>
          <w:u w:val="single" w:color="auto"/>
          <w:color w:val="2A282B"/>
        </w:rPr>
        <w:t>e Emergency</w:t>
      </w:r>
      <w:r>
        <w:rPr>
          <w:rFonts w:ascii="Arial" w:cs="Arial" w:eastAsia="Arial" w:hAnsi="Arial"/>
          <w:sz w:val="19"/>
          <w:szCs w:val="19"/>
          <w:color w:val="4F5056"/>
        </w:rPr>
        <w:t>.</w:t>
      </w:r>
      <w:r>
        <w:rPr>
          <w:rFonts w:ascii="Arial" w:cs="Arial" w:eastAsia="Arial" w:hAnsi="Arial"/>
          <w:sz w:val="19"/>
          <w:szCs w:val="19"/>
          <w:color w:val="2A282B"/>
        </w:rPr>
        <w:t xml:space="preserve"> A Participant may withdraw all or any portion of such Participant’s Account balance for an Unforeseeable Emergency</w:t>
      </w:r>
      <w:r>
        <w:rPr>
          <w:rFonts w:ascii="Arial" w:cs="Arial" w:eastAsia="Arial" w:hAnsi="Arial"/>
          <w:sz w:val="19"/>
          <w:szCs w:val="19"/>
          <w:color w:val="696970"/>
        </w:rPr>
        <w:t>.</w:t>
      </w:r>
      <w:r>
        <w:rPr>
          <w:rFonts w:ascii="Arial" w:cs="Arial" w:eastAsia="Arial" w:hAnsi="Arial"/>
          <w:sz w:val="19"/>
          <w:szCs w:val="19"/>
          <w:color w:val="2A282B"/>
        </w:rPr>
        <w:t xml:space="preserve"> The amounts</w:t>
      </w:r>
    </w:p>
    <w:p>
      <w:pPr>
        <w:spacing w:after="0" w:line="372" w:lineRule="exact"/>
        <w:rPr>
          <w:sz w:val="20"/>
          <w:szCs w:val="20"/>
          <w:color w:val="auto"/>
        </w:rPr>
      </w:pPr>
    </w:p>
    <w:p>
      <w:pPr>
        <w:jc w:val="center"/>
        <w:ind w:right="240"/>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474345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20" w:top="1422" w:right="379" w:bottom="1440" w:gutter="0" w:footer="0" w:header="0"/>
        </w:sectPr>
      </w:pPr>
    </w:p>
    <w:bookmarkStart w:id="130" w:name="page131"/>
    <w:bookmarkEnd w:id="130"/>
    <w:p>
      <w:pPr>
        <w:ind w:right="20"/>
        <w:spacing w:after="0" w:line="242" w:lineRule="auto"/>
        <w:rPr>
          <w:sz w:val="20"/>
          <w:szCs w:val="20"/>
          <w:color w:val="auto"/>
        </w:rPr>
      </w:pPr>
      <w:r>
        <w:rPr>
          <w:rFonts w:ascii="Arial" w:cs="Arial" w:eastAsia="Arial" w:hAnsi="Arial"/>
          <w:sz w:val="19"/>
          <w:szCs w:val="19"/>
          <w:color w:val="2A282B"/>
        </w:rPr>
        <w:t>distributed with respect to an Unforeseeable Emergency may not exceed the amounts necessary to satisfy such Unforeseeable Emergency plus amounts necessary to pay taxes reasonably anticipated as a result of the distribut</w:t>
      </w:r>
      <w:r>
        <w:rPr>
          <w:rFonts w:ascii="Arial" w:cs="Arial" w:eastAsia="Arial" w:hAnsi="Arial"/>
          <w:sz w:val="19"/>
          <w:szCs w:val="19"/>
          <w:color w:val="696970"/>
        </w:rPr>
        <w:t>i</w:t>
      </w:r>
      <w:r>
        <w:rPr>
          <w:rFonts w:ascii="Arial" w:cs="Arial" w:eastAsia="Arial" w:hAnsi="Arial"/>
          <w:sz w:val="19"/>
          <w:szCs w:val="19"/>
          <w:color w:val="2A282B"/>
        </w:rPr>
        <w:t>on, after taking into account the extent to which such hardship is or may be relieved through reimbursement or compensation by insurance or otherwise or by liquidation of the Participant's assets (to the extent the liquidation of such assets would not itself cause severe financial hardship) or by cessation of deferrals under the Plan</w:t>
      </w:r>
      <w:r>
        <w:rPr>
          <w:rFonts w:ascii="Arial" w:cs="Arial" w:eastAsia="Arial" w:hAnsi="Arial"/>
          <w:sz w:val="19"/>
          <w:szCs w:val="19"/>
          <w:color w:val="4F5056"/>
        </w:rPr>
        <w:t>. "</w:t>
      </w:r>
      <w:r>
        <w:rPr>
          <w:rFonts w:ascii="Arial" w:cs="Arial" w:eastAsia="Arial" w:hAnsi="Arial"/>
          <w:sz w:val="19"/>
          <w:szCs w:val="19"/>
          <w:color w:val="2A282B"/>
        </w:rPr>
        <w:t>Unforeseeable Emergency" means for this purpose a severe financial hardship to a Participant resulting from an illness or accident of the Participant, the Participant's spouse, or a dependent of the Participant, loss of the Participant's property due to casualty, or other s</w:t>
      </w:r>
      <w:r>
        <w:rPr>
          <w:rFonts w:ascii="Arial" w:cs="Arial" w:eastAsia="Arial" w:hAnsi="Arial"/>
          <w:sz w:val="19"/>
          <w:szCs w:val="19"/>
          <w:color w:val="4F5056"/>
        </w:rPr>
        <w:t>i</w:t>
      </w:r>
      <w:r>
        <w:rPr>
          <w:rFonts w:ascii="Arial" w:cs="Arial" w:eastAsia="Arial" w:hAnsi="Arial"/>
          <w:sz w:val="19"/>
          <w:szCs w:val="19"/>
          <w:color w:val="2A282B"/>
        </w:rPr>
        <w:t>milar extraordinary and unforeseeable circumstances arising as a resu</w:t>
      </w:r>
      <w:r>
        <w:rPr>
          <w:rFonts w:ascii="Arial" w:cs="Arial" w:eastAsia="Arial" w:hAnsi="Arial"/>
          <w:sz w:val="19"/>
          <w:szCs w:val="19"/>
          <w:color w:val="696970"/>
        </w:rPr>
        <w:t>l</w:t>
      </w:r>
      <w:r>
        <w:rPr>
          <w:rFonts w:ascii="Arial" w:cs="Arial" w:eastAsia="Arial" w:hAnsi="Arial"/>
          <w:sz w:val="19"/>
          <w:szCs w:val="19"/>
          <w:color w:val="2A282B"/>
        </w:rPr>
        <w:t>t of events beyond the control of the Participant.</w:t>
      </w:r>
    </w:p>
    <w:p>
      <w:pPr>
        <w:spacing w:after="0" w:line="182" w:lineRule="exact"/>
        <w:rPr>
          <w:sz w:val="20"/>
          <w:szCs w:val="20"/>
          <w:color w:val="auto"/>
        </w:rPr>
      </w:pPr>
    </w:p>
    <w:p>
      <w:pPr>
        <w:ind w:right="1080" w:firstLine="747"/>
        <w:spacing w:after="0" w:line="270" w:lineRule="auto"/>
        <w:rPr>
          <w:sz w:val="20"/>
          <w:szCs w:val="20"/>
          <w:color w:val="auto"/>
        </w:rPr>
      </w:pPr>
      <w:r>
        <w:rPr>
          <w:rFonts w:ascii="Arial" w:cs="Arial" w:eastAsia="Arial" w:hAnsi="Arial"/>
          <w:sz w:val="19"/>
          <w:szCs w:val="19"/>
          <w:color w:val="2A282B"/>
        </w:rPr>
        <w:t>Unless otherwise required by IRS guidance, a Participant shall not be required to take any available hardship withdraw</w:t>
      </w:r>
      <w:r>
        <w:rPr>
          <w:rFonts w:ascii="Arial" w:cs="Arial" w:eastAsia="Arial" w:hAnsi="Arial"/>
          <w:sz w:val="19"/>
          <w:szCs w:val="19"/>
          <w:color w:val="4F5056"/>
        </w:rPr>
        <w:t>a</w:t>
      </w:r>
      <w:r>
        <w:rPr>
          <w:rFonts w:ascii="Arial" w:cs="Arial" w:eastAsia="Arial" w:hAnsi="Arial"/>
          <w:sz w:val="19"/>
          <w:szCs w:val="19"/>
          <w:color w:val="2A282B"/>
        </w:rPr>
        <w:t>ls from the 401(k) Plan before being eligible to receive a withdrawal under this section.</w:t>
      </w:r>
    </w:p>
    <w:p>
      <w:pPr>
        <w:spacing w:after="0" w:line="156" w:lineRule="exact"/>
        <w:rPr>
          <w:sz w:val="20"/>
          <w:szCs w:val="20"/>
          <w:color w:val="auto"/>
        </w:rPr>
      </w:pPr>
    </w:p>
    <w:p>
      <w:pPr>
        <w:ind w:firstLine="749"/>
        <w:spacing w:after="0" w:line="245" w:lineRule="auto"/>
        <w:rPr>
          <w:sz w:val="20"/>
          <w:szCs w:val="20"/>
          <w:color w:val="auto"/>
        </w:rPr>
      </w:pPr>
      <w:r>
        <w:rPr>
          <w:rFonts w:ascii="Arial" w:cs="Arial" w:eastAsia="Arial" w:hAnsi="Arial"/>
          <w:sz w:val="19"/>
          <w:szCs w:val="19"/>
          <w:color w:val="2A282B"/>
        </w:rPr>
        <w:t xml:space="preserve">6.7. </w:t>
      </w:r>
      <w:r>
        <w:rPr>
          <w:rFonts w:ascii="Arial" w:cs="Arial" w:eastAsia="Arial" w:hAnsi="Arial"/>
          <w:sz w:val="19"/>
          <w:szCs w:val="19"/>
          <w:u w:val="single" w:color="auto"/>
          <w:color w:val="2A282B"/>
        </w:rPr>
        <w:t>Changes in Time or Form of Distribution</w:t>
      </w:r>
      <w:r>
        <w:rPr>
          <w:rFonts w:ascii="Arial" w:cs="Arial" w:eastAsia="Arial" w:hAnsi="Arial"/>
          <w:sz w:val="19"/>
          <w:szCs w:val="19"/>
          <w:color w:val="2A282B"/>
        </w:rPr>
        <w:t>. To the extent permitted in accordance with procedures established by the Plan Administrator, including (without limitation) restrictions with respect to the frequency with which participants can make such elections, a Participant may make one or more subsequent e</w:t>
      </w:r>
      <w:r>
        <w:rPr>
          <w:rFonts w:ascii="Arial" w:cs="Arial" w:eastAsia="Arial" w:hAnsi="Arial"/>
          <w:sz w:val="19"/>
          <w:szCs w:val="19"/>
          <w:color w:val="696970"/>
        </w:rPr>
        <w:t>l</w:t>
      </w:r>
      <w:r>
        <w:rPr>
          <w:rFonts w:ascii="Arial" w:cs="Arial" w:eastAsia="Arial" w:hAnsi="Arial"/>
          <w:sz w:val="19"/>
          <w:szCs w:val="19"/>
          <w:color w:val="2A282B"/>
        </w:rPr>
        <w:t xml:space="preserve">ections to change the time or form of a distribution </w:t>
      </w:r>
      <w:r>
        <w:rPr>
          <w:rFonts w:ascii="Arial" w:cs="Arial" w:eastAsia="Arial" w:hAnsi="Arial"/>
          <w:sz w:val="19"/>
          <w:szCs w:val="19"/>
          <w:color w:val="1F1F1F"/>
        </w:rPr>
        <w:t>to be made as of a</w:t>
      </w:r>
      <w:r>
        <w:rPr>
          <w:rFonts w:ascii="Arial" w:cs="Arial" w:eastAsia="Arial" w:hAnsi="Arial"/>
          <w:sz w:val="19"/>
          <w:szCs w:val="19"/>
          <w:color w:val="2A282B"/>
        </w:rPr>
        <w:t xml:space="preserve"> </w:t>
      </w:r>
      <w:r>
        <w:rPr>
          <w:rFonts w:ascii="Arial" w:cs="Arial" w:eastAsia="Arial" w:hAnsi="Arial"/>
          <w:sz w:val="19"/>
          <w:szCs w:val="19"/>
          <w:color w:val="1F1F1F"/>
        </w:rPr>
        <w:t>specified time or upon the occurrence of a distributable event for a deferred amount, but such an election will be effective only if the following conditions are satisfied:</w:t>
      </w:r>
    </w:p>
    <w:p>
      <w:pPr>
        <w:spacing w:after="0" w:line="181" w:lineRule="exact"/>
        <w:rPr>
          <w:sz w:val="20"/>
          <w:szCs w:val="20"/>
          <w:color w:val="auto"/>
        </w:rPr>
      </w:pPr>
    </w:p>
    <w:p>
      <w:pPr>
        <w:ind w:left="1720" w:hanging="320"/>
        <w:spacing w:after="0"/>
        <w:tabs>
          <w:tab w:leader="none" w:pos="1720" w:val="left"/>
        </w:tabs>
        <w:numPr>
          <w:ilvl w:val="0"/>
          <w:numId w:val="71"/>
        </w:numPr>
        <w:rPr>
          <w:rFonts w:ascii="Arial" w:cs="Arial" w:eastAsia="Arial" w:hAnsi="Arial"/>
          <w:sz w:val="19"/>
          <w:szCs w:val="19"/>
          <w:color w:val="1F1F1F"/>
        </w:rPr>
      </w:pPr>
      <w:r>
        <w:rPr>
          <w:rFonts w:ascii="Arial" w:cs="Arial" w:eastAsia="Arial" w:hAnsi="Arial"/>
          <w:sz w:val="19"/>
          <w:szCs w:val="19"/>
          <w:color w:val="1F1F1F"/>
        </w:rPr>
        <w:t>The election may not take effect until at least twelve (12) months after the date on which the</w:t>
      </w:r>
    </w:p>
    <w:p>
      <w:pPr>
        <w:spacing w:after="0" w:line="15" w:lineRule="exact"/>
        <w:rPr>
          <w:rFonts w:ascii="Arial" w:cs="Arial" w:eastAsia="Arial" w:hAnsi="Arial"/>
          <w:sz w:val="19"/>
          <w:szCs w:val="19"/>
          <w:color w:val="1F1F1F"/>
        </w:rPr>
      </w:pPr>
    </w:p>
    <w:p>
      <w:pPr>
        <w:spacing w:after="0"/>
        <w:rPr>
          <w:rFonts w:ascii="Arial" w:cs="Arial" w:eastAsia="Arial" w:hAnsi="Arial"/>
          <w:sz w:val="19"/>
          <w:szCs w:val="19"/>
          <w:color w:val="1F1F1F"/>
        </w:rPr>
      </w:pPr>
      <w:r>
        <w:rPr>
          <w:rFonts w:ascii="Arial" w:cs="Arial" w:eastAsia="Arial" w:hAnsi="Arial"/>
          <w:sz w:val="19"/>
          <w:szCs w:val="19"/>
          <w:color w:val="1F1F1F"/>
        </w:rPr>
        <w:t>election is made;</w:t>
      </w:r>
    </w:p>
    <w:p>
      <w:pPr>
        <w:spacing w:after="0" w:line="195" w:lineRule="exact"/>
        <w:rPr>
          <w:rFonts w:ascii="Arial" w:cs="Arial" w:eastAsia="Arial" w:hAnsi="Arial"/>
          <w:sz w:val="19"/>
          <w:szCs w:val="19"/>
          <w:color w:val="1F1F1F"/>
        </w:rPr>
      </w:pPr>
    </w:p>
    <w:p>
      <w:pPr>
        <w:ind w:right="1360" w:firstLine="1400"/>
        <w:spacing w:after="0" w:line="270" w:lineRule="auto"/>
        <w:tabs>
          <w:tab w:leader="none" w:pos="1718" w:val="left"/>
        </w:tabs>
        <w:numPr>
          <w:ilvl w:val="0"/>
          <w:numId w:val="71"/>
        </w:numPr>
        <w:rPr>
          <w:rFonts w:ascii="Arial" w:cs="Arial" w:eastAsia="Arial" w:hAnsi="Arial"/>
          <w:sz w:val="19"/>
          <w:szCs w:val="19"/>
          <w:color w:val="1F1F1F"/>
        </w:rPr>
      </w:pPr>
      <w:r>
        <w:rPr>
          <w:rFonts w:ascii="Arial" w:cs="Arial" w:eastAsia="Arial" w:hAnsi="Arial"/>
          <w:sz w:val="19"/>
          <w:szCs w:val="19"/>
          <w:color w:val="1F1F1F"/>
        </w:rPr>
        <w:t>A distribution may not be made earlier than at least five (5) years from the date the distribution would have otherwise been made;</w:t>
      </w:r>
    </w:p>
    <w:p>
      <w:pPr>
        <w:spacing w:after="0" w:line="156" w:lineRule="exact"/>
        <w:rPr>
          <w:rFonts w:ascii="Arial" w:cs="Arial" w:eastAsia="Arial" w:hAnsi="Arial"/>
          <w:sz w:val="19"/>
          <w:szCs w:val="19"/>
          <w:color w:val="1F1F1F"/>
        </w:rPr>
      </w:pPr>
    </w:p>
    <w:p>
      <w:pPr>
        <w:jc w:val="both"/>
        <w:ind w:right="1380" w:firstLine="1400"/>
        <w:spacing w:after="0" w:line="299" w:lineRule="auto"/>
        <w:tabs>
          <w:tab w:leader="none" w:pos="1718" w:val="left"/>
        </w:tabs>
        <w:numPr>
          <w:ilvl w:val="0"/>
          <w:numId w:val="71"/>
        </w:numPr>
        <w:rPr>
          <w:rFonts w:ascii="Arial" w:cs="Arial" w:eastAsia="Arial" w:hAnsi="Arial"/>
          <w:sz w:val="18"/>
          <w:szCs w:val="18"/>
          <w:color w:val="1F1F1F"/>
        </w:rPr>
      </w:pPr>
      <w:r>
        <w:rPr>
          <w:rFonts w:ascii="Arial" w:cs="Arial" w:eastAsia="Arial" w:hAnsi="Arial"/>
          <w:sz w:val="18"/>
          <w:szCs w:val="18"/>
          <w:color w:val="1F1F1F"/>
        </w:rPr>
        <w:t>In the case of an election to change the time or form of a distribution payable as of a specified time, the election must be made at least twelve (12) months before the date of the first scheduled distribution; and</w:t>
      </w:r>
    </w:p>
    <w:p>
      <w:pPr>
        <w:spacing w:after="0" w:line="132" w:lineRule="exact"/>
        <w:rPr>
          <w:rFonts w:ascii="Arial" w:cs="Arial" w:eastAsia="Arial" w:hAnsi="Arial"/>
          <w:sz w:val="18"/>
          <w:szCs w:val="18"/>
          <w:color w:val="1F1F1F"/>
        </w:rPr>
      </w:pPr>
    </w:p>
    <w:p>
      <w:pPr>
        <w:ind w:left="1720" w:hanging="320"/>
        <w:spacing w:after="0"/>
        <w:tabs>
          <w:tab w:leader="none" w:pos="1720" w:val="left"/>
        </w:tabs>
        <w:numPr>
          <w:ilvl w:val="0"/>
          <w:numId w:val="71"/>
        </w:numPr>
        <w:rPr>
          <w:rFonts w:ascii="Arial" w:cs="Arial" w:eastAsia="Arial" w:hAnsi="Arial"/>
          <w:sz w:val="19"/>
          <w:szCs w:val="19"/>
          <w:color w:val="1F1F1F"/>
        </w:rPr>
      </w:pPr>
      <w:r>
        <w:rPr>
          <w:rFonts w:ascii="Arial" w:cs="Arial" w:eastAsia="Arial" w:hAnsi="Arial"/>
          <w:sz w:val="19"/>
          <w:szCs w:val="19"/>
          <w:color w:val="1F1F1F"/>
        </w:rPr>
        <w:t>The election may not result in an impermissible acceleration of payment prohibited under Code</w:t>
      </w:r>
    </w:p>
    <w:p>
      <w:pPr>
        <w:spacing w:after="0" w:line="15" w:lineRule="exact"/>
        <w:rPr>
          <w:rFonts w:ascii="Arial" w:cs="Arial" w:eastAsia="Arial" w:hAnsi="Arial"/>
          <w:sz w:val="19"/>
          <w:szCs w:val="19"/>
          <w:color w:val="1F1F1F"/>
        </w:rPr>
      </w:pPr>
    </w:p>
    <w:p>
      <w:pPr>
        <w:spacing w:after="0"/>
        <w:rPr>
          <w:rFonts w:ascii="Arial" w:cs="Arial" w:eastAsia="Arial" w:hAnsi="Arial"/>
          <w:sz w:val="19"/>
          <w:szCs w:val="19"/>
          <w:color w:val="1F1F1F"/>
        </w:rPr>
      </w:pPr>
      <w:r>
        <w:rPr>
          <w:rFonts w:ascii="Arial" w:cs="Arial" w:eastAsia="Arial" w:hAnsi="Arial"/>
          <w:sz w:val="19"/>
          <w:szCs w:val="19"/>
          <w:color w:val="1F1F1F"/>
        </w:rPr>
        <w:t>section 409A.</w:t>
      </w:r>
    </w:p>
    <w:p>
      <w:pPr>
        <w:spacing w:after="0" w:line="196" w:lineRule="exact"/>
        <w:rPr>
          <w:sz w:val="20"/>
          <w:szCs w:val="20"/>
          <w:color w:val="auto"/>
        </w:rPr>
      </w:pPr>
    </w:p>
    <w:p>
      <w:pPr>
        <w:ind w:firstLine="749"/>
        <w:spacing w:after="0" w:line="270" w:lineRule="auto"/>
        <w:rPr>
          <w:sz w:val="20"/>
          <w:szCs w:val="20"/>
          <w:color w:val="auto"/>
        </w:rPr>
      </w:pPr>
      <w:r>
        <w:rPr>
          <w:rFonts w:ascii="Arial" w:cs="Arial" w:eastAsia="Arial" w:hAnsi="Arial"/>
          <w:sz w:val="19"/>
          <w:szCs w:val="19"/>
          <w:color w:val="1F1F1F"/>
        </w:rPr>
        <w:t xml:space="preserve">6.8. </w:t>
      </w:r>
      <w:r>
        <w:rPr>
          <w:rFonts w:ascii="Arial" w:cs="Arial" w:eastAsia="Arial" w:hAnsi="Arial"/>
          <w:sz w:val="19"/>
          <w:szCs w:val="19"/>
          <w:u w:val="single" w:color="auto"/>
          <w:color w:val="1F1F1F"/>
        </w:rPr>
        <w:t>Effect of Taxation</w:t>
      </w:r>
      <w:r>
        <w:rPr>
          <w:rFonts w:ascii="Arial" w:cs="Arial" w:eastAsia="Arial" w:hAnsi="Arial"/>
          <w:sz w:val="19"/>
          <w:szCs w:val="19"/>
          <w:color w:val="1F1F1F"/>
        </w:rPr>
        <w:t>. If a portion of the Participant's Account balance is includible in income under Code section 409A, such portion shall be distributed immediately to the Participant.</w:t>
      </w:r>
    </w:p>
    <w:p>
      <w:pPr>
        <w:spacing w:after="0" w:line="156" w:lineRule="exact"/>
        <w:rPr>
          <w:sz w:val="20"/>
          <w:szCs w:val="20"/>
          <w:color w:val="auto"/>
        </w:rPr>
      </w:pPr>
    </w:p>
    <w:p>
      <w:pPr>
        <w:ind w:right="120" w:firstLine="749"/>
        <w:spacing w:after="0" w:line="245" w:lineRule="auto"/>
        <w:rPr>
          <w:sz w:val="20"/>
          <w:szCs w:val="20"/>
          <w:color w:val="auto"/>
        </w:rPr>
      </w:pPr>
      <w:r>
        <w:rPr>
          <w:rFonts w:ascii="Arial" w:cs="Arial" w:eastAsia="Arial" w:hAnsi="Arial"/>
          <w:sz w:val="19"/>
          <w:szCs w:val="19"/>
          <w:color w:val="1F1F1F"/>
        </w:rPr>
        <w:t xml:space="preserve">6.9. </w:t>
      </w:r>
      <w:r>
        <w:rPr>
          <w:rFonts w:ascii="Arial" w:cs="Arial" w:eastAsia="Arial" w:hAnsi="Arial"/>
          <w:sz w:val="19"/>
          <w:szCs w:val="19"/>
          <w:u w:val="single" w:color="auto"/>
          <w:color w:val="1F1F1F"/>
        </w:rPr>
        <w:t>Payment of Taxes</w:t>
      </w:r>
      <w:r>
        <w:rPr>
          <w:rFonts w:ascii="Arial" w:cs="Arial" w:eastAsia="Arial" w:hAnsi="Arial"/>
          <w:sz w:val="19"/>
          <w:szCs w:val="19"/>
          <w:color w:val="1F1F1F"/>
        </w:rPr>
        <w:t>. If state, local, or foreign tax obligations arise from participation in the Plan that apply to an amount deferred under the Plan before such amount is paid or made available to the Participant (the "Taxes"), the Company shall pay a portion of such deferred amount by distribution (a) to the Participant in the form of withholding pursuant to provisions of applicable state, local, or foreign law; or (b) directly to the Participant. In no event shall the total payment under this Section 6.9 exceed the aggregate amount of the Taxes, and the income tax withholding related to such Taxes.</w:t>
      </w:r>
    </w:p>
    <w:p>
      <w:pPr>
        <w:spacing w:after="0" w:line="181" w:lineRule="exact"/>
        <w:rPr>
          <w:sz w:val="20"/>
          <w:szCs w:val="20"/>
          <w:color w:val="auto"/>
        </w:rPr>
      </w:pPr>
    </w:p>
    <w:p>
      <w:pPr>
        <w:ind w:firstLine="749"/>
        <w:spacing w:after="0" w:line="274" w:lineRule="auto"/>
        <w:rPr>
          <w:sz w:val="20"/>
          <w:szCs w:val="20"/>
          <w:color w:val="auto"/>
        </w:rPr>
      </w:pPr>
      <w:r>
        <w:rPr>
          <w:rFonts w:ascii="Arial" w:cs="Arial" w:eastAsia="Arial" w:hAnsi="Arial"/>
          <w:sz w:val="18"/>
          <w:szCs w:val="18"/>
          <w:color w:val="1F1F1F"/>
        </w:rPr>
        <w:t xml:space="preserve">6.10. </w:t>
      </w:r>
      <w:r>
        <w:rPr>
          <w:rFonts w:ascii="Arial" w:cs="Arial" w:eastAsia="Arial" w:hAnsi="Arial"/>
          <w:sz w:val="18"/>
          <w:szCs w:val="18"/>
          <w:u w:val="single" w:color="auto"/>
          <w:color w:val="1F1F1F"/>
        </w:rPr>
        <w:t>Settlement of Bona Fide Dispute</w:t>
      </w:r>
      <w:r>
        <w:rPr>
          <w:rFonts w:ascii="Arial" w:cs="Arial" w:eastAsia="Arial" w:hAnsi="Arial"/>
          <w:sz w:val="18"/>
          <w:szCs w:val="18"/>
          <w:color w:val="1F1F1F"/>
        </w:rPr>
        <w:t>. Subject to certain presumptions under Code section 409A, if an arm's length, bona fide dispute between a Participant and the Company arises as to the Participant's right to an amount deferred under the Plan, the payment of the deferred amount as part of a settlement of such dispute shall be distributed immediately to the Participant.</w:t>
      </w:r>
    </w:p>
    <w:p>
      <w:pPr>
        <w:spacing w:after="0" w:line="200" w:lineRule="exact"/>
        <w:rPr>
          <w:sz w:val="20"/>
          <w:szCs w:val="20"/>
          <w:color w:val="auto"/>
        </w:rPr>
      </w:pPr>
    </w:p>
    <w:p>
      <w:pPr>
        <w:spacing w:after="0" w:line="387" w:lineRule="exact"/>
        <w:rPr>
          <w:sz w:val="20"/>
          <w:szCs w:val="20"/>
          <w:color w:val="auto"/>
        </w:rPr>
      </w:pPr>
    </w:p>
    <w:p>
      <w:pPr>
        <w:jc w:val="center"/>
        <w:ind w:right="260"/>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474345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620" w:top="1422" w:right="359" w:bottom="1440" w:gutter="0" w:footer="0" w:header="0"/>
        </w:sectPr>
      </w:pPr>
    </w:p>
    <w:bookmarkStart w:id="131" w:name="page132"/>
    <w:bookmarkEnd w:id="131"/>
    <w:p>
      <w:pPr>
        <w:ind w:right="40" w:firstLine="749"/>
        <w:spacing w:after="0" w:line="243" w:lineRule="auto"/>
        <w:rPr>
          <w:sz w:val="20"/>
          <w:szCs w:val="20"/>
          <w:color w:val="auto"/>
        </w:rPr>
      </w:pPr>
      <w:r>
        <w:rPr>
          <w:rFonts w:ascii="Arial" w:cs="Arial" w:eastAsia="Arial" w:hAnsi="Arial"/>
          <w:sz w:val="19"/>
          <w:szCs w:val="19"/>
          <w:color w:val="1F1F1F"/>
        </w:rPr>
        <w:t xml:space="preserve">6.11. </w:t>
      </w:r>
      <w:r>
        <w:rPr>
          <w:rFonts w:ascii="Arial" w:cs="Arial" w:eastAsia="Arial" w:hAnsi="Arial"/>
          <w:sz w:val="19"/>
          <w:szCs w:val="19"/>
          <w:u w:val="single" w:color="auto"/>
          <w:color w:val="1F1F1F"/>
        </w:rPr>
        <w:t>Offset for Obligations to Company</w:t>
      </w:r>
      <w:r>
        <w:rPr>
          <w:rFonts w:ascii="Arial" w:cs="Arial" w:eastAsia="Arial" w:hAnsi="Arial"/>
          <w:sz w:val="19"/>
          <w:szCs w:val="19"/>
          <w:color w:val="1F1F1F"/>
        </w:rPr>
        <w:t>. If the Participant has any debt, obligation or other liability representing an amount owing to the Company (the "Debt"), incurred in the ordinary course of such Participant’s employment relationship, the Company shall offset the Debt against the Participant's Account balance. The Company shall reduce the Participant's Account balance in satisfaction of the Debt at the same time and in the same amount as the Debt otherwise would have been due and collected from the Participant; provided however, in no event shall the amount of such offset in any of the Company's taxable years exceed $5,000.</w:t>
      </w:r>
    </w:p>
    <w:p>
      <w:pPr>
        <w:spacing w:after="0" w:line="185" w:lineRule="exact"/>
        <w:rPr>
          <w:sz w:val="20"/>
          <w:szCs w:val="20"/>
          <w:color w:val="auto"/>
        </w:rPr>
      </w:pPr>
    </w:p>
    <w:p>
      <w:pPr>
        <w:ind w:firstLine="749"/>
        <w:spacing w:after="0" w:line="270" w:lineRule="auto"/>
        <w:rPr>
          <w:sz w:val="20"/>
          <w:szCs w:val="20"/>
          <w:color w:val="auto"/>
        </w:rPr>
      </w:pPr>
      <w:r>
        <w:rPr>
          <w:rFonts w:ascii="Arial" w:cs="Arial" w:eastAsia="Arial" w:hAnsi="Arial"/>
          <w:sz w:val="19"/>
          <w:szCs w:val="19"/>
          <w:color w:val="28282A"/>
        </w:rPr>
        <w:t xml:space="preserve">6.12. </w:t>
      </w:r>
      <w:r>
        <w:rPr>
          <w:rFonts w:ascii="Arial" w:cs="Arial" w:eastAsia="Arial" w:hAnsi="Arial"/>
          <w:sz w:val="19"/>
          <w:szCs w:val="19"/>
          <w:u w:val="single" w:color="auto"/>
          <w:color w:val="28282A"/>
        </w:rPr>
        <w:t>2005 Deferred Compensation</w:t>
      </w:r>
      <w:r>
        <w:rPr>
          <w:rFonts w:ascii="Arial" w:cs="Arial" w:eastAsia="Arial" w:hAnsi="Arial"/>
          <w:sz w:val="19"/>
          <w:szCs w:val="19"/>
          <w:color w:val="28282A"/>
        </w:rPr>
        <w:t>. Except as provided in Appendix C</w:t>
      </w:r>
      <w:r>
        <w:rPr>
          <w:rFonts w:ascii="Arial" w:cs="Arial" w:eastAsia="Arial" w:hAnsi="Arial"/>
          <w:sz w:val="19"/>
          <w:szCs w:val="19"/>
          <w:color w:val="4B484D"/>
        </w:rPr>
        <w:t>,</w:t>
      </w:r>
      <w:r>
        <w:rPr>
          <w:rFonts w:ascii="Arial" w:cs="Arial" w:eastAsia="Arial" w:hAnsi="Arial"/>
          <w:sz w:val="19"/>
          <w:szCs w:val="19"/>
          <w:color w:val="28282A"/>
        </w:rPr>
        <w:t xml:space="preserve"> Sections 6.1 - 6.11 shall govern the distribution of compensation earned and deferred under the Plan during the 2005 Plan Year.</w:t>
      </w:r>
    </w:p>
    <w:p>
      <w:pPr>
        <w:spacing w:after="0" w:line="156" w:lineRule="exact"/>
        <w:rPr>
          <w:sz w:val="20"/>
          <w:szCs w:val="20"/>
          <w:color w:val="auto"/>
        </w:rPr>
      </w:pPr>
    </w:p>
    <w:p>
      <w:pPr>
        <w:jc w:val="both"/>
        <w:ind w:right="560" w:firstLine="749"/>
        <w:spacing w:after="0" w:line="254" w:lineRule="auto"/>
        <w:rPr>
          <w:sz w:val="20"/>
          <w:szCs w:val="20"/>
          <w:color w:val="auto"/>
        </w:rPr>
      </w:pPr>
      <w:r>
        <w:rPr>
          <w:rFonts w:ascii="Arial" w:cs="Arial" w:eastAsia="Arial" w:hAnsi="Arial"/>
          <w:sz w:val="19"/>
          <w:szCs w:val="19"/>
          <w:color w:val="28282A"/>
        </w:rPr>
        <w:t xml:space="preserve">6.13. </w:t>
      </w:r>
      <w:r>
        <w:rPr>
          <w:rFonts w:ascii="Arial" w:cs="Arial" w:eastAsia="Arial" w:hAnsi="Arial"/>
          <w:sz w:val="19"/>
          <w:szCs w:val="19"/>
          <w:u w:val="single" w:color="auto"/>
          <w:color w:val="28282A"/>
        </w:rPr>
        <w:t>Pre-2005 Deferrals</w:t>
      </w:r>
      <w:r>
        <w:rPr>
          <w:rFonts w:ascii="Arial" w:cs="Arial" w:eastAsia="Arial" w:hAnsi="Arial"/>
          <w:sz w:val="19"/>
          <w:szCs w:val="19"/>
          <w:color w:val="28282A"/>
        </w:rPr>
        <w:t>. Notwithstanding the foregoing, Appendix B governs t</w:t>
      </w:r>
      <w:r>
        <w:rPr>
          <w:rFonts w:ascii="Arial" w:cs="Arial" w:eastAsia="Arial" w:hAnsi="Arial"/>
          <w:sz w:val="19"/>
          <w:szCs w:val="19"/>
          <w:color w:val="4B484D"/>
        </w:rPr>
        <w:t>h</w:t>
      </w:r>
      <w:r>
        <w:rPr>
          <w:rFonts w:ascii="Arial" w:cs="Arial" w:eastAsia="Arial" w:hAnsi="Arial"/>
          <w:sz w:val="19"/>
          <w:szCs w:val="19"/>
          <w:color w:val="28282A"/>
        </w:rPr>
        <w:t xml:space="preserve">e distribution of amounts that were earned and vested </w:t>
      </w:r>
      <w:r>
        <w:rPr>
          <w:rFonts w:ascii="Arial" w:cs="Arial" w:eastAsia="Arial" w:hAnsi="Arial"/>
          <w:sz w:val="19"/>
          <w:szCs w:val="19"/>
          <w:color w:val="42212A"/>
        </w:rPr>
        <w:t>(within</w:t>
      </w:r>
      <w:r>
        <w:rPr>
          <w:rFonts w:ascii="Arial" w:cs="Arial" w:eastAsia="Arial" w:hAnsi="Arial"/>
          <w:sz w:val="19"/>
          <w:szCs w:val="19"/>
          <w:color w:val="28282A"/>
        </w:rPr>
        <w:t xml:space="preserve"> the meaning of Code section 409A and regulations thereunder) under the Plan prior to 2005 (and earnings t</w:t>
      </w:r>
      <w:r>
        <w:rPr>
          <w:rFonts w:ascii="Arial" w:cs="Arial" w:eastAsia="Arial" w:hAnsi="Arial"/>
          <w:sz w:val="19"/>
          <w:szCs w:val="19"/>
          <w:color w:val="4B484D"/>
        </w:rPr>
        <w:t>h</w:t>
      </w:r>
      <w:r>
        <w:rPr>
          <w:rFonts w:ascii="Arial" w:cs="Arial" w:eastAsia="Arial" w:hAnsi="Arial"/>
          <w:sz w:val="19"/>
          <w:szCs w:val="19"/>
          <w:color w:val="28282A"/>
        </w:rPr>
        <w:t>ereon) and are exempt from the requirements of Code section 409A</w:t>
      </w:r>
      <w:r>
        <w:rPr>
          <w:rFonts w:ascii="Arial" w:cs="Arial" w:eastAsia="Arial" w:hAnsi="Arial"/>
          <w:sz w:val="19"/>
          <w:szCs w:val="19"/>
          <w:color w:val="5B595B"/>
        </w:rPr>
        <w:t>.</w:t>
      </w:r>
    </w:p>
    <w:p>
      <w:pPr>
        <w:spacing w:after="0" w:line="170" w:lineRule="exact"/>
        <w:rPr>
          <w:sz w:val="20"/>
          <w:szCs w:val="20"/>
          <w:color w:val="auto"/>
        </w:rPr>
      </w:pPr>
    </w:p>
    <w:p>
      <w:pPr>
        <w:ind w:left="800" w:hanging="792"/>
        <w:spacing w:after="0"/>
        <w:tabs>
          <w:tab w:leader="none" w:pos="800" w:val="left"/>
        </w:tabs>
        <w:numPr>
          <w:ilvl w:val="0"/>
          <w:numId w:val="72"/>
        </w:numPr>
        <w:rPr>
          <w:rFonts w:ascii="Arial" w:cs="Arial" w:eastAsia="Arial" w:hAnsi="Arial"/>
          <w:sz w:val="19"/>
          <w:szCs w:val="19"/>
          <w:color w:val="28282A"/>
        </w:rPr>
      </w:pPr>
      <w:r>
        <w:rPr>
          <w:rFonts w:ascii="Arial" w:cs="Arial" w:eastAsia="Arial" w:hAnsi="Arial"/>
          <w:sz w:val="19"/>
          <w:szCs w:val="19"/>
          <w:u w:val="single" w:color="auto"/>
          <w:color w:val="28282A"/>
        </w:rPr>
        <w:t>Administration</w:t>
      </w:r>
      <w:r>
        <w:rPr>
          <w:rFonts w:ascii="Arial" w:cs="Arial" w:eastAsia="Arial" w:hAnsi="Arial"/>
          <w:sz w:val="19"/>
          <w:szCs w:val="19"/>
          <w:color w:val="28282A"/>
        </w:rPr>
        <w:t>.</w:t>
      </w:r>
    </w:p>
    <w:p>
      <w:pPr>
        <w:spacing w:after="0" w:line="214" w:lineRule="exact"/>
        <w:rPr>
          <w:sz w:val="20"/>
          <w:szCs w:val="20"/>
          <w:color w:val="auto"/>
        </w:rPr>
      </w:pPr>
    </w:p>
    <w:p>
      <w:pPr>
        <w:ind w:right="160" w:firstLine="749"/>
        <w:spacing w:after="0" w:line="255" w:lineRule="auto"/>
        <w:rPr>
          <w:sz w:val="20"/>
          <w:szCs w:val="20"/>
          <w:color w:val="auto"/>
        </w:rPr>
      </w:pPr>
      <w:r>
        <w:rPr>
          <w:rFonts w:ascii="Arial" w:cs="Arial" w:eastAsia="Arial" w:hAnsi="Arial"/>
          <w:sz w:val="18"/>
          <w:szCs w:val="18"/>
          <w:color w:val="28282A"/>
        </w:rPr>
        <w:t xml:space="preserve">7.1. </w:t>
      </w:r>
      <w:r>
        <w:rPr>
          <w:rFonts w:ascii="Arial" w:cs="Arial" w:eastAsia="Arial" w:hAnsi="Arial"/>
          <w:sz w:val="18"/>
          <w:szCs w:val="18"/>
          <w:u w:val="single" w:color="auto"/>
          <w:color w:val="28282A"/>
        </w:rPr>
        <w:t>General Administration</w:t>
      </w:r>
      <w:r>
        <w:rPr>
          <w:rFonts w:ascii="Arial" w:cs="Arial" w:eastAsia="Arial" w:hAnsi="Arial"/>
          <w:sz w:val="18"/>
          <w:szCs w:val="18"/>
          <w:color w:val="28282A"/>
        </w:rPr>
        <w:t xml:space="preserve">. The Plan Administrator shall be responsible for </w:t>
      </w:r>
      <w:r>
        <w:rPr>
          <w:rFonts w:ascii="Arial" w:cs="Arial" w:eastAsia="Arial" w:hAnsi="Arial"/>
          <w:sz w:val="18"/>
          <w:szCs w:val="18"/>
          <w:color w:val="4B484D"/>
        </w:rPr>
        <w:t>th</w:t>
      </w:r>
      <w:r>
        <w:rPr>
          <w:rFonts w:ascii="Arial" w:cs="Arial" w:eastAsia="Arial" w:hAnsi="Arial"/>
          <w:sz w:val="18"/>
          <w:szCs w:val="18"/>
          <w:color w:val="28282A"/>
        </w:rPr>
        <w:t>e operation and administration of the Plan and for carrying out the provisions hereof. The Plan Administrator shall have the full authority and discretion to make</w:t>
      </w:r>
      <w:r>
        <w:rPr>
          <w:rFonts w:ascii="Arial" w:cs="Arial" w:eastAsia="Arial" w:hAnsi="Arial"/>
          <w:sz w:val="18"/>
          <w:szCs w:val="18"/>
          <w:color w:val="4B484D"/>
        </w:rPr>
        <w:t>,</w:t>
      </w:r>
      <w:r>
        <w:rPr>
          <w:rFonts w:ascii="Arial" w:cs="Arial" w:eastAsia="Arial" w:hAnsi="Arial"/>
          <w:sz w:val="18"/>
          <w:szCs w:val="18"/>
          <w:color w:val="28282A"/>
        </w:rPr>
        <w:t xml:space="preserve"> amend, interpret, and enforce all appropriate rules and regulations for the administration of this P </w:t>
      </w:r>
      <w:r>
        <w:rPr>
          <w:rFonts w:ascii="Arial" w:cs="Arial" w:eastAsia="Arial" w:hAnsi="Arial"/>
          <w:sz w:val="18"/>
          <w:szCs w:val="18"/>
          <w:color w:val="6B696E"/>
        </w:rPr>
        <w:t>l</w:t>
      </w:r>
      <w:r>
        <w:rPr>
          <w:rFonts w:ascii="Arial" w:cs="Arial" w:eastAsia="Arial" w:hAnsi="Arial"/>
          <w:sz w:val="18"/>
          <w:szCs w:val="18"/>
          <w:color w:val="28282A"/>
        </w:rPr>
        <w:t xml:space="preserve">an and decide or resolve any and all questions, including </w:t>
      </w:r>
      <w:r>
        <w:rPr>
          <w:rFonts w:ascii="Arial" w:cs="Arial" w:eastAsia="Arial" w:hAnsi="Arial"/>
          <w:sz w:val="18"/>
          <w:szCs w:val="18"/>
          <w:color w:val="42212A"/>
        </w:rPr>
        <w:t>interpretations</w:t>
      </w:r>
      <w:r>
        <w:rPr>
          <w:rFonts w:ascii="Arial" w:cs="Arial" w:eastAsia="Arial" w:hAnsi="Arial"/>
          <w:sz w:val="18"/>
          <w:szCs w:val="18"/>
          <w:color w:val="28282A"/>
        </w:rPr>
        <w:t xml:space="preserve"> of this Plan, as may arise in connection with this Plan. Except as otherwise provided in Section 7</w:t>
      </w:r>
      <w:r>
        <w:rPr>
          <w:rFonts w:ascii="Arial" w:cs="Arial" w:eastAsia="Arial" w:hAnsi="Arial"/>
          <w:sz w:val="18"/>
          <w:szCs w:val="18"/>
          <w:color w:val="5B595B"/>
        </w:rPr>
        <w:t>.</w:t>
      </w:r>
      <w:r>
        <w:rPr>
          <w:rFonts w:ascii="Arial" w:cs="Arial" w:eastAsia="Arial" w:hAnsi="Arial"/>
          <w:sz w:val="18"/>
          <w:szCs w:val="18"/>
          <w:color w:val="28282A"/>
        </w:rPr>
        <w:t>2, any such action taken by the Plan Administrator shall be final and conclusive on any party</w:t>
      </w:r>
      <w:r>
        <w:rPr>
          <w:rFonts w:ascii="Arial" w:cs="Arial" w:eastAsia="Arial" w:hAnsi="Arial"/>
          <w:sz w:val="18"/>
          <w:szCs w:val="18"/>
          <w:color w:val="4B484D"/>
        </w:rPr>
        <w:t>.</w:t>
      </w:r>
      <w:r>
        <w:rPr>
          <w:rFonts w:ascii="Arial" w:cs="Arial" w:eastAsia="Arial" w:hAnsi="Arial"/>
          <w:sz w:val="18"/>
          <w:szCs w:val="18"/>
          <w:color w:val="28282A"/>
        </w:rPr>
        <w:t xml:space="preserve"> To the extent the Plan Administrator has been granted discretionary authority </w:t>
      </w:r>
      <w:r>
        <w:rPr>
          <w:rFonts w:ascii="Arial" w:cs="Arial" w:eastAsia="Arial" w:hAnsi="Arial"/>
          <w:sz w:val="18"/>
          <w:szCs w:val="18"/>
          <w:color w:val="4B484D"/>
        </w:rPr>
        <w:t>u</w:t>
      </w:r>
      <w:r>
        <w:rPr>
          <w:rFonts w:ascii="Arial" w:cs="Arial" w:eastAsia="Arial" w:hAnsi="Arial"/>
          <w:sz w:val="18"/>
          <w:szCs w:val="18"/>
          <w:color w:val="28282A"/>
        </w:rPr>
        <w:t>nder the Plan, the Plan Administrator's prior exercise of such authority shall not obligate it to exercise its authority in a like fashion thereafter. The Plan Administrator shall be e</w:t>
      </w:r>
      <w:r>
        <w:rPr>
          <w:rFonts w:ascii="Arial" w:cs="Arial" w:eastAsia="Arial" w:hAnsi="Arial"/>
          <w:sz w:val="18"/>
          <w:szCs w:val="18"/>
          <w:color w:val="4B484D"/>
        </w:rPr>
        <w:t>n</w:t>
      </w:r>
      <w:r>
        <w:rPr>
          <w:rFonts w:ascii="Arial" w:cs="Arial" w:eastAsia="Arial" w:hAnsi="Arial"/>
          <w:sz w:val="18"/>
          <w:szCs w:val="18"/>
          <w:color w:val="28282A"/>
        </w:rPr>
        <w:t>titled to rely conclus</w:t>
      </w:r>
      <w:r>
        <w:rPr>
          <w:rFonts w:ascii="Arial" w:cs="Arial" w:eastAsia="Arial" w:hAnsi="Arial"/>
          <w:sz w:val="18"/>
          <w:szCs w:val="18"/>
          <w:color w:val="5B595B"/>
        </w:rPr>
        <w:t>i</w:t>
      </w:r>
      <w:r>
        <w:rPr>
          <w:rFonts w:ascii="Arial" w:cs="Arial" w:eastAsia="Arial" w:hAnsi="Arial"/>
          <w:sz w:val="18"/>
          <w:szCs w:val="18"/>
          <w:color w:val="28282A"/>
        </w:rPr>
        <w:t>vely upon all tables, valuations, certificates</w:t>
      </w:r>
      <w:r>
        <w:rPr>
          <w:rFonts w:ascii="Arial" w:cs="Arial" w:eastAsia="Arial" w:hAnsi="Arial"/>
          <w:sz w:val="18"/>
          <w:szCs w:val="18"/>
          <w:color w:val="4B484D"/>
        </w:rPr>
        <w:t>,</w:t>
      </w:r>
      <w:r>
        <w:rPr>
          <w:rFonts w:ascii="Arial" w:cs="Arial" w:eastAsia="Arial" w:hAnsi="Arial"/>
          <w:sz w:val="18"/>
          <w:szCs w:val="18"/>
          <w:color w:val="28282A"/>
        </w:rPr>
        <w:t xml:space="preserve"> opinions and reports furnished by any actuary, accountant, controller, counsel or other person employed or engaged by the Company with respect to the Plan. The Plan Administrator may</w:t>
      </w:r>
      <w:r>
        <w:rPr>
          <w:rFonts w:ascii="Arial" w:cs="Arial" w:eastAsia="Arial" w:hAnsi="Arial"/>
          <w:sz w:val="18"/>
          <w:szCs w:val="18"/>
          <w:color w:val="4B484D"/>
        </w:rPr>
        <w:t>,</w:t>
      </w:r>
      <w:r>
        <w:rPr>
          <w:rFonts w:ascii="Arial" w:cs="Arial" w:eastAsia="Arial" w:hAnsi="Arial"/>
          <w:sz w:val="18"/>
          <w:szCs w:val="18"/>
          <w:color w:val="28282A"/>
        </w:rPr>
        <w:t xml:space="preserve"> from time to time, employ agents and </w:t>
      </w:r>
      <w:r>
        <w:rPr>
          <w:rFonts w:ascii="Arial" w:cs="Arial" w:eastAsia="Arial" w:hAnsi="Arial"/>
          <w:sz w:val="18"/>
          <w:szCs w:val="18"/>
          <w:color w:val="4B484D"/>
        </w:rPr>
        <w:t>d</w:t>
      </w:r>
      <w:r>
        <w:rPr>
          <w:rFonts w:ascii="Arial" w:cs="Arial" w:eastAsia="Arial" w:hAnsi="Arial"/>
          <w:sz w:val="18"/>
          <w:szCs w:val="18"/>
          <w:color w:val="28282A"/>
        </w:rPr>
        <w:t>elegate to such agents</w:t>
      </w:r>
      <w:r>
        <w:rPr>
          <w:rFonts w:ascii="Arial" w:cs="Arial" w:eastAsia="Arial" w:hAnsi="Arial"/>
          <w:sz w:val="18"/>
          <w:szCs w:val="18"/>
          <w:color w:val="5B595B"/>
        </w:rPr>
        <w:t>,</w:t>
      </w:r>
      <w:r>
        <w:rPr>
          <w:rFonts w:ascii="Arial" w:cs="Arial" w:eastAsia="Arial" w:hAnsi="Arial"/>
          <w:sz w:val="18"/>
          <w:szCs w:val="18"/>
          <w:color w:val="28282A"/>
        </w:rPr>
        <w:t xml:space="preserve"> including other employees of the Company, such administrative dutie</w:t>
      </w:r>
      <w:r>
        <w:rPr>
          <w:rFonts w:ascii="Arial" w:cs="Arial" w:eastAsia="Arial" w:hAnsi="Arial"/>
          <w:sz w:val="18"/>
          <w:szCs w:val="18"/>
          <w:color w:val="5B595B"/>
        </w:rPr>
        <w:t>s</w:t>
      </w:r>
      <w:r>
        <w:rPr>
          <w:rFonts w:ascii="Arial" w:cs="Arial" w:eastAsia="Arial" w:hAnsi="Arial"/>
          <w:sz w:val="18"/>
          <w:szCs w:val="18"/>
          <w:color w:val="28282A"/>
        </w:rPr>
        <w:t xml:space="preserve"> as it sees fit.</w:t>
      </w:r>
    </w:p>
    <w:p>
      <w:pPr>
        <w:spacing w:after="0" w:line="177" w:lineRule="exact"/>
        <w:rPr>
          <w:sz w:val="20"/>
          <w:szCs w:val="20"/>
          <w:color w:val="auto"/>
        </w:rPr>
      </w:pPr>
    </w:p>
    <w:p>
      <w:pPr>
        <w:ind w:left="740"/>
        <w:spacing w:after="0"/>
        <w:tabs>
          <w:tab w:leader="none" w:pos="1260" w:val="left"/>
        </w:tabs>
        <w:rPr>
          <w:sz w:val="20"/>
          <w:szCs w:val="20"/>
          <w:color w:val="auto"/>
        </w:rPr>
      </w:pPr>
      <w:r>
        <w:rPr>
          <w:rFonts w:ascii="Arial" w:cs="Arial" w:eastAsia="Arial" w:hAnsi="Arial"/>
          <w:sz w:val="19"/>
          <w:szCs w:val="19"/>
          <w:color w:val="28282A"/>
        </w:rPr>
        <w:t>7.2.</w:t>
      </w:r>
      <w:r>
        <w:rPr>
          <w:sz w:val="20"/>
          <w:szCs w:val="20"/>
          <w:color w:val="auto"/>
        </w:rPr>
        <w:tab/>
      </w:r>
      <w:r>
        <w:rPr>
          <w:rFonts w:ascii="Arial" w:cs="Arial" w:eastAsia="Arial" w:hAnsi="Arial"/>
          <w:sz w:val="18"/>
          <w:szCs w:val="18"/>
          <w:u w:val="single" w:color="auto"/>
          <w:color w:val="28282A"/>
        </w:rPr>
        <w:t>Claims for Benefits</w:t>
      </w:r>
      <w:r>
        <w:rPr>
          <w:rFonts w:ascii="Arial" w:cs="Arial" w:eastAsia="Arial" w:hAnsi="Arial"/>
          <w:sz w:val="18"/>
          <w:szCs w:val="18"/>
          <w:color w:val="6B696E"/>
        </w:rPr>
        <w:t>.</w:t>
      </w:r>
    </w:p>
    <w:p>
      <w:pPr>
        <w:spacing w:after="0" w:line="214" w:lineRule="exact"/>
        <w:rPr>
          <w:sz w:val="20"/>
          <w:szCs w:val="20"/>
          <w:color w:val="auto"/>
        </w:rPr>
      </w:pPr>
    </w:p>
    <w:p>
      <w:pPr>
        <w:ind w:right="420" w:firstLine="1490"/>
        <w:spacing w:after="0" w:line="248" w:lineRule="auto"/>
        <w:tabs>
          <w:tab w:leader="none" w:pos="1784" w:val="left"/>
        </w:tabs>
        <w:numPr>
          <w:ilvl w:val="0"/>
          <w:numId w:val="73"/>
        </w:numPr>
        <w:rPr>
          <w:rFonts w:ascii="Arial" w:cs="Arial" w:eastAsia="Arial" w:hAnsi="Arial"/>
          <w:sz w:val="19"/>
          <w:szCs w:val="19"/>
          <w:color w:val="28282A"/>
        </w:rPr>
      </w:pPr>
      <w:r>
        <w:rPr>
          <w:rFonts w:ascii="Arial" w:cs="Arial" w:eastAsia="Arial" w:hAnsi="Arial"/>
          <w:sz w:val="19"/>
          <w:szCs w:val="19"/>
          <w:u w:val="single" w:color="auto"/>
          <w:color w:val="28282A"/>
        </w:rPr>
        <w:t>Filing a Cl</w:t>
      </w:r>
      <w:r>
        <w:rPr>
          <w:rFonts w:ascii="Arial" w:cs="Arial" w:eastAsia="Arial" w:hAnsi="Arial"/>
          <w:sz w:val="19"/>
          <w:szCs w:val="19"/>
          <w:u w:val="single" w:color="auto"/>
          <w:color w:val="4B484D"/>
        </w:rPr>
        <w:t>a</w:t>
      </w:r>
      <w:r>
        <w:rPr>
          <w:rFonts w:ascii="Arial" w:cs="Arial" w:eastAsia="Arial" w:hAnsi="Arial"/>
          <w:sz w:val="19"/>
          <w:szCs w:val="19"/>
          <w:u w:val="single" w:color="auto"/>
          <w:color w:val="28282A"/>
        </w:rPr>
        <w:t>im</w:t>
      </w:r>
      <w:r>
        <w:rPr>
          <w:rFonts w:ascii="Arial" w:cs="Arial" w:eastAsia="Arial" w:hAnsi="Arial"/>
          <w:sz w:val="19"/>
          <w:szCs w:val="19"/>
          <w:color w:val="28282A"/>
        </w:rPr>
        <w:t xml:space="preserve">. A Participant or the Participant’s authorized representative may </w:t>
      </w:r>
      <w:r>
        <w:rPr>
          <w:rFonts w:ascii="Arial" w:cs="Arial" w:eastAsia="Arial" w:hAnsi="Arial"/>
          <w:sz w:val="19"/>
          <w:szCs w:val="19"/>
          <w:color w:val="5B595B"/>
        </w:rPr>
        <w:t>fi</w:t>
      </w:r>
      <w:r>
        <w:rPr>
          <w:rFonts w:ascii="Arial" w:cs="Arial" w:eastAsia="Arial" w:hAnsi="Arial"/>
          <w:sz w:val="19"/>
          <w:szCs w:val="19"/>
          <w:color w:val="42212A"/>
        </w:rPr>
        <w:t>l</w:t>
      </w:r>
      <w:r>
        <w:rPr>
          <w:rFonts w:ascii="Arial" w:cs="Arial" w:eastAsia="Arial" w:hAnsi="Arial"/>
          <w:sz w:val="19"/>
          <w:szCs w:val="19"/>
          <w:color w:val="28282A"/>
        </w:rPr>
        <w:t>e a claim for benefits under the Plan</w:t>
      </w:r>
      <w:r>
        <w:rPr>
          <w:rFonts w:ascii="Arial" w:cs="Arial" w:eastAsia="Arial" w:hAnsi="Arial"/>
          <w:sz w:val="19"/>
          <w:szCs w:val="19"/>
          <w:color w:val="808080"/>
        </w:rPr>
        <w:t>.</w:t>
      </w:r>
      <w:r>
        <w:rPr>
          <w:rFonts w:ascii="Arial" w:cs="Arial" w:eastAsia="Arial" w:hAnsi="Arial"/>
          <w:sz w:val="19"/>
          <w:szCs w:val="19"/>
          <w:color w:val="28282A"/>
        </w:rPr>
        <w:t xml:space="preserve"> Any claim must be in writing and submitted to the Senior HR Officer at such address as may be specified from time to time</w:t>
      </w:r>
      <w:r>
        <w:rPr>
          <w:rFonts w:ascii="Arial" w:cs="Arial" w:eastAsia="Arial" w:hAnsi="Arial"/>
          <w:sz w:val="19"/>
          <w:szCs w:val="19"/>
          <w:color w:val="4B484D"/>
        </w:rPr>
        <w:t>.</w:t>
      </w:r>
      <w:r>
        <w:rPr>
          <w:rFonts w:ascii="Arial" w:cs="Arial" w:eastAsia="Arial" w:hAnsi="Arial"/>
          <w:sz w:val="19"/>
          <w:szCs w:val="19"/>
          <w:color w:val="28282A"/>
        </w:rPr>
        <w:t xml:space="preserve"> Claiman</w:t>
      </w:r>
      <w:r>
        <w:rPr>
          <w:rFonts w:ascii="Arial" w:cs="Arial" w:eastAsia="Arial" w:hAnsi="Arial"/>
          <w:sz w:val="19"/>
          <w:szCs w:val="19"/>
          <w:color w:val="4B484D"/>
        </w:rPr>
        <w:t>t</w:t>
      </w:r>
      <w:r>
        <w:rPr>
          <w:rFonts w:ascii="Arial" w:cs="Arial" w:eastAsia="Arial" w:hAnsi="Arial"/>
          <w:sz w:val="19"/>
          <w:szCs w:val="19"/>
          <w:color w:val="28282A"/>
        </w:rPr>
        <w:t>s will be notified in writing of approved claims. A claim is considered approved only if its approval is communicated in writing to a claimant.</w:t>
      </w:r>
    </w:p>
    <w:p>
      <w:pPr>
        <w:spacing w:after="0" w:line="176" w:lineRule="exact"/>
        <w:rPr>
          <w:rFonts w:ascii="Arial" w:cs="Arial" w:eastAsia="Arial" w:hAnsi="Arial"/>
          <w:sz w:val="19"/>
          <w:szCs w:val="19"/>
          <w:color w:val="28282A"/>
        </w:rPr>
      </w:pPr>
    </w:p>
    <w:p>
      <w:pPr>
        <w:ind w:right="240" w:firstLine="1490"/>
        <w:spacing w:after="0" w:line="245" w:lineRule="auto"/>
        <w:tabs>
          <w:tab w:leader="none" w:pos="1784" w:val="left"/>
        </w:tabs>
        <w:numPr>
          <w:ilvl w:val="0"/>
          <w:numId w:val="73"/>
        </w:numPr>
        <w:rPr>
          <w:rFonts w:ascii="Arial" w:cs="Arial" w:eastAsia="Arial" w:hAnsi="Arial"/>
          <w:sz w:val="19"/>
          <w:szCs w:val="19"/>
          <w:color w:val="28282A"/>
        </w:rPr>
      </w:pPr>
      <w:r>
        <w:rPr>
          <w:rFonts w:ascii="Arial" w:cs="Arial" w:eastAsia="Arial" w:hAnsi="Arial"/>
          <w:sz w:val="19"/>
          <w:szCs w:val="19"/>
          <w:u w:val="single" w:color="auto"/>
          <w:color w:val="28282A"/>
        </w:rPr>
        <w:t>Denial of Claim</w:t>
      </w:r>
      <w:r>
        <w:rPr>
          <w:rFonts w:ascii="Arial" w:cs="Arial" w:eastAsia="Arial" w:hAnsi="Arial"/>
          <w:sz w:val="19"/>
          <w:szCs w:val="19"/>
          <w:color w:val="28282A"/>
        </w:rPr>
        <w:t xml:space="preserve">. If a Participant’s claim is denied, in whole or in part, a written notice will be furnished </w:t>
      </w:r>
      <w:r>
        <w:rPr>
          <w:rFonts w:ascii="Arial" w:cs="Arial" w:eastAsia="Arial" w:hAnsi="Arial"/>
          <w:sz w:val="19"/>
          <w:szCs w:val="19"/>
          <w:color w:val="4B484D"/>
        </w:rPr>
        <w:t>t</w:t>
      </w:r>
      <w:r>
        <w:rPr>
          <w:rFonts w:ascii="Arial" w:cs="Arial" w:eastAsia="Arial" w:hAnsi="Arial"/>
          <w:sz w:val="19"/>
          <w:szCs w:val="19"/>
          <w:color w:val="28282A"/>
        </w:rPr>
        <w:t>o the claimant within 90 days of the date on which the cl</w:t>
      </w:r>
      <w:r>
        <w:rPr>
          <w:rFonts w:ascii="Arial" w:cs="Arial" w:eastAsia="Arial" w:hAnsi="Arial"/>
          <w:sz w:val="19"/>
          <w:szCs w:val="19"/>
          <w:color w:val="4B484D"/>
        </w:rPr>
        <w:t>a</w:t>
      </w:r>
      <w:r>
        <w:rPr>
          <w:rFonts w:ascii="Arial" w:cs="Arial" w:eastAsia="Arial" w:hAnsi="Arial"/>
          <w:sz w:val="19"/>
          <w:szCs w:val="19"/>
          <w:color w:val="28282A"/>
        </w:rPr>
        <w:t>im is received by the Senior HR Office</w:t>
      </w:r>
      <w:r>
        <w:rPr>
          <w:rFonts w:ascii="Arial" w:cs="Arial" w:eastAsia="Arial" w:hAnsi="Arial"/>
          <w:sz w:val="19"/>
          <w:szCs w:val="19"/>
          <w:color w:val="4B484D"/>
        </w:rPr>
        <w:t>r</w:t>
      </w:r>
      <w:r>
        <w:rPr>
          <w:rFonts w:ascii="Arial" w:cs="Arial" w:eastAsia="Arial" w:hAnsi="Arial"/>
          <w:sz w:val="19"/>
          <w:szCs w:val="19"/>
          <w:color w:val="28282A"/>
        </w:rPr>
        <w:t>. If special circumstances (such as for a hear</w:t>
      </w:r>
      <w:r>
        <w:rPr>
          <w:rFonts w:ascii="Arial" w:cs="Arial" w:eastAsia="Arial" w:hAnsi="Arial"/>
          <w:sz w:val="19"/>
          <w:szCs w:val="19"/>
          <w:color w:val="6B696E"/>
        </w:rPr>
        <w:t>i</w:t>
      </w:r>
      <w:r>
        <w:rPr>
          <w:rFonts w:ascii="Arial" w:cs="Arial" w:eastAsia="Arial" w:hAnsi="Arial"/>
          <w:sz w:val="19"/>
          <w:szCs w:val="19"/>
          <w:color w:val="28282A"/>
        </w:rPr>
        <w:t>ng) require a longer period, the claimant will be notified in writing, prior to the expiration of the 90</w:t>
      </w:r>
      <w:r>
        <w:rPr>
          <w:rFonts w:ascii="Arial" w:cs="Arial" w:eastAsia="Arial" w:hAnsi="Arial"/>
          <w:sz w:val="19"/>
          <w:szCs w:val="19"/>
          <w:color w:val="5B595B"/>
        </w:rPr>
        <w:t>-</w:t>
      </w:r>
      <w:r>
        <w:rPr>
          <w:rFonts w:ascii="Arial" w:cs="Arial" w:eastAsia="Arial" w:hAnsi="Arial"/>
          <w:sz w:val="19"/>
          <w:szCs w:val="19"/>
          <w:color w:val="28282A"/>
        </w:rPr>
        <w:t>day period, of the reasons for an extension of time; provided, however, that no extensions will be permitted beyond 90 days after the expiration of the initial 90-day period</w:t>
      </w:r>
      <w:r>
        <w:rPr>
          <w:rFonts w:ascii="Arial" w:cs="Arial" w:eastAsia="Arial" w:hAnsi="Arial"/>
          <w:sz w:val="19"/>
          <w:szCs w:val="19"/>
          <w:color w:val="4B484D"/>
        </w:rPr>
        <w:t>.</w:t>
      </w:r>
    </w:p>
    <w:p>
      <w:pPr>
        <w:spacing w:after="0" w:line="180" w:lineRule="exact"/>
        <w:rPr>
          <w:rFonts w:ascii="Arial" w:cs="Arial" w:eastAsia="Arial" w:hAnsi="Arial"/>
          <w:sz w:val="19"/>
          <w:szCs w:val="19"/>
          <w:color w:val="28282A"/>
        </w:rPr>
      </w:pPr>
    </w:p>
    <w:p>
      <w:pPr>
        <w:ind w:right="360" w:firstLine="1490"/>
        <w:spacing w:after="0" w:line="270" w:lineRule="auto"/>
        <w:tabs>
          <w:tab w:leader="none" w:pos="1784" w:val="left"/>
        </w:tabs>
        <w:numPr>
          <w:ilvl w:val="0"/>
          <w:numId w:val="73"/>
        </w:numPr>
        <w:rPr>
          <w:rFonts w:ascii="Arial" w:cs="Arial" w:eastAsia="Arial" w:hAnsi="Arial"/>
          <w:sz w:val="19"/>
          <w:szCs w:val="19"/>
          <w:color w:val="232323"/>
        </w:rPr>
      </w:pPr>
      <w:r>
        <w:rPr>
          <w:rFonts w:ascii="Arial" w:cs="Arial" w:eastAsia="Arial" w:hAnsi="Arial"/>
          <w:sz w:val="19"/>
          <w:szCs w:val="19"/>
          <w:u w:val="single" w:color="auto"/>
          <w:color w:val="232323"/>
        </w:rPr>
        <w:t>Reasons for Denial</w:t>
      </w:r>
      <w:r>
        <w:rPr>
          <w:rFonts w:ascii="Arial" w:cs="Arial" w:eastAsia="Arial" w:hAnsi="Arial"/>
          <w:sz w:val="19"/>
          <w:szCs w:val="19"/>
          <w:color w:val="232323"/>
        </w:rPr>
        <w:t>. A denial or partial denial of a claim will be dated and signed by the Senior HR Officer and will clearly set forth:</w:t>
      </w:r>
    </w:p>
    <w:p>
      <w:pPr>
        <w:spacing w:after="0" w:line="156" w:lineRule="exact"/>
        <w:rPr>
          <w:rFonts w:ascii="Arial" w:cs="Arial" w:eastAsia="Arial" w:hAnsi="Arial"/>
          <w:sz w:val="19"/>
          <w:szCs w:val="19"/>
          <w:color w:val="232323"/>
        </w:rPr>
      </w:pPr>
    </w:p>
    <w:p>
      <w:pPr>
        <w:ind w:left="2760" w:hanging="521"/>
        <w:spacing w:after="0"/>
        <w:tabs>
          <w:tab w:leader="none" w:pos="2760" w:val="left"/>
        </w:tabs>
        <w:numPr>
          <w:ilvl w:val="1"/>
          <w:numId w:val="73"/>
        </w:numPr>
        <w:rPr>
          <w:rFonts w:ascii="Arial" w:cs="Arial" w:eastAsia="Arial" w:hAnsi="Arial"/>
          <w:sz w:val="19"/>
          <w:szCs w:val="19"/>
          <w:color w:val="232323"/>
        </w:rPr>
      </w:pPr>
      <w:r>
        <w:rPr>
          <w:rFonts w:ascii="Arial" w:cs="Arial" w:eastAsia="Arial" w:hAnsi="Arial"/>
          <w:sz w:val="19"/>
          <w:szCs w:val="19"/>
          <w:color w:val="232323"/>
        </w:rPr>
        <w:t>the specific reason or reasons for the denial;</w:t>
      </w:r>
    </w:p>
    <w:p>
      <w:pPr>
        <w:spacing w:after="0" w:line="200" w:lineRule="exact"/>
        <w:rPr>
          <w:sz w:val="20"/>
          <w:szCs w:val="20"/>
          <w:color w:val="auto"/>
        </w:rPr>
      </w:pPr>
    </w:p>
    <w:p>
      <w:pPr>
        <w:spacing w:after="0" w:line="230" w:lineRule="exact"/>
        <w:rPr>
          <w:sz w:val="20"/>
          <w:szCs w:val="20"/>
          <w:color w:val="auto"/>
        </w:rPr>
      </w:pPr>
    </w:p>
    <w:p>
      <w:pPr>
        <w:jc w:val="center"/>
        <w:ind w:right="280"/>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474345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422" w:right="339" w:bottom="1440" w:gutter="0" w:footer="0" w:header="0"/>
        </w:sectPr>
      </w:pPr>
    </w:p>
    <w:bookmarkStart w:id="132" w:name="page133"/>
    <w:bookmarkEnd w:id="132"/>
    <w:p>
      <w:pPr>
        <w:spacing w:after="0" w:line="198" w:lineRule="exact"/>
        <w:rPr>
          <w:sz w:val="20"/>
          <w:szCs w:val="20"/>
          <w:color w:val="auto"/>
        </w:rPr>
      </w:pPr>
    </w:p>
    <w:p>
      <w:pPr>
        <w:ind w:left="2860" w:hanging="521"/>
        <w:spacing w:after="0"/>
        <w:tabs>
          <w:tab w:leader="none" w:pos="2860" w:val="left"/>
        </w:tabs>
        <w:numPr>
          <w:ilvl w:val="1"/>
          <w:numId w:val="74"/>
        </w:numPr>
        <w:rPr>
          <w:rFonts w:ascii="Arial" w:cs="Arial" w:eastAsia="Arial" w:hAnsi="Arial"/>
          <w:sz w:val="19"/>
          <w:szCs w:val="19"/>
          <w:color w:val="232323"/>
        </w:rPr>
      </w:pPr>
      <w:r>
        <w:rPr>
          <w:rFonts w:ascii="Arial" w:cs="Arial" w:eastAsia="Arial" w:hAnsi="Arial"/>
          <w:sz w:val="19"/>
          <w:szCs w:val="19"/>
          <w:color w:val="232323"/>
        </w:rPr>
        <w:t>specific reference to pertinent Plan provisions on which the denial is based;</w:t>
      </w:r>
    </w:p>
    <w:p>
      <w:pPr>
        <w:spacing w:after="0" w:line="213" w:lineRule="exact"/>
        <w:rPr>
          <w:rFonts w:ascii="Arial" w:cs="Arial" w:eastAsia="Arial" w:hAnsi="Arial"/>
          <w:sz w:val="19"/>
          <w:szCs w:val="19"/>
          <w:color w:val="232323"/>
        </w:rPr>
      </w:pPr>
    </w:p>
    <w:p>
      <w:pPr>
        <w:ind w:left="100" w:right="280" w:firstLine="2239"/>
        <w:spacing w:after="0" w:line="270" w:lineRule="auto"/>
        <w:tabs>
          <w:tab w:leader="none" w:pos="2870" w:val="left"/>
        </w:tabs>
        <w:numPr>
          <w:ilvl w:val="1"/>
          <w:numId w:val="74"/>
        </w:numPr>
        <w:rPr>
          <w:rFonts w:ascii="Arial" w:cs="Arial" w:eastAsia="Arial" w:hAnsi="Arial"/>
          <w:sz w:val="19"/>
          <w:szCs w:val="19"/>
          <w:color w:val="232323"/>
        </w:rPr>
      </w:pPr>
      <w:r>
        <w:rPr>
          <w:rFonts w:ascii="Arial" w:cs="Arial" w:eastAsia="Arial" w:hAnsi="Arial"/>
          <w:sz w:val="19"/>
          <w:szCs w:val="19"/>
          <w:color w:val="232323"/>
        </w:rPr>
        <w:t>a description of any additional material or information necessary for the claimant to perfect the claim and an explanation of why such material or information is necessary; and</w:t>
      </w:r>
    </w:p>
    <w:p>
      <w:pPr>
        <w:spacing w:after="0" w:line="156" w:lineRule="exact"/>
        <w:rPr>
          <w:rFonts w:ascii="Arial" w:cs="Arial" w:eastAsia="Arial" w:hAnsi="Arial"/>
          <w:sz w:val="19"/>
          <w:szCs w:val="19"/>
          <w:color w:val="232323"/>
        </w:rPr>
      </w:pPr>
    </w:p>
    <w:p>
      <w:pPr>
        <w:ind w:left="100" w:right="80" w:firstLine="2239"/>
        <w:spacing w:after="0" w:line="254" w:lineRule="auto"/>
        <w:tabs>
          <w:tab w:leader="none" w:pos="2870" w:val="left"/>
        </w:tabs>
        <w:numPr>
          <w:ilvl w:val="1"/>
          <w:numId w:val="74"/>
        </w:numPr>
        <w:rPr>
          <w:rFonts w:ascii="Arial" w:cs="Arial" w:eastAsia="Arial" w:hAnsi="Arial"/>
          <w:sz w:val="19"/>
          <w:szCs w:val="19"/>
          <w:color w:val="232323"/>
        </w:rPr>
      </w:pPr>
      <w:r>
        <w:rPr>
          <w:rFonts w:ascii="Arial" w:cs="Arial" w:eastAsia="Arial" w:hAnsi="Arial"/>
          <w:sz w:val="19"/>
          <w:szCs w:val="19"/>
          <w:color w:val="232323"/>
        </w:rPr>
        <w:t>an explanation of the procedure for review of the denied or partially denied claim set forth below, including the claimant's right to bring a civil action under ERISA section 502(a) following an adverse benefit determination on review.</w:t>
      </w:r>
    </w:p>
    <w:p>
      <w:pPr>
        <w:spacing w:after="0" w:line="170" w:lineRule="exact"/>
        <w:rPr>
          <w:rFonts w:ascii="Arial" w:cs="Arial" w:eastAsia="Arial" w:hAnsi="Arial"/>
          <w:sz w:val="19"/>
          <w:szCs w:val="19"/>
          <w:color w:val="232323"/>
        </w:rPr>
      </w:pPr>
    </w:p>
    <w:p>
      <w:pPr>
        <w:ind w:left="100" w:right="200" w:firstLine="1490"/>
        <w:spacing w:after="0" w:line="242" w:lineRule="auto"/>
        <w:tabs>
          <w:tab w:leader="none" w:pos="1884" w:val="left"/>
        </w:tabs>
        <w:numPr>
          <w:ilvl w:val="0"/>
          <w:numId w:val="75"/>
        </w:numPr>
        <w:rPr>
          <w:rFonts w:ascii="Arial" w:cs="Arial" w:eastAsia="Arial" w:hAnsi="Arial"/>
          <w:sz w:val="19"/>
          <w:szCs w:val="19"/>
          <w:color w:val="232323"/>
        </w:rPr>
      </w:pPr>
      <w:r>
        <w:rPr>
          <w:rFonts w:ascii="Arial" w:cs="Arial" w:eastAsia="Arial" w:hAnsi="Arial"/>
          <w:sz w:val="19"/>
          <w:szCs w:val="19"/>
          <w:u w:val="single" w:color="auto"/>
          <w:color w:val="232323"/>
        </w:rPr>
        <w:t>Review of Denial</w:t>
      </w:r>
      <w:r>
        <w:rPr>
          <w:rFonts w:ascii="Arial" w:cs="Arial" w:eastAsia="Arial" w:hAnsi="Arial"/>
          <w:sz w:val="19"/>
          <w:szCs w:val="19"/>
          <w:color w:val="232323"/>
        </w:rPr>
        <w:t>. Upon denial of a claim, in whole or in part, a claimant or such claimant’s duly authorized representative will have the right to submit a written request to the Senior HR Officer for a full and fair review of the denied claim by filing a written notice of appeal with the Senior HR Officer within 60 days of the receipt by the claimant of written notice of the denial of the claim. A claimant or the claimant's authorized representative will have, upon request and free of charge, reasonable access to, and copies of, all documents, records, and other information relevant to the claimant's claim for benefits and may submit issues and comments in writing. The review will take into account all comments, documents, records, and other information submitted by the claimant relating to the claim, without regard to whether such information was submitted or considered in the initial benefit determination.</w:t>
      </w:r>
    </w:p>
    <w:p>
      <w:pPr>
        <w:spacing w:after="0" w:line="182" w:lineRule="exact"/>
        <w:rPr>
          <w:sz w:val="20"/>
          <w:szCs w:val="20"/>
          <w:color w:val="auto"/>
        </w:rPr>
      </w:pPr>
    </w:p>
    <w:p>
      <w:pPr>
        <w:ind w:left="80" w:right="340" w:firstLine="744"/>
        <w:spacing w:after="0" w:line="245" w:lineRule="auto"/>
        <w:rPr>
          <w:sz w:val="20"/>
          <w:szCs w:val="20"/>
          <w:color w:val="auto"/>
        </w:rPr>
      </w:pPr>
      <w:r>
        <w:rPr>
          <w:rFonts w:ascii="Arial" w:cs="Arial" w:eastAsia="Arial" w:hAnsi="Arial"/>
          <w:sz w:val="19"/>
          <w:szCs w:val="19"/>
          <w:color w:val="232323"/>
        </w:rPr>
        <w:t>If the claimant fails to file a request for review within 60 days of the claim denial notification, the claim will be deemed abandoned and the claimant precluded from reasserting it. If the claimant does file a request for review, the claimant’s request must include a description of the issues and evidence the claimant deems relevant. Failure to raise issues or present evidence on review will preclude those issues or evidence from being presented in any subsequent proceeding or judicial review of the claim.</w:t>
      </w:r>
    </w:p>
    <w:p>
      <w:pPr>
        <w:spacing w:after="0" w:line="289" w:lineRule="exact"/>
        <w:rPr>
          <w:sz w:val="20"/>
          <w:szCs w:val="20"/>
          <w:color w:val="auto"/>
        </w:rPr>
      </w:pPr>
    </w:p>
    <w:p>
      <w:pPr>
        <w:ind w:left="100" w:right="220" w:firstLine="1490"/>
        <w:spacing w:after="0" w:line="270" w:lineRule="auto"/>
        <w:tabs>
          <w:tab w:leader="none" w:pos="1884" w:val="left"/>
        </w:tabs>
        <w:numPr>
          <w:ilvl w:val="0"/>
          <w:numId w:val="76"/>
        </w:numPr>
        <w:rPr>
          <w:rFonts w:ascii="Arial" w:cs="Arial" w:eastAsia="Arial" w:hAnsi="Arial"/>
          <w:sz w:val="19"/>
          <w:szCs w:val="19"/>
          <w:color w:val="232323"/>
        </w:rPr>
      </w:pPr>
      <w:r>
        <w:rPr>
          <w:rFonts w:ascii="Arial" w:cs="Arial" w:eastAsia="Arial" w:hAnsi="Arial"/>
          <w:sz w:val="19"/>
          <w:szCs w:val="19"/>
          <w:u w:val="single" w:color="auto"/>
          <w:color w:val="232323"/>
        </w:rPr>
        <w:t>Decision Upon Review</w:t>
      </w:r>
      <w:r>
        <w:rPr>
          <w:rFonts w:ascii="Arial" w:cs="Arial" w:eastAsia="Arial" w:hAnsi="Arial"/>
          <w:sz w:val="19"/>
          <w:szCs w:val="19"/>
          <w:color w:val="232323"/>
        </w:rPr>
        <w:t>. The Senior HR Officer will provide a prompt written decision on review. If the claim is denied on review, the decision shall set forth:</w:t>
      </w:r>
    </w:p>
    <w:p>
      <w:pPr>
        <w:spacing w:after="0" w:line="156" w:lineRule="exact"/>
        <w:rPr>
          <w:rFonts w:ascii="Arial" w:cs="Arial" w:eastAsia="Arial" w:hAnsi="Arial"/>
          <w:sz w:val="19"/>
          <w:szCs w:val="19"/>
          <w:color w:val="232323"/>
        </w:rPr>
      </w:pPr>
    </w:p>
    <w:p>
      <w:pPr>
        <w:ind w:left="2860" w:hanging="521"/>
        <w:spacing w:after="0"/>
        <w:tabs>
          <w:tab w:leader="none" w:pos="2860" w:val="left"/>
        </w:tabs>
        <w:numPr>
          <w:ilvl w:val="1"/>
          <w:numId w:val="76"/>
        </w:numPr>
        <w:rPr>
          <w:rFonts w:ascii="Arial" w:cs="Arial" w:eastAsia="Arial" w:hAnsi="Arial"/>
          <w:sz w:val="19"/>
          <w:szCs w:val="19"/>
          <w:color w:val="232323"/>
        </w:rPr>
      </w:pPr>
      <w:r>
        <w:rPr>
          <w:rFonts w:ascii="Arial" w:cs="Arial" w:eastAsia="Arial" w:hAnsi="Arial"/>
          <w:sz w:val="19"/>
          <w:szCs w:val="19"/>
          <w:color w:val="232323"/>
        </w:rPr>
        <w:t>the specific reason or reasons for the adverse determination;</w:t>
      </w:r>
    </w:p>
    <w:p>
      <w:pPr>
        <w:spacing w:after="0" w:line="213" w:lineRule="exact"/>
        <w:rPr>
          <w:rFonts w:ascii="Arial" w:cs="Arial" w:eastAsia="Arial" w:hAnsi="Arial"/>
          <w:sz w:val="19"/>
          <w:szCs w:val="19"/>
          <w:color w:val="232323"/>
        </w:rPr>
      </w:pPr>
    </w:p>
    <w:p>
      <w:pPr>
        <w:ind w:left="2860" w:hanging="521"/>
        <w:spacing w:after="0"/>
        <w:tabs>
          <w:tab w:leader="none" w:pos="2860" w:val="left"/>
        </w:tabs>
        <w:numPr>
          <w:ilvl w:val="1"/>
          <w:numId w:val="76"/>
        </w:numPr>
        <w:rPr>
          <w:rFonts w:ascii="Arial" w:cs="Arial" w:eastAsia="Arial" w:hAnsi="Arial"/>
          <w:sz w:val="19"/>
          <w:szCs w:val="19"/>
          <w:color w:val="232323"/>
        </w:rPr>
      </w:pPr>
      <w:r>
        <w:rPr>
          <w:rFonts w:ascii="Arial" w:cs="Arial" w:eastAsia="Arial" w:hAnsi="Arial"/>
          <w:sz w:val="19"/>
          <w:szCs w:val="19"/>
          <w:color w:val="232323"/>
        </w:rPr>
        <w:t>specific reference to pertinent Plan provisions on which the adverse determination is based;</w:t>
      </w:r>
    </w:p>
    <w:p>
      <w:pPr>
        <w:spacing w:after="0" w:line="213" w:lineRule="exact"/>
        <w:rPr>
          <w:rFonts w:ascii="Arial" w:cs="Arial" w:eastAsia="Arial" w:hAnsi="Arial"/>
          <w:sz w:val="19"/>
          <w:szCs w:val="19"/>
          <w:color w:val="232323"/>
        </w:rPr>
      </w:pPr>
    </w:p>
    <w:p>
      <w:pPr>
        <w:ind w:left="100" w:right="140" w:firstLine="2239"/>
        <w:spacing w:after="0" w:line="299" w:lineRule="auto"/>
        <w:tabs>
          <w:tab w:leader="none" w:pos="2870" w:val="left"/>
        </w:tabs>
        <w:numPr>
          <w:ilvl w:val="1"/>
          <w:numId w:val="76"/>
        </w:numPr>
        <w:rPr>
          <w:rFonts w:ascii="Arial" w:cs="Arial" w:eastAsia="Arial" w:hAnsi="Arial"/>
          <w:sz w:val="18"/>
          <w:szCs w:val="18"/>
          <w:color w:val="2B2A2F"/>
        </w:rPr>
      </w:pPr>
      <w:r>
        <w:rPr>
          <w:rFonts w:ascii="Arial" w:cs="Arial" w:eastAsia="Arial" w:hAnsi="Arial"/>
          <w:sz w:val="18"/>
          <w:szCs w:val="18"/>
          <w:color w:val="2B2A2F"/>
        </w:rPr>
        <w:t xml:space="preserve">a </w:t>
      </w:r>
      <w:r>
        <w:rPr>
          <w:rFonts w:ascii="Arial" w:cs="Arial" w:eastAsia="Arial" w:hAnsi="Arial"/>
          <w:sz w:val="18"/>
          <w:szCs w:val="18"/>
          <w:color w:val="232323"/>
        </w:rPr>
        <w:t>statement</w:t>
      </w:r>
      <w:r>
        <w:rPr>
          <w:rFonts w:ascii="Arial" w:cs="Arial" w:eastAsia="Arial" w:hAnsi="Arial"/>
          <w:sz w:val="18"/>
          <w:szCs w:val="18"/>
          <w:color w:val="2B2A2F"/>
        </w:rPr>
        <w:t xml:space="preserve"> that the claimant is entitled to receive, </w:t>
      </w:r>
      <w:r>
        <w:rPr>
          <w:rFonts w:ascii="Arial" w:cs="Arial" w:eastAsia="Arial" w:hAnsi="Arial"/>
          <w:sz w:val="18"/>
          <w:szCs w:val="18"/>
          <w:color w:val="413F44"/>
        </w:rPr>
        <w:t>upon</w:t>
      </w:r>
      <w:r>
        <w:rPr>
          <w:rFonts w:ascii="Arial" w:cs="Arial" w:eastAsia="Arial" w:hAnsi="Arial"/>
          <w:sz w:val="18"/>
          <w:szCs w:val="18"/>
          <w:color w:val="2B2A2F"/>
        </w:rPr>
        <w:t xml:space="preserve"> request and free of charge, reasonable access to, and copies of, all </w:t>
      </w:r>
      <w:r>
        <w:rPr>
          <w:rFonts w:ascii="Arial" w:cs="Arial" w:eastAsia="Arial" w:hAnsi="Arial"/>
          <w:sz w:val="18"/>
          <w:szCs w:val="18"/>
          <w:color w:val="545459"/>
        </w:rPr>
        <w:t>d</w:t>
      </w:r>
      <w:r>
        <w:rPr>
          <w:rFonts w:ascii="Arial" w:cs="Arial" w:eastAsia="Arial" w:hAnsi="Arial"/>
          <w:sz w:val="18"/>
          <w:szCs w:val="18"/>
          <w:color w:val="2B2A2F"/>
        </w:rPr>
        <w:t>ocuments, records, and other informat</w:t>
      </w:r>
      <w:r>
        <w:rPr>
          <w:rFonts w:ascii="Arial" w:cs="Arial" w:eastAsia="Arial" w:hAnsi="Arial"/>
          <w:sz w:val="18"/>
          <w:szCs w:val="18"/>
          <w:color w:val="545459"/>
        </w:rPr>
        <w:t>i</w:t>
      </w:r>
      <w:r>
        <w:rPr>
          <w:rFonts w:ascii="Arial" w:cs="Arial" w:eastAsia="Arial" w:hAnsi="Arial"/>
          <w:sz w:val="18"/>
          <w:szCs w:val="18"/>
          <w:color w:val="2B2A2F"/>
        </w:rPr>
        <w:t>on relevant to the claimant's claim for benefits; and</w:t>
      </w:r>
    </w:p>
    <w:p>
      <w:pPr>
        <w:spacing w:after="0" w:line="132" w:lineRule="exact"/>
        <w:rPr>
          <w:rFonts w:ascii="Arial" w:cs="Arial" w:eastAsia="Arial" w:hAnsi="Arial"/>
          <w:sz w:val="18"/>
          <w:szCs w:val="18"/>
          <w:color w:val="2B2A2F"/>
        </w:rPr>
      </w:pPr>
    </w:p>
    <w:p>
      <w:pPr>
        <w:ind w:left="100" w:firstLine="2239"/>
        <w:spacing w:after="0" w:line="254" w:lineRule="auto"/>
        <w:tabs>
          <w:tab w:leader="none" w:pos="2870" w:val="left"/>
        </w:tabs>
        <w:numPr>
          <w:ilvl w:val="1"/>
          <w:numId w:val="76"/>
        </w:numPr>
        <w:rPr>
          <w:rFonts w:ascii="Arial" w:cs="Arial" w:eastAsia="Arial" w:hAnsi="Arial"/>
          <w:sz w:val="19"/>
          <w:szCs w:val="19"/>
          <w:color w:val="2B2A2F"/>
        </w:rPr>
      </w:pPr>
      <w:r>
        <w:rPr>
          <w:rFonts w:ascii="Arial" w:cs="Arial" w:eastAsia="Arial" w:hAnsi="Arial"/>
          <w:sz w:val="19"/>
          <w:szCs w:val="19"/>
          <w:color w:val="2B2A2F"/>
        </w:rPr>
        <w:t>a statement describing any voluntary appeal procedures offered by the Plan and the claimant's right to obtain the information about such procedures, as well as a statement of the claimant</w:t>
      </w:r>
      <w:r>
        <w:rPr>
          <w:rFonts w:ascii="Arial" w:cs="Arial" w:eastAsia="Arial" w:hAnsi="Arial"/>
          <w:sz w:val="19"/>
          <w:szCs w:val="19"/>
          <w:color w:val="545459"/>
        </w:rPr>
        <w:t>'</w:t>
      </w:r>
      <w:r>
        <w:rPr>
          <w:rFonts w:ascii="Arial" w:cs="Arial" w:eastAsia="Arial" w:hAnsi="Arial"/>
          <w:sz w:val="19"/>
          <w:szCs w:val="19"/>
          <w:color w:val="2B2A2F"/>
        </w:rPr>
        <w:t>s right to bring an action under ERISA section 502(a)</w:t>
      </w:r>
      <w:r>
        <w:rPr>
          <w:rFonts w:ascii="Arial" w:cs="Arial" w:eastAsia="Arial" w:hAnsi="Arial"/>
          <w:sz w:val="19"/>
          <w:szCs w:val="19"/>
          <w:color w:val="67676E"/>
        </w:rPr>
        <w:t>.</w:t>
      </w:r>
    </w:p>
    <w:p>
      <w:pPr>
        <w:spacing w:after="0" w:line="170" w:lineRule="exact"/>
        <w:rPr>
          <w:sz w:val="20"/>
          <w:szCs w:val="20"/>
          <w:color w:val="auto"/>
        </w:rPr>
      </w:pPr>
    </w:p>
    <w:p>
      <w:pPr>
        <w:ind w:right="280" w:firstLine="758"/>
        <w:spacing w:after="0" w:line="248" w:lineRule="auto"/>
        <w:rPr>
          <w:sz w:val="20"/>
          <w:szCs w:val="20"/>
          <w:color w:val="auto"/>
        </w:rPr>
      </w:pPr>
      <w:r>
        <w:rPr>
          <w:rFonts w:ascii="Arial" w:cs="Arial" w:eastAsia="Arial" w:hAnsi="Arial"/>
          <w:sz w:val="19"/>
          <w:szCs w:val="19"/>
          <w:color w:val="2B2A2F"/>
        </w:rPr>
        <w:t>A decision will be rendered no more than 60 days after the Senior HR Officer's rece</w:t>
      </w:r>
      <w:r>
        <w:rPr>
          <w:rFonts w:ascii="Arial" w:cs="Arial" w:eastAsia="Arial" w:hAnsi="Arial"/>
          <w:sz w:val="19"/>
          <w:szCs w:val="19"/>
          <w:color w:val="545459"/>
        </w:rPr>
        <w:t>i</w:t>
      </w:r>
      <w:r>
        <w:rPr>
          <w:rFonts w:ascii="Arial" w:cs="Arial" w:eastAsia="Arial" w:hAnsi="Arial"/>
          <w:sz w:val="19"/>
          <w:szCs w:val="19"/>
          <w:color w:val="2B2A2F"/>
        </w:rPr>
        <w:t>pt of the request for review, excep</w:t>
      </w:r>
      <w:r>
        <w:rPr>
          <w:rFonts w:ascii="Arial" w:cs="Arial" w:eastAsia="Arial" w:hAnsi="Arial"/>
          <w:sz w:val="19"/>
          <w:szCs w:val="19"/>
          <w:color w:val="545459"/>
        </w:rPr>
        <w:t>t</w:t>
      </w:r>
      <w:r>
        <w:rPr>
          <w:rFonts w:ascii="Arial" w:cs="Arial" w:eastAsia="Arial" w:hAnsi="Arial"/>
          <w:sz w:val="19"/>
          <w:szCs w:val="19"/>
          <w:color w:val="2B2A2F"/>
        </w:rPr>
        <w:t xml:space="preserve"> that such period may be extended for an additional 60 days if the Senior HR Officer determines that special circumstances (such as the need for a hearing) require such extension. If an extension of time </w:t>
      </w:r>
      <w:r>
        <w:rPr>
          <w:rFonts w:ascii="Arial" w:cs="Arial" w:eastAsia="Arial" w:hAnsi="Arial"/>
          <w:sz w:val="19"/>
          <w:szCs w:val="19"/>
          <w:color w:val="545459"/>
        </w:rPr>
        <w:t>i</w:t>
      </w:r>
      <w:r>
        <w:rPr>
          <w:rFonts w:ascii="Arial" w:cs="Arial" w:eastAsia="Arial" w:hAnsi="Arial"/>
          <w:sz w:val="19"/>
          <w:szCs w:val="19"/>
          <w:color w:val="2B2A2F"/>
        </w:rPr>
        <w:t xml:space="preserve">s required, written notice of the extension will be furnished to </w:t>
      </w:r>
      <w:r>
        <w:rPr>
          <w:rFonts w:ascii="Arial" w:cs="Arial" w:eastAsia="Arial" w:hAnsi="Arial"/>
          <w:sz w:val="19"/>
          <w:szCs w:val="19"/>
          <w:color w:val="545459"/>
        </w:rPr>
        <w:t>t</w:t>
      </w:r>
      <w:r>
        <w:rPr>
          <w:rFonts w:ascii="Arial" w:cs="Arial" w:eastAsia="Arial" w:hAnsi="Arial"/>
          <w:sz w:val="19"/>
          <w:szCs w:val="19"/>
          <w:color w:val="2B2A2F"/>
        </w:rPr>
        <w:t>he claimant before the end of the ini</w:t>
      </w:r>
      <w:r>
        <w:rPr>
          <w:rFonts w:ascii="Arial" w:cs="Arial" w:eastAsia="Arial" w:hAnsi="Arial"/>
          <w:sz w:val="19"/>
          <w:szCs w:val="19"/>
          <w:color w:val="545459"/>
        </w:rPr>
        <w:t>t</w:t>
      </w:r>
      <w:r>
        <w:rPr>
          <w:rFonts w:ascii="Arial" w:cs="Arial" w:eastAsia="Arial" w:hAnsi="Arial"/>
          <w:sz w:val="19"/>
          <w:szCs w:val="19"/>
          <w:color w:val="2B2A2F"/>
        </w:rPr>
        <w:t>ial 60-day period.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474345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20" w:top="1440" w:right="399" w:bottom="1440" w:gutter="0" w:footer="0" w:header="0"/>
        </w:sectPr>
      </w:pPr>
    </w:p>
    <w:bookmarkStart w:id="133" w:name="page134"/>
    <w:bookmarkEnd w:id="133"/>
    <w:p>
      <w:pPr>
        <w:ind w:firstLine="1490"/>
        <w:spacing w:after="0"/>
        <w:tabs>
          <w:tab w:leader="none" w:pos="1784" w:val="left"/>
        </w:tabs>
        <w:numPr>
          <w:ilvl w:val="0"/>
          <w:numId w:val="77"/>
        </w:numPr>
        <w:rPr>
          <w:rFonts w:ascii="Arial" w:cs="Arial" w:eastAsia="Arial" w:hAnsi="Arial"/>
          <w:sz w:val="19"/>
          <w:szCs w:val="19"/>
          <w:color w:val="2B2A2F"/>
        </w:rPr>
      </w:pPr>
      <w:r>
        <w:rPr>
          <w:rFonts w:ascii="Arial" w:cs="Arial" w:eastAsia="Arial" w:hAnsi="Arial"/>
          <w:sz w:val="19"/>
          <w:szCs w:val="19"/>
          <w:u w:val="single" w:color="auto"/>
          <w:color w:val="2B2A2F"/>
        </w:rPr>
        <w:t>Finality of Determinations; Exhaustion of Remed</w:t>
      </w:r>
      <w:r>
        <w:rPr>
          <w:rFonts w:ascii="Arial" w:cs="Arial" w:eastAsia="Arial" w:hAnsi="Arial"/>
          <w:sz w:val="19"/>
          <w:szCs w:val="19"/>
          <w:u w:val="single" w:color="auto"/>
          <w:color w:val="67676E"/>
        </w:rPr>
        <w:t>i</w:t>
      </w:r>
      <w:r>
        <w:rPr>
          <w:rFonts w:ascii="Arial" w:cs="Arial" w:eastAsia="Arial" w:hAnsi="Arial"/>
          <w:sz w:val="19"/>
          <w:szCs w:val="19"/>
          <w:u w:val="single" w:color="auto"/>
          <w:color w:val="2B2A2F"/>
        </w:rPr>
        <w:t>es</w:t>
      </w:r>
      <w:r>
        <w:rPr>
          <w:rFonts w:ascii="Arial" w:cs="Arial" w:eastAsia="Arial" w:hAnsi="Arial"/>
          <w:sz w:val="19"/>
          <w:szCs w:val="19"/>
          <w:color w:val="545459"/>
        </w:rPr>
        <w:t>.</w:t>
      </w:r>
      <w:r>
        <w:rPr>
          <w:rFonts w:ascii="Arial" w:cs="Arial" w:eastAsia="Arial" w:hAnsi="Arial"/>
          <w:sz w:val="19"/>
          <w:szCs w:val="19"/>
          <w:color w:val="2B2A2F"/>
        </w:rPr>
        <w:t xml:space="preserve"> To the extent permitted by law, decisions reached under the claims procedures set forth in this Section shall be </w:t>
      </w:r>
      <w:r>
        <w:rPr>
          <w:rFonts w:ascii="Arial" w:cs="Arial" w:eastAsia="Arial" w:hAnsi="Arial"/>
          <w:sz w:val="19"/>
          <w:szCs w:val="19"/>
          <w:color w:val="413F44"/>
        </w:rPr>
        <w:t>final</w:t>
      </w:r>
      <w:r>
        <w:rPr>
          <w:rFonts w:ascii="Arial" w:cs="Arial" w:eastAsia="Arial" w:hAnsi="Arial"/>
          <w:sz w:val="19"/>
          <w:szCs w:val="19"/>
          <w:color w:val="2B2A2F"/>
        </w:rPr>
        <w:t xml:space="preserve"> and b</w:t>
      </w:r>
      <w:r>
        <w:rPr>
          <w:rFonts w:ascii="Arial" w:cs="Arial" w:eastAsia="Arial" w:hAnsi="Arial"/>
          <w:sz w:val="19"/>
          <w:szCs w:val="19"/>
          <w:color w:val="545459"/>
        </w:rPr>
        <w:t>i</w:t>
      </w:r>
      <w:r>
        <w:rPr>
          <w:rFonts w:ascii="Arial" w:cs="Arial" w:eastAsia="Arial" w:hAnsi="Arial"/>
          <w:sz w:val="19"/>
          <w:szCs w:val="19"/>
          <w:color w:val="2B2A2F"/>
        </w:rPr>
        <w:t>nding on all parties</w:t>
      </w:r>
      <w:r>
        <w:rPr>
          <w:rFonts w:ascii="Arial" w:cs="Arial" w:eastAsia="Arial" w:hAnsi="Arial"/>
          <w:sz w:val="19"/>
          <w:szCs w:val="19"/>
          <w:color w:val="67676E"/>
        </w:rPr>
        <w:t>.</w:t>
      </w:r>
      <w:r>
        <w:rPr>
          <w:rFonts w:ascii="Arial" w:cs="Arial" w:eastAsia="Arial" w:hAnsi="Arial"/>
          <w:sz w:val="19"/>
          <w:szCs w:val="19"/>
          <w:color w:val="2B2A2F"/>
        </w:rPr>
        <w:t xml:space="preserve"> No legal action for benefits under the Plan shall be b</w:t>
      </w:r>
      <w:r>
        <w:rPr>
          <w:rFonts w:ascii="Arial" w:cs="Arial" w:eastAsia="Arial" w:hAnsi="Arial"/>
          <w:sz w:val="19"/>
          <w:szCs w:val="19"/>
          <w:color w:val="545459"/>
        </w:rPr>
        <w:t>r</w:t>
      </w:r>
      <w:r>
        <w:rPr>
          <w:rFonts w:ascii="Arial" w:cs="Arial" w:eastAsia="Arial" w:hAnsi="Arial"/>
          <w:sz w:val="19"/>
          <w:szCs w:val="19"/>
          <w:color w:val="2B2A2F"/>
        </w:rPr>
        <w:t>ought unless and until the claimant has exhausted such claimant’s remedies under this Section. In any such legal action, the claimant may only present ev</w:t>
      </w:r>
      <w:r>
        <w:rPr>
          <w:rFonts w:ascii="Arial" w:cs="Arial" w:eastAsia="Arial" w:hAnsi="Arial"/>
          <w:sz w:val="19"/>
          <w:szCs w:val="19"/>
          <w:color w:val="67676E"/>
        </w:rPr>
        <w:t>i</w:t>
      </w:r>
      <w:r>
        <w:rPr>
          <w:rFonts w:ascii="Arial" w:cs="Arial" w:eastAsia="Arial" w:hAnsi="Arial"/>
          <w:sz w:val="19"/>
          <w:szCs w:val="19"/>
          <w:color w:val="2B2A2F"/>
        </w:rPr>
        <w:t>dence and theories which the claimant presented during the internal claims and appeals procedure</w:t>
      </w:r>
      <w:r>
        <w:rPr>
          <w:rFonts w:ascii="Arial" w:cs="Arial" w:eastAsia="Arial" w:hAnsi="Arial"/>
          <w:sz w:val="19"/>
          <w:szCs w:val="19"/>
          <w:color w:val="545459"/>
        </w:rPr>
        <w:t>.</w:t>
      </w:r>
      <w:r>
        <w:rPr>
          <w:rFonts w:ascii="Arial" w:cs="Arial" w:eastAsia="Arial" w:hAnsi="Arial"/>
          <w:sz w:val="19"/>
          <w:szCs w:val="19"/>
          <w:color w:val="2B2A2F"/>
        </w:rPr>
        <w:t xml:space="preserve"> Any claims which the claimant does not in good faith pursue through the review stage of the procedure shall be treated as hav</w:t>
      </w:r>
      <w:r>
        <w:rPr>
          <w:rFonts w:ascii="Arial" w:cs="Arial" w:eastAsia="Arial" w:hAnsi="Arial"/>
          <w:sz w:val="19"/>
          <w:szCs w:val="19"/>
          <w:color w:val="67676E"/>
        </w:rPr>
        <w:t>i</w:t>
      </w:r>
      <w:r>
        <w:rPr>
          <w:rFonts w:ascii="Arial" w:cs="Arial" w:eastAsia="Arial" w:hAnsi="Arial"/>
          <w:sz w:val="19"/>
          <w:szCs w:val="19"/>
          <w:color w:val="2B2A2F"/>
        </w:rPr>
        <w:t>ng been irrevocably waived. Judicial review of a claimant's denied claim shall be limited to a determination of whether the denial was an abuse of d</w:t>
      </w:r>
      <w:r>
        <w:rPr>
          <w:rFonts w:ascii="Arial" w:cs="Arial" w:eastAsia="Arial" w:hAnsi="Arial"/>
          <w:sz w:val="19"/>
          <w:szCs w:val="19"/>
          <w:color w:val="67676E"/>
        </w:rPr>
        <w:t>i</w:t>
      </w:r>
      <w:r>
        <w:rPr>
          <w:rFonts w:ascii="Arial" w:cs="Arial" w:eastAsia="Arial" w:hAnsi="Arial"/>
          <w:sz w:val="19"/>
          <w:szCs w:val="19"/>
          <w:color w:val="2B2A2F"/>
        </w:rPr>
        <w:t>scre</w:t>
      </w:r>
      <w:r>
        <w:rPr>
          <w:rFonts w:ascii="Arial" w:cs="Arial" w:eastAsia="Arial" w:hAnsi="Arial"/>
          <w:sz w:val="19"/>
          <w:szCs w:val="19"/>
          <w:color w:val="545459"/>
        </w:rPr>
        <w:t>t</w:t>
      </w:r>
      <w:r>
        <w:rPr>
          <w:rFonts w:ascii="Arial" w:cs="Arial" w:eastAsia="Arial" w:hAnsi="Arial"/>
          <w:sz w:val="19"/>
          <w:szCs w:val="19"/>
          <w:color w:val="2B2A2F"/>
        </w:rPr>
        <w:t>ion based on the evidence and theories the claimant presented during the internal claim</w:t>
      </w:r>
      <w:r>
        <w:rPr>
          <w:rFonts w:ascii="Arial" w:cs="Arial" w:eastAsia="Arial" w:hAnsi="Arial"/>
          <w:sz w:val="19"/>
          <w:szCs w:val="19"/>
          <w:color w:val="545459"/>
        </w:rPr>
        <w:t>s and appeals</w:t>
      </w:r>
      <w:r>
        <w:rPr>
          <w:rFonts w:ascii="Arial" w:cs="Arial" w:eastAsia="Arial" w:hAnsi="Arial"/>
          <w:sz w:val="19"/>
          <w:szCs w:val="19"/>
          <w:color w:val="2B2A2F"/>
        </w:rPr>
        <w:t xml:space="preserve"> procedure. Any suit or legal action initiated by a claimant under the Pla</w:t>
      </w:r>
      <w:r>
        <w:rPr>
          <w:rFonts w:ascii="Arial" w:cs="Arial" w:eastAsia="Arial" w:hAnsi="Arial"/>
          <w:sz w:val="19"/>
          <w:szCs w:val="19"/>
          <w:color w:val="67676E"/>
        </w:rPr>
        <w:t>n</w:t>
      </w:r>
      <w:r>
        <w:rPr>
          <w:rFonts w:ascii="Arial" w:cs="Arial" w:eastAsia="Arial" w:hAnsi="Arial"/>
          <w:sz w:val="19"/>
          <w:szCs w:val="19"/>
          <w:color w:val="2B2A2F"/>
        </w:rPr>
        <w:t xml:space="preserve"> must be brought by the claimant no later than one year following a final decision on appeal by the Senior HR Officer. The one-year limitation on suits for benefits will apply in any forum where a claimant initiates such suit or legal action</w:t>
      </w:r>
      <w:r>
        <w:rPr>
          <w:rFonts w:ascii="Arial" w:cs="Arial" w:eastAsia="Arial" w:hAnsi="Arial"/>
          <w:sz w:val="19"/>
          <w:szCs w:val="19"/>
          <w:color w:val="545459"/>
        </w:rPr>
        <w:t>.</w:t>
      </w:r>
    </w:p>
    <w:p>
      <w:pPr>
        <w:spacing w:after="0" w:line="191" w:lineRule="exact"/>
        <w:rPr>
          <w:rFonts w:ascii="Arial" w:cs="Arial" w:eastAsia="Arial" w:hAnsi="Arial"/>
          <w:sz w:val="19"/>
          <w:szCs w:val="19"/>
          <w:color w:val="2B2A2F"/>
        </w:rPr>
      </w:pPr>
    </w:p>
    <w:p>
      <w:pPr>
        <w:ind w:right="480" w:firstLine="1490"/>
        <w:spacing w:after="0" w:line="270" w:lineRule="auto"/>
        <w:tabs>
          <w:tab w:leader="none" w:pos="1784" w:val="left"/>
        </w:tabs>
        <w:numPr>
          <w:ilvl w:val="0"/>
          <w:numId w:val="77"/>
        </w:numPr>
        <w:rPr>
          <w:rFonts w:ascii="Arial" w:cs="Arial" w:eastAsia="Arial" w:hAnsi="Arial"/>
          <w:sz w:val="19"/>
          <w:szCs w:val="19"/>
          <w:color w:val="2B2A2F"/>
        </w:rPr>
      </w:pPr>
      <w:r>
        <w:rPr>
          <w:rFonts w:ascii="Arial" w:cs="Arial" w:eastAsia="Arial" w:hAnsi="Arial"/>
          <w:sz w:val="19"/>
          <w:szCs w:val="19"/>
          <w:u w:val="single" w:color="auto"/>
          <w:color w:val="2B2A2F"/>
        </w:rPr>
        <w:t>Disability Claims</w:t>
      </w:r>
      <w:r>
        <w:rPr>
          <w:rFonts w:ascii="Arial" w:cs="Arial" w:eastAsia="Arial" w:hAnsi="Arial"/>
          <w:sz w:val="19"/>
          <w:szCs w:val="19"/>
          <w:color w:val="2B2A2F"/>
        </w:rPr>
        <w:t>. Claims for disability benefits shall be determined under the DOL Regulation section 2560.503-1 which is hereby incorporated by reference.</w:t>
      </w:r>
    </w:p>
    <w:p>
      <w:pPr>
        <w:spacing w:after="0" w:line="156" w:lineRule="exact"/>
        <w:rPr>
          <w:sz w:val="20"/>
          <w:szCs w:val="20"/>
          <w:color w:val="auto"/>
        </w:rPr>
      </w:pPr>
    </w:p>
    <w:p>
      <w:pPr>
        <w:ind w:left="800" w:hanging="792"/>
        <w:spacing w:after="0"/>
        <w:tabs>
          <w:tab w:leader="none" w:pos="800" w:val="left"/>
        </w:tabs>
        <w:numPr>
          <w:ilvl w:val="0"/>
          <w:numId w:val="78"/>
        </w:numPr>
        <w:rPr>
          <w:rFonts w:ascii="Arial" w:cs="Arial" w:eastAsia="Arial" w:hAnsi="Arial"/>
          <w:sz w:val="19"/>
          <w:szCs w:val="19"/>
          <w:color w:val="2B2A2F"/>
        </w:rPr>
      </w:pPr>
      <w:r>
        <w:rPr>
          <w:rFonts w:ascii="Arial" w:cs="Arial" w:eastAsia="Arial" w:hAnsi="Arial"/>
          <w:sz w:val="19"/>
          <w:szCs w:val="19"/>
          <w:u w:val="single" w:color="auto"/>
          <w:color w:val="2B2A2F"/>
        </w:rPr>
        <w:t>Amendment and Termination</w:t>
      </w:r>
      <w:r>
        <w:rPr>
          <w:rFonts w:ascii="Arial" w:cs="Arial" w:eastAsia="Arial" w:hAnsi="Arial"/>
          <w:sz w:val="19"/>
          <w:szCs w:val="19"/>
          <w:color w:val="2B2A2F"/>
        </w:rPr>
        <w:t>.</w:t>
      </w:r>
    </w:p>
    <w:p>
      <w:pPr>
        <w:spacing w:after="0" w:line="214" w:lineRule="exact"/>
        <w:rPr>
          <w:sz w:val="20"/>
          <w:szCs w:val="20"/>
          <w:color w:val="auto"/>
        </w:rPr>
      </w:pPr>
    </w:p>
    <w:p>
      <w:pPr>
        <w:jc w:val="both"/>
        <w:ind w:right="240" w:firstLine="749"/>
        <w:spacing w:after="0" w:line="254" w:lineRule="auto"/>
        <w:rPr>
          <w:sz w:val="20"/>
          <w:szCs w:val="20"/>
          <w:color w:val="auto"/>
        </w:rPr>
      </w:pPr>
      <w:r>
        <w:rPr>
          <w:rFonts w:ascii="Arial" w:cs="Arial" w:eastAsia="Arial" w:hAnsi="Arial"/>
          <w:sz w:val="19"/>
          <w:szCs w:val="19"/>
          <w:color w:val="2B2A2F"/>
        </w:rPr>
        <w:t xml:space="preserve">8.1. </w:t>
      </w:r>
      <w:r>
        <w:rPr>
          <w:rFonts w:ascii="Arial" w:cs="Arial" w:eastAsia="Arial" w:hAnsi="Arial"/>
          <w:sz w:val="19"/>
          <w:szCs w:val="19"/>
          <w:u w:val="single" w:color="auto"/>
          <w:color w:val="2B2A2F"/>
        </w:rPr>
        <w:t>Amendment or Termination</w:t>
      </w:r>
      <w:r>
        <w:rPr>
          <w:rFonts w:ascii="Arial" w:cs="Arial" w:eastAsia="Arial" w:hAnsi="Arial"/>
          <w:sz w:val="19"/>
          <w:szCs w:val="19"/>
          <w:color w:val="545459"/>
        </w:rPr>
        <w:t>.</w:t>
      </w:r>
      <w:r>
        <w:rPr>
          <w:rFonts w:ascii="Arial" w:cs="Arial" w:eastAsia="Arial" w:hAnsi="Arial"/>
          <w:sz w:val="19"/>
          <w:szCs w:val="19"/>
          <w:color w:val="2B2A2F"/>
        </w:rPr>
        <w:t xml:space="preserve"> The Company reserves the right to amend or terminate the Plan when, in the sole discretion of the Company, such amendment or termination is advisable, pursuant to a resolution or other action taken by the Plan Administrator</w:t>
      </w:r>
      <w:r>
        <w:rPr>
          <w:rFonts w:ascii="Arial" w:cs="Arial" w:eastAsia="Arial" w:hAnsi="Arial"/>
          <w:sz w:val="19"/>
          <w:szCs w:val="19"/>
          <w:color w:val="545459"/>
        </w:rPr>
        <w:t>.</w:t>
      </w:r>
    </w:p>
    <w:p>
      <w:pPr>
        <w:spacing w:after="0" w:line="170" w:lineRule="exact"/>
        <w:rPr>
          <w:sz w:val="20"/>
          <w:szCs w:val="20"/>
          <w:color w:val="auto"/>
        </w:rPr>
      </w:pPr>
    </w:p>
    <w:p>
      <w:pPr>
        <w:ind w:right="160" w:firstLine="740"/>
        <w:spacing w:after="0" w:line="245" w:lineRule="auto"/>
        <w:rPr>
          <w:sz w:val="20"/>
          <w:szCs w:val="20"/>
          <w:color w:val="auto"/>
        </w:rPr>
      </w:pPr>
      <w:r>
        <w:rPr>
          <w:rFonts w:ascii="Arial" w:cs="Arial" w:eastAsia="Arial" w:hAnsi="Arial"/>
          <w:sz w:val="19"/>
          <w:szCs w:val="19"/>
          <w:color w:val="2B2A2F"/>
        </w:rPr>
        <w:t>Notw</w:t>
      </w:r>
      <w:r>
        <w:rPr>
          <w:rFonts w:ascii="Arial" w:cs="Arial" w:eastAsia="Arial" w:hAnsi="Arial"/>
          <w:sz w:val="19"/>
          <w:szCs w:val="19"/>
          <w:color w:val="545459"/>
        </w:rPr>
        <w:t>i</w:t>
      </w:r>
      <w:r>
        <w:rPr>
          <w:rFonts w:ascii="Arial" w:cs="Arial" w:eastAsia="Arial" w:hAnsi="Arial"/>
          <w:sz w:val="19"/>
          <w:szCs w:val="19"/>
          <w:color w:val="2B2A2F"/>
        </w:rPr>
        <w:t>thstanding the foregoing, no amendment of the Plan shall apply to amounts that were earned and vested (with</w:t>
      </w:r>
      <w:r>
        <w:rPr>
          <w:rFonts w:ascii="Arial" w:cs="Arial" w:eastAsia="Arial" w:hAnsi="Arial"/>
          <w:sz w:val="19"/>
          <w:szCs w:val="19"/>
          <w:color w:val="67676E"/>
        </w:rPr>
        <w:t>i</w:t>
      </w:r>
      <w:r>
        <w:rPr>
          <w:rFonts w:ascii="Arial" w:cs="Arial" w:eastAsia="Arial" w:hAnsi="Arial"/>
          <w:sz w:val="19"/>
          <w:szCs w:val="19"/>
          <w:color w:val="2B2A2F"/>
        </w:rPr>
        <w:t xml:space="preserve">n the meaning of Code section 409A and </w:t>
      </w:r>
      <w:r>
        <w:rPr>
          <w:rFonts w:ascii="Arial" w:cs="Arial" w:eastAsia="Arial" w:hAnsi="Arial"/>
          <w:sz w:val="19"/>
          <w:szCs w:val="19"/>
          <w:color w:val="212121"/>
        </w:rPr>
        <w:t>regulations thereunder) under the Plan prior to 2005, unless the amendment</w:t>
      </w:r>
      <w:r>
        <w:rPr>
          <w:rFonts w:ascii="Arial" w:cs="Arial" w:eastAsia="Arial" w:hAnsi="Arial"/>
          <w:sz w:val="19"/>
          <w:szCs w:val="19"/>
          <w:color w:val="2B2A2F"/>
        </w:rPr>
        <w:t xml:space="preserve"> </w:t>
      </w:r>
      <w:r>
        <w:rPr>
          <w:rFonts w:ascii="Arial" w:cs="Arial" w:eastAsia="Arial" w:hAnsi="Arial"/>
          <w:sz w:val="19"/>
          <w:szCs w:val="19"/>
          <w:color w:val="212121"/>
        </w:rPr>
        <w:t>specifically provides that it applies to such amounts. The purpose of this restriction is to prevent a Plan amendment from resulting in an inadvertent "material modification" to amounts that are "grandfathered" and exempt from the requirements of Code section 409A.</w:t>
      </w:r>
    </w:p>
    <w:p>
      <w:pPr>
        <w:spacing w:after="0" w:line="181" w:lineRule="exact"/>
        <w:rPr>
          <w:sz w:val="20"/>
          <w:szCs w:val="20"/>
          <w:color w:val="auto"/>
        </w:rPr>
      </w:pPr>
    </w:p>
    <w:p>
      <w:pPr>
        <w:ind w:right="300" w:firstLine="749"/>
        <w:spacing w:after="0" w:line="266" w:lineRule="auto"/>
        <w:rPr>
          <w:sz w:val="20"/>
          <w:szCs w:val="20"/>
          <w:color w:val="auto"/>
        </w:rPr>
      </w:pPr>
      <w:r>
        <w:rPr>
          <w:rFonts w:ascii="Arial" w:cs="Arial" w:eastAsia="Arial" w:hAnsi="Arial"/>
          <w:sz w:val="18"/>
          <w:szCs w:val="18"/>
          <w:color w:val="212121"/>
        </w:rPr>
        <w:t xml:space="preserve">8.2. </w:t>
      </w:r>
      <w:r>
        <w:rPr>
          <w:rFonts w:ascii="Arial" w:cs="Arial" w:eastAsia="Arial" w:hAnsi="Arial"/>
          <w:sz w:val="18"/>
          <w:szCs w:val="18"/>
          <w:u w:val="single" w:color="auto"/>
          <w:color w:val="212121"/>
        </w:rPr>
        <w:t>Effect of Amendment or Termination</w:t>
      </w:r>
      <w:r>
        <w:rPr>
          <w:rFonts w:ascii="Arial" w:cs="Arial" w:eastAsia="Arial" w:hAnsi="Arial"/>
          <w:sz w:val="18"/>
          <w:szCs w:val="18"/>
          <w:color w:val="212121"/>
        </w:rPr>
        <w:t>. No amendment or termination of the Plan shall decrease the amounts credited to a Participant's Account as of such amendment or termination. Upon termination of the Plan, Participants' Account balances shall be distributed in accordance with the terms of Section 6, unless the Company determines in its sole discretion that all such amounts shall be distributed upon termination in accordance with the requirements under Code section 409A.</w:t>
      </w:r>
    </w:p>
    <w:p>
      <w:pPr>
        <w:spacing w:after="0" w:line="162" w:lineRule="exact"/>
        <w:rPr>
          <w:sz w:val="20"/>
          <w:szCs w:val="20"/>
          <w:color w:val="auto"/>
        </w:rPr>
      </w:pPr>
    </w:p>
    <w:p>
      <w:pPr>
        <w:ind w:left="800" w:hanging="792"/>
        <w:spacing w:after="0"/>
        <w:tabs>
          <w:tab w:leader="none" w:pos="800" w:val="left"/>
        </w:tabs>
        <w:numPr>
          <w:ilvl w:val="0"/>
          <w:numId w:val="79"/>
        </w:numPr>
        <w:rPr>
          <w:rFonts w:ascii="Arial" w:cs="Arial" w:eastAsia="Arial" w:hAnsi="Arial"/>
          <w:sz w:val="19"/>
          <w:szCs w:val="19"/>
          <w:color w:val="212121"/>
        </w:rPr>
      </w:pPr>
      <w:r>
        <w:rPr>
          <w:rFonts w:ascii="Arial" w:cs="Arial" w:eastAsia="Arial" w:hAnsi="Arial"/>
          <w:sz w:val="19"/>
          <w:szCs w:val="19"/>
          <w:u w:val="single" w:color="auto"/>
          <w:color w:val="212121"/>
        </w:rPr>
        <w:t>General Provisions</w:t>
      </w:r>
      <w:r>
        <w:rPr>
          <w:rFonts w:ascii="Arial" w:cs="Arial" w:eastAsia="Arial" w:hAnsi="Arial"/>
          <w:sz w:val="19"/>
          <w:szCs w:val="19"/>
          <w:color w:val="212121"/>
        </w:rPr>
        <w:t>.</w:t>
      </w:r>
    </w:p>
    <w:p>
      <w:pPr>
        <w:spacing w:after="0" w:line="214" w:lineRule="exact"/>
        <w:rPr>
          <w:sz w:val="20"/>
          <w:szCs w:val="20"/>
          <w:color w:val="auto"/>
        </w:rPr>
      </w:pPr>
    </w:p>
    <w:p>
      <w:pPr>
        <w:ind w:right="60" w:firstLine="749"/>
        <w:spacing w:after="0" w:line="242" w:lineRule="auto"/>
        <w:rPr>
          <w:sz w:val="20"/>
          <w:szCs w:val="20"/>
          <w:color w:val="auto"/>
        </w:rPr>
      </w:pPr>
      <w:r>
        <w:rPr>
          <w:rFonts w:ascii="Arial" w:cs="Arial" w:eastAsia="Arial" w:hAnsi="Arial"/>
          <w:sz w:val="19"/>
          <w:szCs w:val="19"/>
          <w:color w:val="212121"/>
        </w:rPr>
        <w:t xml:space="preserve">9.1. </w:t>
      </w:r>
      <w:r>
        <w:rPr>
          <w:rFonts w:ascii="Arial" w:cs="Arial" w:eastAsia="Arial" w:hAnsi="Arial"/>
          <w:sz w:val="19"/>
          <w:szCs w:val="19"/>
          <w:u w:val="single" w:color="auto"/>
          <w:color w:val="212121"/>
        </w:rPr>
        <w:t>Rights Unsecured</w:t>
      </w:r>
      <w:r>
        <w:rPr>
          <w:rFonts w:ascii="Arial" w:cs="Arial" w:eastAsia="Arial" w:hAnsi="Arial"/>
          <w:sz w:val="19"/>
          <w:szCs w:val="19"/>
          <w:color w:val="212121"/>
        </w:rPr>
        <w:t>. The right of a Participant or the Participant’s beneficiary to receive a distribution hereunder shall be an unsecured claim against the general assets of the Company, and neither the Participant nor the Participant’s beneficiary shall have any rights in or against any amount credited to any Account or any other assets of the Company</w:t>
      </w:r>
      <w:r>
        <w:rPr>
          <w:rFonts w:ascii="Arial" w:cs="Arial" w:eastAsia="Arial" w:hAnsi="Arial"/>
          <w:sz w:val="19"/>
          <w:szCs w:val="19"/>
          <w:color w:val="808080"/>
        </w:rPr>
        <w:t>.</w:t>
      </w:r>
      <w:r>
        <w:rPr>
          <w:rFonts w:ascii="Arial" w:cs="Arial" w:eastAsia="Arial" w:hAnsi="Arial"/>
          <w:sz w:val="19"/>
          <w:szCs w:val="19"/>
          <w:color w:val="212121"/>
        </w:rPr>
        <w:t xml:space="preserve"> The Plan at all times shall be considered entirely unfunded for tax purposes. Any funds set aside by the Company for the purpose of meeting its obligations under the Plan, including any amounts held by a trustee, shall continue for all purposes to be part of the general assets of the Company and shall be available to its general creditors in the event of the Company's bankruptcy or insolvency. The Company's obligation under this Plan shall be that of an unfunded and unsecured promise to pay money in the future.</w:t>
      </w:r>
    </w:p>
    <w:p>
      <w:pPr>
        <w:spacing w:after="0" w:line="182" w:lineRule="exact"/>
        <w:rPr>
          <w:sz w:val="20"/>
          <w:szCs w:val="20"/>
          <w:color w:val="auto"/>
        </w:rPr>
      </w:pPr>
    </w:p>
    <w:p>
      <w:pPr>
        <w:ind w:right="60" w:firstLine="749"/>
        <w:spacing w:after="0" w:line="270" w:lineRule="auto"/>
        <w:rPr>
          <w:sz w:val="20"/>
          <w:szCs w:val="20"/>
          <w:color w:val="auto"/>
        </w:rPr>
      </w:pPr>
      <w:r>
        <w:rPr>
          <w:rFonts w:ascii="Arial" w:cs="Arial" w:eastAsia="Arial" w:hAnsi="Arial"/>
          <w:sz w:val="19"/>
          <w:szCs w:val="19"/>
          <w:color w:val="212121"/>
        </w:rPr>
        <w:t xml:space="preserve">9.2. </w:t>
      </w:r>
      <w:r>
        <w:rPr>
          <w:rFonts w:ascii="Arial" w:cs="Arial" w:eastAsia="Arial" w:hAnsi="Arial"/>
          <w:sz w:val="19"/>
          <w:szCs w:val="19"/>
          <w:u w:val="single" w:color="auto"/>
          <w:color w:val="212121"/>
        </w:rPr>
        <w:t>No Right to Eligible Income</w:t>
      </w:r>
      <w:r>
        <w:rPr>
          <w:rFonts w:ascii="Arial" w:cs="Arial" w:eastAsia="Arial" w:hAnsi="Arial"/>
          <w:sz w:val="19"/>
          <w:szCs w:val="19"/>
          <w:color w:val="212121"/>
        </w:rPr>
        <w:t>. Nothing in this Plan shall be construed to give any Eligible Employee any right to be granted Eligible Income or any other type of compensation.</w:t>
      </w:r>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474345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620" w:top="1422" w:right="579" w:bottom="1440" w:gutter="0" w:footer="0" w:header="0"/>
        </w:sectPr>
      </w:pPr>
    </w:p>
    <w:bookmarkStart w:id="134" w:name="page135"/>
    <w:bookmarkEnd w:id="134"/>
    <w:p>
      <w:pPr>
        <w:spacing w:after="0" w:line="198" w:lineRule="exact"/>
        <w:rPr>
          <w:sz w:val="20"/>
          <w:szCs w:val="20"/>
          <w:color w:val="auto"/>
        </w:rPr>
      </w:pPr>
    </w:p>
    <w:p>
      <w:pPr>
        <w:ind w:right="200" w:firstLine="749"/>
        <w:spacing w:after="0" w:line="248" w:lineRule="auto"/>
        <w:rPr>
          <w:sz w:val="20"/>
          <w:szCs w:val="20"/>
          <w:color w:val="auto"/>
        </w:rPr>
      </w:pPr>
      <w:r>
        <w:rPr>
          <w:rFonts w:ascii="Arial" w:cs="Arial" w:eastAsia="Arial" w:hAnsi="Arial"/>
          <w:sz w:val="19"/>
          <w:szCs w:val="19"/>
          <w:color w:val="212121"/>
        </w:rPr>
        <w:t xml:space="preserve">9.3. </w:t>
      </w:r>
      <w:r>
        <w:rPr>
          <w:rFonts w:ascii="Arial" w:cs="Arial" w:eastAsia="Arial" w:hAnsi="Arial"/>
          <w:sz w:val="19"/>
          <w:szCs w:val="19"/>
          <w:u w:val="single" w:color="auto"/>
          <w:color w:val="212121"/>
        </w:rPr>
        <w:t>No Enlargement of Rights</w:t>
      </w:r>
      <w:r>
        <w:rPr>
          <w:rFonts w:ascii="Arial" w:cs="Arial" w:eastAsia="Arial" w:hAnsi="Arial"/>
          <w:sz w:val="19"/>
          <w:szCs w:val="19"/>
          <w:color w:val="212121"/>
        </w:rPr>
        <w:t>. No Participant or beneficiary shall have any right to receive a distribution under the Plan except in accordance with the terms of the Plan. Establishment of the Plan shall not be construed to give any Participant the right to continue to be employed by or provide services to the Company or its affiliates or to employment that is not terminable at will.</w:t>
      </w:r>
    </w:p>
    <w:p>
      <w:pPr>
        <w:spacing w:after="0" w:line="177" w:lineRule="exact"/>
        <w:rPr>
          <w:sz w:val="20"/>
          <w:szCs w:val="20"/>
          <w:color w:val="auto"/>
        </w:rPr>
      </w:pPr>
    </w:p>
    <w:p>
      <w:pPr>
        <w:ind w:right="300" w:firstLine="749"/>
        <w:spacing w:after="0" w:line="270" w:lineRule="auto"/>
        <w:rPr>
          <w:sz w:val="20"/>
          <w:szCs w:val="20"/>
          <w:color w:val="auto"/>
        </w:rPr>
      </w:pPr>
      <w:r>
        <w:rPr>
          <w:rFonts w:ascii="Arial" w:cs="Arial" w:eastAsia="Arial" w:hAnsi="Arial"/>
          <w:sz w:val="19"/>
          <w:szCs w:val="19"/>
          <w:color w:val="212121"/>
        </w:rPr>
        <w:t xml:space="preserve">9.4. </w:t>
      </w:r>
      <w:r>
        <w:rPr>
          <w:rFonts w:ascii="Arial" w:cs="Arial" w:eastAsia="Arial" w:hAnsi="Arial"/>
          <w:sz w:val="19"/>
          <w:szCs w:val="19"/>
          <w:u w:val="single" w:color="auto"/>
          <w:color w:val="212121"/>
        </w:rPr>
        <w:t>No Guarantee of Benefits</w:t>
      </w:r>
      <w:r>
        <w:rPr>
          <w:rFonts w:ascii="Arial" w:cs="Arial" w:eastAsia="Arial" w:hAnsi="Arial"/>
          <w:sz w:val="19"/>
          <w:szCs w:val="19"/>
          <w:color w:val="212121"/>
        </w:rPr>
        <w:t>. Nothing contained in the Plan shall constitute a guarantee by the Company or any other person or entity that the assets of the Company will be sufficient to pay any benefits hereunder.</w:t>
      </w:r>
    </w:p>
    <w:p>
      <w:pPr>
        <w:spacing w:after="0" w:line="156" w:lineRule="exact"/>
        <w:rPr>
          <w:sz w:val="20"/>
          <w:szCs w:val="20"/>
          <w:color w:val="auto"/>
        </w:rPr>
      </w:pPr>
    </w:p>
    <w:p>
      <w:pPr>
        <w:ind w:right="40" w:firstLine="749"/>
        <w:spacing w:after="0" w:line="243" w:lineRule="auto"/>
        <w:rPr>
          <w:sz w:val="20"/>
          <w:szCs w:val="20"/>
          <w:color w:val="auto"/>
        </w:rPr>
      </w:pPr>
      <w:r>
        <w:rPr>
          <w:rFonts w:ascii="Arial" w:cs="Arial" w:eastAsia="Arial" w:hAnsi="Arial"/>
          <w:sz w:val="19"/>
          <w:szCs w:val="19"/>
          <w:color w:val="212121"/>
        </w:rPr>
        <w:t xml:space="preserve">9.5. </w:t>
      </w:r>
      <w:r>
        <w:rPr>
          <w:rFonts w:ascii="Arial" w:cs="Arial" w:eastAsia="Arial" w:hAnsi="Arial"/>
          <w:sz w:val="19"/>
          <w:szCs w:val="19"/>
          <w:u w:val="single" w:color="auto"/>
          <w:color w:val="212121"/>
        </w:rPr>
        <w:t>Nonalienation of Benefits</w:t>
      </w:r>
      <w:r>
        <w:rPr>
          <w:rFonts w:ascii="Arial" w:cs="Arial" w:eastAsia="Arial" w:hAnsi="Arial"/>
          <w:sz w:val="19"/>
          <w:szCs w:val="19"/>
          <w:color w:val="212121"/>
        </w:rPr>
        <w:t xml:space="preserve">. This Plan inures to the benefit of and is binding upon the parties hereto and their successors, heirs and assigns; provided, however, that the amounts credited to a Participant's Account are not, except as provided in Sections 9.6 and 6.11, subject in any manner to anticipation, alienation, sale, transfer, assignment, pledge, encumbrance, charge, garnishment, execution or levy of any kind, either </w:t>
      </w:r>
      <w:r>
        <w:rPr>
          <w:rFonts w:ascii="Arial" w:cs="Arial" w:eastAsia="Arial" w:hAnsi="Arial"/>
          <w:sz w:val="19"/>
          <w:szCs w:val="19"/>
          <w:color w:val="2A2A2D"/>
        </w:rPr>
        <w:t>vo</w:t>
      </w:r>
      <w:r>
        <w:rPr>
          <w:rFonts w:ascii="Arial" w:cs="Arial" w:eastAsia="Arial" w:hAnsi="Arial"/>
          <w:sz w:val="19"/>
          <w:szCs w:val="19"/>
          <w:color w:val="565456"/>
        </w:rPr>
        <w:t>l</w:t>
      </w:r>
      <w:r>
        <w:rPr>
          <w:rFonts w:ascii="Arial" w:cs="Arial" w:eastAsia="Arial" w:hAnsi="Arial"/>
          <w:sz w:val="19"/>
          <w:szCs w:val="19"/>
          <w:color w:val="2A2A2D"/>
        </w:rPr>
        <w:t>untary or involuntary, and any attempt to anticipate,</w:t>
      </w:r>
      <w:r>
        <w:rPr>
          <w:rFonts w:ascii="Arial" w:cs="Arial" w:eastAsia="Arial" w:hAnsi="Arial"/>
          <w:sz w:val="19"/>
          <w:szCs w:val="19"/>
          <w:color w:val="212121"/>
        </w:rPr>
        <w:t xml:space="preserve"> </w:t>
      </w:r>
      <w:r>
        <w:rPr>
          <w:rFonts w:ascii="Arial" w:cs="Arial" w:eastAsia="Arial" w:hAnsi="Arial"/>
          <w:sz w:val="19"/>
          <w:szCs w:val="19"/>
          <w:color w:val="2A2A2D"/>
        </w:rPr>
        <w:t>alienate, sell, transfer, assign, p</w:t>
      </w:r>
      <w:r>
        <w:rPr>
          <w:rFonts w:ascii="Arial" w:cs="Arial" w:eastAsia="Arial" w:hAnsi="Arial"/>
          <w:sz w:val="19"/>
          <w:szCs w:val="19"/>
          <w:color w:val="6E6E6E"/>
        </w:rPr>
        <w:t>l</w:t>
      </w:r>
      <w:r>
        <w:rPr>
          <w:rFonts w:ascii="Arial" w:cs="Arial" w:eastAsia="Arial" w:hAnsi="Arial"/>
          <w:sz w:val="19"/>
          <w:szCs w:val="19"/>
          <w:color w:val="2A2A2D"/>
        </w:rPr>
        <w:t>edge</w:t>
      </w:r>
      <w:r>
        <w:rPr>
          <w:rFonts w:ascii="Arial" w:cs="Arial" w:eastAsia="Arial" w:hAnsi="Arial"/>
          <w:sz w:val="19"/>
          <w:szCs w:val="19"/>
          <w:color w:val="565456"/>
        </w:rPr>
        <w:t>,</w:t>
      </w:r>
      <w:r>
        <w:rPr>
          <w:rFonts w:ascii="Arial" w:cs="Arial" w:eastAsia="Arial" w:hAnsi="Arial"/>
          <w:sz w:val="19"/>
          <w:szCs w:val="19"/>
          <w:color w:val="2A2A2D"/>
        </w:rPr>
        <w:t xml:space="preserve"> encumber, charge or otherwise dispose of any right to any benefits payable hereunde</w:t>
      </w:r>
      <w:r>
        <w:rPr>
          <w:rFonts w:ascii="Arial" w:cs="Arial" w:eastAsia="Arial" w:hAnsi="Arial"/>
          <w:sz w:val="19"/>
          <w:szCs w:val="19"/>
          <w:color w:val="463D41"/>
        </w:rPr>
        <w:t>r</w:t>
      </w:r>
      <w:r>
        <w:rPr>
          <w:rFonts w:ascii="Arial" w:cs="Arial" w:eastAsia="Arial" w:hAnsi="Arial"/>
          <w:sz w:val="19"/>
          <w:szCs w:val="19"/>
          <w:color w:val="2A2A2D"/>
        </w:rPr>
        <w:t>, will be null and void and not binding on the Plan or the Company</w:t>
      </w:r>
      <w:r>
        <w:rPr>
          <w:rFonts w:ascii="Arial" w:cs="Arial" w:eastAsia="Arial" w:hAnsi="Arial"/>
          <w:sz w:val="19"/>
          <w:szCs w:val="19"/>
          <w:color w:val="463D41"/>
        </w:rPr>
        <w:t>.</w:t>
      </w:r>
    </w:p>
    <w:p>
      <w:pPr>
        <w:spacing w:after="0" w:line="185" w:lineRule="exact"/>
        <w:rPr>
          <w:sz w:val="20"/>
          <w:szCs w:val="20"/>
          <w:color w:val="auto"/>
        </w:rPr>
      </w:pPr>
    </w:p>
    <w:p>
      <w:pPr>
        <w:ind w:right="60" w:firstLine="749"/>
        <w:spacing w:after="0" w:line="248" w:lineRule="auto"/>
        <w:rPr>
          <w:sz w:val="20"/>
          <w:szCs w:val="20"/>
          <w:color w:val="auto"/>
        </w:rPr>
      </w:pPr>
      <w:r>
        <w:rPr>
          <w:rFonts w:ascii="Arial" w:cs="Arial" w:eastAsia="Arial" w:hAnsi="Arial"/>
          <w:sz w:val="19"/>
          <w:szCs w:val="19"/>
          <w:color w:val="2A2A2D"/>
        </w:rPr>
        <w:t xml:space="preserve">9.6. </w:t>
      </w:r>
      <w:r>
        <w:rPr>
          <w:rFonts w:ascii="Arial" w:cs="Arial" w:eastAsia="Arial" w:hAnsi="Arial"/>
          <w:sz w:val="19"/>
          <w:szCs w:val="19"/>
          <w:u w:val="single" w:color="auto"/>
          <w:color w:val="2A2A2D"/>
        </w:rPr>
        <w:t>Taxes</w:t>
      </w:r>
      <w:r>
        <w:rPr>
          <w:rFonts w:ascii="Arial" w:cs="Arial" w:eastAsia="Arial" w:hAnsi="Arial"/>
          <w:sz w:val="19"/>
          <w:szCs w:val="19"/>
          <w:color w:val="2A2A2D"/>
        </w:rPr>
        <w:t>. In addition to its rights under Section 5.5, the Company or other payor may withhold from a benefit payment under the Plan or a Participant's wages any federa</w:t>
      </w:r>
      <w:r>
        <w:rPr>
          <w:rFonts w:ascii="Arial" w:cs="Arial" w:eastAsia="Arial" w:hAnsi="Arial"/>
          <w:sz w:val="19"/>
          <w:szCs w:val="19"/>
          <w:color w:val="565456"/>
        </w:rPr>
        <w:t>l,</w:t>
      </w:r>
      <w:r>
        <w:rPr>
          <w:rFonts w:ascii="Arial" w:cs="Arial" w:eastAsia="Arial" w:hAnsi="Arial"/>
          <w:sz w:val="19"/>
          <w:szCs w:val="19"/>
          <w:color w:val="2A2A2D"/>
        </w:rPr>
        <w:t xml:space="preserve"> state, or local taxes required by law to be withheld with respect to a payment or accrual under the Plan, and shall report such payments and other Plan-related information to the appropriate governmental agencies as required under applicable law.</w:t>
      </w:r>
    </w:p>
    <w:p>
      <w:pPr>
        <w:spacing w:after="0" w:line="177" w:lineRule="exact"/>
        <w:rPr>
          <w:sz w:val="20"/>
          <w:szCs w:val="20"/>
          <w:color w:val="auto"/>
        </w:rPr>
      </w:pPr>
    </w:p>
    <w:p>
      <w:pPr>
        <w:ind w:right="140" w:firstLine="749"/>
        <w:spacing w:after="0" w:line="245" w:lineRule="auto"/>
        <w:rPr>
          <w:sz w:val="20"/>
          <w:szCs w:val="20"/>
          <w:color w:val="auto"/>
        </w:rPr>
      </w:pPr>
      <w:r>
        <w:rPr>
          <w:rFonts w:ascii="Arial" w:cs="Arial" w:eastAsia="Arial" w:hAnsi="Arial"/>
          <w:sz w:val="19"/>
          <w:szCs w:val="19"/>
          <w:color w:val="2A2A2D"/>
        </w:rPr>
        <w:t xml:space="preserve">9.7. </w:t>
      </w:r>
      <w:r>
        <w:rPr>
          <w:rFonts w:ascii="Arial" w:cs="Arial" w:eastAsia="Arial" w:hAnsi="Arial"/>
          <w:sz w:val="19"/>
          <w:szCs w:val="19"/>
          <w:u w:val="single" w:color="auto"/>
          <w:color w:val="2A2A2D"/>
        </w:rPr>
        <w:t>Participant's Cooperation</w:t>
      </w:r>
      <w:r>
        <w:rPr>
          <w:rFonts w:ascii="Arial" w:cs="Arial" w:eastAsia="Arial" w:hAnsi="Arial"/>
          <w:sz w:val="19"/>
          <w:szCs w:val="19"/>
          <w:color w:val="2A2A2D"/>
        </w:rPr>
        <w:t>. The Participant shall cooperate with the Company by furnishing any and all information requested by the Plan Adminis</w:t>
      </w:r>
      <w:r>
        <w:rPr>
          <w:rFonts w:ascii="Arial" w:cs="Arial" w:eastAsia="Arial" w:hAnsi="Arial"/>
          <w:sz w:val="19"/>
          <w:szCs w:val="19"/>
          <w:color w:val="463D41"/>
        </w:rPr>
        <w:t>t</w:t>
      </w:r>
      <w:r>
        <w:rPr>
          <w:rFonts w:ascii="Arial" w:cs="Arial" w:eastAsia="Arial" w:hAnsi="Arial"/>
          <w:sz w:val="19"/>
          <w:szCs w:val="19"/>
          <w:color w:val="2A2A2D"/>
        </w:rPr>
        <w:t xml:space="preserve">rator in order to facilitate the payment of benefits hereunder </w:t>
      </w:r>
      <w:r>
        <w:rPr>
          <w:rFonts w:ascii="Arial" w:cs="Arial" w:eastAsia="Arial" w:hAnsi="Arial"/>
          <w:sz w:val="19"/>
          <w:szCs w:val="19"/>
          <w:color w:val="463D41"/>
        </w:rPr>
        <w:t>,</w:t>
      </w:r>
      <w:r>
        <w:rPr>
          <w:rFonts w:ascii="Arial" w:cs="Arial" w:eastAsia="Arial" w:hAnsi="Arial"/>
          <w:sz w:val="19"/>
          <w:szCs w:val="19"/>
          <w:color w:val="2A2A2D"/>
        </w:rPr>
        <w:t xml:space="preserve"> taking such physical examinations as the Plan Administrator may deem necessary and taking such othe</w:t>
      </w:r>
      <w:r>
        <w:rPr>
          <w:rFonts w:ascii="Arial" w:cs="Arial" w:eastAsia="Arial" w:hAnsi="Arial"/>
          <w:sz w:val="19"/>
          <w:szCs w:val="19"/>
          <w:color w:val="463D41"/>
        </w:rPr>
        <w:t>r</w:t>
      </w:r>
      <w:r>
        <w:rPr>
          <w:rFonts w:ascii="Arial" w:cs="Arial" w:eastAsia="Arial" w:hAnsi="Arial"/>
          <w:sz w:val="19"/>
          <w:szCs w:val="19"/>
          <w:color w:val="2A2A2D"/>
        </w:rPr>
        <w:t xml:space="preserve"> actions as may be requested by the Plan Administrator. If the Participant refuses to cooperate, the Company shall have no further obligation to the Participant under th</w:t>
      </w:r>
      <w:r>
        <w:rPr>
          <w:rFonts w:ascii="Arial" w:cs="Arial" w:eastAsia="Arial" w:hAnsi="Arial"/>
          <w:sz w:val="19"/>
          <w:szCs w:val="19"/>
          <w:color w:val="463D41"/>
        </w:rPr>
        <w:t>e</w:t>
      </w:r>
      <w:r>
        <w:rPr>
          <w:rFonts w:ascii="Arial" w:cs="Arial" w:eastAsia="Arial" w:hAnsi="Arial"/>
          <w:sz w:val="19"/>
          <w:szCs w:val="19"/>
          <w:color w:val="2A2A2D"/>
        </w:rPr>
        <w:t xml:space="preserve"> Plan</w:t>
      </w:r>
      <w:r>
        <w:rPr>
          <w:rFonts w:ascii="Arial" w:cs="Arial" w:eastAsia="Arial" w:hAnsi="Arial"/>
          <w:sz w:val="19"/>
          <w:szCs w:val="19"/>
          <w:color w:val="565456"/>
        </w:rPr>
        <w:t>.</w:t>
      </w:r>
    </w:p>
    <w:p>
      <w:pPr>
        <w:spacing w:after="0" w:line="181" w:lineRule="exact"/>
        <w:rPr>
          <w:sz w:val="20"/>
          <w:szCs w:val="20"/>
          <w:color w:val="auto"/>
        </w:rPr>
      </w:pPr>
    </w:p>
    <w:p>
      <w:pPr>
        <w:ind w:firstLine="749"/>
        <w:spacing w:after="0" w:line="243" w:lineRule="auto"/>
        <w:rPr>
          <w:sz w:val="20"/>
          <w:szCs w:val="20"/>
          <w:color w:val="auto"/>
        </w:rPr>
      </w:pPr>
      <w:r>
        <w:rPr>
          <w:rFonts w:ascii="Arial" w:cs="Arial" w:eastAsia="Arial" w:hAnsi="Arial"/>
          <w:sz w:val="19"/>
          <w:szCs w:val="19"/>
          <w:color w:val="2A2A2D"/>
        </w:rPr>
        <w:t xml:space="preserve">9.8. </w:t>
      </w:r>
      <w:r>
        <w:rPr>
          <w:rFonts w:ascii="Arial" w:cs="Arial" w:eastAsia="Arial" w:hAnsi="Arial"/>
          <w:sz w:val="19"/>
          <w:szCs w:val="19"/>
          <w:u w:val="single" w:color="auto"/>
          <w:color w:val="2A2A2D"/>
        </w:rPr>
        <w:t>Incapaci</w:t>
      </w:r>
      <w:r>
        <w:rPr>
          <w:rFonts w:ascii="Arial" w:cs="Arial" w:eastAsia="Arial" w:hAnsi="Arial"/>
          <w:sz w:val="19"/>
          <w:szCs w:val="19"/>
          <w:u w:val="single" w:color="auto"/>
          <w:color w:val="463D41"/>
        </w:rPr>
        <w:t>t</w:t>
      </w:r>
      <w:r>
        <w:rPr>
          <w:rFonts w:ascii="Arial" w:cs="Arial" w:eastAsia="Arial" w:hAnsi="Arial"/>
          <w:sz w:val="19"/>
          <w:szCs w:val="19"/>
          <w:u w:val="single" w:color="auto"/>
          <w:color w:val="2A2A2D"/>
        </w:rPr>
        <w:t>y of Recipient</w:t>
      </w:r>
      <w:r>
        <w:rPr>
          <w:rFonts w:ascii="Arial" w:cs="Arial" w:eastAsia="Arial" w:hAnsi="Arial"/>
          <w:sz w:val="19"/>
          <w:szCs w:val="19"/>
          <w:color w:val="565456"/>
        </w:rPr>
        <w:t>.</w:t>
      </w:r>
      <w:r>
        <w:rPr>
          <w:rFonts w:ascii="Arial" w:cs="Arial" w:eastAsia="Arial" w:hAnsi="Arial"/>
          <w:sz w:val="19"/>
          <w:szCs w:val="19"/>
          <w:color w:val="2A2A2D"/>
        </w:rPr>
        <w:t xml:space="preserve"> If any person entitled to </w:t>
      </w:r>
      <w:r>
        <w:rPr>
          <w:rFonts w:ascii="Arial" w:cs="Arial" w:eastAsia="Arial" w:hAnsi="Arial"/>
          <w:sz w:val="19"/>
          <w:szCs w:val="19"/>
          <w:color w:val="463D41"/>
        </w:rPr>
        <w:t>a</w:t>
      </w:r>
      <w:r>
        <w:rPr>
          <w:rFonts w:ascii="Arial" w:cs="Arial" w:eastAsia="Arial" w:hAnsi="Arial"/>
          <w:sz w:val="19"/>
          <w:szCs w:val="19"/>
          <w:color w:val="2A2A2D"/>
        </w:rPr>
        <w:t xml:space="preserve"> distribution under the Plan is deemed in the Plan Administrator’s sole discretion to be incapacitated or otherwise incapable of personally receiving such payment, then, unless and until a claim for such payment is made by a duly appointed guardian or other legal representative of such person, the Plan Administrator may provide for such payment or any part thereof to b</w:t>
      </w:r>
      <w:r>
        <w:rPr>
          <w:rFonts w:ascii="Arial" w:cs="Arial" w:eastAsia="Arial" w:hAnsi="Arial"/>
          <w:sz w:val="19"/>
          <w:szCs w:val="19"/>
          <w:color w:val="463D41"/>
        </w:rPr>
        <w:t>e</w:t>
      </w:r>
      <w:r>
        <w:rPr>
          <w:rFonts w:ascii="Arial" w:cs="Arial" w:eastAsia="Arial" w:hAnsi="Arial"/>
          <w:sz w:val="19"/>
          <w:szCs w:val="19"/>
          <w:color w:val="2A2A2D"/>
        </w:rPr>
        <w:t xml:space="preserve"> made to any other person or institution then contributing toward or providing for the care and maintenance of such person. Any such payment shall be a payment for the account of such person and a complete discharge of any liability of the Company and the Plan with respect to the payment.</w:t>
      </w:r>
    </w:p>
    <w:p>
      <w:pPr>
        <w:spacing w:after="0" w:line="185" w:lineRule="exact"/>
        <w:rPr>
          <w:sz w:val="20"/>
          <w:szCs w:val="20"/>
          <w:color w:val="auto"/>
        </w:rPr>
      </w:pPr>
    </w:p>
    <w:p>
      <w:pPr>
        <w:ind w:right="60" w:firstLine="749"/>
        <w:spacing w:after="0" w:line="248" w:lineRule="auto"/>
        <w:rPr>
          <w:sz w:val="20"/>
          <w:szCs w:val="20"/>
          <w:color w:val="auto"/>
        </w:rPr>
      </w:pPr>
      <w:r>
        <w:rPr>
          <w:rFonts w:ascii="Arial" w:cs="Arial" w:eastAsia="Arial" w:hAnsi="Arial"/>
          <w:sz w:val="19"/>
          <w:szCs w:val="19"/>
          <w:color w:val="2A2A2D"/>
        </w:rPr>
        <w:t xml:space="preserve">9.9. </w:t>
      </w:r>
      <w:r>
        <w:rPr>
          <w:rFonts w:ascii="Arial" w:cs="Arial" w:eastAsia="Arial" w:hAnsi="Arial"/>
          <w:sz w:val="19"/>
          <w:szCs w:val="19"/>
          <w:u w:val="single" w:color="auto"/>
          <w:color w:val="2A2A2D"/>
        </w:rPr>
        <w:t>Legally Binding</w:t>
      </w:r>
      <w:r>
        <w:rPr>
          <w:rFonts w:ascii="Arial" w:cs="Arial" w:eastAsia="Arial" w:hAnsi="Arial"/>
          <w:sz w:val="19"/>
          <w:szCs w:val="19"/>
          <w:color w:val="2A2A2D"/>
        </w:rPr>
        <w:t xml:space="preserve"> . In the event of any consolidation, merger, acquisition or reorganization, the obligations of the Company under this Plan shall continue and be binding on the Company and its successors or assigns. The r</w:t>
      </w:r>
      <w:r>
        <w:rPr>
          <w:rFonts w:ascii="Arial" w:cs="Arial" w:eastAsia="Arial" w:hAnsi="Arial"/>
          <w:sz w:val="19"/>
          <w:szCs w:val="19"/>
          <w:color w:val="463D41"/>
        </w:rPr>
        <w:t>i</w:t>
      </w:r>
      <w:r>
        <w:rPr>
          <w:rFonts w:ascii="Arial" w:cs="Arial" w:eastAsia="Arial" w:hAnsi="Arial"/>
          <w:sz w:val="19"/>
          <w:szCs w:val="19"/>
          <w:color w:val="2A2A2D"/>
        </w:rPr>
        <w:t>ghts, privileges</w:t>
      </w:r>
      <w:r>
        <w:rPr>
          <w:rFonts w:ascii="Arial" w:cs="Arial" w:eastAsia="Arial" w:hAnsi="Arial"/>
          <w:sz w:val="19"/>
          <w:szCs w:val="19"/>
          <w:color w:val="565456"/>
        </w:rPr>
        <w:t>,</w:t>
      </w:r>
      <w:r>
        <w:rPr>
          <w:rFonts w:ascii="Arial" w:cs="Arial" w:eastAsia="Arial" w:hAnsi="Arial"/>
          <w:sz w:val="19"/>
          <w:szCs w:val="19"/>
          <w:color w:val="2A2A2D"/>
        </w:rPr>
        <w:t xml:space="preserve"> benefits and obligations under </w:t>
      </w:r>
      <w:r>
        <w:rPr>
          <w:rFonts w:ascii="Arial" w:cs="Arial" w:eastAsia="Arial" w:hAnsi="Arial"/>
          <w:sz w:val="19"/>
          <w:szCs w:val="19"/>
          <w:color w:val="565456"/>
        </w:rPr>
        <w:t>t</w:t>
      </w:r>
      <w:r>
        <w:rPr>
          <w:rFonts w:ascii="Arial" w:cs="Arial" w:eastAsia="Arial" w:hAnsi="Arial"/>
          <w:sz w:val="19"/>
          <w:szCs w:val="19"/>
          <w:color w:val="2A2A2D"/>
        </w:rPr>
        <w:t>he Plan are intended to be legal obligations of the Company and binding upon the Company, its successors and assigns.</w:t>
      </w:r>
    </w:p>
    <w:p>
      <w:pPr>
        <w:spacing w:after="0" w:line="177" w:lineRule="exact"/>
        <w:rPr>
          <w:sz w:val="20"/>
          <w:szCs w:val="20"/>
          <w:color w:val="auto"/>
        </w:rPr>
      </w:pPr>
    </w:p>
    <w:p>
      <w:pPr>
        <w:jc w:val="both"/>
        <w:ind w:right="340" w:firstLine="749"/>
        <w:spacing w:after="0" w:line="254" w:lineRule="auto"/>
        <w:rPr>
          <w:sz w:val="20"/>
          <w:szCs w:val="20"/>
          <w:color w:val="auto"/>
        </w:rPr>
      </w:pPr>
      <w:r>
        <w:rPr>
          <w:rFonts w:ascii="Arial" w:cs="Arial" w:eastAsia="Arial" w:hAnsi="Arial"/>
          <w:sz w:val="19"/>
          <w:szCs w:val="19"/>
          <w:color w:val="2A2A2D"/>
        </w:rPr>
        <w:t xml:space="preserve">9.10. </w:t>
      </w:r>
      <w:r>
        <w:rPr>
          <w:rFonts w:ascii="Arial" w:cs="Arial" w:eastAsia="Arial" w:hAnsi="Arial"/>
          <w:sz w:val="19"/>
          <w:szCs w:val="19"/>
          <w:u w:val="single" w:color="auto"/>
          <w:color w:val="2A2A2D"/>
        </w:rPr>
        <w:t>Uncla</w:t>
      </w:r>
      <w:r>
        <w:rPr>
          <w:rFonts w:ascii="Arial" w:cs="Arial" w:eastAsia="Arial" w:hAnsi="Arial"/>
          <w:sz w:val="19"/>
          <w:szCs w:val="19"/>
          <w:u w:val="single" w:color="auto"/>
          <w:color w:val="463D41"/>
        </w:rPr>
        <w:t>i</w:t>
      </w:r>
      <w:r>
        <w:rPr>
          <w:rFonts w:ascii="Arial" w:cs="Arial" w:eastAsia="Arial" w:hAnsi="Arial"/>
          <w:sz w:val="19"/>
          <w:szCs w:val="19"/>
          <w:u w:val="single" w:color="auto"/>
          <w:color w:val="2A2A2D"/>
        </w:rPr>
        <w:t>med Benefits</w:t>
      </w:r>
      <w:r>
        <w:rPr>
          <w:rFonts w:ascii="Arial" w:cs="Arial" w:eastAsia="Arial" w:hAnsi="Arial"/>
          <w:sz w:val="19"/>
          <w:szCs w:val="19"/>
          <w:color w:val="2A2A2D"/>
        </w:rPr>
        <w:t xml:space="preserve">. Each Participant shall keep </w:t>
      </w:r>
      <w:r>
        <w:rPr>
          <w:rFonts w:ascii="Arial" w:cs="Arial" w:eastAsia="Arial" w:hAnsi="Arial"/>
          <w:sz w:val="19"/>
          <w:szCs w:val="19"/>
          <w:color w:val="463D41"/>
        </w:rPr>
        <w:t>t</w:t>
      </w:r>
      <w:r>
        <w:rPr>
          <w:rFonts w:ascii="Arial" w:cs="Arial" w:eastAsia="Arial" w:hAnsi="Arial"/>
          <w:sz w:val="19"/>
          <w:szCs w:val="19"/>
          <w:color w:val="2A2A2D"/>
        </w:rPr>
        <w:t>he Plan Administrator informed of the Participant’s current address and the current address of the Participant’s designated beneficiary. The Plan Administrator shall not be obligated to search f</w:t>
      </w:r>
      <w:r>
        <w:rPr>
          <w:rFonts w:ascii="Arial" w:cs="Arial" w:eastAsia="Arial" w:hAnsi="Arial"/>
          <w:sz w:val="19"/>
          <w:szCs w:val="19"/>
          <w:color w:val="463D41"/>
        </w:rPr>
        <w:t>o</w:t>
      </w:r>
      <w:r>
        <w:rPr>
          <w:rFonts w:ascii="Arial" w:cs="Arial" w:eastAsia="Arial" w:hAnsi="Arial"/>
          <w:sz w:val="19"/>
          <w:szCs w:val="19"/>
          <w:color w:val="2A2A2D"/>
        </w:rPr>
        <w:t>r the whereabouts of any person if the location of a person is not made known to the Plan Adminis</w:t>
      </w:r>
      <w:r>
        <w:rPr>
          <w:rFonts w:ascii="Arial" w:cs="Arial" w:eastAsia="Arial" w:hAnsi="Arial"/>
          <w:sz w:val="19"/>
          <w:szCs w:val="19"/>
          <w:color w:val="463D41"/>
        </w:rPr>
        <w:t>t</w:t>
      </w:r>
      <w:r>
        <w:rPr>
          <w:rFonts w:ascii="Arial" w:cs="Arial" w:eastAsia="Arial" w:hAnsi="Arial"/>
          <w:sz w:val="19"/>
          <w:szCs w:val="19"/>
          <w:color w:val="2A2A2D"/>
        </w:rPr>
        <w:t>rator.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474345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620" w:top="1440" w:right="619" w:bottom="1440" w:gutter="0" w:footer="0" w:header="0"/>
        </w:sectPr>
      </w:pPr>
    </w:p>
    <w:bookmarkStart w:id="135" w:name="page136"/>
    <w:bookmarkEnd w:id="135"/>
    <w:p>
      <w:pPr>
        <w:spacing w:after="0" w:line="198" w:lineRule="exact"/>
        <w:rPr>
          <w:sz w:val="20"/>
          <w:szCs w:val="20"/>
          <w:color w:val="auto"/>
        </w:rPr>
      </w:pPr>
    </w:p>
    <w:p>
      <w:pPr>
        <w:jc w:val="both"/>
        <w:ind w:right="120" w:firstLine="749"/>
        <w:spacing w:after="0" w:line="254" w:lineRule="auto"/>
        <w:rPr>
          <w:sz w:val="20"/>
          <w:szCs w:val="20"/>
          <w:color w:val="auto"/>
        </w:rPr>
      </w:pPr>
      <w:r>
        <w:rPr>
          <w:rFonts w:ascii="Arial" w:cs="Arial" w:eastAsia="Arial" w:hAnsi="Arial"/>
          <w:sz w:val="19"/>
          <w:szCs w:val="19"/>
          <w:color w:val="2A2A2D"/>
        </w:rPr>
        <w:t xml:space="preserve">9.11. </w:t>
      </w:r>
      <w:r>
        <w:rPr>
          <w:rFonts w:ascii="Arial" w:cs="Arial" w:eastAsia="Arial" w:hAnsi="Arial"/>
          <w:sz w:val="19"/>
          <w:szCs w:val="19"/>
          <w:u w:val="single" w:color="auto"/>
          <w:color w:val="2A2A2D"/>
        </w:rPr>
        <w:t>Severability</w:t>
      </w:r>
      <w:r>
        <w:rPr>
          <w:rFonts w:ascii="Arial" w:cs="Arial" w:eastAsia="Arial" w:hAnsi="Arial"/>
          <w:sz w:val="19"/>
          <w:szCs w:val="19"/>
          <w:color w:val="2A2A2D"/>
        </w:rPr>
        <w:t xml:space="preserve">. </w:t>
      </w:r>
      <w:r>
        <w:rPr>
          <w:rFonts w:ascii="Arial" w:cs="Arial" w:eastAsia="Arial" w:hAnsi="Arial"/>
          <w:sz w:val="19"/>
          <w:szCs w:val="19"/>
          <w:color w:val="463D41"/>
        </w:rPr>
        <w:t>I</w:t>
      </w:r>
      <w:r>
        <w:rPr>
          <w:rFonts w:ascii="Arial" w:cs="Arial" w:eastAsia="Arial" w:hAnsi="Arial"/>
          <w:sz w:val="19"/>
          <w:szCs w:val="19"/>
          <w:color w:val="2A2A2D"/>
        </w:rPr>
        <w:t xml:space="preserve">n the event any provision of the Plan shall be held </w:t>
      </w:r>
      <w:r>
        <w:rPr>
          <w:rFonts w:ascii="Arial" w:cs="Arial" w:eastAsia="Arial" w:hAnsi="Arial"/>
          <w:sz w:val="19"/>
          <w:szCs w:val="19"/>
          <w:color w:val="463D41"/>
        </w:rPr>
        <w:t>i</w:t>
      </w:r>
      <w:r>
        <w:rPr>
          <w:rFonts w:ascii="Arial" w:cs="Arial" w:eastAsia="Arial" w:hAnsi="Arial"/>
          <w:sz w:val="19"/>
          <w:szCs w:val="19"/>
          <w:color w:val="2A2A2D"/>
        </w:rPr>
        <w:t>nvalid o</w:t>
      </w:r>
      <w:r>
        <w:rPr>
          <w:rFonts w:ascii="Arial" w:cs="Arial" w:eastAsia="Arial" w:hAnsi="Arial"/>
          <w:sz w:val="19"/>
          <w:szCs w:val="19"/>
          <w:color w:val="463D41"/>
        </w:rPr>
        <w:t>r</w:t>
      </w:r>
      <w:r>
        <w:rPr>
          <w:rFonts w:ascii="Arial" w:cs="Arial" w:eastAsia="Arial" w:hAnsi="Arial"/>
          <w:sz w:val="19"/>
          <w:szCs w:val="19"/>
          <w:color w:val="2A2A2D"/>
        </w:rPr>
        <w:t xml:space="preserve"> illegal for any reason</w:t>
      </w:r>
      <w:r>
        <w:rPr>
          <w:rFonts w:ascii="Arial" w:cs="Arial" w:eastAsia="Arial" w:hAnsi="Arial"/>
          <w:sz w:val="19"/>
          <w:szCs w:val="19"/>
          <w:color w:val="463D41"/>
        </w:rPr>
        <w:t>,</w:t>
      </w:r>
      <w:r>
        <w:rPr>
          <w:rFonts w:ascii="Arial" w:cs="Arial" w:eastAsia="Arial" w:hAnsi="Arial"/>
          <w:sz w:val="19"/>
          <w:szCs w:val="19"/>
          <w:color w:val="2A2A2D"/>
        </w:rPr>
        <w:t xml:space="preserve"> any illegality or invalidity shall not affect the remaining parts of the Plan, but the Plan shall be construed and enforced as if the illegal or invalid provision had never been inserted.</w:t>
      </w:r>
    </w:p>
    <w:p>
      <w:pPr>
        <w:spacing w:after="0" w:line="170" w:lineRule="exact"/>
        <w:rPr>
          <w:sz w:val="20"/>
          <w:szCs w:val="20"/>
          <w:color w:val="auto"/>
        </w:rPr>
      </w:pPr>
    </w:p>
    <w:p>
      <w:pPr>
        <w:ind w:right="200" w:firstLine="749"/>
        <w:spacing w:after="0" w:line="254" w:lineRule="auto"/>
        <w:rPr>
          <w:sz w:val="20"/>
          <w:szCs w:val="20"/>
          <w:color w:val="auto"/>
        </w:rPr>
      </w:pPr>
      <w:r>
        <w:rPr>
          <w:rFonts w:ascii="Arial" w:cs="Arial" w:eastAsia="Arial" w:hAnsi="Arial"/>
          <w:sz w:val="19"/>
          <w:szCs w:val="19"/>
          <w:color w:val="232323"/>
        </w:rPr>
        <w:t xml:space="preserve">9.12. </w:t>
      </w:r>
      <w:r>
        <w:rPr>
          <w:rFonts w:ascii="Arial" w:cs="Arial" w:eastAsia="Arial" w:hAnsi="Arial"/>
          <w:sz w:val="19"/>
          <w:szCs w:val="19"/>
          <w:u w:val="single" w:color="auto"/>
          <w:color w:val="232323"/>
        </w:rPr>
        <w:t>Words and Headings</w:t>
      </w:r>
      <w:r>
        <w:rPr>
          <w:rFonts w:ascii="Arial" w:cs="Arial" w:eastAsia="Arial" w:hAnsi="Arial"/>
          <w:sz w:val="19"/>
          <w:szCs w:val="19"/>
          <w:color w:val="232323"/>
        </w:rPr>
        <w:t>. Words in any gender shall include all genders and the singular shall include the plural, and vice versa, unless qualified by the context. Any headings used herein are included for ease of reference only, and are not to be construed so as to alter the terms hereof.</w:t>
      </w:r>
    </w:p>
    <w:p>
      <w:pPr>
        <w:spacing w:after="0" w:line="170" w:lineRule="exact"/>
        <w:rPr>
          <w:sz w:val="20"/>
          <w:szCs w:val="20"/>
          <w:color w:val="auto"/>
        </w:rPr>
      </w:pPr>
    </w:p>
    <w:p>
      <w:pPr>
        <w:ind w:firstLine="749"/>
        <w:spacing w:after="0" w:line="254" w:lineRule="auto"/>
        <w:rPr>
          <w:sz w:val="20"/>
          <w:szCs w:val="20"/>
          <w:color w:val="auto"/>
        </w:rPr>
      </w:pPr>
      <w:r>
        <w:rPr>
          <w:rFonts w:ascii="Arial" w:cs="Arial" w:eastAsia="Arial" w:hAnsi="Arial"/>
          <w:sz w:val="19"/>
          <w:szCs w:val="19"/>
          <w:color w:val="232323"/>
        </w:rPr>
        <w:t xml:space="preserve">9.13. </w:t>
      </w:r>
      <w:r>
        <w:rPr>
          <w:rFonts w:ascii="Arial" w:cs="Arial" w:eastAsia="Arial" w:hAnsi="Arial"/>
          <w:sz w:val="19"/>
          <w:szCs w:val="19"/>
          <w:u w:val="single" w:color="auto"/>
          <w:color w:val="232323"/>
        </w:rPr>
        <w:t>Applicable law and Venue</w:t>
      </w:r>
      <w:r>
        <w:rPr>
          <w:rFonts w:ascii="Arial" w:cs="Arial" w:eastAsia="Arial" w:hAnsi="Arial"/>
          <w:sz w:val="19"/>
          <w:szCs w:val="19"/>
          <w:color w:val="232323"/>
        </w:rPr>
        <w:t xml:space="preserve"> . To the extent not preempted by federal law, the Plan shall be governed by the laws of the State of Washington. In the event the Company or any Participant (or beneficiary) initiates litigation related to this Plan, the venue for such action will be in King County, Washington.</w:t>
      </w:r>
    </w:p>
    <w:p>
      <w:pPr>
        <w:spacing w:after="0" w:line="170" w:lineRule="exact"/>
        <w:rPr>
          <w:sz w:val="20"/>
          <w:szCs w:val="20"/>
          <w:color w:val="auto"/>
        </w:rPr>
      </w:pPr>
    </w:p>
    <w:p>
      <w:pPr>
        <w:ind w:firstLine="749"/>
        <w:spacing w:after="0" w:line="270" w:lineRule="auto"/>
        <w:rPr>
          <w:sz w:val="20"/>
          <w:szCs w:val="20"/>
          <w:color w:val="auto"/>
        </w:rPr>
      </w:pPr>
      <w:r>
        <w:rPr>
          <w:rFonts w:ascii="Arial" w:cs="Arial" w:eastAsia="Arial" w:hAnsi="Arial"/>
          <w:sz w:val="19"/>
          <w:szCs w:val="19"/>
          <w:color w:val="232323"/>
        </w:rPr>
        <w:t xml:space="preserve">9.14. </w:t>
      </w:r>
      <w:r>
        <w:rPr>
          <w:rFonts w:ascii="Arial" w:cs="Arial" w:eastAsia="Arial" w:hAnsi="Arial"/>
          <w:sz w:val="19"/>
          <w:szCs w:val="19"/>
          <w:u w:val="single" w:color="auto"/>
          <w:color w:val="232323"/>
        </w:rPr>
        <w:t>Waiver of Breach</w:t>
      </w:r>
      <w:r>
        <w:rPr>
          <w:rFonts w:ascii="Arial" w:cs="Arial" w:eastAsia="Arial" w:hAnsi="Arial"/>
          <w:sz w:val="19"/>
          <w:szCs w:val="19"/>
          <w:color w:val="232323"/>
        </w:rPr>
        <w:t>. The waiver by the Company of any breach of any provision of the Plan by the Participant shall not operate or be construed as a waiver of any subsequent breach by the Participant.</w:t>
      </w:r>
    </w:p>
    <w:p>
      <w:pPr>
        <w:spacing w:after="0" w:line="156" w:lineRule="exact"/>
        <w:rPr>
          <w:sz w:val="20"/>
          <w:szCs w:val="20"/>
          <w:color w:val="auto"/>
        </w:rPr>
      </w:pPr>
    </w:p>
    <w:p>
      <w:pPr>
        <w:ind w:right="120" w:firstLine="749"/>
        <w:spacing w:after="0" w:line="248" w:lineRule="auto"/>
        <w:rPr>
          <w:sz w:val="20"/>
          <w:szCs w:val="20"/>
          <w:color w:val="auto"/>
        </w:rPr>
      </w:pPr>
      <w:r>
        <w:rPr>
          <w:rFonts w:ascii="Arial" w:cs="Arial" w:eastAsia="Arial" w:hAnsi="Arial"/>
          <w:sz w:val="19"/>
          <w:szCs w:val="19"/>
          <w:color w:val="232323"/>
        </w:rPr>
        <w:t xml:space="preserve">9.15. </w:t>
      </w:r>
      <w:r>
        <w:rPr>
          <w:rFonts w:ascii="Arial" w:cs="Arial" w:eastAsia="Arial" w:hAnsi="Arial"/>
          <w:sz w:val="19"/>
          <w:szCs w:val="19"/>
          <w:u w:val="single" w:color="auto"/>
          <w:color w:val="232323"/>
        </w:rPr>
        <w:t>Notice</w:t>
      </w:r>
      <w:r>
        <w:rPr>
          <w:rFonts w:ascii="Arial" w:cs="Arial" w:eastAsia="Arial" w:hAnsi="Arial"/>
          <w:sz w:val="19"/>
          <w:szCs w:val="19"/>
          <w:color w:val="232323"/>
        </w:rPr>
        <w:t>. Any notice or filing required or permitted to be given to the Plan Administrator under the Plan shall be sufficient if in writing and hand-delivered, or sent by first class mail to the principal office of the Company, directed to the attention of the Plan Administrator. Such notice shall be deemed given as of the date of delivery, or, if delivery is made by mail, as of the date shown on the postmark.</w:t>
      </w:r>
    </w:p>
    <w:p>
      <w:pPr>
        <w:spacing w:after="0" w:line="177" w:lineRule="exact"/>
        <w:rPr>
          <w:sz w:val="20"/>
          <w:szCs w:val="20"/>
          <w:color w:val="auto"/>
        </w:rPr>
      </w:pPr>
    </w:p>
    <w:p>
      <w:pPr>
        <w:ind w:right="180" w:firstLine="749"/>
        <w:spacing w:after="0" w:line="254" w:lineRule="auto"/>
        <w:rPr>
          <w:sz w:val="20"/>
          <w:szCs w:val="20"/>
          <w:color w:val="auto"/>
        </w:rPr>
      </w:pPr>
      <w:r>
        <w:rPr>
          <w:rFonts w:ascii="Arial" w:cs="Arial" w:eastAsia="Arial" w:hAnsi="Arial"/>
          <w:sz w:val="19"/>
          <w:szCs w:val="19"/>
          <w:color w:val="232323"/>
        </w:rPr>
        <w:t xml:space="preserve">9.16. </w:t>
      </w:r>
      <w:r>
        <w:rPr>
          <w:rFonts w:ascii="Arial" w:cs="Arial" w:eastAsia="Arial" w:hAnsi="Arial"/>
          <w:sz w:val="19"/>
          <w:szCs w:val="19"/>
          <w:u w:val="single" w:color="auto"/>
          <w:color w:val="232323"/>
        </w:rPr>
        <w:t>Attorneys' Fees and Costs</w:t>
      </w:r>
      <w:r>
        <w:rPr>
          <w:rFonts w:ascii="Arial" w:cs="Arial" w:eastAsia="Arial" w:hAnsi="Arial"/>
          <w:sz w:val="19"/>
          <w:szCs w:val="19"/>
          <w:color w:val="232323"/>
        </w:rPr>
        <w:t>. In the event that a dispute regarding benefits arises between the Company or Plan Administrator and a Participant (or beneficiary) and such dispute is resolved through arbitration or litigation in court, the prevailing party(ies) shall be entitled to their reasonable attorneys' fees and costs incurred in such action.</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9"/>
          <w:szCs w:val="19"/>
          <w:color w:val="363434"/>
        </w:rPr>
        <w:t>The Company has caused this restated Plan to be duly adopted and executed on ______________________.</w:t>
      </w:r>
    </w:p>
    <w:p>
      <w:pPr>
        <w:spacing w:after="0" w:line="200" w:lineRule="exact"/>
        <w:rPr>
          <w:sz w:val="20"/>
          <w:szCs w:val="20"/>
          <w:color w:val="auto"/>
        </w:rPr>
      </w:pPr>
    </w:p>
    <w:p>
      <w:pPr>
        <w:spacing w:after="0" w:line="230" w:lineRule="exact"/>
        <w:rPr>
          <w:sz w:val="20"/>
          <w:szCs w:val="20"/>
          <w:color w:val="auto"/>
        </w:rPr>
      </w:pPr>
    </w:p>
    <w:p>
      <w:pPr>
        <w:ind w:left="600"/>
        <w:spacing w:after="0"/>
        <w:rPr>
          <w:sz w:val="20"/>
          <w:szCs w:val="20"/>
          <w:color w:val="auto"/>
        </w:rPr>
      </w:pPr>
      <w:r>
        <w:rPr>
          <w:rFonts w:ascii="Arial" w:cs="Arial" w:eastAsia="Arial" w:hAnsi="Arial"/>
          <w:sz w:val="19"/>
          <w:szCs w:val="19"/>
          <w:color w:val="auto"/>
        </w:rPr>
        <w:t>[Kathleen Hogan signature block]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474345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620" w:top="1440" w:right="61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9"/>
          <w:szCs w:val="19"/>
          <w:b w:val="1"/>
          <w:bCs w:val="1"/>
          <w:color w:val="212121"/>
        </w:rPr>
        <w:t>APPENDIX 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212121"/>
        </w:rPr>
        <w:t>DESIGNATED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12121"/>
        </w:rPr>
        <w:t>(As of April 1, 2024)</w:t>
      </w:r>
    </w:p>
    <w:p>
      <w:pPr>
        <w:spacing w:after="0" w:line="376" w:lineRule="exact"/>
        <w:rPr>
          <w:sz w:val="20"/>
          <w:szCs w:val="20"/>
          <w:color w:val="auto"/>
        </w:rPr>
      </w:pPr>
    </w:p>
    <w:p>
      <w:pPr>
        <w:ind w:left="3520"/>
        <w:spacing w:after="0"/>
        <w:rPr>
          <w:sz w:val="20"/>
          <w:szCs w:val="20"/>
          <w:color w:val="auto"/>
        </w:rPr>
      </w:pPr>
      <w:r>
        <w:rPr>
          <w:rFonts w:ascii="Arial" w:cs="Arial" w:eastAsia="Arial" w:hAnsi="Arial"/>
          <w:sz w:val="19"/>
          <w:szCs w:val="19"/>
          <w:color w:val="212121"/>
        </w:rPr>
        <w:t>1654: MOL Corporation</w:t>
      </w:r>
    </w:p>
    <w:p>
      <w:pPr>
        <w:spacing w:after="0" w:line="13" w:lineRule="exact"/>
        <w:rPr>
          <w:sz w:val="20"/>
          <w:szCs w:val="20"/>
          <w:color w:val="auto"/>
        </w:rPr>
      </w:pPr>
    </w:p>
    <w:p>
      <w:pPr>
        <w:ind w:left="3420"/>
        <w:spacing w:after="0"/>
        <w:rPr>
          <w:sz w:val="20"/>
          <w:szCs w:val="20"/>
          <w:color w:val="auto"/>
        </w:rPr>
      </w:pPr>
      <w:r>
        <w:rPr>
          <w:rFonts w:ascii="Arial" w:cs="Arial" w:eastAsia="Arial" w:hAnsi="Arial"/>
          <w:sz w:val="19"/>
          <w:szCs w:val="19"/>
          <w:color w:val="212121"/>
        </w:rPr>
        <w:t>1693: Vexcel Corporation</w:t>
      </w:r>
    </w:p>
    <w:p>
      <w:pPr>
        <w:ind w:left="3360"/>
        <w:spacing w:after="0"/>
        <w:rPr>
          <w:sz w:val="20"/>
          <w:szCs w:val="20"/>
          <w:color w:val="auto"/>
        </w:rPr>
      </w:pPr>
      <w:r>
        <w:rPr>
          <w:rFonts w:ascii="Arial" w:cs="Arial" w:eastAsia="Arial" w:hAnsi="Arial"/>
          <w:sz w:val="19"/>
          <w:szCs w:val="19"/>
          <w:color w:val="212121"/>
        </w:rPr>
        <w:t>1548: Microsoft Online, Inc.</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474345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22" w:right="1440" w:bottom="1440" w:gutter="0" w:footer="0" w:header="0"/>
        </w:sectPr>
      </w:pPr>
    </w:p>
    <w:bookmarkStart w:id="137" w:name="page138"/>
    <w:bookmarkEnd w:id="137"/>
    <w:p>
      <w:pPr>
        <w:jc w:val="center"/>
        <w:ind w:right="-339"/>
        <w:spacing w:after="0"/>
        <w:rPr>
          <w:sz w:val="20"/>
          <w:szCs w:val="20"/>
          <w:color w:val="auto"/>
        </w:rPr>
      </w:pPr>
      <w:r>
        <w:rPr>
          <w:rFonts w:ascii="Arial" w:cs="Arial" w:eastAsia="Arial" w:hAnsi="Arial"/>
          <w:sz w:val="19"/>
          <w:szCs w:val="19"/>
          <w:b w:val="1"/>
          <w:bCs w:val="1"/>
          <w:color w:val="2B2B2F"/>
        </w:rPr>
        <w:t>APPENDIX B</w:t>
      </w: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9"/>
          <w:szCs w:val="19"/>
          <w:b w:val="1"/>
          <w:bCs w:val="1"/>
          <w:u w:val="single" w:color="auto"/>
          <w:color w:val="2B2B2F"/>
        </w:rPr>
        <w:t>GRANDFATHERED AMOUNTS</w:t>
      </w:r>
    </w:p>
    <w:p>
      <w:pPr>
        <w:spacing w:after="0" w:line="200" w:lineRule="exact"/>
        <w:rPr>
          <w:sz w:val="20"/>
          <w:szCs w:val="20"/>
          <w:color w:val="auto"/>
        </w:rPr>
      </w:pPr>
    </w:p>
    <w:p>
      <w:pPr>
        <w:spacing w:after="0" w:line="230" w:lineRule="exact"/>
        <w:rPr>
          <w:sz w:val="20"/>
          <w:szCs w:val="20"/>
          <w:color w:val="auto"/>
        </w:rPr>
      </w:pPr>
    </w:p>
    <w:p>
      <w:pPr>
        <w:ind w:left="200" w:right="300" w:firstLine="747"/>
        <w:spacing w:after="0" w:line="274" w:lineRule="auto"/>
        <w:rPr>
          <w:sz w:val="20"/>
          <w:szCs w:val="20"/>
          <w:color w:val="auto"/>
        </w:rPr>
      </w:pPr>
      <w:r>
        <w:rPr>
          <w:rFonts w:ascii="Arial" w:cs="Arial" w:eastAsia="Arial" w:hAnsi="Arial"/>
          <w:sz w:val="18"/>
          <w:szCs w:val="18"/>
          <w:color w:val="2B2B2F"/>
        </w:rPr>
        <w:t>Distribution of amounts that were earned and vested (with</w:t>
      </w:r>
      <w:r>
        <w:rPr>
          <w:rFonts w:ascii="Arial" w:cs="Arial" w:eastAsia="Arial" w:hAnsi="Arial"/>
          <w:sz w:val="18"/>
          <w:szCs w:val="18"/>
          <w:color w:val="64606E"/>
        </w:rPr>
        <w:t>i</w:t>
      </w:r>
      <w:r>
        <w:rPr>
          <w:rFonts w:ascii="Arial" w:cs="Arial" w:eastAsia="Arial" w:hAnsi="Arial"/>
          <w:sz w:val="18"/>
          <w:szCs w:val="18"/>
          <w:color w:val="2B2B2F"/>
        </w:rPr>
        <w:t>n the meaning of Code section 409A and regulations thereunder) under the Plan prior to 2005 (and earnings thereon) and are exempt from the requirements of Code section 409A shall b</w:t>
      </w:r>
      <w:r>
        <w:rPr>
          <w:rFonts w:ascii="Arial" w:cs="Arial" w:eastAsia="Arial" w:hAnsi="Arial"/>
          <w:sz w:val="18"/>
          <w:szCs w:val="18"/>
          <w:color w:val="4D4B4F"/>
        </w:rPr>
        <w:t>e</w:t>
      </w:r>
      <w:r>
        <w:rPr>
          <w:rFonts w:ascii="Arial" w:cs="Arial" w:eastAsia="Arial" w:hAnsi="Arial"/>
          <w:sz w:val="18"/>
          <w:szCs w:val="18"/>
          <w:color w:val="2B2B2F"/>
        </w:rPr>
        <w:t xml:space="preserve"> made in accordance with the Plan terms as in effect on December 31, 2004 and as summarized in t</w:t>
      </w:r>
      <w:r>
        <w:rPr>
          <w:rFonts w:ascii="Arial" w:cs="Arial" w:eastAsia="Arial" w:hAnsi="Arial"/>
          <w:sz w:val="18"/>
          <w:szCs w:val="18"/>
          <w:color w:val="4D4B4F"/>
        </w:rPr>
        <w:t>h</w:t>
      </w:r>
      <w:r>
        <w:rPr>
          <w:rFonts w:ascii="Arial" w:cs="Arial" w:eastAsia="Arial" w:hAnsi="Arial"/>
          <w:sz w:val="18"/>
          <w:szCs w:val="18"/>
          <w:color w:val="2B2B2F"/>
        </w:rPr>
        <w:t>is Append</w:t>
      </w:r>
      <w:r>
        <w:rPr>
          <w:rFonts w:ascii="Arial" w:cs="Arial" w:eastAsia="Arial" w:hAnsi="Arial"/>
          <w:sz w:val="18"/>
          <w:szCs w:val="18"/>
          <w:color w:val="64606E"/>
        </w:rPr>
        <w:t>i</w:t>
      </w:r>
      <w:r>
        <w:rPr>
          <w:rFonts w:ascii="Arial" w:cs="Arial" w:eastAsia="Arial" w:hAnsi="Arial"/>
          <w:sz w:val="18"/>
          <w:szCs w:val="18"/>
          <w:color w:val="2B2B2F"/>
        </w:rPr>
        <w:t>x B.</w:t>
      </w:r>
    </w:p>
    <w:p>
      <w:pPr>
        <w:spacing w:after="0" w:line="155" w:lineRule="exact"/>
        <w:rPr>
          <w:sz w:val="20"/>
          <w:szCs w:val="20"/>
          <w:color w:val="auto"/>
        </w:rPr>
      </w:pPr>
    </w:p>
    <w:p>
      <w:pPr>
        <w:ind w:left="180" w:right="20" w:firstLine="764"/>
        <w:spacing w:after="0" w:line="256" w:lineRule="auto"/>
        <w:rPr>
          <w:sz w:val="20"/>
          <w:szCs w:val="20"/>
          <w:color w:val="auto"/>
        </w:rPr>
      </w:pPr>
      <w:r>
        <w:rPr>
          <w:rFonts w:ascii="Arial" w:cs="Arial" w:eastAsia="Arial" w:hAnsi="Arial"/>
          <w:sz w:val="18"/>
          <w:szCs w:val="18"/>
          <w:color w:val="2B2B2F"/>
        </w:rPr>
        <w:t xml:space="preserve">B.1 </w:t>
      </w:r>
      <w:r>
        <w:rPr>
          <w:rFonts w:ascii="Arial" w:cs="Arial" w:eastAsia="Arial" w:hAnsi="Arial"/>
          <w:sz w:val="18"/>
          <w:szCs w:val="18"/>
          <w:u w:val="single" w:color="auto"/>
          <w:color w:val="2B2B2F"/>
        </w:rPr>
        <w:t>Timing</w:t>
      </w:r>
      <w:r>
        <w:rPr>
          <w:rFonts w:ascii="Arial" w:cs="Arial" w:eastAsia="Arial" w:hAnsi="Arial"/>
          <w:sz w:val="18"/>
          <w:szCs w:val="18"/>
          <w:color w:val="2B2B2F"/>
        </w:rPr>
        <w:t>. As soon as practicable following the final day of the Deferra</w:t>
      </w:r>
      <w:r>
        <w:rPr>
          <w:rFonts w:ascii="Arial" w:cs="Arial" w:eastAsia="Arial" w:hAnsi="Arial"/>
          <w:sz w:val="18"/>
          <w:szCs w:val="18"/>
          <w:color w:val="64606E"/>
        </w:rPr>
        <w:t>l</w:t>
      </w:r>
      <w:r>
        <w:rPr>
          <w:rFonts w:ascii="Arial" w:cs="Arial" w:eastAsia="Arial" w:hAnsi="Arial"/>
          <w:sz w:val="18"/>
          <w:szCs w:val="18"/>
          <w:color w:val="2B2B2F"/>
        </w:rPr>
        <w:t xml:space="preserve"> Period for a specific deferral, the Company will distribute to the Participant (or in the case of </w:t>
      </w:r>
      <w:r>
        <w:rPr>
          <w:rFonts w:ascii="Arial" w:cs="Arial" w:eastAsia="Arial" w:hAnsi="Arial"/>
          <w:sz w:val="18"/>
          <w:szCs w:val="18"/>
          <w:color w:val="4D4B4F"/>
        </w:rPr>
        <w:t>t</w:t>
      </w:r>
      <w:r>
        <w:rPr>
          <w:rFonts w:ascii="Arial" w:cs="Arial" w:eastAsia="Arial" w:hAnsi="Arial"/>
          <w:sz w:val="18"/>
          <w:szCs w:val="18"/>
          <w:color w:val="2B2B2F"/>
        </w:rPr>
        <w:t>he Participant's death, the Participant’s estate), all proceeds in the Participant's Deferred Bonus Account and will issue to the Participant (or in the event of the Participant's death, the personal representative or beneficiaries of the Participant’s estate) shares of Stock credited to the Participant's Deferred Stock Option Gain Account, that are attributed to that deferral. With respect to a specific deferral, the final day of the Deferral Period shall be the earliest of the last day of the Deferral Per</w:t>
      </w:r>
      <w:r>
        <w:rPr>
          <w:rFonts w:ascii="Arial" w:cs="Arial" w:eastAsia="Arial" w:hAnsi="Arial"/>
          <w:sz w:val="18"/>
          <w:szCs w:val="18"/>
          <w:color w:val="64606E"/>
        </w:rPr>
        <w:t>i</w:t>
      </w:r>
      <w:r>
        <w:rPr>
          <w:rFonts w:ascii="Arial" w:cs="Arial" w:eastAsia="Arial" w:hAnsi="Arial"/>
          <w:sz w:val="18"/>
          <w:szCs w:val="18"/>
          <w:color w:val="2B2B2F"/>
        </w:rPr>
        <w:t>od selected by the Participant or the date such Participant has a Termi</w:t>
      </w:r>
      <w:r>
        <w:rPr>
          <w:rFonts w:ascii="Arial" w:cs="Arial" w:eastAsia="Arial" w:hAnsi="Arial"/>
          <w:sz w:val="18"/>
          <w:szCs w:val="18"/>
          <w:color w:val="4D4B4F"/>
        </w:rPr>
        <w:t>n</w:t>
      </w:r>
      <w:r>
        <w:rPr>
          <w:rFonts w:ascii="Arial" w:cs="Arial" w:eastAsia="Arial" w:hAnsi="Arial"/>
          <w:sz w:val="18"/>
          <w:szCs w:val="18"/>
          <w:color w:val="2B2B2F"/>
        </w:rPr>
        <w:t xml:space="preserve">ation of Employment. Upon Termination of Employment, a Participant will have the same rights with respect to an unexercised Option that such Participant would have if the Participant had not </w:t>
      </w:r>
      <w:r>
        <w:rPr>
          <w:rFonts w:ascii="Arial" w:cs="Arial" w:eastAsia="Arial" w:hAnsi="Arial"/>
          <w:sz w:val="18"/>
          <w:szCs w:val="18"/>
          <w:color w:val="4D4B4F"/>
        </w:rPr>
        <w:t>e</w:t>
      </w:r>
      <w:r>
        <w:rPr>
          <w:rFonts w:ascii="Arial" w:cs="Arial" w:eastAsia="Arial" w:hAnsi="Arial"/>
          <w:sz w:val="18"/>
          <w:szCs w:val="18"/>
          <w:color w:val="2B2B2F"/>
        </w:rPr>
        <w:t>lected to defer the Stock Option Gain relating t</w:t>
      </w:r>
      <w:r>
        <w:rPr>
          <w:rFonts w:ascii="Arial" w:cs="Arial" w:eastAsia="Arial" w:hAnsi="Arial"/>
          <w:sz w:val="18"/>
          <w:szCs w:val="18"/>
          <w:color w:val="4D4B4F"/>
        </w:rPr>
        <w:t>o</w:t>
      </w:r>
      <w:r>
        <w:rPr>
          <w:rFonts w:ascii="Arial" w:cs="Arial" w:eastAsia="Arial" w:hAnsi="Arial"/>
          <w:sz w:val="18"/>
          <w:szCs w:val="18"/>
          <w:color w:val="2B2B2F"/>
        </w:rPr>
        <w:t xml:space="preserve"> th</w:t>
      </w:r>
      <w:r>
        <w:rPr>
          <w:rFonts w:ascii="Arial" w:cs="Arial" w:eastAsia="Arial" w:hAnsi="Arial"/>
          <w:sz w:val="18"/>
          <w:szCs w:val="18"/>
          <w:color w:val="4D4B4F"/>
        </w:rPr>
        <w:t>a</w:t>
      </w:r>
      <w:r>
        <w:rPr>
          <w:rFonts w:ascii="Arial" w:cs="Arial" w:eastAsia="Arial" w:hAnsi="Arial"/>
          <w:sz w:val="18"/>
          <w:szCs w:val="18"/>
          <w:color w:val="2B2B2F"/>
        </w:rPr>
        <w:t>t Option. The portion of a Participant's Accounts that can be attributed to a specific deferral shall be determined in the sole discretion of the Plan Administrator.</w:t>
      </w:r>
    </w:p>
    <w:p>
      <w:pPr>
        <w:spacing w:after="0" w:line="173" w:lineRule="exact"/>
        <w:rPr>
          <w:sz w:val="20"/>
          <w:szCs w:val="20"/>
          <w:color w:val="auto"/>
        </w:rPr>
      </w:pPr>
    </w:p>
    <w:p>
      <w:pPr>
        <w:ind w:left="180" w:right="40" w:firstLine="764"/>
        <w:spacing w:after="0" w:line="245" w:lineRule="auto"/>
        <w:rPr>
          <w:sz w:val="20"/>
          <w:szCs w:val="20"/>
          <w:color w:val="auto"/>
        </w:rPr>
      </w:pPr>
      <w:r>
        <w:rPr>
          <w:rFonts w:ascii="Arial" w:cs="Arial" w:eastAsia="Arial" w:hAnsi="Arial"/>
          <w:sz w:val="19"/>
          <w:szCs w:val="19"/>
          <w:color w:val="2B2B2F"/>
        </w:rPr>
        <w:t xml:space="preserve">B.2 </w:t>
      </w:r>
      <w:r>
        <w:rPr>
          <w:rFonts w:ascii="Arial" w:cs="Arial" w:eastAsia="Arial" w:hAnsi="Arial"/>
          <w:sz w:val="19"/>
          <w:szCs w:val="19"/>
          <w:u w:val="single" w:color="auto"/>
          <w:color w:val="2B2B2F"/>
        </w:rPr>
        <w:t>Extension of Deferral Period</w:t>
      </w:r>
      <w:r>
        <w:rPr>
          <w:rFonts w:ascii="Arial" w:cs="Arial" w:eastAsia="Arial" w:hAnsi="Arial"/>
          <w:sz w:val="19"/>
          <w:szCs w:val="19"/>
          <w:color w:val="2B2B2F"/>
        </w:rPr>
        <w:t>. On a one time basis with respect to each deferral, a Participant may elect in accordance with procedures established by the Plan Administrator to extend the Deferral Period for a Bonus or Stock Option Gain for an additional five (5), seven (7), or ten (10) years, provided that such extension is elected in the calendar year prior, and at least six (6) months p</w:t>
      </w:r>
      <w:r>
        <w:rPr>
          <w:rFonts w:ascii="Arial" w:cs="Arial" w:eastAsia="Arial" w:hAnsi="Arial"/>
          <w:sz w:val="19"/>
          <w:szCs w:val="19"/>
          <w:color w:val="4D4B4F"/>
        </w:rPr>
        <w:t>r</w:t>
      </w:r>
      <w:r>
        <w:rPr>
          <w:rFonts w:ascii="Arial" w:cs="Arial" w:eastAsia="Arial" w:hAnsi="Arial"/>
          <w:sz w:val="19"/>
          <w:szCs w:val="19"/>
          <w:color w:val="2B2B2F"/>
        </w:rPr>
        <w:t>ior, to the expiration of the initial Deferral Period and the Participant is an Eligible Executive at the time such Participant makes the election to extend the Deferral Period.</w:t>
      </w:r>
    </w:p>
    <w:p>
      <w:pPr>
        <w:spacing w:after="0" w:line="181" w:lineRule="exact"/>
        <w:rPr>
          <w:sz w:val="20"/>
          <w:szCs w:val="20"/>
          <w:color w:val="auto"/>
        </w:rPr>
      </w:pPr>
    </w:p>
    <w:p>
      <w:pPr>
        <w:ind w:left="180" w:right="220" w:firstLine="764"/>
        <w:spacing w:after="0" w:line="248" w:lineRule="auto"/>
        <w:rPr>
          <w:sz w:val="20"/>
          <w:szCs w:val="20"/>
          <w:color w:val="auto"/>
        </w:rPr>
      </w:pPr>
      <w:r>
        <w:rPr>
          <w:rFonts w:ascii="Arial" w:cs="Arial" w:eastAsia="Arial" w:hAnsi="Arial"/>
          <w:sz w:val="19"/>
          <w:szCs w:val="19"/>
          <w:color w:val="2B2B2F"/>
        </w:rPr>
        <w:t xml:space="preserve">B.3 </w:t>
      </w:r>
      <w:r>
        <w:rPr>
          <w:rFonts w:ascii="Arial" w:cs="Arial" w:eastAsia="Arial" w:hAnsi="Arial"/>
          <w:sz w:val="19"/>
          <w:szCs w:val="19"/>
          <w:u w:val="single" w:color="auto"/>
          <w:color w:val="2B2B2F"/>
        </w:rPr>
        <w:t>Disability</w:t>
      </w:r>
      <w:r>
        <w:rPr>
          <w:rFonts w:ascii="Arial" w:cs="Arial" w:eastAsia="Arial" w:hAnsi="Arial"/>
          <w:sz w:val="19"/>
          <w:szCs w:val="19"/>
          <w:color w:val="2B2B2F"/>
        </w:rPr>
        <w:t>. In the event of a Participant's Disability and upon application by such Participant, the Plan Administrator may determine that payment of all, or part, of such Participant's Accounts shall be made in a different manner, or on an earlier date than the time or times specified in Section 8.1 above, but only to the extent determined by the Plan Administrator to be reasonably required to satisfy the Participant's need.</w:t>
      </w:r>
    </w:p>
    <w:p>
      <w:pPr>
        <w:spacing w:after="0" w:line="177" w:lineRule="exact"/>
        <w:rPr>
          <w:sz w:val="20"/>
          <w:szCs w:val="20"/>
          <w:color w:val="auto"/>
        </w:rPr>
      </w:pPr>
    </w:p>
    <w:p>
      <w:pPr>
        <w:ind w:left="180" w:firstLine="764"/>
        <w:spacing w:after="0" w:line="254" w:lineRule="auto"/>
        <w:rPr>
          <w:sz w:val="20"/>
          <w:szCs w:val="20"/>
          <w:color w:val="auto"/>
        </w:rPr>
      </w:pPr>
      <w:r>
        <w:rPr>
          <w:rFonts w:ascii="Arial" w:cs="Arial" w:eastAsia="Arial" w:hAnsi="Arial"/>
          <w:sz w:val="19"/>
          <w:szCs w:val="19"/>
          <w:color w:val="2B2B2F"/>
        </w:rPr>
        <w:t xml:space="preserve">B.4 </w:t>
      </w:r>
      <w:r>
        <w:rPr>
          <w:rFonts w:ascii="Arial" w:cs="Arial" w:eastAsia="Arial" w:hAnsi="Arial"/>
          <w:sz w:val="19"/>
          <w:szCs w:val="19"/>
          <w:u w:val="single" w:color="auto"/>
          <w:color w:val="2B2B2F"/>
        </w:rPr>
        <w:t>Investment of Accounts</w:t>
      </w:r>
      <w:r>
        <w:rPr>
          <w:rFonts w:ascii="Arial" w:cs="Arial" w:eastAsia="Arial" w:hAnsi="Arial"/>
          <w:sz w:val="19"/>
          <w:szCs w:val="19"/>
          <w:color w:val="2B2B2F"/>
        </w:rPr>
        <w:t>. Notwithstanding Section 5.4, a Participant shall not have the right to select among Investment Options for amounts credited to the Participant's Deferred Stock Option Gain Account</w:t>
      </w:r>
      <w:r>
        <w:rPr>
          <w:rFonts w:ascii="Arial" w:cs="Arial" w:eastAsia="Arial" w:hAnsi="Arial"/>
          <w:sz w:val="19"/>
          <w:szCs w:val="19"/>
          <w:color w:val="4D4B4F"/>
        </w:rPr>
        <w:t>.</w:t>
      </w:r>
      <w:r>
        <w:rPr>
          <w:rFonts w:ascii="Arial" w:cs="Arial" w:eastAsia="Arial" w:hAnsi="Arial"/>
          <w:sz w:val="19"/>
          <w:szCs w:val="19"/>
          <w:color w:val="2B2B2F"/>
        </w:rPr>
        <w:t xml:space="preserve"> Such amounts shall be treated as if invested in Stock at all times.</w:t>
      </w:r>
    </w:p>
    <w:p>
      <w:pPr>
        <w:spacing w:after="0" w:line="170" w:lineRule="exact"/>
        <w:rPr>
          <w:sz w:val="20"/>
          <w:szCs w:val="20"/>
          <w:color w:val="auto"/>
        </w:rPr>
      </w:pPr>
    </w:p>
    <w:p>
      <w:pPr>
        <w:ind w:left="960"/>
        <w:spacing w:after="0"/>
        <w:tabs>
          <w:tab w:leader="none" w:pos="1500" w:val="left"/>
        </w:tabs>
        <w:rPr>
          <w:sz w:val="20"/>
          <w:szCs w:val="20"/>
          <w:color w:val="auto"/>
        </w:rPr>
      </w:pPr>
      <w:r>
        <w:rPr>
          <w:rFonts w:ascii="Arial" w:cs="Arial" w:eastAsia="Arial" w:hAnsi="Arial"/>
          <w:sz w:val="19"/>
          <w:szCs w:val="19"/>
          <w:color w:val="2B2B2F"/>
        </w:rPr>
        <w:t>B.5</w:t>
      </w:r>
      <w:r>
        <w:rPr>
          <w:sz w:val="20"/>
          <w:szCs w:val="20"/>
          <w:color w:val="auto"/>
        </w:rPr>
        <w:tab/>
      </w:r>
      <w:r>
        <w:rPr>
          <w:rFonts w:ascii="Arial" w:cs="Arial" w:eastAsia="Arial" w:hAnsi="Arial"/>
          <w:sz w:val="19"/>
          <w:szCs w:val="19"/>
          <w:u w:val="single" w:color="auto"/>
          <w:color w:val="232323"/>
        </w:rPr>
        <w:t>Definitions</w:t>
      </w:r>
      <w:r>
        <w:rPr>
          <w:rFonts w:ascii="Arial" w:cs="Arial" w:eastAsia="Arial" w:hAnsi="Arial"/>
          <w:sz w:val="19"/>
          <w:szCs w:val="19"/>
          <w:color w:val="232323"/>
        </w:rPr>
        <w:t>. For purposes of this Appendix B, the following terms shall have the meanings indicated below:</w:t>
      </w:r>
    </w:p>
    <w:p>
      <w:pPr>
        <w:spacing w:after="0" w:line="214" w:lineRule="exact"/>
        <w:rPr>
          <w:sz w:val="20"/>
          <w:szCs w:val="20"/>
          <w:color w:val="auto"/>
        </w:rPr>
      </w:pPr>
    </w:p>
    <w:p>
      <w:pPr>
        <w:ind w:right="60" w:firstLine="1483"/>
        <w:spacing w:after="0" w:line="270" w:lineRule="auto"/>
        <w:rPr>
          <w:sz w:val="20"/>
          <w:szCs w:val="20"/>
          <w:color w:val="auto"/>
        </w:rPr>
      </w:pPr>
      <w:r>
        <w:rPr>
          <w:rFonts w:ascii="Arial" w:cs="Arial" w:eastAsia="Arial" w:hAnsi="Arial"/>
          <w:sz w:val="19"/>
          <w:szCs w:val="19"/>
          <w:u w:val="single" w:color="auto"/>
          <w:color w:val="232323"/>
        </w:rPr>
        <w:t>Bonus</w:t>
      </w:r>
      <w:r>
        <w:rPr>
          <w:rFonts w:ascii="Arial" w:cs="Arial" w:eastAsia="Arial" w:hAnsi="Arial"/>
          <w:sz w:val="19"/>
          <w:szCs w:val="19"/>
          <w:color w:val="232323"/>
        </w:rPr>
        <w:t xml:space="preserve"> means the amount payable by the Company to an Eligible Employee as an individual performance bonus, executive bonus or any other bonus/incentive award that is approved by the Plan Administrator for deferral under the Plan.</w:t>
      </w:r>
    </w:p>
    <w:p>
      <w:pPr>
        <w:spacing w:after="0" w:line="156" w:lineRule="exact"/>
        <w:rPr>
          <w:sz w:val="20"/>
          <w:szCs w:val="20"/>
          <w:color w:val="auto"/>
        </w:rPr>
      </w:pPr>
    </w:p>
    <w:p>
      <w:pPr>
        <w:ind w:right="180" w:firstLine="1483"/>
        <w:spacing w:after="0" w:line="248" w:lineRule="auto"/>
        <w:rPr>
          <w:sz w:val="20"/>
          <w:szCs w:val="20"/>
          <w:color w:val="auto"/>
        </w:rPr>
      </w:pPr>
      <w:r>
        <w:rPr>
          <w:rFonts w:ascii="Arial" w:cs="Arial" w:eastAsia="Arial" w:hAnsi="Arial"/>
          <w:sz w:val="19"/>
          <w:szCs w:val="19"/>
          <w:u w:val="single" w:color="auto"/>
          <w:color w:val="232323"/>
        </w:rPr>
        <w:t>Deferral Period</w:t>
      </w:r>
      <w:r>
        <w:rPr>
          <w:rFonts w:ascii="Arial" w:cs="Arial" w:eastAsia="Arial" w:hAnsi="Arial"/>
          <w:sz w:val="19"/>
          <w:szCs w:val="19"/>
          <w:color w:val="232323"/>
        </w:rPr>
        <w:t xml:space="preserve"> means with respect to a specific deferral of a Bonus or Stock Option Gain, the period of five (5), seven (7), or ten (10) years from the date on which the corresponding Bonus would otherwise have been paid or the date the Option was scheduled to expire had it not been exercised; provided that, in the event of the Participant's Termination of Employment, the Deferral Period shall end on the date of Termination of Employment.</w:t>
      </w:r>
    </w:p>
    <w:p>
      <w:pPr>
        <w:spacing w:after="0" w:line="393"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474345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80" w:top="1422" w:right="559" w:bottom="1440" w:gutter="0" w:footer="0" w:header="0"/>
        </w:sectPr>
      </w:pPr>
    </w:p>
    <w:bookmarkStart w:id="138" w:name="page139"/>
    <w:bookmarkEnd w:id="138"/>
    <w:p>
      <w:pPr>
        <w:spacing w:after="0" w:line="198" w:lineRule="exact"/>
        <w:rPr>
          <w:sz w:val="20"/>
          <w:szCs w:val="20"/>
          <w:color w:val="auto"/>
        </w:rPr>
      </w:pPr>
    </w:p>
    <w:p>
      <w:pPr>
        <w:ind w:left="1500"/>
        <w:spacing w:after="0"/>
        <w:rPr>
          <w:sz w:val="20"/>
          <w:szCs w:val="20"/>
          <w:color w:val="auto"/>
        </w:rPr>
      </w:pPr>
      <w:r>
        <w:rPr>
          <w:rFonts w:ascii="Arial" w:cs="Arial" w:eastAsia="Arial" w:hAnsi="Arial"/>
          <w:sz w:val="19"/>
          <w:szCs w:val="19"/>
          <w:u w:val="single" w:color="auto"/>
          <w:color w:val="232323"/>
        </w:rPr>
        <w:t>Deferred Bonus Account</w:t>
      </w:r>
      <w:r>
        <w:rPr>
          <w:rFonts w:ascii="Arial" w:cs="Arial" w:eastAsia="Arial" w:hAnsi="Arial"/>
          <w:sz w:val="19"/>
          <w:szCs w:val="19"/>
          <w:color w:val="232323"/>
        </w:rPr>
        <w:t xml:space="preserve"> means a bookkeeping account established for Bonuses deferred under the Plan.</w:t>
      </w:r>
    </w:p>
    <w:p>
      <w:pPr>
        <w:spacing w:after="0" w:line="214" w:lineRule="exact"/>
        <w:rPr>
          <w:sz w:val="20"/>
          <w:szCs w:val="20"/>
          <w:color w:val="auto"/>
        </w:rPr>
      </w:pPr>
    </w:p>
    <w:p>
      <w:pPr>
        <w:ind w:left="1500"/>
        <w:spacing w:after="0"/>
        <w:rPr>
          <w:sz w:val="20"/>
          <w:szCs w:val="20"/>
          <w:color w:val="auto"/>
        </w:rPr>
      </w:pPr>
      <w:r>
        <w:rPr>
          <w:rFonts w:ascii="Arial" w:cs="Arial" w:eastAsia="Arial" w:hAnsi="Arial"/>
          <w:sz w:val="19"/>
          <w:szCs w:val="19"/>
          <w:u w:val="single" w:color="auto"/>
          <w:color w:val="232323"/>
        </w:rPr>
        <w:t>Deferred Stock Option Gain Account</w:t>
      </w:r>
      <w:r>
        <w:rPr>
          <w:rFonts w:ascii="Arial" w:cs="Arial" w:eastAsia="Arial" w:hAnsi="Arial"/>
          <w:sz w:val="19"/>
          <w:szCs w:val="19"/>
          <w:color w:val="232323"/>
        </w:rPr>
        <w:t xml:space="preserve"> means a bookkeeping account established for Stock Option Gains deferred</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232323"/>
        </w:rPr>
        <w:t>under the Plan.</w:t>
      </w:r>
    </w:p>
    <w:p>
      <w:pPr>
        <w:spacing w:after="0" w:line="196" w:lineRule="exact"/>
        <w:rPr>
          <w:sz w:val="20"/>
          <w:szCs w:val="20"/>
          <w:color w:val="auto"/>
        </w:rPr>
      </w:pPr>
    </w:p>
    <w:p>
      <w:pPr>
        <w:ind w:right="80" w:firstLine="1483"/>
        <w:spacing w:after="0" w:line="262" w:lineRule="auto"/>
        <w:rPr>
          <w:sz w:val="20"/>
          <w:szCs w:val="20"/>
          <w:color w:val="auto"/>
        </w:rPr>
      </w:pPr>
      <w:r>
        <w:rPr>
          <w:rFonts w:ascii="Arial" w:cs="Arial" w:eastAsia="Arial" w:hAnsi="Arial"/>
          <w:sz w:val="18"/>
          <w:szCs w:val="18"/>
          <w:u w:val="single" w:color="auto"/>
          <w:color w:val="232323"/>
        </w:rPr>
        <w:t>Disability</w:t>
      </w:r>
      <w:r>
        <w:rPr>
          <w:rFonts w:ascii="Arial" w:cs="Arial" w:eastAsia="Arial" w:hAnsi="Arial"/>
          <w:sz w:val="18"/>
          <w:szCs w:val="18"/>
          <w:color w:val="232323"/>
        </w:rPr>
        <w:t xml:space="preserve"> means any long-term disability as defined under the Company's long-term disability plan. The Plan Administrator, in its complete and sole discretion, shall determine a Participant's Disability. The Plan Administrator may require that the Participant submit to an examination on an annual basis, at the expense of the Company, by a competent physician or medical clinic selected by the Plan Administrator to assist in the determination of Disability. On the basis of such medical evidence, the determination of the Plan Administrator as to whether or not a condition of Disability exists or continues shall be conclusive.</w:t>
      </w:r>
    </w:p>
    <w:p>
      <w:pPr>
        <w:spacing w:after="0" w:line="166" w:lineRule="exact"/>
        <w:rPr>
          <w:sz w:val="20"/>
          <w:szCs w:val="20"/>
          <w:color w:val="auto"/>
        </w:rPr>
      </w:pPr>
    </w:p>
    <w:p>
      <w:pPr>
        <w:ind w:right="140" w:firstLine="1483"/>
        <w:spacing w:after="0" w:line="245" w:lineRule="auto"/>
        <w:rPr>
          <w:sz w:val="20"/>
          <w:szCs w:val="20"/>
          <w:color w:val="auto"/>
        </w:rPr>
      </w:pPr>
      <w:r>
        <w:rPr>
          <w:rFonts w:ascii="Arial" w:cs="Arial" w:eastAsia="Arial" w:hAnsi="Arial"/>
          <w:sz w:val="19"/>
          <w:szCs w:val="19"/>
          <w:u w:val="single" w:color="auto"/>
          <w:color w:val="232323"/>
        </w:rPr>
        <w:t>Eligible Executive</w:t>
      </w:r>
      <w:r>
        <w:rPr>
          <w:rFonts w:ascii="Arial" w:cs="Arial" w:eastAsia="Arial" w:hAnsi="Arial"/>
          <w:sz w:val="19"/>
          <w:szCs w:val="19"/>
          <w:color w:val="232323"/>
        </w:rPr>
        <w:t xml:space="preserve"> means a full-time employee of the Company who is (i) an elected officer of the Company, (ii) at the level of Vice President or above, (iii) at Level 16 or above on the Company's salary range, and (iv) working within the United States of America. ln addition, the Plan Administrator may, in the Plan Administrator’s discretion, extend coverage to persons who are selected by the Plan Administrator and who either (y) meet all of the foregoing requirements except that such person works outside of the United States of America, or (z) is an officer of a subsidiary of the Company.</w:t>
      </w:r>
    </w:p>
    <w:p>
      <w:pPr>
        <w:spacing w:after="0" w:line="181" w:lineRule="exact"/>
        <w:rPr>
          <w:sz w:val="20"/>
          <w:szCs w:val="20"/>
          <w:color w:val="auto"/>
        </w:rPr>
      </w:pPr>
    </w:p>
    <w:p>
      <w:pPr>
        <w:ind w:right="20" w:firstLine="1483"/>
        <w:spacing w:after="0" w:line="248" w:lineRule="auto"/>
        <w:rPr>
          <w:sz w:val="20"/>
          <w:szCs w:val="20"/>
          <w:color w:val="auto"/>
        </w:rPr>
      </w:pPr>
      <w:r>
        <w:rPr>
          <w:rFonts w:ascii="Arial" w:cs="Arial" w:eastAsia="Arial" w:hAnsi="Arial"/>
          <w:sz w:val="19"/>
          <w:szCs w:val="19"/>
          <w:u w:val="single" w:color="auto"/>
          <w:color w:val="232323"/>
        </w:rPr>
        <w:t>Mature Shares</w:t>
      </w:r>
      <w:r>
        <w:rPr>
          <w:rFonts w:ascii="Arial" w:cs="Arial" w:eastAsia="Arial" w:hAnsi="Arial"/>
          <w:sz w:val="19"/>
          <w:szCs w:val="19"/>
          <w:color w:val="232323"/>
        </w:rPr>
        <w:t xml:space="preserve"> means shares of the Company's Stock delivered by a Participant in payment of the exercise price of an Option; provided that Mature Shares shall not include any shares of the Company's Stock that may be received upon exercise of such Option, nor Stock that the Participant purchased pursuant to a prior stock option exercise which occurred less than six months prior to the exercise of such Option.</w:t>
      </w:r>
    </w:p>
    <w:p>
      <w:pPr>
        <w:spacing w:after="0" w:line="177" w:lineRule="exact"/>
        <w:rPr>
          <w:sz w:val="20"/>
          <w:szCs w:val="20"/>
          <w:color w:val="auto"/>
        </w:rPr>
      </w:pPr>
    </w:p>
    <w:p>
      <w:pPr>
        <w:ind w:right="80" w:firstLine="1483"/>
        <w:spacing w:after="0" w:line="254" w:lineRule="auto"/>
        <w:rPr>
          <w:sz w:val="20"/>
          <w:szCs w:val="20"/>
          <w:color w:val="auto"/>
        </w:rPr>
      </w:pPr>
      <w:r>
        <w:rPr>
          <w:rFonts w:ascii="Arial" w:cs="Arial" w:eastAsia="Arial" w:hAnsi="Arial"/>
          <w:sz w:val="19"/>
          <w:szCs w:val="19"/>
          <w:u w:val="single" w:color="auto"/>
          <w:color w:val="28262A"/>
        </w:rPr>
        <w:t>Option</w:t>
      </w:r>
      <w:r>
        <w:rPr>
          <w:rFonts w:ascii="Arial" w:cs="Arial" w:eastAsia="Arial" w:hAnsi="Arial"/>
          <w:sz w:val="19"/>
          <w:szCs w:val="19"/>
          <w:color w:val="28262A"/>
        </w:rPr>
        <w:t xml:space="preserve"> shall mean one or more non-qualified stock options, issued to a Participant under any stock option plan of the Company, with respect to which the Participant has elected to defer the Stock Option Gain. Option shall not </w:t>
      </w:r>
      <w:r>
        <w:rPr>
          <w:rFonts w:ascii="Arial" w:cs="Arial" w:eastAsia="Arial" w:hAnsi="Arial"/>
          <w:sz w:val="19"/>
          <w:szCs w:val="19"/>
          <w:color w:val="423D41"/>
        </w:rPr>
        <w:t>i</w:t>
      </w:r>
      <w:r>
        <w:rPr>
          <w:rFonts w:ascii="Arial" w:cs="Arial" w:eastAsia="Arial" w:hAnsi="Arial"/>
          <w:sz w:val="19"/>
          <w:szCs w:val="19"/>
          <w:color w:val="28262A"/>
        </w:rPr>
        <w:t>nclude any rights under the Company's Employee Stock Purchase Plan.</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9"/>
          <w:szCs w:val="19"/>
          <w:u w:val="single" w:color="auto"/>
          <w:color w:val="28262A"/>
        </w:rPr>
        <w:t>Stock</w:t>
      </w:r>
      <w:r>
        <w:rPr>
          <w:rFonts w:ascii="Arial" w:cs="Arial" w:eastAsia="Arial" w:hAnsi="Arial"/>
          <w:sz w:val="19"/>
          <w:szCs w:val="19"/>
          <w:color w:val="28262A"/>
        </w:rPr>
        <w:t xml:space="preserve"> means Microsoft Corporation common stock.</w:t>
      </w:r>
    </w:p>
    <w:p>
      <w:pPr>
        <w:spacing w:after="0" w:line="214" w:lineRule="exact"/>
        <w:rPr>
          <w:sz w:val="20"/>
          <w:szCs w:val="20"/>
          <w:color w:val="auto"/>
        </w:rPr>
      </w:pPr>
    </w:p>
    <w:p>
      <w:pPr>
        <w:ind w:firstLine="1483"/>
        <w:spacing w:after="0" w:line="274" w:lineRule="auto"/>
        <w:rPr>
          <w:sz w:val="20"/>
          <w:szCs w:val="20"/>
          <w:color w:val="auto"/>
        </w:rPr>
      </w:pPr>
      <w:r>
        <w:rPr>
          <w:rFonts w:ascii="Arial" w:cs="Arial" w:eastAsia="Arial" w:hAnsi="Arial"/>
          <w:sz w:val="18"/>
          <w:szCs w:val="18"/>
          <w:u w:val="single" w:color="auto"/>
          <w:color w:val="28262A"/>
        </w:rPr>
        <w:t>Stock Option Gain</w:t>
      </w:r>
      <w:r>
        <w:rPr>
          <w:rFonts w:ascii="Arial" w:cs="Arial" w:eastAsia="Arial" w:hAnsi="Arial"/>
          <w:sz w:val="18"/>
          <w:szCs w:val="18"/>
          <w:color w:val="28262A"/>
        </w:rPr>
        <w:t xml:space="preserve"> means the number of shares underlying an Option m</w:t>
      </w:r>
      <w:r>
        <w:rPr>
          <w:rFonts w:ascii="Arial" w:cs="Arial" w:eastAsia="Arial" w:hAnsi="Arial"/>
          <w:sz w:val="18"/>
          <w:szCs w:val="18"/>
          <w:color w:val="423D41"/>
        </w:rPr>
        <w:t>i</w:t>
      </w:r>
      <w:r>
        <w:rPr>
          <w:rFonts w:ascii="Arial" w:cs="Arial" w:eastAsia="Arial" w:hAnsi="Arial"/>
          <w:sz w:val="18"/>
          <w:szCs w:val="18"/>
          <w:color w:val="28262A"/>
        </w:rPr>
        <w:t>nus the number of Mature Shares required to pay the exercise price for those share</w:t>
      </w:r>
      <w:r>
        <w:rPr>
          <w:rFonts w:ascii="Arial" w:cs="Arial" w:eastAsia="Arial" w:hAnsi="Arial"/>
          <w:sz w:val="18"/>
          <w:szCs w:val="18"/>
          <w:color w:val="423D41"/>
        </w:rPr>
        <w:t>s</w:t>
      </w:r>
      <w:r>
        <w:rPr>
          <w:rFonts w:ascii="Arial" w:cs="Arial" w:eastAsia="Arial" w:hAnsi="Arial"/>
          <w:sz w:val="18"/>
          <w:szCs w:val="18"/>
          <w:color w:val="28262A"/>
        </w:rPr>
        <w:t xml:space="preserve">. For example, if a Participant elects to defer </w:t>
      </w:r>
      <w:r>
        <w:rPr>
          <w:rFonts w:ascii="Arial" w:cs="Arial" w:eastAsia="Arial" w:hAnsi="Arial"/>
          <w:sz w:val="18"/>
          <w:szCs w:val="18"/>
          <w:color w:val="423D41"/>
        </w:rPr>
        <w:t>t</w:t>
      </w:r>
      <w:r>
        <w:rPr>
          <w:rFonts w:ascii="Arial" w:cs="Arial" w:eastAsia="Arial" w:hAnsi="Arial"/>
          <w:sz w:val="18"/>
          <w:szCs w:val="18"/>
          <w:color w:val="28262A"/>
        </w:rPr>
        <w:t>he gain on 100 shares and is required to deliver 10 shares of Stock as payment for the exercise price on the 100 shares, the St</w:t>
      </w:r>
      <w:r>
        <w:rPr>
          <w:rFonts w:ascii="Arial" w:cs="Arial" w:eastAsia="Arial" w:hAnsi="Arial"/>
          <w:sz w:val="18"/>
          <w:szCs w:val="18"/>
          <w:color w:val="423D41"/>
        </w:rPr>
        <w:t>ock</w:t>
      </w:r>
      <w:r>
        <w:rPr>
          <w:rFonts w:ascii="Arial" w:cs="Arial" w:eastAsia="Arial" w:hAnsi="Arial"/>
          <w:sz w:val="18"/>
          <w:szCs w:val="18"/>
          <w:color w:val="28262A"/>
        </w:rPr>
        <w:t xml:space="preserve"> Option Gain will be 90 shares</w:t>
      </w:r>
      <w:r>
        <w:rPr>
          <w:rFonts w:ascii="Arial" w:cs="Arial" w:eastAsia="Arial" w:hAnsi="Arial"/>
          <w:sz w:val="18"/>
          <w:szCs w:val="18"/>
          <w:color w:val="423D41"/>
        </w:rPr>
        <w:t>.</w:t>
      </w:r>
    </w:p>
    <w:p>
      <w:pPr>
        <w:spacing w:after="0" w:line="155" w:lineRule="exact"/>
        <w:rPr>
          <w:sz w:val="20"/>
          <w:szCs w:val="20"/>
          <w:color w:val="auto"/>
        </w:rPr>
      </w:pPr>
    </w:p>
    <w:p>
      <w:pPr>
        <w:ind w:right="40" w:firstLine="1483"/>
        <w:spacing w:after="0" w:line="254" w:lineRule="auto"/>
        <w:rPr>
          <w:sz w:val="20"/>
          <w:szCs w:val="20"/>
          <w:color w:val="auto"/>
        </w:rPr>
      </w:pPr>
      <w:r>
        <w:rPr>
          <w:rFonts w:ascii="Arial" w:cs="Arial" w:eastAsia="Arial" w:hAnsi="Arial"/>
          <w:sz w:val="19"/>
          <w:szCs w:val="19"/>
          <w:u w:val="single" w:color="auto"/>
          <w:color w:val="28262A"/>
        </w:rPr>
        <w:t>Terminatio</w:t>
      </w:r>
      <w:r>
        <w:rPr>
          <w:rFonts w:ascii="Arial" w:cs="Arial" w:eastAsia="Arial" w:hAnsi="Arial"/>
          <w:sz w:val="19"/>
          <w:szCs w:val="19"/>
          <w:u w:val="single" w:color="auto"/>
          <w:color w:val="423D41"/>
        </w:rPr>
        <w:t>n</w:t>
      </w:r>
      <w:r>
        <w:rPr>
          <w:rFonts w:ascii="Arial" w:cs="Arial" w:eastAsia="Arial" w:hAnsi="Arial"/>
          <w:sz w:val="19"/>
          <w:szCs w:val="19"/>
          <w:color w:val="28262A"/>
        </w:rPr>
        <w:t xml:space="preserve"> </w:t>
      </w:r>
      <w:r>
        <w:rPr>
          <w:rFonts w:ascii="Arial" w:cs="Arial" w:eastAsia="Arial" w:hAnsi="Arial"/>
          <w:sz w:val="19"/>
          <w:szCs w:val="19"/>
          <w:u w:val="single" w:color="auto"/>
          <w:color w:val="28262A"/>
        </w:rPr>
        <w:t>of</w:t>
      </w:r>
      <w:r>
        <w:rPr>
          <w:rFonts w:ascii="Arial" w:cs="Arial" w:eastAsia="Arial" w:hAnsi="Arial"/>
          <w:sz w:val="19"/>
          <w:szCs w:val="19"/>
          <w:color w:val="28262A"/>
        </w:rPr>
        <w:t xml:space="preserve"> </w:t>
      </w:r>
      <w:r>
        <w:rPr>
          <w:rFonts w:ascii="Arial" w:cs="Arial" w:eastAsia="Arial" w:hAnsi="Arial"/>
          <w:sz w:val="19"/>
          <w:szCs w:val="19"/>
          <w:u w:val="single" w:color="auto"/>
          <w:color w:val="423D41"/>
        </w:rPr>
        <w:t>E</w:t>
      </w:r>
      <w:r>
        <w:rPr>
          <w:rFonts w:ascii="Arial" w:cs="Arial" w:eastAsia="Arial" w:hAnsi="Arial"/>
          <w:sz w:val="19"/>
          <w:szCs w:val="19"/>
          <w:u w:val="single" w:color="auto"/>
          <w:color w:val="28262A"/>
        </w:rPr>
        <w:t>mploy</w:t>
      </w:r>
      <w:r>
        <w:rPr>
          <w:rFonts w:ascii="Arial" w:cs="Arial" w:eastAsia="Arial" w:hAnsi="Arial"/>
          <w:sz w:val="19"/>
          <w:szCs w:val="19"/>
          <w:u w:val="single" w:color="auto"/>
          <w:color w:val="423D41"/>
        </w:rPr>
        <w:t>m</w:t>
      </w:r>
      <w:r>
        <w:rPr>
          <w:rFonts w:ascii="Arial" w:cs="Arial" w:eastAsia="Arial" w:hAnsi="Arial"/>
          <w:sz w:val="19"/>
          <w:szCs w:val="19"/>
          <w:u w:val="single" w:color="auto"/>
          <w:color w:val="28262A"/>
        </w:rPr>
        <w:t>e</w:t>
      </w:r>
      <w:r>
        <w:rPr>
          <w:rFonts w:ascii="Arial" w:cs="Arial" w:eastAsia="Arial" w:hAnsi="Arial"/>
          <w:sz w:val="19"/>
          <w:szCs w:val="19"/>
          <w:u w:val="single" w:color="auto"/>
          <w:color w:val="423D41"/>
        </w:rPr>
        <w:t>n</w:t>
      </w:r>
      <w:r>
        <w:rPr>
          <w:rFonts w:ascii="Arial" w:cs="Arial" w:eastAsia="Arial" w:hAnsi="Arial"/>
          <w:sz w:val="19"/>
          <w:szCs w:val="19"/>
          <w:u w:val="single" w:color="auto"/>
          <w:color w:val="28262A"/>
        </w:rPr>
        <w:t>t</w:t>
      </w:r>
      <w:r>
        <w:rPr>
          <w:rFonts w:ascii="Arial" w:cs="Arial" w:eastAsia="Arial" w:hAnsi="Arial"/>
          <w:sz w:val="19"/>
          <w:szCs w:val="19"/>
          <w:color w:val="28262A"/>
        </w:rPr>
        <w:t xml:space="preserve"> means the termination of the Participant's employment relationship w</w:t>
      </w:r>
      <w:r>
        <w:rPr>
          <w:rFonts w:ascii="Arial" w:cs="Arial" w:eastAsia="Arial" w:hAnsi="Arial"/>
          <w:sz w:val="19"/>
          <w:szCs w:val="19"/>
          <w:color w:val="5D5457"/>
        </w:rPr>
        <w:t>i</w:t>
      </w:r>
      <w:r>
        <w:rPr>
          <w:rFonts w:ascii="Arial" w:cs="Arial" w:eastAsia="Arial" w:hAnsi="Arial"/>
          <w:sz w:val="19"/>
          <w:szCs w:val="19"/>
          <w:color w:val="28262A"/>
        </w:rPr>
        <w:t>th the Company for any reason including</w:t>
      </w:r>
      <w:r>
        <w:rPr>
          <w:rFonts w:ascii="Arial" w:cs="Arial" w:eastAsia="Arial" w:hAnsi="Arial"/>
          <w:sz w:val="19"/>
          <w:szCs w:val="19"/>
          <w:color w:val="423D41"/>
        </w:rPr>
        <w:t>,</w:t>
      </w:r>
      <w:r>
        <w:rPr>
          <w:rFonts w:ascii="Arial" w:cs="Arial" w:eastAsia="Arial" w:hAnsi="Arial"/>
          <w:sz w:val="19"/>
          <w:szCs w:val="19"/>
          <w:color w:val="28262A"/>
        </w:rPr>
        <w:t xml:space="preserve"> without limitation, involuntary termination with or without cause, voluntary termination, disability, death, or retirement.</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474345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80" w:top="1440" w:right="519" w:bottom="1440" w:gutter="0" w:footer="0" w:header="0"/>
        </w:sectPr>
      </w:pPr>
    </w:p>
    <w:bookmarkStart w:id="139" w:name="page140"/>
    <w:bookmarkEnd w:id="139"/>
    <w:p>
      <w:pPr>
        <w:jc w:val="center"/>
        <w:ind w:right="-319"/>
        <w:spacing w:after="0"/>
        <w:rPr>
          <w:sz w:val="20"/>
          <w:szCs w:val="20"/>
          <w:color w:val="auto"/>
        </w:rPr>
      </w:pPr>
      <w:r>
        <w:rPr>
          <w:rFonts w:ascii="Arial" w:cs="Arial" w:eastAsia="Arial" w:hAnsi="Arial"/>
          <w:sz w:val="19"/>
          <w:szCs w:val="19"/>
          <w:b w:val="1"/>
          <w:bCs w:val="1"/>
          <w:u w:val="single" w:color="auto"/>
          <w:color w:val="1F1F1F"/>
        </w:rPr>
        <w:t>APPENDIX C</w:t>
      </w:r>
    </w:p>
    <w:p>
      <w:pPr>
        <w:spacing w:after="0" w:line="187"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u w:val="single" w:color="auto"/>
          <w:color w:val="1F1F1F"/>
        </w:rPr>
        <w:t>2005 DEFERRED COMPENSATION</w:t>
      </w:r>
    </w:p>
    <w:p>
      <w:pPr>
        <w:spacing w:after="0" w:line="376" w:lineRule="exact"/>
        <w:rPr>
          <w:sz w:val="20"/>
          <w:szCs w:val="20"/>
          <w:color w:val="auto"/>
        </w:rPr>
      </w:pPr>
    </w:p>
    <w:p>
      <w:pPr>
        <w:ind w:right="80" w:firstLine="744"/>
        <w:spacing w:after="0" w:line="254" w:lineRule="auto"/>
        <w:rPr>
          <w:sz w:val="20"/>
          <w:szCs w:val="20"/>
          <w:color w:val="auto"/>
        </w:rPr>
      </w:pPr>
      <w:r>
        <w:rPr>
          <w:rFonts w:ascii="Arial" w:cs="Arial" w:eastAsia="Arial" w:hAnsi="Arial"/>
          <w:sz w:val="19"/>
          <w:szCs w:val="19"/>
          <w:color w:val="1F1F1F"/>
        </w:rPr>
        <w:t>This Appendix C sets forth the special rules applicable to compensation eligible for deferral under the Plan from January 1, 2005 through December 31, 2005. Unless otherwise defined herein, capitalized terms used but not otherwise defined herein shall have the meanings given to them in the Plan and Appendix B.</w:t>
      </w:r>
    </w:p>
    <w:p>
      <w:pPr>
        <w:spacing w:after="0" w:line="143" w:lineRule="exact"/>
        <w:rPr>
          <w:sz w:val="20"/>
          <w:szCs w:val="20"/>
          <w:color w:val="auto"/>
        </w:rPr>
      </w:pPr>
    </w:p>
    <w:p>
      <w:pPr>
        <w:ind w:firstLine="749"/>
        <w:spacing w:after="0" w:line="248" w:lineRule="auto"/>
        <w:rPr>
          <w:sz w:val="20"/>
          <w:szCs w:val="20"/>
          <w:color w:val="auto"/>
        </w:rPr>
      </w:pPr>
      <w:r>
        <w:rPr>
          <w:rFonts w:ascii="Arial" w:cs="Arial" w:eastAsia="Arial" w:hAnsi="Arial"/>
          <w:sz w:val="19"/>
          <w:szCs w:val="19"/>
          <w:color w:val="1F1F1F"/>
        </w:rPr>
        <w:t xml:space="preserve">C-1. </w:t>
      </w:r>
      <w:r>
        <w:rPr>
          <w:rFonts w:ascii="Arial" w:cs="Arial" w:eastAsia="Arial" w:hAnsi="Arial"/>
          <w:sz w:val="19"/>
          <w:szCs w:val="19"/>
          <w:u w:val="single" w:color="auto"/>
          <w:color w:val="1F1F1F"/>
        </w:rPr>
        <w:t>2005 Initial Deferral Elections</w:t>
      </w:r>
      <w:r>
        <w:rPr>
          <w:rFonts w:ascii="Arial" w:cs="Arial" w:eastAsia="Arial" w:hAnsi="Arial"/>
          <w:sz w:val="19"/>
          <w:szCs w:val="19"/>
          <w:color w:val="1F1F1F"/>
        </w:rPr>
        <w:t xml:space="preserve"> . Notwithstanding anything in Section 5.1 of the Plan to the contrary and only with respect to compensation earned during the 2005 Plan Year ("2005 Income"), an Eligible Employee may make an irrevocable election to defer up to 100% of a Bonus in ten (10) percent increments. Eligible Employees are not permitted to defer gains on the exercise of a stock option under the Plan after December 31, 2004.</w:t>
      </w:r>
    </w:p>
    <w:p>
      <w:pPr>
        <w:spacing w:after="0" w:line="150" w:lineRule="exact"/>
        <w:rPr>
          <w:sz w:val="20"/>
          <w:szCs w:val="20"/>
          <w:color w:val="auto"/>
        </w:rPr>
      </w:pPr>
    </w:p>
    <w:p>
      <w:pPr>
        <w:jc w:val="both"/>
        <w:ind w:right="340" w:firstLine="749"/>
        <w:spacing w:after="0" w:line="245" w:lineRule="auto"/>
        <w:rPr>
          <w:sz w:val="20"/>
          <w:szCs w:val="20"/>
          <w:color w:val="auto"/>
        </w:rPr>
      </w:pPr>
      <w:r>
        <w:rPr>
          <w:rFonts w:ascii="Arial" w:cs="Arial" w:eastAsia="Arial" w:hAnsi="Arial"/>
          <w:sz w:val="19"/>
          <w:szCs w:val="19"/>
          <w:color w:val="1F1F1F"/>
        </w:rPr>
        <w:t xml:space="preserve">C-2. </w:t>
      </w:r>
      <w:r>
        <w:rPr>
          <w:rFonts w:ascii="Arial" w:cs="Arial" w:eastAsia="Arial" w:hAnsi="Arial"/>
          <w:sz w:val="19"/>
          <w:szCs w:val="19"/>
          <w:u w:val="single" w:color="auto"/>
          <w:color w:val="1F1F1F"/>
        </w:rPr>
        <w:t>Time of Distribution</w:t>
      </w:r>
      <w:r>
        <w:rPr>
          <w:rFonts w:ascii="Arial" w:cs="Arial" w:eastAsia="Arial" w:hAnsi="Arial"/>
          <w:sz w:val="19"/>
          <w:szCs w:val="19"/>
          <w:color w:val="1F1F1F"/>
        </w:rPr>
        <w:t xml:space="preserve">. The Company will distribute to the Participant </w:t>
      </w:r>
      <w:r>
        <w:rPr>
          <w:rFonts w:ascii="Arial" w:cs="Arial" w:eastAsia="Arial" w:hAnsi="Arial"/>
          <w:sz w:val="19"/>
          <w:szCs w:val="19"/>
          <w:color w:val="2D2D2D"/>
        </w:rPr>
        <w:t>(or in</w:t>
      </w:r>
      <w:r>
        <w:rPr>
          <w:rFonts w:ascii="Arial" w:cs="Arial" w:eastAsia="Arial" w:hAnsi="Arial"/>
          <w:sz w:val="19"/>
          <w:szCs w:val="19"/>
          <w:color w:val="1F1F1F"/>
        </w:rPr>
        <w:t xml:space="preserve"> the case of the Participant's death, the Participant’s estate) all proceeds in the Participant's Deferred Bonus Account that are attributed to a specific deferral upon the earlier of: (1) the last day of the Deferral Period elected by the Participant; or (2) the date of the Participant's Separation from Service; provided that, if a distribution is </w:t>
      </w:r>
      <w:r>
        <w:rPr>
          <w:rFonts w:ascii="Arial" w:cs="Arial" w:eastAsia="Arial" w:hAnsi="Arial"/>
          <w:sz w:val="19"/>
          <w:szCs w:val="19"/>
          <w:color w:val="2D2D2D"/>
        </w:rPr>
        <w:t>to</w:t>
      </w:r>
      <w:r>
        <w:rPr>
          <w:rFonts w:ascii="Arial" w:cs="Arial" w:eastAsia="Arial" w:hAnsi="Arial"/>
          <w:sz w:val="19"/>
          <w:szCs w:val="19"/>
          <w:color w:val="1F1F1F"/>
        </w:rPr>
        <w:t xml:space="preserve"> be made upon the Separation from Service of a Key Employee, such distribution is subject to the six month delay set forth in Section 6.4 of the Plan.</w:t>
      </w:r>
    </w:p>
    <w:p>
      <w:pPr>
        <w:spacing w:after="0" w:line="154" w:lineRule="exact"/>
        <w:rPr>
          <w:sz w:val="20"/>
          <w:szCs w:val="20"/>
          <w:color w:val="auto"/>
        </w:rPr>
      </w:pPr>
    </w:p>
    <w:p>
      <w:pPr>
        <w:jc w:val="both"/>
        <w:ind w:right="240" w:firstLine="749"/>
        <w:spacing w:after="0" w:line="254" w:lineRule="auto"/>
        <w:rPr>
          <w:sz w:val="20"/>
          <w:szCs w:val="20"/>
          <w:color w:val="auto"/>
        </w:rPr>
      </w:pPr>
      <w:r>
        <w:rPr>
          <w:rFonts w:ascii="Arial" w:cs="Arial" w:eastAsia="Arial" w:hAnsi="Arial"/>
          <w:sz w:val="19"/>
          <w:szCs w:val="19"/>
          <w:color w:val="1F1F1F"/>
        </w:rPr>
        <w:t>For purposes of this Appendix C, "Deferral Period" means with respect to a specific deferral of a Bonus, the period, as elected by the Participant at the time of the deferral election, of five (5), seven (7), or ten (10) years from the date on which the corresponding Bonus would otherwise have been paid.</w:t>
      </w:r>
    </w:p>
    <w:p>
      <w:pPr>
        <w:spacing w:after="0" w:line="143" w:lineRule="exact"/>
        <w:rPr>
          <w:sz w:val="20"/>
          <w:szCs w:val="20"/>
          <w:color w:val="auto"/>
        </w:rPr>
      </w:pPr>
    </w:p>
    <w:p>
      <w:pPr>
        <w:jc w:val="both"/>
        <w:ind w:right="280" w:firstLine="749"/>
        <w:spacing w:after="0" w:line="254" w:lineRule="auto"/>
        <w:rPr>
          <w:sz w:val="20"/>
          <w:szCs w:val="20"/>
          <w:color w:val="auto"/>
        </w:rPr>
      </w:pPr>
      <w:r>
        <w:rPr>
          <w:rFonts w:ascii="Arial" w:cs="Arial" w:eastAsia="Arial" w:hAnsi="Arial"/>
          <w:sz w:val="19"/>
          <w:szCs w:val="19"/>
          <w:color w:val="1F1F1F"/>
        </w:rPr>
        <w:t xml:space="preserve">C-3. </w:t>
      </w:r>
      <w:r>
        <w:rPr>
          <w:rFonts w:ascii="Arial" w:cs="Arial" w:eastAsia="Arial" w:hAnsi="Arial"/>
          <w:sz w:val="19"/>
          <w:szCs w:val="19"/>
          <w:u w:val="single" w:color="auto"/>
          <w:color w:val="1F1F1F"/>
        </w:rPr>
        <w:t>Changes in Time or Form of Distribution</w:t>
      </w:r>
      <w:r>
        <w:rPr>
          <w:rFonts w:ascii="Arial" w:cs="Arial" w:eastAsia="Arial" w:hAnsi="Arial"/>
          <w:sz w:val="19"/>
          <w:szCs w:val="19"/>
          <w:color w:val="1F1F1F"/>
        </w:rPr>
        <w:t>. To the extent the Company allows a Participant to make a subsequent election to change the time or form of distribution of 2005 Income deferred under the Plan, such election will be effective only if the conditions set forth in Section 6.7 of the Plan are satisfied.</w:t>
      </w:r>
    </w:p>
    <w:p>
      <w:pPr>
        <w:spacing w:after="0" w:line="143" w:lineRule="exact"/>
        <w:rPr>
          <w:sz w:val="20"/>
          <w:szCs w:val="20"/>
          <w:color w:val="auto"/>
        </w:rPr>
      </w:pPr>
    </w:p>
    <w:p>
      <w:pPr>
        <w:ind w:right="260" w:firstLine="749"/>
        <w:spacing w:after="0" w:line="254" w:lineRule="auto"/>
        <w:rPr>
          <w:sz w:val="20"/>
          <w:szCs w:val="20"/>
          <w:color w:val="auto"/>
        </w:rPr>
      </w:pPr>
      <w:r>
        <w:rPr>
          <w:rFonts w:ascii="Arial" w:cs="Arial" w:eastAsia="Arial" w:hAnsi="Arial"/>
          <w:sz w:val="19"/>
          <w:szCs w:val="19"/>
          <w:color w:val="1F1F1F"/>
        </w:rPr>
        <w:t xml:space="preserve">C-4. </w:t>
      </w:r>
      <w:r>
        <w:rPr>
          <w:rFonts w:ascii="Arial" w:cs="Arial" w:eastAsia="Arial" w:hAnsi="Arial"/>
          <w:sz w:val="19"/>
          <w:szCs w:val="19"/>
          <w:u w:val="single" w:color="auto"/>
          <w:color w:val="1F1F1F"/>
        </w:rPr>
        <w:t>General Application of the Plan</w:t>
      </w:r>
      <w:r>
        <w:rPr>
          <w:rFonts w:ascii="Arial" w:cs="Arial" w:eastAsia="Arial" w:hAnsi="Arial"/>
          <w:sz w:val="19"/>
          <w:szCs w:val="19"/>
          <w:color w:val="1F1F1F"/>
        </w:rPr>
        <w:t>. Other than as set forth above, the terms of the Plan in all other respects and in compliance with Code section 409A shall govern the distribution of 2005 Income deferred under the Plan from January 1, 2005 through December 31, 2005.</w:t>
      </w: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474345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60" w:top="1422" w:right="599" w:bottom="1440" w:gutter="0" w:footer="0" w:header="0"/>
        </w:sectPr>
      </w:pPr>
    </w:p>
    <w:bookmarkStart w:id="140" w:name="page141"/>
    <w:bookmarkEnd w:id="140"/>
    <w:p>
      <w:pPr>
        <w:jc w:val="right"/>
        <w:spacing w:after="0"/>
        <w:rPr>
          <w:sz w:val="20"/>
          <w:szCs w:val="20"/>
          <w:color w:val="auto"/>
        </w:rPr>
      </w:pPr>
      <w:r>
        <w:rPr>
          <w:rFonts w:ascii="Calibri" w:cs="Calibri" w:eastAsia="Calibri" w:hAnsi="Calibri"/>
          <w:sz w:val="20"/>
          <w:szCs w:val="20"/>
          <w:color w:val="auto"/>
        </w:rPr>
        <w:t>Exhibit 19.1</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General Insider Trading Policy</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1.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60"/>
        <w:spacing w:after="0" w:line="234" w:lineRule="auto"/>
        <w:rPr>
          <w:sz w:val="20"/>
          <w:szCs w:val="20"/>
          <w:color w:val="auto"/>
        </w:rPr>
      </w:pPr>
      <w:r>
        <w:rPr>
          <w:rFonts w:ascii="Calibri" w:cs="Calibri" w:eastAsia="Calibri" w:hAnsi="Calibri"/>
          <w:sz w:val="20"/>
          <w:szCs w:val="20"/>
          <w:color w:val="auto"/>
        </w:rPr>
        <w:t>To prevent the misuse of material, nonpublic informaton about Microsof or other publicly traded companies obtained by virtue of your positon at Microsof.</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2.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right="760"/>
        <w:spacing w:after="0" w:line="234" w:lineRule="auto"/>
        <w:rPr>
          <w:sz w:val="20"/>
          <w:szCs w:val="20"/>
          <w:color w:val="auto"/>
        </w:rPr>
      </w:pPr>
      <w:r>
        <w:rPr>
          <w:rFonts w:ascii="Calibri" w:cs="Calibri" w:eastAsia="Calibri" w:hAnsi="Calibri"/>
          <w:sz w:val="20"/>
          <w:szCs w:val="20"/>
          <w:color w:val="auto"/>
        </w:rPr>
        <w:t>This policy and Federal and State securites laws prohibit a person from trading in securites of a company when that person has material, nonpublic informaton relatng to that company.</w:t>
      </w:r>
    </w:p>
    <w:p>
      <w:pPr>
        <w:spacing w:after="0" w:line="226" w:lineRule="exact"/>
        <w:rPr>
          <w:sz w:val="20"/>
          <w:szCs w:val="20"/>
          <w:color w:val="auto"/>
        </w:rPr>
      </w:pPr>
    </w:p>
    <w:p>
      <w:pPr>
        <w:ind w:right="20"/>
        <w:spacing w:after="0" w:line="236" w:lineRule="auto"/>
        <w:rPr>
          <w:sz w:val="20"/>
          <w:szCs w:val="20"/>
          <w:color w:val="auto"/>
        </w:rPr>
      </w:pPr>
      <w:r>
        <w:rPr>
          <w:rFonts w:ascii="Calibri" w:cs="Calibri" w:eastAsia="Calibri" w:hAnsi="Calibri"/>
          <w:sz w:val="20"/>
          <w:szCs w:val="20"/>
          <w:color w:val="auto"/>
        </w:rPr>
        <w:t>As an employee of Microsof, you may have access to fnancial, business, or other informaton about Microsof, or other companies, that is both material and not available to the public. If you are in possession of material, nonpublic informaton about any company, including Microsof, the securites laws and Microsof prohibit you from trading in (or gifing) the securites of that company, and you may not disclose the informaton to anyone else, except as specifcally authorized in the performance of your job responsibilites.</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color w:val="auto"/>
        </w:rPr>
        <w:t>This policy also applies to:</w:t>
      </w:r>
    </w:p>
    <w:p>
      <w:pPr>
        <w:spacing w:after="0" w:line="225" w:lineRule="exact"/>
        <w:rPr>
          <w:sz w:val="20"/>
          <w:szCs w:val="20"/>
          <w:color w:val="auto"/>
        </w:rPr>
      </w:pPr>
    </w:p>
    <w:p>
      <w:pPr>
        <w:ind w:left="760" w:right="480" w:hanging="378"/>
        <w:spacing w:after="0" w:line="234" w:lineRule="auto"/>
        <w:tabs>
          <w:tab w:leader="none" w:pos="760" w:val="left"/>
        </w:tabs>
        <w:numPr>
          <w:ilvl w:val="0"/>
          <w:numId w:val="80"/>
        </w:numPr>
        <w:rPr>
          <w:rFonts w:ascii="Times New Roman" w:cs="Times New Roman" w:eastAsia="Times New Roman" w:hAnsi="Times New Roman"/>
          <w:sz w:val="18"/>
          <w:szCs w:val="18"/>
          <w:color w:val="auto"/>
        </w:rPr>
      </w:pPr>
      <w:r>
        <w:rPr>
          <w:rFonts w:ascii="Calibri" w:cs="Calibri" w:eastAsia="Calibri" w:hAnsi="Calibri"/>
          <w:sz w:val="20"/>
          <w:szCs w:val="20"/>
          <w:color w:val="auto"/>
        </w:rPr>
        <w:t>immediate family members who live with you or use your address as their regular address (e.g., spouse, domestc partner, minor children, college students, parents, grandparents, grandchildren, siblings and in-laws);</w:t>
      </w:r>
    </w:p>
    <w:p>
      <w:pPr>
        <w:spacing w:after="0" w:line="36" w:lineRule="exact"/>
        <w:rPr>
          <w:rFonts w:ascii="Times New Roman" w:cs="Times New Roman" w:eastAsia="Times New Roman" w:hAnsi="Times New Roman"/>
          <w:sz w:val="18"/>
          <w:szCs w:val="18"/>
          <w:color w:val="auto"/>
        </w:rPr>
      </w:pPr>
    </w:p>
    <w:p>
      <w:pPr>
        <w:ind w:left="760" w:right="100" w:hanging="378"/>
        <w:spacing w:after="0" w:line="236" w:lineRule="auto"/>
        <w:tabs>
          <w:tab w:leader="none" w:pos="760" w:val="left"/>
        </w:tabs>
        <w:numPr>
          <w:ilvl w:val="0"/>
          <w:numId w:val="80"/>
        </w:numPr>
        <w:rPr>
          <w:rFonts w:ascii="Times New Roman" w:cs="Times New Roman" w:eastAsia="Times New Roman" w:hAnsi="Times New Roman"/>
          <w:sz w:val="18"/>
          <w:szCs w:val="18"/>
          <w:color w:val="auto"/>
        </w:rPr>
      </w:pPr>
      <w:r>
        <w:rPr>
          <w:rFonts w:ascii="Calibri" w:cs="Calibri" w:eastAsia="Calibri" w:hAnsi="Calibri"/>
          <w:sz w:val="20"/>
          <w:szCs w:val="20"/>
          <w:color w:val="auto"/>
        </w:rPr>
        <w:t>trusts, if you are: (1) a trustee who has or shares investment control of the trust securites and you or a member of your immediate family (whether or not they live with you) has an economic interest in the trust securites; (2) a benefciary who has or shares investment control; or (3) a person who has the power to revoke the trust; and</w:t>
      </w:r>
    </w:p>
    <w:p>
      <w:pPr>
        <w:spacing w:after="0" w:line="3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color w:val="auto"/>
        </w:rPr>
      </w:pPr>
      <w:r>
        <w:rPr>
          <w:rFonts w:ascii="Calibri" w:cs="Calibri" w:eastAsia="Calibri" w:hAnsi="Calibri"/>
          <w:sz w:val="20"/>
          <w:szCs w:val="20"/>
          <w:color w:val="auto"/>
        </w:rPr>
        <w:t>partnerships or other enttes over which you have a controlling infuence.</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color w:val="auto"/>
        </w:rPr>
        <w:t>You are responsible for assuring that individuals or enttes listed above comply with this policy.</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3.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 Do Not Trade While in Possession of Material, Nonpublic Informaton</w:t>
      </w:r>
    </w:p>
    <w:p>
      <w:pPr>
        <w:spacing w:after="0" w:line="225" w:lineRule="exact"/>
        <w:rPr>
          <w:sz w:val="20"/>
          <w:szCs w:val="20"/>
          <w:color w:val="auto"/>
        </w:rPr>
      </w:pPr>
    </w:p>
    <w:p>
      <w:pPr>
        <w:ind w:right="100"/>
        <w:spacing w:after="0" w:line="236" w:lineRule="auto"/>
        <w:rPr>
          <w:sz w:val="20"/>
          <w:szCs w:val="20"/>
          <w:color w:val="auto"/>
        </w:rPr>
      </w:pPr>
      <w:r>
        <w:rPr>
          <w:rFonts w:ascii="Calibri" w:cs="Calibri" w:eastAsia="Calibri" w:hAnsi="Calibri"/>
          <w:sz w:val="20"/>
          <w:szCs w:val="20"/>
          <w:color w:val="auto"/>
        </w:rPr>
        <w:t>As an employee of Microsof, you may have access to fnancial, business and other informaton about Microsof or other companies. When you possess informaton about Microsof that is both material and nonpublic, the securites laws and Microsof prohibit you from buying or selling (or gifing) Microsof securites.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41" w:name="page142"/>
    <w:bookmarkEnd w:id="141"/>
    <w:p>
      <w:pPr>
        <w:spacing w:after="0" w:line="188" w:lineRule="exact"/>
        <w:rPr>
          <w:sz w:val="20"/>
          <w:szCs w:val="20"/>
          <w:color w:val="auto"/>
        </w:rPr>
      </w:pPr>
    </w:p>
    <w:p>
      <w:pPr>
        <w:ind w:right="160"/>
        <w:spacing w:after="0" w:line="236" w:lineRule="auto"/>
        <w:rPr>
          <w:sz w:val="20"/>
          <w:szCs w:val="20"/>
          <w:color w:val="auto"/>
        </w:rPr>
      </w:pPr>
      <w:r>
        <w:rPr>
          <w:rFonts w:ascii="Calibri" w:cs="Calibri" w:eastAsia="Calibri" w:hAnsi="Calibri"/>
          <w:sz w:val="20"/>
          <w:szCs w:val="20"/>
          <w:color w:val="auto"/>
        </w:rPr>
        <w:t>Similarly, when you possess material, nonpublic informaton about any publicly traded company that you acquired through your role at Microsof, including but not limited to a customer or partner of Microsof or an economically-linked company such as a compettor of Microsof, the securites laws and Microsof prohibit you from buying or selling securites in that company.</w:t>
      </w:r>
    </w:p>
    <w:p>
      <w:pPr>
        <w:spacing w:after="0" w:line="225" w:lineRule="exact"/>
        <w:rPr>
          <w:sz w:val="20"/>
          <w:szCs w:val="20"/>
          <w:color w:val="auto"/>
        </w:rPr>
      </w:pPr>
    </w:p>
    <w:p>
      <w:pPr>
        <w:ind w:left="760" w:right="300" w:hanging="378"/>
        <w:spacing w:after="0" w:line="234" w:lineRule="auto"/>
        <w:tabs>
          <w:tab w:leader="none" w:pos="760" w:val="left"/>
        </w:tabs>
        <w:numPr>
          <w:ilvl w:val="0"/>
          <w:numId w:val="81"/>
        </w:numPr>
        <w:rPr>
          <w:rFonts w:ascii="Times New Roman" w:cs="Times New Roman" w:eastAsia="Times New Roman" w:hAnsi="Times New Roman"/>
          <w:sz w:val="18"/>
          <w:szCs w:val="18"/>
          <w:color w:val="auto"/>
        </w:rPr>
      </w:pPr>
      <w:r>
        <w:rPr>
          <w:rFonts w:ascii="Calibri" w:cs="Calibri" w:eastAsia="Calibri" w:hAnsi="Calibri"/>
          <w:sz w:val="20"/>
          <w:szCs w:val="20"/>
          <w:color w:val="auto"/>
        </w:rPr>
        <w:t>Informaton is 'material' if there is a substantal likelihood that a reasonable investor would consider it important in deciding whether to buy or sell that company's securites.</w:t>
      </w:r>
    </w:p>
    <w:p>
      <w:pPr>
        <w:spacing w:after="0" w:line="50" w:lineRule="exact"/>
        <w:rPr>
          <w:rFonts w:ascii="Times New Roman" w:cs="Times New Roman" w:eastAsia="Times New Roman" w:hAnsi="Times New Roman"/>
          <w:sz w:val="18"/>
          <w:szCs w:val="18"/>
          <w:color w:val="auto"/>
        </w:rPr>
      </w:pPr>
    </w:p>
    <w:p>
      <w:pPr>
        <w:ind w:left="760" w:hanging="378"/>
        <w:spacing w:after="0" w:line="236" w:lineRule="auto"/>
        <w:tabs>
          <w:tab w:leader="none" w:pos="760" w:val="left"/>
        </w:tabs>
        <w:numPr>
          <w:ilvl w:val="0"/>
          <w:numId w:val="81"/>
        </w:numPr>
        <w:rPr>
          <w:rFonts w:ascii="Times New Roman" w:cs="Times New Roman" w:eastAsia="Times New Roman" w:hAnsi="Times New Roman"/>
          <w:sz w:val="18"/>
          <w:szCs w:val="18"/>
          <w:color w:val="auto"/>
        </w:rPr>
      </w:pPr>
      <w:r>
        <w:rPr>
          <w:rFonts w:ascii="Calibri" w:cs="Calibri" w:eastAsia="Calibri" w:hAnsi="Calibri"/>
          <w:sz w:val="20"/>
          <w:szCs w:val="20"/>
          <w:color w:val="auto"/>
        </w:rPr>
        <w:t>Informaton is 'nonpublic' if it has not been broadly communicated to the marketplace in a manner making it generally available to the investng public. Rumors, even if true and widely reported in the media, do not consttute public disclosure unless publicly confrmed by the company to which it relates.</w:t>
      </w:r>
    </w:p>
    <w:p>
      <w:pPr>
        <w:spacing w:after="0" w:line="215"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Calibri" w:cs="Calibri" w:eastAsia="Calibri" w:hAnsi="Calibri"/>
          <w:sz w:val="20"/>
          <w:szCs w:val="20"/>
          <w:color w:val="auto"/>
        </w:rPr>
        <w:t>Common examples of material informaton may include:</w:t>
      </w:r>
    </w:p>
    <w:p>
      <w:pPr>
        <w:spacing w:after="0" w:line="21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1"/>
        </w:numPr>
        <w:rPr>
          <w:rFonts w:ascii="Times New Roman" w:cs="Times New Roman" w:eastAsia="Times New Roman" w:hAnsi="Times New Roman"/>
          <w:sz w:val="18"/>
          <w:szCs w:val="18"/>
          <w:color w:val="auto"/>
        </w:rPr>
      </w:pPr>
      <w:r>
        <w:rPr>
          <w:rFonts w:ascii="Calibri" w:cs="Calibri" w:eastAsia="Calibri" w:hAnsi="Calibri"/>
          <w:sz w:val="20"/>
          <w:szCs w:val="20"/>
          <w:color w:val="auto"/>
        </w:rPr>
        <w:t>Financial results</w:t>
      </w:r>
    </w:p>
    <w:p>
      <w:pPr>
        <w:spacing w:after="0" w:line="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1"/>
        </w:numPr>
        <w:rPr>
          <w:rFonts w:ascii="Times New Roman" w:cs="Times New Roman" w:eastAsia="Times New Roman" w:hAnsi="Times New Roman"/>
          <w:sz w:val="18"/>
          <w:szCs w:val="18"/>
          <w:color w:val="auto"/>
        </w:rPr>
      </w:pPr>
      <w:r>
        <w:rPr>
          <w:rFonts w:ascii="Calibri" w:cs="Calibri" w:eastAsia="Calibri" w:hAnsi="Calibri"/>
          <w:sz w:val="20"/>
          <w:szCs w:val="20"/>
          <w:color w:val="auto"/>
        </w:rPr>
        <w:t>Internal projectons that signifcantly difer from external expectatons</w:t>
      </w:r>
    </w:p>
    <w:p>
      <w:pPr>
        <w:spacing w:after="0" w:line="3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1"/>
        </w:numPr>
        <w:rPr>
          <w:rFonts w:ascii="Times New Roman" w:cs="Times New Roman" w:eastAsia="Times New Roman" w:hAnsi="Times New Roman"/>
          <w:sz w:val="18"/>
          <w:szCs w:val="18"/>
          <w:color w:val="auto"/>
        </w:rPr>
      </w:pPr>
      <w:r>
        <w:rPr>
          <w:rFonts w:ascii="Calibri" w:cs="Calibri" w:eastAsia="Calibri" w:hAnsi="Calibri"/>
          <w:sz w:val="20"/>
          <w:szCs w:val="20"/>
          <w:color w:val="auto"/>
        </w:rPr>
        <w:t>Signifcant proposed or pending acquisitons, dispositons, mergers or joint ventures</w:t>
      </w:r>
    </w:p>
    <w:p>
      <w:pPr>
        <w:spacing w:after="0" w:line="3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1"/>
        </w:numPr>
        <w:rPr>
          <w:rFonts w:ascii="Times New Roman" w:cs="Times New Roman" w:eastAsia="Times New Roman" w:hAnsi="Times New Roman"/>
          <w:sz w:val="18"/>
          <w:szCs w:val="18"/>
          <w:color w:val="auto"/>
        </w:rPr>
      </w:pPr>
      <w:r>
        <w:rPr>
          <w:rFonts w:ascii="Calibri" w:cs="Calibri" w:eastAsia="Calibri" w:hAnsi="Calibri"/>
          <w:sz w:val="20"/>
          <w:szCs w:val="20"/>
          <w:color w:val="auto"/>
        </w:rPr>
        <w:t>Changes in key executves</w:t>
      </w:r>
    </w:p>
    <w:p>
      <w:pPr>
        <w:spacing w:after="0" w:line="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1"/>
        </w:numPr>
        <w:rPr>
          <w:rFonts w:ascii="Times New Roman" w:cs="Times New Roman" w:eastAsia="Times New Roman" w:hAnsi="Times New Roman"/>
          <w:sz w:val="18"/>
          <w:szCs w:val="18"/>
          <w:color w:val="auto"/>
        </w:rPr>
      </w:pPr>
      <w:r>
        <w:rPr>
          <w:rFonts w:ascii="Calibri" w:cs="Calibri" w:eastAsia="Calibri" w:hAnsi="Calibri"/>
          <w:sz w:val="20"/>
          <w:szCs w:val="20"/>
          <w:color w:val="auto"/>
        </w:rPr>
        <w:t>Signifcant plans, developments or problems related to important products and services</w:t>
      </w:r>
    </w:p>
    <w:p>
      <w:pPr>
        <w:spacing w:after="0" w:line="3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1"/>
        </w:numPr>
        <w:rPr>
          <w:rFonts w:ascii="Times New Roman" w:cs="Times New Roman" w:eastAsia="Times New Roman" w:hAnsi="Times New Roman"/>
          <w:sz w:val="18"/>
          <w:szCs w:val="18"/>
          <w:color w:val="auto"/>
        </w:rPr>
      </w:pPr>
      <w:r>
        <w:rPr>
          <w:rFonts w:ascii="Calibri" w:cs="Calibri" w:eastAsia="Calibri" w:hAnsi="Calibri"/>
          <w:sz w:val="20"/>
          <w:szCs w:val="20"/>
          <w:color w:val="auto"/>
        </w:rPr>
        <w:t>Changes in the terms of a signifcant contract with a major customer or partner, or the acquisiton or loss of such a contract</w:t>
      </w:r>
    </w:p>
    <w:p>
      <w:pPr>
        <w:spacing w:after="0" w:line="3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1"/>
        </w:numPr>
        <w:rPr>
          <w:rFonts w:ascii="Times New Roman" w:cs="Times New Roman" w:eastAsia="Times New Roman" w:hAnsi="Times New Roman"/>
          <w:sz w:val="18"/>
          <w:szCs w:val="18"/>
          <w:color w:val="auto"/>
        </w:rPr>
      </w:pPr>
      <w:r>
        <w:rPr>
          <w:rFonts w:ascii="Calibri" w:cs="Calibri" w:eastAsia="Calibri" w:hAnsi="Calibri"/>
          <w:sz w:val="20"/>
          <w:szCs w:val="20"/>
          <w:color w:val="auto"/>
        </w:rPr>
        <w:t>Cybersecurity risks and incidents (including vulnerabilites and breaches)</w:t>
      </w:r>
    </w:p>
    <w:p>
      <w:pPr>
        <w:spacing w:after="0" w:line="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1"/>
        </w:numPr>
        <w:rPr>
          <w:rFonts w:ascii="Times New Roman" w:cs="Times New Roman" w:eastAsia="Times New Roman" w:hAnsi="Times New Roman"/>
          <w:sz w:val="18"/>
          <w:szCs w:val="18"/>
          <w:color w:val="auto"/>
        </w:rPr>
      </w:pPr>
      <w:r>
        <w:rPr>
          <w:rFonts w:ascii="Calibri" w:cs="Calibri" w:eastAsia="Calibri" w:hAnsi="Calibri"/>
          <w:sz w:val="20"/>
          <w:szCs w:val="20"/>
          <w:color w:val="auto"/>
        </w:rPr>
        <w:t>Signifcant litgaton or regulatory actons</w:t>
      </w:r>
    </w:p>
    <w:p>
      <w:pPr>
        <w:spacing w:after="0" w:line="3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1"/>
        </w:numPr>
        <w:rPr>
          <w:rFonts w:ascii="Times New Roman" w:cs="Times New Roman" w:eastAsia="Times New Roman" w:hAnsi="Times New Roman"/>
          <w:sz w:val="18"/>
          <w:szCs w:val="18"/>
          <w:color w:val="auto"/>
        </w:rPr>
      </w:pPr>
      <w:r>
        <w:rPr>
          <w:rFonts w:ascii="Calibri" w:cs="Calibri" w:eastAsia="Calibri" w:hAnsi="Calibri"/>
          <w:sz w:val="20"/>
          <w:szCs w:val="20"/>
          <w:color w:val="auto"/>
        </w:rPr>
        <w:t>Other notable transactons, events or developments outside the ordinary course of business</w:t>
      </w:r>
    </w:p>
    <w:p>
      <w:pPr>
        <w:spacing w:after="0" w:line="225" w:lineRule="exact"/>
        <w:rPr>
          <w:sz w:val="20"/>
          <w:szCs w:val="20"/>
          <w:color w:val="auto"/>
        </w:rPr>
      </w:pPr>
    </w:p>
    <w:p>
      <w:pPr>
        <w:ind w:right="40"/>
        <w:spacing w:after="0" w:line="236" w:lineRule="auto"/>
        <w:rPr>
          <w:sz w:val="20"/>
          <w:szCs w:val="20"/>
          <w:color w:val="auto"/>
        </w:rPr>
      </w:pPr>
      <w:r>
        <w:rPr>
          <w:rFonts w:ascii="Calibri" w:cs="Calibri" w:eastAsia="Calibri" w:hAnsi="Calibri"/>
          <w:sz w:val="20"/>
          <w:szCs w:val="20"/>
          <w:color w:val="auto"/>
        </w:rPr>
        <w:t>Material informaton can be good news or bad news, and can relate to any aspect of a company's business. Either way, the law prohibits making profts and avoiding losses by using material, nonpublic informaton. It makes no diference whether you receive the informaton during the course of your job responsibilites or overhear it in the hallway or lunchroom, or anywhere at or away from your normal workplace.</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 Do Not Disclose Material, Nonpublic Informaton to Others</w:t>
      </w:r>
    </w:p>
    <w:p>
      <w:pPr>
        <w:spacing w:after="0" w:line="225" w:lineRule="exact"/>
        <w:rPr>
          <w:sz w:val="20"/>
          <w:szCs w:val="20"/>
          <w:color w:val="auto"/>
        </w:rPr>
      </w:pPr>
    </w:p>
    <w:p>
      <w:pPr>
        <w:ind w:right="60"/>
        <w:spacing w:after="0" w:line="234" w:lineRule="auto"/>
        <w:rPr>
          <w:sz w:val="20"/>
          <w:szCs w:val="20"/>
          <w:color w:val="auto"/>
        </w:rPr>
      </w:pPr>
      <w:r>
        <w:rPr>
          <w:rFonts w:ascii="Calibri" w:cs="Calibri" w:eastAsia="Calibri" w:hAnsi="Calibri"/>
          <w:sz w:val="20"/>
          <w:szCs w:val="20"/>
          <w:color w:val="auto"/>
        </w:rPr>
        <w:t>Do not disclose material, nonpublic informaton about Microsof, or another publicly traded company, to anyone else. This is considered illegal 'tpping' and you could be held criminally liable under federal law even if you yourself did not make a trade.</w:t>
      </w:r>
    </w:p>
    <w:p>
      <w:pPr>
        <w:spacing w:after="0" w:line="226" w:lineRule="exact"/>
        <w:rPr>
          <w:sz w:val="20"/>
          <w:szCs w:val="20"/>
          <w:color w:val="auto"/>
        </w:rPr>
      </w:pPr>
    </w:p>
    <w:p>
      <w:pPr>
        <w:ind w:right="80"/>
        <w:spacing w:after="0" w:line="234" w:lineRule="auto"/>
        <w:rPr>
          <w:sz w:val="20"/>
          <w:szCs w:val="20"/>
          <w:color w:val="auto"/>
        </w:rPr>
      </w:pPr>
      <w:r>
        <w:rPr>
          <w:rFonts w:ascii="Calibri" w:cs="Calibri" w:eastAsia="Calibri" w:hAnsi="Calibri"/>
          <w:sz w:val="20"/>
          <w:szCs w:val="20"/>
          <w:color w:val="auto"/>
        </w:rPr>
        <w:t>Do not recommend or suggest that anyone else trade the securites of any company, including Microsof, even if you do not disclose the material, nonpublic informaton.</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 Limited Exceptons to These Restrictons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There are a few situatons where transactons in securites are not prohibited even if you have material, nonpublic informaton.</w:t>
      </w:r>
    </w:p>
    <w:p>
      <w:pPr>
        <w:spacing w:after="0" w:line="184" w:lineRule="exact"/>
        <w:rPr>
          <w:sz w:val="20"/>
          <w:szCs w:val="20"/>
          <w:color w:val="auto"/>
        </w:rPr>
      </w:pPr>
    </w:p>
    <w:p>
      <w:pPr>
        <w:ind w:left="760" w:right="160" w:hanging="378"/>
        <w:spacing w:after="0" w:line="234" w:lineRule="auto"/>
        <w:tabs>
          <w:tab w:leader="none" w:pos="760" w:val="left"/>
        </w:tabs>
        <w:numPr>
          <w:ilvl w:val="0"/>
          <w:numId w:val="82"/>
        </w:numPr>
        <w:rPr>
          <w:rFonts w:ascii="Times New Roman" w:cs="Times New Roman" w:eastAsia="Times New Roman" w:hAnsi="Times New Roman"/>
          <w:sz w:val="18"/>
          <w:szCs w:val="18"/>
          <w:color w:val="auto"/>
        </w:rPr>
      </w:pPr>
      <w:r>
        <w:rPr>
          <w:rFonts w:ascii="Calibri" w:cs="Calibri" w:eastAsia="Calibri" w:hAnsi="Calibri"/>
          <w:sz w:val="20"/>
          <w:szCs w:val="20"/>
          <w:color w:val="auto"/>
        </w:rPr>
        <w:t>Purchases of Microsof stock through an existng purchase electon under the Employee Stock Purchase Plan (ESPP). However, you may sell your ESPP shares only at a tme when you do not have material, nonpublic informaton.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2" w:name="page143"/>
    <w:bookmarkEnd w:id="142"/>
    <w:p>
      <w:pPr>
        <w:spacing w:after="0" w:line="12" w:lineRule="exact"/>
        <w:rPr>
          <w:sz w:val="20"/>
          <w:szCs w:val="20"/>
          <w:color w:val="auto"/>
        </w:rPr>
      </w:pPr>
    </w:p>
    <w:p>
      <w:pPr>
        <w:ind w:left="760" w:right="120" w:hanging="378"/>
        <w:spacing w:after="0" w:line="234" w:lineRule="auto"/>
        <w:tabs>
          <w:tab w:leader="none" w:pos="760" w:val="left"/>
        </w:tabs>
        <w:numPr>
          <w:ilvl w:val="1"/>
          <w:numId w:val="83"/>
        </w:numPr>
        <w:rPr>
          <w:rFonts w:ascii="Times New Roman" w:cs="Times New Roman" w:eastAsia="Times New Roman" w:hAnsi="Times New Roman"/>
          <w:sz w:val="18"/>
          <w:szCs w:val="18"/>
          <w:color w:val="auto"/>
        </w:rPr>
      </w:pPr>
      <w:r>
        <w:rPr>
          <w:rFonts w:ascii="Calibri" w:cs="Calibri" w:eastAsia="Calibri" w:hAnsi="Calibri"/>
          <w:sz w:val="20"/>
          <w:szCs w:val="20"/>
          <w:color w:val="auto"/>
        </w:rPr>
        <w:t>Acquiring Microsof stock through the vestng of employee Stock Awards. You may sell your Stock Award shares only at a tme when you do not have material, nonpublic informaton.</w:t>
      </w:r>
    </w:p>
    <w:p>
      <w:pPr>
        <w:spacing w:after="0" w:line="36" w:lineRule="exact"/>
        <w:rPr>
          <w:rFonts w:ascii="Times New Roman" w:cs="Times New Roman" w:eastAsia="Times New Roman" w:hAnsi="Times New Roman"/>
          <w:sz w:val="18"/>
          <w:szCs w:val="18"/>
          <w:color w:val="auto"/>
        </w:rPr>
      </w:pPr>
    </w:p>
    <w:p>
      <w:pPr>
        <w:ind w:left="760" w:right="260" w:hanging="378"/>
        <w:spacing w:after="0" w:line="234" w:lineRule="auto"/>
        <w:tabs>
          <w:tab w:leader="none" w:pos="760" w:val="left"/>
        </w:tabs>
        <w:numPr>
          <w:ilvl w:val="1"/>
          <w:numId w:val="83"/>
        </w:numPr>
        <w:rPr>
          <w:rFonts w:ascii="Times New Roman" w:cs="Times New Roman" w:eastAsia="Times New Roman" w:hAnsi="Times New Roman"/>
          <w:sz w:val="18"/>
          <w:szCs w:val="18"/>
          <w:color w:val="auto"/>
        </w:rPr>
      </w:pPr>
      <w:r>
        <w:rPr>
          <w:rFonts w:ascii="Calibri" w:cs="Calibri" w:eastAsia="Calibri" w:hAnsi="Calibri"/>
          <w:sz w:val="20"/>
          <w:szCs w:val="20"/>
          <w:color w:val="auto"/>
        </w:rPr>
        <w:t>Exercising optons, if you pay the exercise price and withholding taxes in cash. Again, you may sell your shares only at a tme when you do not have material, nonpublic informaton.</w:t>
      </w:r>
    </w:p>
    <w:p>
      <w:pPr>
        <w:spacing w:after="0" w:line="50" w:lineRule="exact"/>
        <w:rPr>
          <w:rFonts w:ascii="Times New Roman" w:cs="Times New Roman" w:eastAsia="Times New Roman" w:hAnsi="Times New Roman"/>
          <w:sz w:val="18"/>
          <w:szCs w:val="18"/>
          <w:color w:val="auto"/>
        </w:rPr>
      </w:pPr>
    </w:p>
    <w:p>
      <w:pPr>
        <w:ind w:left="760" w:right="60" w:hanging="378"/>
        <w:spacing w:after="0" w:line="234" w:lineRule="auto"/>
        <w:tabs>
          <w:tab w:leader="none" w:pos="760" w:val="left"/>
        </w:tabs>
        <w:numPr>
          <w:ilvl w:val="1"/>
          <w:numId w:val="83"/>
        </w:numPr>
        <w:rPr>
          <w:rFonts w:ascii="Times New Roman" w:cs="Times New Roman" w:eastAsia="Times New Roman" w:hAnsi="Times New Roman"/>
          <w:sz w:val="18"/>
          <w:szCs w:val="18"/>
          <w:color w:val="auto"/>
        </w:rPr>
      </w:pPr>
      <w:r>
        <w:rPr>
          <w:rFonts w:ascii="Calibri" w:cs="Calibri" w:eastAsia="Calibri" w:hAnsi="Calibri"/>
          <w:sz w:val="20"/>
          <w:szCs w:val="20"/>
          <w:color w:val="auto"/>
        </w:rPr>
        <w:t>Trades made pursuant to a predetermined, writen Rule 10b5-1 Trading Plan. For informaton on Trading Plans and the specifc policies and procedures associated with them, please visit the Rule 10b5-1 Trading plans page.</w:t>
      </w:r>
    </w:p>
    <w:p>
      <w:pPr>
        <w:spacing w:after="0" w:line="216"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8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Restrictons on Microsof Ofcers and Other Designated Employees</w:t>
      </w:r>
    </w:p>
    <w:p>
      <w:pPr>
        <w:spacing w:after="0" w:line="225" w:lineRule="exact"/>
        <w:rPr>
          <w:sz w:val="20"/>
          <w:szCs w:val="20"/>
          <w:color w:val="auto"/>
        </w:rPr>
      </w:pPr>
    </w:p>
    <w:p>
      <w:pPr>
        <w:ind w:right="80"/>
        <w:spacing w:after="0" w:line="236" w:lineRule="auto"/>
        <w:rPr>
          <w:sz w:val="20"/>
          <w:szCs w:val="20"/>
          <w:color w:val="auto"/>
        </w:rPr>
      </w:pPr>
      <w:r>
        <w:rPr>
          <w:rFonts w:ascii="Calibri" w:cs="Calibri" w:eastAsia="Calibri" w:hAnsi="Calibri"/>
          <w:sz w:val="20"/>
          <w:szCs w:val="20"/>
          <w:color w:val="auto"/>
        </w:rPr>
        <w:t>Microsof has a policy requiring certain ofcers of the company (corporate vice presidents and above) and other designated employees to only transact in Microsof securites during specifc tmes throughout the year, commonly referred to as 'trading windows'. Those ofcers and employees will be notfed if they are subject to the Restricted Trading Window Policy.</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 Ask Questons</w:t>
      </w:r>
    </w:p>
    <w:p>
      <w:pPr>
        <w:spacing w:after="0" w:line="225"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If you have any questons about this policy or how it applies under certain circumstances, please visit the Insider trading compliance site or contact (**)@microsof.com.</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4.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alibri" w:cs="Calibri" w:eastAsia="Calibri" w:hAnsi="Calibri"/>
          <w:sz w:val="20"/>
          <w:szCs w:val="20"/>
          <w:color w:val="auto"/>
        </w:rPr>
        <w:t>Any person who knows of, or believes there is, a violaton of this policy must report the violaton immediately to (**)@microsof.com.</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5.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alibri" w:cs="Calibri" w:eastAsia="Calibri" w:hAnsi="Calibri"/>
          <w:sz w:val="20"/>
          <w:szCs w:val="20"/>
          <w:color w:val="auto"/>
        </w:rPr>
        <w:t>There are no exceptons to this policy.</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6. ENFORCEMENT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380"/>
        <w:spacing w:after="0" w:line="234" w:lineRule="auto"/>
        <w:rPr>
          <w:sz w:val="20"/>
          <w:szCs w:val="20"/>
          <w:color w:val="auto"/>
        </w:rPr>
      </w:pPr>
      <w:r>
        <w:rPr>
          <w:rFonts w:ascii="Calibri" w:cs="Calibri" w:eastAsia="Calibri" w:hAnsi="Calibri"/>
          <w:sz w:val="20"/>
          <w:szCs w:val="20"/>
          <w:color w:val="auto"/>
        </w:rPr>
        <w:t>Violaton of this policy may result in disciplinary acton, up to and including immediate terminaton of employment. Employees who engage in insider trading or tpping may also be subject to civil and criminal fnes, as well as imprisonment.</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7.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alibri" w:cs="Calibri" w:eastAsia="Calibri" w:hAnsi="Calibri"/>
          <w:sz w:val="20"/>
          <w:szCs w:val="20"/>
          <w:color w:val="auto"/>
        </w:rPr>
        <w:t>This policy applies to all employees.</w:t>
      </w: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43" w:name="page144"/>
    <w:bookmarkEnd w:id="143"/>
    <w:p>
      <w:pPr>
        <w:spacing w:after="0" w:line="178" w:lineRule="exact"/>
        <w:rPr>
          <w:sz w:val="20"/>
          <w:szCs w:val="20"/>
          <w:color w:val="auto"/>
        </w:rPr>
      </w:pPr>
    </w:p>
    <w:p>
      <w:pPr>
        <w:ind w:left="220" w:hanging="212"/>
        <w:spacing w:after="0"/>
        <w:tabs>
          <w:tab w:leader="none" w:pos="220" w:val="left"/>
        </w:tabs>
        <w:numPr>
          <w:ilvl w:val="0"/>
          <w:numId w:val="8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COUNTRY OR BUSINESS UNIT SUPPLEMENT</w:t>
      </w:r>
    </w:p>
    <w:p>
      <w:pPr>
        <w:spacing w:after="0" w:line="200" w:lineRule="exact"/>
        <w:rPr>
          <w:rFonts w:ascii="Calibri" w:cs="Calibri" w:eastAsia="Calibri" w:hAnsi="Calibri"/>
          <w:sz w:val="20"/>
          <w:szCs w:val="20"/>
          <w:b w:val="1"/>
          <w:bCs w:val="1"/>
          <w:color w:val="auto"/>
        </w:rPr>
      </w:pPr>
    </w:p>
    <w:p>
      <w:pPr>
        <w:spacing w:after="0" w:line="311" w:lineRule="exact"/>
        <w:rPr>
          <w:rFonts w:ascii="Calibri" w:cs="Calibri" w:eastAsia="Calibri" w:hAnsi="Calibri"/>
          <w:sz w:val="20"/>
          <w:szCs w:val="20"/>
          <w:b w:val="1"/>
          <w:bCs w:val="1"/>
          <w:color w:val="auto"/>
        </w:rPr>
      </w:pPr>
    </w:p>
    <w:p>
      <w:pPr>
        <w:ind w:left="220" w:hanging="212"/>
        <w:spacing w:after="0"/>
        <w:tabs>
          <w:tab w:leader="none" w:pos="220" w:val="left"/>
        </w:tabs>
        <w:numPr>
          <w:ilvl w:val="0"/>
          <w:numId w:val="8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RELATED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alibri" w:cs="Calibri" w:eastAsia="Calibri" w:hAnsi="Calibri"/>
          <w:sz w:val="20"/>
          <w:szCs w:val="20"/>
          <w:color w:val="auto"/>
        </w:rPr>
        <w:t>Restricted Trading Window Policy</w:t>
      </w:r>
    </w:p>
    <w:p>
      <w:pPr>
        <w:spacing w:after="0" w:line="215" w:lineRule="exact"/>
        <w:rPr>
          <w:sz w:val="20"/>
          <w:szCs w:val="20"/>
          <w:color w:val="auto"/>
        </w:rPr>
      </w:pPr>
    </w:p>
    <w:p>
      <w:pPr>
        <w:ind w:left="320" w:hanging="312"/>
        <w:spacing w:after="0"/>
        <w:tabs>
          <w:tab w:leader="none" w:pos="320" w:val="left"/>
        </w:tabs>
        <w:numPr>
          <w:ilvl w:val="0"/>
          <w:numId w:val="8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TRANSLATIONS</w:t>
      </w:r>
    </w:p>
    <w:p>
      <w:pPr>
        <w:spacing w:after="0" w:line="200" w:lineRule="exact"/>
        <w:rPr>
          <w:rFonts w:ascii="Calibri" w:cs="Calibri" w:eastAsia="Calibri" w:hAnsi="Calibri"/>
          <w:sz w:val="20"/>
          <w:szCs w:val="20"/>
          <w:b w:val="1"/>
          <w:bCs w:val="1"/>
          <w:color w:val="auto"/>
        </w:rPr>
      </w:pPr>
    </w:p>
    <w:p>
      <w:pPr>
        <w:spacing w:after="0" w:line="311" w:lineRule="exact"/>
        <w:rPr>
          <w:rFonts w:ascii="Calibri" w:cs="Calibri" w:eastAsia="Calibri" w:hAnsi="Calibri"/>
          <w:sz w:val="20"/>
          <w:szCs w:val="20"/>
          <w:b w:val="1"/>
          <w:bCs w:val="1"/>
          <w:color w:val="auto"/>
        </w:rPr>
      </w:pPr>
    </w:p>
    <w:p>
      <w:pPr>
        <w:ind w:left="320" w:hanging="312"/>
        <w:spacing w:after="0"/>
        <w:tabs>
          <w:tab w:leader="none" w:pos="320" w:val="left"/>
        </w:tabs>
        <w:numPr>
          <w:ilvl w:val="0"/>
          <w:numId w:val="8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DOCUMENT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1"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4" w:name="page145"/>
    <w:bookmarkEnd w:id="144"/>
    <w:p>
      <w:pPr>
        <w:jc w:val="right"/>
        <w:spacing w:after="0"/>
        <w:rPr>
          <w:sz w:val="20"/>
          <w:szCs w:val="20"/>
          <w:color w:val="auto"/>
        </w:rPr>
      </w:pPr>
      <w:r>
        <w:rPr>
          <w:rFonts w:ascii="Calibri" w:cs="Calibri" w:eastAsia="Calibri" w:hAnsi="Calibri"/>
          <w:sz w:val="20"/>
          <w:szCs w:val="20"/>
          <w:color w:val="auto"/>
        </w:rPr>
        <w:t>Exhibit 19.2</w:t>
      </w:r>
    </w:p>
    <w:p>
      <w:pPr>
        <w:spacing w:after="0" w:line="26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Restricted Trading Window Policy</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1.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60"/>
        <w:spacing w:after="0" w:line="234" w:lineRule="auto"/>
        <w:rPr>
          <w:sz w:val="20"/>
          <w:szCs w:val="20"/>
          <w:color w:val="auto"/>
        </w:rPr>
      </w:pPr>
      <w:r>
        <w:rPr>
          <w:rFonts w:ascii="Calibri" w:cs="Calibri" w:eastAsia="Calibri" w:hAnsi="Calibri"/>
          <w:sz w:val="20"/>
          <w:szCs w:val="20"/>
          <w:color w:val="auto"/>
        </w:rPr>
        <w:t>This policy describes the restrictons on trading Microsof securites that apply to Microsof ofcers and other designated persons due to their regular access to material, nonpublic informaton about Microsof.</w:t>
      </w:r>
    </w:p>
    <w:p>
      <w:pPr>
        <w:spacing w:after="0" w:line="226"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Members of the Senior Leadership Team (“SLT”) who are direct reports to the CEO (“SLT CEO Direct Reports”) are subject to an additonal notfcaton requirement described below.</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2.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both"/>
        <w:ind w:right="240"/>
        <w:spacing w:after="0" w:line="236" w:lineRule="auto"/>
        <w:rPr>
          <w:sz w:val="20"/>
          <w:szCs w:val="20"/>
          <w:color w:val="auto"/>
        </w:rPr>
      </w:pPr>
      <w:r>
        <w:rPr>
          <w:rFonts w:ascii="Calibri" w:cs="Calibri" w:eastAsia="Calibri" w:hAnsi="Calibri"/>
          <w:sz w:val="20"/>
          <w:szCs w:val="20"/>
          <w:color w:val="auto"/>
        </w:rPr>
        <w:t>Microsof's ofcers and other designated employees are subject to additonal trading restrictons for Microsof securites to those set forth in the General Insider Trading Policy. In general, if you fall in this group you may only trade (or gif) Microsof securites during an open window period when your trading status is designated as Trading Allowed in the Insider Trading Compliance Tool.</w:t>
      </w:r>
    </w:p>
    <w:p>
      <w:pPr>
        <w:spacing w:after="0" w:line="26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3.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 Applicaton of the Policy</w:t>
      </w:r>
    </w:p>
    <w:p>
      <w:pPr>
        <w:spacing w:after="0" w:line="225" w:lineRule="exact"/>
        <w:rPr>
          <w:sz w:val="20"/>
          <w:szCs w:val="20"/>
          <w:color w:val="auto"/>
        </w:rPr>
      </w:pPr>
    </w:p>
    <w:p>
      <w:pPr>
        <w:jc w:val="both"/>
        <w:ind w:right="120"/>
        <w:spacing w:after="0" w:line="236" w:lineRule="auto"/>
        <w:rPr>
          <w:sz w:val="20"/>
          <w:szCs w:val="20"/>
          <w:color w:val="auto"/>
        </w:rPr>
      </w:pPr>
      <w:r>
        <w:rPr>
          <w:rFonts w:ascii="Calibri" w:cs="Calibri" w:eastAsia="Calibri" w:hAnsi="Calibri"/>
          <w:sz w:val="20"/>
          <w:szCs w:val="20"/>
          <w:color w:val="auto"/>
        </w:rPr>
        <w:t>This policy applies to all transactons in Microsof securites by Microsof's ofcers and other employees with regular access to material, nonpublic informaton (collectvely 'Insiders'). In general, you will know you are an Insider and subject to this policy because you will be notfed. The requirements in this policy are in additon to the General Insider Trading Policy, which applies to all employees.</w:t>
      </w:r>
    </w:p>
    <w:p>
      <w:pPr>
        <w:spacing w:after="0" w:line="225" w:lineRule="exact"/>
        <w:rPr>
          <w:sz w:val="20"/>
          <w:szCs w:val="20"/>
          <w:color w:val="auto"/>
        </w:rPr>
      </w:pPr>
    </w:p>
    <w:p>
      <w:pPr>
        <w:ind w:right="220"/>
        <w:spacing w:after="0" w:line="236" w:lineRule="auto"/>
        <w:rPr>
          <w:sz w:val="20"/>
          <w:szCs w:val="20"/>
          <w:color w:val="auto"/>
        </w:rPr>
      </w:pPr>
      <w:r>
        <w:rPr>
          <w:rFonts w:ascii="Calibri" w:cs="Calibri" w:eastAsia="Calibri" w:hAnsi="Calibri"/>
          <w:sz w:val="20"/>
          <w:szCs w:val="20"/>
          <w:color w:val="auto"/>
        </w:rPr>
        <w:t>This policy applies to transactons involving Microsof securites that are benefcially owned by Insiders. 'Benefcial ownership' is based on the Insider's direct or economic interest in the securites. Some common examples of relatonships that may give rise to benefcial ownership include, but are not limited to:</w:t>
      </w:r>
    </w:p>
    <w:p>
      <w:pPr>
        <w:spacing w:after="0" w:line="225" w:lineRule="exact"/>
        <w:rPr>
          <w:sz w:val="20"/>
          <w:szCs w:val="20"/>
          <w:color w:val="auto"/>
        </w:rPr>
      </w:pPr>
    </w:p>
    <w:p>
      <w:pPr>
        <w:ind w:left="760" w:right="380" w:hanging="378"/>
        <w:spacing w:after="0" w:line="234" w:lineRule="auto"/>
        <w:tabs>
          <w:tab w:leader="none" w:pos="760" w:val="left"/>
        </w:tabs>
        <w:numPr>
          <w:ilvl w:val="0"/>
          <w:numId w:val="86"/>
        </w:numPr>
        <w:rPr>
          <w:rFonts w:ascii="Times New Roman" w:cs="Times New Roman" w:eastAsia="Times New Roman" w:hAnsi="Times New Roman"/>
          <w:sz w:val="18"/>
          <w:szCs w:val="18"/>
          <w:color w:val="auto"/>
        </w:rPr>
      </w:pPr>
      <w:r>
        <w:rPr>
          <w:rFonts w:ascii="Calibri" w:cs="Calibri" w:eastAsia="Calibri" w:hAnsi="Calibri"/>
          <w:sz w:val="20"/>
          <w:szCs w:val="20"/>
          <w:color w:val="auto"/>
        </w:rPr>
        <w:t>Microsof shares owned by immediate family members who live with you or use your address as their regular address (e.g., spouse, domestc partner, minor children, college students, parents, grandparents, grandchildren, siblings and in-laws).</w:t>
      </w:r>
    </w:p>
    <w:p>
      <w:pPr>
        <w:spacing w:after="0" w:line="9" w:lineRule="exact"/>
        <w:rPr>
          <w:rFonts w:ascii="Times New Roman" w:cs="Times New Roman" w:eastAsia="Times New Roman" w:hAnsi="Times New Roman"/>
          <w:sz w:val="18"/>
          <w:szCs w:val="18"/>
          <w:color w:val="auto"/>
        </w:rPr>
      </w:pPr>
    </w:p>
    <w:p>
      <w:pPr>
        <w:ind w:left="760" w:hanging="378"/>
        <w:spacing w:after="0" w:line="236" w:lineRule="auto"/>
        <w:tabs>
          <w:tab w:leader="none" w:pos="760" w:val="left"/>
        </w:tabs>
        <w:numPr>
          <w:ilvl w:val="0"/>
          <w:numId w:val="86"/>
        </w:numPr>
        <w:rPr>
          <w:rFonts w:ascii="Times New Roman" w:cs="Times New Roman" w:eastAsia="Times New Roman" w:hAnsi="Times New Roman"/>
          <w:sz w:val="18"/>
          <w:szCs w:val="18"/>
          <w:color w:val="auto"/>
        </w:rPr>
      </w:pPr>
      <w:r>
        <w:rPr>
          <w:rFonts w:ascii="Calibri" w:cs="Calibri" w:eastAsia="Calibri" w:hAnsi="Calibri"/>
          <w:sz w:val="20"/>
          <w:szCs w:val="20"/>
          <w:color w:val="auto"/>
        </w:rPr>
        <w:t>Microsof shares held in a trust, if the Insider is: (1) a trustee who has or shares investment control of the trust securites and the Insider or a member of his or her immediate family (whether or not they live with you) has an economic interest in the trust securites; (2) a benefciary who has or shares investment control; or (3) a person who has the power to revoke the trust.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45" w:name="page146"/>
    <w:bookmarkEnd w:id="145"/>
    <w:p>
      <w:pPr>
        <w:ind w:left="760" w:hanging="378"/>
        <w:spacing w:after="0"/>
        <w:tabs>
          <w:tab w:leader="none" w:pos="760" w:val="left"/>
        </w:tabs>
        <w:numPr>
          <w:ilvl w:val="0"/>
          <w:numId w:val="87"/>
        </w:numPr>
        <w:rPr>
          <w:rFonts w:ascii="Times New Roman" w:cs="Times New Roman" w:eastAsia="Times New Roman" w:hAnsi="Times New Roman"/>
          <w:sz w:val="18"/>
          <w:szCs w:val="18"/>
          <w:color w:val="auto"/>
        </w:rPr>
      </w:pPr>
      <w:r>
        <w:rPr>
          <w:rFonts w:ascii="Calibri" w:cs="Calibri" w:eastAsia="Calibri" w:hAnsi="Calibri"/>
          <w:sz w:val="20"/>
          <w:szCs w:val="20"/>
          <w:color w:val="auto"/>
        </w:rPr>
        <w:t>Microsof shares held in the name of a partnership or other entty over which the Insider has a controlling infuence.</w:t>
      </w:r>
    </w:p>
    <w:p>
      <w:pPr>
        <w:spacing w:after="0" w:line="279" w:lineRule="exact"/>
        <w:rPr>
          <w:sz w:val="20"/>
          <w:szCs w:val="20"/>
          <w:color w:val="auto"/>
        </w:rPr>
      </w:pPr>
    </w:p>
    <w:p>
      <w:pPr>
        <w:ind w:right="60"/>
        <w:spacing w:after="0" w:line="236" w:lineRule="auto"/>
        <w:rPr>
          <w:sz w:val="20"/>
          <w:szCs w:val="20"/>
          <w:color w:val="auto"/>
        </w:rPr>
      </w:pPr>
      <w:r>
        <w:rPr>
          <w:rFonts w:ascii="Calibri" w:cs="Calibri" w:eastAsia="Calibri" w:hAnsi="Calibri"/>
          <w:sz w:val="20"/>
          <w:szCs w:val="20"/>
          <w:color w:val="auto"/>
        </w:rPr>
        <w:t>Insiders are responsible for assuring that individuals or enttes who may have an interest in securites that are benefcially owned by the Insider ('Covered Persons') comply with this policy. Accordingly, any reference below to 'Insiders' should be read to include 'Covered Persons.'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 Open Trading Window</w:t>
      </w:r>
    </w:p>
    <w:p>
      <w:pPr>
        <w:spacing w:after="0" w:line="225" w:lineRule="exact"/>
        <w:rPr>
          <w:sz w:val="20"/>
          <w:szCs w:val="20"/>
          <w:color w:val="auto"/>
        </w:rPr>
      </w:pPr>
    </w:p>
    <w:p>
      <w:pPr>
        <w:ind w:right="40"/>
        <w:spacing w:after="0" w:line="236" w:lineRule="auto"/>
        <w:rPr>
          <w:sz w:val="20"/>
          <w:szCs w:val="20"/>
          <w:color w:val="auto"/>
        </w:rPr>
      </w:pPr>
      <w:r>
        <w:rPr>
          <w:rFonts w:ascii="Calibri" w:cs="Calibri" w:eastAsia="Calibri" w:hAnsi="Calibri"/>
          <w:sz w:val="20"/>
          <w:szCs w:val="20"/>
          <w:color w:val="auto"/>
        </w:rPr>
        <w:t>If you are an Insider, you may only trade (or gif) Microsof securites during an Open Window Period and when your status is Trading Allowed in the Insider Trading Compliance Tool. However, even during an Open Window Period, you may not trade Microsof securites if you possess material, nonpublic informaton about Microsof. For more informaton about material, nonpublic informaton, see the General Insider Trading Policy.</w:t>
      </w:r>
    </w:p>
    <w:p>
      <w:pPr>
        <w:spacing w:after="0" w:line="228" w:lineRule="exact"/>
        <w:rPr>
          <w:sz w:val="20"/>
          <w:szCs w:val="20"/>
          <w:color w:val="auto"/>
        </w:rPr>
      </w:pPr>
    </w:p>
    <w:p>
      <w:pPr>
        <w:ind w:right="480"/>
        <w:spacing w:after="0" w:line="234" w:lineRule="auto"/>
        <w:rPr>
          <w:sz w:val="20"/>
          <w:szCs w:val="20"/>
          <w:color w:val="auto"/>
        </w:rPr>
      </w:pPr>
      <w:r>
        <w:rPr>
          <w:rFonts w:ascii="Calibri" w:cs="Calibri" w:eastAsia="Calibri" w:hAnsi="Calibri"/>
          <w:sz w:val="20"/>
          <w:szCs w:val="20"/>
          <w:color w:val="auto"/>
        </w:rPr>
        <w:t>An Open Window Period means a defned period of tme following Microsof's quarterly earnings release when the public has been apprised of all relevant material informaton about Microsof's recent business and fnancial performance.</w:t>
      </w:r>
    </w:p>
    <w:p>
      <w:pPr>
        <w:spacing w:after="0" w:line="226" w:lineRule="exact"/>
        <w:rPr>
          <w:sz w:val="20"/>
          <w:szCs w:val="20"/>
          <w:color w:val="auto"/>
        </w:rPr>
      </w:pPr>
    </w:p>
    <w:p>
      <w:pPr>
        <w:ind w:left="760" w:right="140" w:hanging="378"/>
        <w:spacing w:after="0" w:line="236" w:lineRule="auto"/>
        <w:tabs>
          <w:tab w:leader="none" w:pos="760" w:val="left"/>
        </w:tabs>
        <w:numPr>
          <w:ilvl w:val="0"/>
          <w:numId w:val="88"/>
        </w:numPr>
        <w:rPr>
          <w:rFonts w:ascii="Times New Roman" w:cs="Times New Roman" w:eastAsia="Times New Roman" w:hAnsi="Times New Roman"/>
          <w:sz w:val="18"/>
          <w:szCs w:val="18"/>
          <w:color w:val="auto"/>
        </w:rPr>
      </w:pPr>
      <w:r>
        <w:rPr>
          <w:rFonts w:ascii="Calibri" w:cs="Calibri" w:eastAsia="Calibri" w:hAnsi="Calibri"/>
          <w:sz w:val="20"/>
          <w:szCs w:val="20"/>
          <w:color w:val="auto"/>
        </w:rPr>
        <w:t>Open Window Periods typically begin with the opening of trading on the second full trading day following Microsof's public release of quarterly earnings, and end at the close of trading 15 business days before the end of the fscal quarter in which the earnings were released.</w:t>
      </w:r>
    </w:p>
    <w:p>
      <w:pPr>
        <w:spacing w:after="0" w:line="8" w:lineRule="exact"/>
        <w:rPr>
          <w:rFonts w:ascii="Times New Roman" w:cs="Times New Roman" w:eastAsia="Times New Roman" w:hAnsi="Times New Roman"/>
          <w:sz w:val="18"/>
          <w:szCs w:val="18"/>
          <w:color w:val="auto"/>
        </w:rPr>
      </w:pPr>
    </w:p>
    <w:p>
      <w:pPr>
        <w:ind w:left="760" w:right="120" w:hanging="378"/>
        <w:spacing w:after="0" w:line="234" w:lineRule="auto"/>
        <w:tabs>
          <w:tab w:leader="none" w:pos="760" w:val="left"/>
        </w:tabs>
        <w:numPr>
          <w:ilvl w:val="0"/>
          <w:numId w:val="88"/>
        </w:numPr>
        <w:rPr>
          <w:rFonts w:ascii="Times New Roman" w:cs="Times New Roman" w:eastAsia="Times New Roman" w:hAnsi="Times New Roman"/>
          <w:sz w:val="18"/>
          <w:szCs w:val="18"/>
          <w:color w:val="auto"/>
        </w:rPr>
      </w:pPr>
      <w:r>
        <w:rPr>
          <w:rFonts w:ascii="Calibri" w:cs="Calibri" w:eastAsia="Calibri" w:hAnsi="Calibri"/>
          <w:sz w:val="20"/>
          <w:szCs w:val="20"/>
          <w:color w:val="auto"/>
        </w:rPr>
        <w:t>For example, if Microsof made an earnings announcement on a Thursday, the Open Window Period would open the following Monday, and would end at the close of the trading 15 business days before the end of that fscal quarter.</w:t>
      </w:r>
    </w:p>
    <w:p>
      <w:pPr>
        <w:spacing w:after="0" w:line="9" w:lineRule="exact"/>
        <w:rPr>
          <w:rFonts w:ascii="Times New Roman" w:cs="Times New Roman" w:eastAsia="Times New Roman" w:hAnsi="Times New Roman"/>
          <w:sz w:val="18"/>
          <w:szCs w:val="18"/>
          <w:color w:val="auto"/>
        </w:rPr>
      </w:pPr>
    </w:p>
    <w:p>
      <w:pPr>
        <w:ind w:left="760" w:hanging="378"/>
        <w:spacing w:after="0" w:line="237" w:lineRule="auto"/>
        <w:tabs>
          <w:tab w:leader="none" w:pos="760" w:val="left"/>
        </w:tabs>
        <w:numPr>
          <w:ilvl w:val="0"/>
          <w:numId w:val="88"/>
        </w:numPr>
        <w:rPr>
          <w:rFonts w:ascii="Times New Roman" w:cs="Times New Roman" w:eastAsia="Times New Roman" w:hAnsi="Times New Roman"/>
          <w:sz w:val="18"/>
          <w:szCs w:val="18"/>
          <w:color w:val="auto"/>
        </w:rPr>
      </w:pPr>
      <w:r>
        <w:rPr>
          <w:rFonts w:ascii="Calibri" w:cs="Calibri" w:eastAsia="Calibri" w:hAnsi="Calibri"/>
          <w:sz w:val="20"/>
          <w:szCs w:val="20"/>
          <w:color w:val="auto"/>
        </w:rPr>
        <w:t>Afer you become subject to this Restricted Trading Window Policy, and as long as you have an actve restricton reason, you will receive three emails each quarter from the insider trading compliance tool. (1) You will receive an email on the frst business day afer the public release of quarterly earnings to confrm the date the trading window will open and that your trading status will be Trading Allowed. (2) You will receive an email 14 calendar days before the trading window closes to let you know the date when your trading status will change to No Trading Allowed. (3) You will receive an email on the date the window closes to confrm that your trading status is No Trading Allowed.</w:t>
      </w:r>
    </w:p>
    <w:p>
      <w:pPr>
        <w:spacing w:after="0" w:line="2" w:lineRule="exact"/>
        <w:rPr>
          <w:rFonts w:ascii="Times New Roman" w:cs="Times New Roman" w:eastAsia="Times New Roman" w:hAnsi="Times New Roman"/>
          <w:sz w:val="18"/>
          <w:szCs w:val="18"/>
          <w:color w:val="auto"/>
        </w:rPr>
      </w:pPr>
    </w:p>
    <w:p>
      <w:pPr>
        <w:ind w:left="760" w:hanging="378"/>
        <w:spacing w:after="0" w:line="238" w:lineRule="auto"/>
        <w:tabs>
          <w:tab w:leader="none" w:pos="760" w:val="left"/>
        </w:tabs>
        <w:numPr>
          <w:ilvl w:val="0"/>
          <w:numId w:val="88"/>
        </w:numPr>
        <w:rPr>
          <w:rFonts w:ascii="Times New Roman" w:cs="Times New Roman" w:eastAsia="Times New Roman" w:hAnsi="Times New Roman"/>
          <w:sz w:val="18"/>
          <w:szCs w:val="18"/>
          <w:color w:val="auto"/>
        </w:rPr>
      </w:pPr>
      <w:r>
        <w:rPr>
          <w:rFonts w:ascii="Calibri" w:cs="Calibri" w:eastAsia="Calibri" w:hAnsi="Calibri"/>
          <w:sz w:val="20"/>
          <w:szCs w:val="20"/>
          <w:color w:val="auto"/>
        </w:rPr>
        <w:t>Occasionally, a quarterly window may be delayed, closed early, or skipped. You will be notfed if this happens.</w:t>
      </w:r>
    </w:p>
    <w:p>
      <w:pPr>
        <w:spacing w:after="0" w:line="9" w:lineRule="exact"/>
        <w:rPr>
          <w:rFonts w:ascii="Times New Roman" w:cs="Times New Roman" w:eastAsia="Times New Roman" w:hAnsi="Times New Roman"/>
          <w:sz w:val="18"/>
          <w:szCs w:val="18"/>
          <w:color w:val="auto"/>
        </w:rPr>
      </w:pPr>
    </w:p>
    <w:p>
      <w:pPr>
        <w:ind w:left="760" w:right="580" w:hanging="378"/>
        <w:spacing w:after="0" w:line="234" w:lineRule="auto"/>
        <w:tabs>
          <w:tab w:leader="none" w:pos="760" w:val="left"/>
        </w:tabs>
        <w:numPr>
          <w:ilvl w:val="0"/>
          <w:numId w:val="88"/>
        </w:numPr>
        <w:rPr>
          <w:rFonts w:ascii="Times New Roman" w:cs="Times New Roman" w:eastAsia="Times New Roman" w:hAnsi="Times New Roman"/>
          <w:sz w:val="18"/>
          <w:szCs w:val="18"/>
          <w:color w:val="auto"/>
        </w:rPr>
      </w:pPr>
      <w:r>
        <w:rPr>
          <w:rFonts w:ascii="Calibri" w:cs="Calibri" w:eastAsia="Calibri" w:hAnsi="Calibri"/>
          <w:sz w:val="20"/>
          <w:szCs w:val="20"/>
          <w:color w:val="auto"/>
        </w:rPr>
        <w:t>Microsof may also insttute additonal 'blackout periods' during which no trades may be made, at which tme you should receive notfcaton of such restricton.</w:t>
      </w:r>
    </w:p>
    <w:p>
      <w:pPr>
        <w:spacing w:after="0" w:line="226" w:lineRule="exact"/>
        <w:rPr>
          <w:sz w:val="20"/>
          <w:szCs w:val="20"/>
          <w:color w:val="auto"/>
        </w:rPr>
      </w:pPr>
    </w:p>
    <w:p>
      <w:pPr>
        <w:ind w:right="300"/>
        <w:spacing w:after="0" w:line="234" w:lineRule="auto"/>
        <w:rPr>
          <w:sz w:val="20"/>
          <w:szCs w:val="20"/>
          <w:color w:val="auto"/>
        </w:rPr>
      </w:pPr>
      <w:r>
        <w:rPr>
          <w:rFonts w:ascii="Calibri" w:cs="Calibri" w:eastAsia="Calibri" w:hAnsi="Calibri"/>
          <w:sz w:val="20"/>
          <w:szCs w:val="20"/>
          <w:color w:val="auto"/>
        </w:rPr>
        <w:t>Do not make a trade in Microsof securites untl you receive notce that the Open Window Period has begun and you have confrmed that your status in the Insider Trading Compliance Tool is Trading Allowed.</w:t>
      </w:r>
    </w:p>
    <w:p>
      <w:pPr>
        <w:spacing w:after="0" w:line="226" w:lineRule="exact"/>
        <w:rPr>
          <w:sz w:val="20"/>
          <w:szCs w:val="20"/>
          <w:color w:val="auto"/>
        </w:rPr>
      </w:pPr>
    </w:p>
    <w:p>
      <w:pPr>
        <w:jc w:val="both"/>
        <w:ind w:right="240"/>
        <w:spacing w:after="0" w:line="236" w:lineRule="auto"/>
        <w:rPr>
          <w:sz w:val="20"/>
          <w:szCs w:val="20"/>
          <w:color w:val="auto"/>
        </w:rPr>
      </w:pPr>
      <w:r>
        <w:rPr>
          <w:rFonts w:ascii="Calibri" w:cs="Calibri" w:eastAsia="Calibri" w:hAnsi="Calibri"/>
          <w:sz w:val="20"/>
          <w:szCs w:val="20"/>
          <w:color w:val="auto"/>
        </w:rPr>
        <w:t>You may not disclose to any outside third party, including brokers or fnancial advisers, the terms of Microsof's Open Window Period, the date on which an Open Window Period has begun or ended, or that a blackout period has been designated. You may disclose your status in the Insider Trading Compliance Tool as Trading Allowed or No Trading Allowed.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46" w:name="page147"/>
    <w:bookmarkEnd w:id="146"/>
    <w:p>
      <w:pPr>
        <w:spacing w:after="0" w:line="188" w:lineRule="exact"/>
        <w:rPr>
          <w:sz w:val="20"/>
          <w:szCs w:val="20"/>
          <w:color w:val="auto"/>
        </w:rPr>
      </w:pPr>
    </w:p>
    <w:p>
      <w:pPr>
        <w:ind w:right="160"/>
        <w:spacing w:after="0" w:line="237" w:lineRule="auto"/>
        <w:rPr>
          <w:sz w:val="20"/>
          <w:szCs w:val="20"/>
          <w:color w:val="auto"/>
        </w:rPr>
      </w:pPr>
      <w:r>
        <w:rPr>
          <w:rFonts w:ascii="Calibri" w:cs="Calibri" w:eastAsia="Calibri" w:hAnsi="Calibri"/>
          <w:sz w:val="20"/>
          <w:szCs w:val="20"/>
          <w:color w:val="auto"/>
        </w:rPr>
        <w:t>If your employment with Microsof ends during a blackout period, you will be subject to the remainder of that blackout period. If your employment with Microsof ends during an Open Window Period, you will not be subject to the next blackout period. However, even if you are not subject to our blackout period afer you leave Microsof, you should not trade in Microsof securites if you are aware of material, nonpublic informaton. That restricton stays with you as long as the informaton you possess is material and not publicly disseminated within the meaning of the General Insider Trading Policy.</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 Applicaton of Trading Restrictons to Partcular Situatons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1. Stock Awards</w:t>
      </w:r>
    </w:p>
    <w:p>
      <w:pPr>
        <w:spacing w:after="0" w:line="279" w:lineRule="exact"/>
        <w:rPr>
          <w:sz w:val="20"/>
          <w:szCs w:val="20"/>
          <w:color w:val="auto"/>
        </w:rPr>
      </w:pPr>
    </w:p>
    <w:p>
      <w:pPr>
        <w:ind w:right="440"/>
        <w:spacing w:after="0" w:line="234" w:lineRule="auto"/>
        <w:rPr>
          <w:sz w:val="20"/>
          <w:szCs w:val="20"/>
          <w:color w:val="auto"/>
        </w:rPr>
      </w:pPr>
      <w:r>
        <w:rPr>
          <w:rFonts w:ascii="Calibri" w:cs="Calibri" w:eastAsia="Calibri" w:hAnsi="Calibri"/>
          <w:sz w:val="20"/>
          <w:szCs w:val="20"/>
          <w:color w:val="auto"/>
        </w:rPr>
        <w:t>Transactons involving Microsof stock received by an Insider pursuant to a Stock Award may be made only during an Open Window Period and your status in the Insider Trading Compliance Tool is Trading Allowed.</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2. Gifs</w:t>
      </w:r>
    </w:p>
    <w:p>
      <w:pPr>
        <w:spacing w:after="0" w:line="225" w:lineRule="exact"/>
        <w:rPr>
          <w:sz w:val="20"/>
          <w:szCs w:val="20"/>
          <w:color w:val="auto"/>
        </w:rPr>
      </w:pPr>
    </w:p>
    <w:p>
      <w:pPr>
        <w:ind w:right="460"/>
        <w:spacing w:after="0" w:line="234" w:lineRule="auto"/>
        <w:rPr>
          <w:sz w:val="20"/>
          <w:szCs w:val="20"/>
          <w:color w:val="auto"/>
        </w:rPr>
      </w:pPr>
      <w:r>
        <w:rPr>
          <w:rFonts w:ascii="Calibri" w:cs="Calibri" w:eastAsia="Calibri" w:hAnsi="Calibri"/>
          <w:sz w:val="20"/>
          <w:szCs w:val="20"/>
          <w:color w:val="auto"/>
        </w:rPr>
        <w:t>Gifs of Microsof stock may be made only during an Open Window Period and your status in the Insider Trading Compliance Tool is Trading Allowed.</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3. Employee Stock Purchase Plan</w:t>
      </w:r>
    </w:p>
    <w:p>
      <w:pPr>
        <w:spacing w:after="0" w:line="225" w:lineRule="exact"/>
        <w:rPr>
          <w:sz w:val="20"/>
          <w:szCs w:val="20"/>
          <w:color w:val="auto"/>
        </w:rPr>
      </w:pPr>
    </w:p>
    <w:p>
      <w:pPr>
        <w:spacing w:after="0" w:line="236" w:lineRule="auto"/>
        <w:rPr>
          <w:sz w:val="20"/>
          <w:szCs w:val="20"/>
          <w:color w:val="auto"/>
        </w:rPr>
      </w:pPr>
      <w:r>
        <w:rPr>
          <w:rFonts w:ascii="Calibri" w:cs="Calibri" w:eastAsia="Calibri" w:hAnsi="Calibri"/>
          <w:sz w:val="20"/>
          <w:szCs w:val="20"/>
          <w:color w:val="auto"/>
        </w:rPr>
        <w:t>You may purchase Microsof stock under Microsof's Employee Stock Purchase Plan ('</w:t>
      </w:r>
      <w:r>
        <w:rPr>
          <w:rFonts w:ascii="Calibri" w:cs="Calibri" w:eastAsia="Calibri" w:hAnsi="Calibri"/>
          <w:sz w:val="20"/>
          <w:szCs w:val="20"/>
          <w:b w:val="1"/>
          <w:bCs w:val="1"/>
          <w:color w:val="auto"/>
        </w:rPr>
        <w:t>ESPP</w:t>
      </w:r>
      <w:r>
        <w:rPr>
          <w:rFonts w:ascii="Calibri" w:cs="Calibri" w:eastAsia="Calibri" w:hAnsi="Calibri"/>
          <w:sz w:val="20"/>
          <w:szCs w:val="20"/>
          <w:color w:val="auto"/>
        </w:rPr>
        <w:t>') at any tme. However, you may only sell Microsof stock purchased pursuant to the ESPP during an Open Window Period and your status in the Insider Trading Compliance Tool is Trading Allowed.</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4. Stock Optons</w:t>
      </w:r>
    </w:p>
    <w:p>
      <w:pPr>
        <w:spacing w:after="0" w:line="225" w:lineRule="exact"/>
        <w:rPr>
          <w:sz w:val="20"/>
          <w:szCs w:val="20"/>
          <w:color w:val="auto"/>
        </w:rPr>
      </w:pPr>
    </w:p>
    <w:p>
      <w:pPr>
        <w:ind w:right="160"/>
        <w:spacing w:after="0" w:line="236" w:lineRule="auto"/>
        <w:rPr>
          <w:sz w:val="20"/>
          <w:szCs w:val="20"/>
          <w:color w:val="auto"/>
        </w:rPr>
      </w:pPr>
      <w:r>
        <w:rPr>
          <w:rFonts w:ascii="Calibri" w:cs="Calibri" w:eastAsia="Calibri" w:hAnsi="Calibri"/>
          <w:sz w:val="20"/>
          <w:szCs w:val="20"/>
          <w:color w:val="auto"/>
        </w:rPr>
        <w:t>You may exercise stock optons outside an Open Window Period only if you pay the exercise price and withholding taxes in cash, and then hold the shares (known as an 'exercise and hold'). Any sale of stock as part of a broker-assisted cashless exercise of an opton, any other market sale for the purpose of generatng the cash needed to pay the exercise price of an opton, or any delivery of shares to pay the exercise price (if permissible under the applicable stock plan) may only be done during an Open Window Period.</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5. Transactons Pursuant to Rule 10b5-1 Plans</w:t>
      </w:r>
    </w:p>
    <w:p>
      <w:pPr>
        <w:spacing w:after="0" w:line="225" w:lineRule="exact"/>
        <w:rPr>
          <w:sz w:val="20"/>
          <w:szCs w:val="20"/>
          <w:color w:val="auto"/>
        </w:rPr>
      </w:pPr>
    </w:p>
    <w:p>
      <w:pPr>
        <w:ind w:right="440"/>
        <w:spacing w:after="0" w:line="236" w:lineRule="auto"/>
        <w:rPr>
          <w:sz w:val="20"/>
          <w:szCs w:val="20"/>
          <w:color w:val="auto"/>
        </w:rPr>
      </w:pPr>
      <w:r>
        <w:rPr>
          <w:rFonts w:ascii="Calibri" w:cs="Calibri" w:eastAsia="Calibri" w:hAnsi="Calibri"/>
          <w:sz w:val="20"/>
          <w:szCs w:val="20"/>
          <w:color w:val="auto"/>
        </w:rPr>
        <w:t>Sales of Microsof stock outside of the Open Window Period or during a blackout period can only be made pursuant to an approved writen trading plan (known as a '10b5-1 Plan') that you entered into at a tme that sales could be made in accordance with the restrictons set forth in Secton B above. To learn more, please visit the Rule 10b5-1 Trading plans page.</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D. Senior Leadership Team Advance Notfcaton Requirement</w:t>
      </w:r>
    </w:p>
    <w:p>
      <w:pPr>
        <w:spacing w:after="0" w:line="225" w:lineRule="exact"/>
        <w:rPr>
          <w:sz w:val="20"/>
          <w:szCs w:val="20"/>
          <w:color w:val="auto"/>
        </w:rPr>
      </w:pPr>
    </w:p>
    <w:p>
      <w:pPr>
        <w:ind w:right="20"/>
        <w:spacing w:after="0" w:line="236" w:lineRule="auto"/>
        <w:rPr>
          <w:sz w:val="20"/>
          <w:szCs w:val="20"/>
          <w:color w:val="auto"/>
        </w:rPr>
      </w:pPr>
      <w:r>
        <w:rPr>
          <w:rFonts w:ascii="Calibri" w:cs="Calibri" w:eastAsia="Calibri" w:hAnsi="Calibri"/>
          <w:sz w:val="20"/>
          <w:szCs w:val="20"/>
          <w:color w:val="auto"/>
        </w:rPr>
        <w:t>In additon to the requirements above, SLT CEO Direct Reports are also required to notfy CELA in advance of transactons in Microsof securites, including, but not limited to, opton exercises, gifs, purchases, sales, and pledges of Microsof stock or debt. It does not apply to purchases made pursuant to the ESPP or sales made pursuant to a 10b5-1 Plan, but does apply to the other scenarios described in Secton C above.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7" w:name="page148"/>
    <w:bookmarkEnd w:id="147"/>
    <w:p>
      <w:pPr>
        <w:spacing w:after="0" w:line="188" w:lineRule="exact"/>
        <w:rPr>
          <w:sz w:val="20"/>
          <w:szCs w:val="20"/>
          <w:color w:val="auto"/>
        </w:rPr>
      </w:pPr>
    </w:p>
    <w:p>
      <w:pPr>
        <w:ind w:right="220"/>
        <w:spacing w:after="0" w:line="236" w:lineRule="auto"/>
        <w:rPr>
          <w:sz w:val="20"/>
          <w:szCs w:val="20"/>
          <w:color w:val="auto"/>
        </w:rPr>
      </w:pPr>
      <w:r>
        <w:rPr>
          <w:rFonts w:ascii="Calibri" w:cs="Calibri" w:eastAsia="Calibri" w:hAnsi="Calibri"/>
          <w:sz w:val="20"/>
          <w:szCs w:val="20"/>
          <w:color w:val="auto"/>
        </w:rPr>
        <w:t>The notfcaton must include a brief descripton of the nature of the transacton (e.g., exercise of stock opton, purchase, sale, gif, pledge of stock for loan, etc.), the type of Microsof securites involved, and the proposed date on which the Insider will enter into the transacton. Notfcatons should be given by sending email to (**)@microsof.com, or by phoning any of the following individuals (“Contacts”):</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Advance notfcaton can be provided by the Insider or his or her broker.</w:t>
      </w:r>
    </w:p>
    <w:p>
      <w:pPr>
        <w:spacing w:after="0" w:line="225" w:lineRule="exact"/>
        <w:rPr>
          <w:sz w:val="20"/>
          <w:szCs w:val="20"/>
          <w:color w:val="auto"/>
        </w:rPr>
      </w:pPr>
    </w:p>
    <w:p>
      <w:pPr>
        <w:spacing w:after="0" w:line="236" w:lineRule="auto"/>
        <w:rPr>
          <w:sz w:val="20"/>
          <w:szCs w:val="20"/>
          <w:color w:val="auto"/>
        </w:rPr>
      </w:pPr>
      <w:r>
        <w:rPr>
          <w:rFonts w:ascii="Calibri" w:cs="Calibri" w:eastAsia="Calibri" w:hAnsi="Calibri"/>
          <w:sz w:val="20"/>
          <w:szCs w:val="20"/>
          <w:color w:val="auto"/>
        </w:rPr>
        <w:t>As soon as possible following notfcaton, one of the Contacts will review the transacton and advise the Insider whether he or she may proceed with the transacton. During this process, the Insider or his or her broker will be asked to answer some preclearance questons from a Preclearance Checklist. A copy of the Preclearance Checklist may be requested from (**)@microsof.com. If advance notfcaton of a transacton is provided via e-mail, the Insider may wish to atach a completed Preclearance Checklist for the proposed transacton.</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w:t>
      </w:r>
      <w:r>
        <w:rPr>
          <w:rFonts w:ascii="Calibri" w:cs="Calibri" w:eastAsia="Calibri" w:hAnsi="Calibri"/>
          <w:sz w:val="20"/>
          <w:szCs w:val="20"/>
          <w:color w:val="auto"/>
        </w:rPr>
        <w:t>.</w:t>
      </w:r>
      <w:r>
        <w:rPr>
          <w:rFonts w:ascii="Calibri" w:cs="Calibri" w:eastAsia="Calibri" w:hAnsi="Calibri"/>
          <w:sz w:val="20"/>
          <w:szCs w:val="20"/>
          <w:b w:val="1"/>
          <w:bCs w:val="1"/>
          <w:color w:val="auto"/>
        </w:rPr>
        <w:t xml:space="preserve"> Questons</w:t>
      </w:r>
    </w:p>
    <w:p>
      <w:pPr>
        <w:spacing w:after="0" w:line="225" w:lineRule="exact"/>
        <w:rPr>
          <w:sz w:val="20"/>
          <w:szCs w:val="20"/>
          <w:color w:val="auto"/>
        </w:rPr>
      </w:pPr>
    </w:p>
    <w:p>
      <w:pPr>
        <w:ind w:right="360"/>
        <w:spacing w:after="0" w:line="234" w:lineRule="auto"/>
        <w:rPr>
          <w:sz w:val="20"/>
          <w:szCs w:val="20"/>
          <w:color w:val="auto"/>
        </w:rPr>
      </w:pPr>
      <w:r>
        <w:rPr>
          <w:rFonts w:ascii="Calibri" w:cs="Calibri" w:eastAsia="Calibri" w:hAnsi="Calibri"/>
          <w:sz w:val="20"/>
          <w:szCs w:val="20"/>
          <w:color w:val="auto"/>
        </w:rPr>
        <w:t>If you have a queston about this policy, its applicaton in relaton to a proposed transacton, or reportng responsibilites, you should email (**)@microsof.com.</w:t>
      </w:r>
    </w:p>
    <w:p>
      <w:pPr>
        <w:spacing w:after="0" w:line="200" w:lineRule="exact"/>
        <w:rPr>
          <w:sz w:val="20"/>
          <w:szCs w:val="20"/>
          <w:color w:val="auto"/>
        </w:rPr>
      </w:pPr>
    </w:p>
    <w:p>
      <w:pPr>
        <w:spacing w:after="0" w:line="286" w:lineRule="exact"/>
        <w:rPr>
          <w:sz w:val="20"/>
          <w:szCs w:val="20"/>
          <w:color w:val="auto"/>
        </w:rPr>
      </w:pPr>
    </w:p>
    <w:p>
      <w:pPr>
        <w:ind w:left="220" w:hanging="212"/>
        <w:spacing w:after="0"/>
        <w:tabs>
          <w:tab w:leader="none" w:pos="220" w:val="left"/>
        </w:tabs>
        <w:numPr>
          <w:ilvl w:val="0"/>
          <w:numId w:val="8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PROCEDURE</w:t>
      </w:r>
    </w:p>
    <w:p>
      <w:pPr>
        <w:spacing w:after="0" w:line="200" w:lineRule="exact"/>
        <w:rPr>
          <w:rFonts w:ascii="Calibri" w:cs="Calibri" w:eastAsia="Calibri" w:hAnsi="Calibri"/>
          <w:sz w:val="20"/>
          <w:szCs w:val="20"/>
          <w:b w:val="1"/>
          <w:bCs w:val="1"/>
          <w:color w:val="auto"/>
        </w:rPr>
      </w:pPr>
    </w:p>
    <w:p>
      <w:pPr>
        <w:spacing w:after="0" w:line="365" w:lineRule="exact"/>
        <w:rPr>
          <w:rFonts w:ascii="Calibri" w:cs="Calibri" w:eastAsia="Calibri" w:hAnsi="Calibri"/>
          <w:sz w:val="20"/>
          <w:szCs w:val="20"/>
          <w:b w:val="1"/>
          <w:bCs w:val="1"/>
          <w:color w:val="auto"/>
        </w:rPr>
      </w:pPr>
    </w:p>
    <w:p>
      <w:pPr>
        <w:ind w:left="220" w:hanging="212"/>
        <w:spacing w:after="0"/>
        <w:tabs>
          <w:tab w:leader="none" w:pos="220" w:val="left"/>
        </w:tabs>
        <w:numPr>
          <w:ilvl w:val="0"/>
          <w:numId w:val="8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alibri" w:cs="Calibri" w:eastAsia="Calibri" w:hAnsi="Calibri"/>
          <w:sz w:val="20"/>
          <w:szCs w:val="20"/>
          <w:color w:val="auto"/>
        </w:rPr>
        <w:t>There are no exceptons to this policy.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6. ENFORCEMENT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alibri" w:cs="Calibri" w:eastAsia="Calibri" w:hAnsi="Calibri"/>
          <w:sz w:val="20"/>
          <w:szCs w:val="20"/>
          <w:color w:val="auto"/>
        </w:rPr>
        <w:t>Violaton of this policy may result in disciplinary acton, up to and including immediate terminaton of employment.</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Insiders who engage in insider trading or tpping may also be subject to civil and criminal fnes, as well as imprisonment.</w:t>
      </w:r>
    </w:p>
    <w:p>
      <w:pPr>
        <w:spacing w:after="0" w:line="26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7.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alibri" w:cs="Calibri" w:eastAsia="Calibri" w:hAnsi="Calibri"/>
          <w:sz w:val="20"/>
          <w:szCs w:val="20"/>
          <w:color w:val="auto"/>
        </w:rPr>
        <w:t>This policy applies to Microsof ofcers and other designated persons, and their Covered Persons.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8" w:name="page149"/>
    <w:bookmarkEnd w:id="148"/>
    <w:p>
      <w:pPr>
        <w:ind w:left="220" w:hanging="212"/>
        <w:spacing w:after="0"/>
        <w:tabs>
          <w:tab w:leader="none" w:pos="220" w:val="left"/>
        </w:tabs>
        <w:numPr>
          <w:ilvl w:val="0"/>
          <w:numId w:val="9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COUNTRY OR BUSINESS UNIT SUPPLEMENT</w:t>
      </w:r>
    </w:p>
    <w:p>
      <w:pPr>
        <w:spacing w:after="0" w:line="200" w:lineRule="exact"/>
        <w:rPr>
          <w:rFonts w:ascii="Calibri" w:cs="Calibri" w:eastAsia="Calibri" w:hAnsi="Calibri"/>
          <w:sz w:val="20"/>
          <w:szCs w:val="20"/>
          <w:b w:val="1"/>
          <w:bCs w:val="1"/>
          <w:color w:val="auto"/>
        </w:rPr>
      </w:pPr>
    </w:p>
    <w:p>
      <w:pPr>
        <w:spacing w:after="0" w:line="365" w:lineRule="exact"/>
        <w:rPr>
          <w:rFonts w:ascii="Calibri" w:cs="Calibri" w:eastAsia="Calibri" w:hAnsi="Calibri"/>
          <w:sz w:val="20"/>
          <w:szCs w:val="20"/>
          <w:b w:val="1"/>
          <w:bCs w:val="1"/>
          <w:color w:val="auto"/>
        </w:rPr>
      </w:pPr>
    </w:p>
    <w:p>
      <w:pPr>
        <w:ind w:left="220" w:hanging="212"/>
        <w:spacing w:after="0"/>
        <w:tabs>
          <w:tab w:leader="none" w:pos="220" w:val="left"/>
        </w:tabs>
        <w:numPr>
          <w:ilvl w:val="0"/>
          <w:numId w:val="9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RELATED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Calibri" w:cs="Calibri" w:eastAsia="Calibri" w:hAnsi="Calibri"/>
          <w:sz w:val="20"/>
          <w:szCs w:val="20"/>
          <w:color w:val="auto"/>
        </w:rPr>
        <w:t>Corporate Governance Guidelines</w:t>
      </w:r>
    </w:p>
    <w:p>
      <w:pPr>
        <w:spacing w:after="0" w:line="238" w:lineRule="auto"/>
        <w:rPr>
          <w:sz w:val="20"/>
          <w:szCs w:val="20"/>
          <w:color w:val="auto"/>
        </w:rPr>
      </w:pPr>
      <w:r>
        <w:rPr>
          <w:rFonts w:ascii="Calibri" w:cs="Calibri" w:eastAsia="Calibri" w:hAnsi="Calibri"/>
          <w:sz w:val="20"/>
          <w:szCs w:val="20"/>
          <w:color w:val="auto"/>
        </w:rPr>
        <w:t>General Insider Trading Policy</w:t>
      </w:r>
    </w:p>
    <w:p>
      <w:pPr>
        <w:spacing w:after="0" w:line="216" w:lineRule="exact"/>
        <w:rPr>
          <w:sz w:val="20"/>
          <w:szCs w:val="20"/>
          <w:color w:val="auto"/>
        </w:rPr>
      </w:pPr>
    </w:p>
    <w:p>
      <w:pPr>
        <w:ind w:left="320" w:hanging="312"/>
        <w:spacing w:after="0"/>
        <w:tabs>
          <w:tab w:leader="none" w:pos="320" w:val="left"/>
        </w:tabs>
        <w:numPr>
          <w:ilvl w:val="0"/>
          <w:numId w:val="9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TRANSLATIONS</w:t>
      </w:r>
    </w:p>
    <w:p>
      <w:pPr>
        <w:spacing w:after="0" w:line="200" w:lineRule="exact"/>
        <w:rPr>
          <w:rFonts w:ascii="Calibri" w:cs="Calibri" w:eastAsia="Calibri" w:hAnsi="Calibri"/>
          <w:sz w:val="20"/>
          <w:szCs w:val="20"/>
          <w:b w:val="1"/>
          <w:bCs w:val="1"/>
          <w:color w:val="auto"/>
        </w:rPr>
      </w:pPr>
    </w:p>
    <w:p>
      <w:pPr>
        <w:spacing w:after="0" w:line="365" w:lineRule="exact"/>
        <w:rPr>
          <w:rFonts w:ascii="Calibri" w:cs="Calibri" w:eastAsia="Calibri" w:hAnsi="Calibri"/>
          <w:sz w:val="20"/>
          <w:szCs w:val="20"/>
          <w:b w:val="1"/>
          <w:bCs w:val="1"/>
          <w:color w:val="auto"/>
        </w:rPr>
      </w:pPr>
    </w:p>
    <w:p>
      <w:pPr>
        <w:ind w:left="320" w:hanging="312"/>
        <w:spacing w:after="0"/>
        <w:tabs>
          <w:tab w:leader="none" w:pos="320" w:val="left"/>
        </w:tabs>
        <w:numPr>
          <w:ilvl w:val="0"/>
          <w:numId w:val="9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DOCUMENT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ind w:right="4459"/>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1" w:right="1440" w:bottom="1440" w:gutter="0" w:footer="0" w:header="0"/>
        </w:sectPr>
      </w:pPr>
    </w:p>
    <w:bookmarkStart w:id="149" w:name="page150"/>
    <w:bookmarkEnd w:id="149"/>
    <w:p>
      <w:pPr>
        <w:jc w:val="right"/>
        <w:spacing w:after="0"/>
        <w:rPr>
          <w:sz w:val="20"/>
          <w:szCs w:val="20"/>
          <w:color w:val="auto"/>
        </w:rPr>
      </w:pPr>
      <w:r>
        <w:rPr>
          <w:rFonts w:ascii="Calibri" w:cs="Calibri" w:eastAsia="Calibri" w:hAnsi="Calibri"/>
          <w:sz w:val="20"/>
          <w:szCs w:val="20"/>
          <w:color w:val="auto"/>
        </w:rPr>
        <w:t>Exhibit 19.3</w:t>
      </w:r>
    </w:p>
    <w:p>
      <w:pPr>
        <w:spacing w:after="0" w:line="215" w:lineRule="exact"/>
        <w:rPr>
          <w:sz w:val="20"/>
          <w:szCs w:val="20"/>
          <w:color w:val="auto"/>
        </w:rPr>
      </w:pPr>
    </w:p>
    <w:p>
      <w:pPr>
        <w:ind w:left="3380"/>
        <w:spacing w:after="0"/>
        <w:rPr>
          <w:sz w:val="20"/>
          <w:szCs w:val="20"/>
          <w:color w:val="auto"/>
        </w:rPr>
      </w:pPr>
      <w:r>
        <w:rPr>
          <w:rFonts w:ascii="Calibri" w:cs="Calibri" w:eastAsia="Calibri" w:hAnsi="Calibri"/>
          <w:sz w:val="20"/>
          <w:szCs w:val="20"/>
          <w:b w:val="1"/>
          <w:bCs w:val="1"/>
          <w:color w:val="auto"/>
        </w:rPr>
        <w:t>Insider Trading Compliance and Preclearance Policies</w:t>
      </w:r>
    </w:p>
    <w:p>
      <w:pPr>
        <w:ind w:left="3580"/>
        <w:spacing w:after="0" w:line="238" w:lineRule="auto"/>
        <w:rPr>
          <w:sz w:val="20"/>
          <w:szCs w:val="20"/>
          <w:color w:val="auto"/>
        </w:rPr>
      </w:pPr>
      <w:r>
        <w:rPr>
          <w:rFonts w:ascii="Calibri" w:cs="Calibri" w:eastAsia="Calibri" w:hAnsi="Calibri"/>
          <w:sz w:val="20"/>
          <w:szCs w:val="20"/>
          <w:b w:val="1"/>
          <w:bCs w:val="1"/>
          <w:color w:val="auto"/>
        </w:rPr>
        <w:t>for Secton 16 Ofcers and Directors of Microsof</w:t>
      </w:r>
    </w:p>
    <w:p>
      <w:pPr>
        <w:spacing w:after="0" w:line="225" w:lineRule="exact"/>
        <w:rPr>
          <w:sz w:val="20"/>
          <w:szCs w:val="20"/>
          <w:color w:val="auto"/>
        </w:rPr>
      </w:pPr>
    </w:p>
    <w:p>
      <w:pPr>
        <w:ind w:right="240"/>
        <w:spacing w:after="0" w:line="234" w:lineRule="auto"/>
        <w:rPr>
          <w:sz w:val="20"/>
          <w:szCs w:val="20"/>
          <w:color w:val="auto"/>
        </w:rPr>
      </w:pPr>
      <w:r>
        <w:rPr>
          <w:rFonts w:ascii="Calibri" w:cs="Calibri" w:eastAsia="Calibri" w:hAnsi="Calibri"/>
          <w:sz w:val="20"/>
          <w:szCs w:val="20"/>
          <w:color w:val="auto"/>
        </w:rPr>
        <w:t>This document sets forth the insider trading compliance policies that apply to transactons in Microsof securites by Microsof ofcers and directors who are subject to Secton 16 of the Securites Exchange Act of 1934 (“</w:t>
      </w:r>
      <w:r>
        <w:rPr>
          <w:rFonts w:ascii="Calibri" w:cs="Calibri" w:eastAsia="Calibri" w:hAnsi="Calibri"/>
          <w:sz w:val="20"/>
          <w:szCs w:val="20"/>
          <w:b w:val="1"/>
          <w:bCs w:val="1"/>
          <w:color w:val="auto"/>
        </w:rPr>
        <w:t>Insiders</w:t>
      </w:r>
      <w:r>
        <w:rPr>
          <w:rFonts w:ascii="Calibri" w:cs="Calibri" w:eastAsia="Calibri" w:hAnsi="Calibri"/>
          <w:sz w:val="20"/>
          <w:szCs w:val="20"/>
          <w:color w:val="auto"/>
        </w:rPr>
        <w:t>”).</w:t>
      </w:r>
    </w:p>
    <w:p>
      <w:pPr>
        <w:spacing w:after="0" w:line="226" w:lineRule="exact"/>
        <w:rPr>
          <w:sz w:val="20"/>
          <w:szCs w:val="20"/>
          <w:color w:val="auto"/>
        </w:rPr>
      </w:pPr>
    </w:p>
    <w:p>
      <w:pPr>
        <w:ind w:right="20"/>
        <w:spacing w:after="0"/>
        <w:rPr>
          <w:sz w:val="20"/>
          <w:szCs w:val="20"/>
          <w:color w:val="auto"/>
        </w:rPr>
      </w:pPr>
      <w:r>
        <w:rPr>
          <w:rFonts w:ascii="Calibri" w:cs="Calibri" w:eastAsia="Calibri" w:hAnsi="Calibri"/>
          <w:sz w:val="20"/>
          <w:szCs w:val="20"/>
          <w:color w:val="auto"/>
        </w:rPr>
        <w:t>The policies contained in this document apply to all securites “benefcially owned” by Insiders. Insiders are responsible for assuring that other individuals or enttes (“</w:t>
      </w:r>
      <w:r>
        <w:rPr>
          <w:rFonts w:ascii="Calibri" w:cs="Calibri" w:eastAsia="Calibri" w:hAnsi="Calibri"/>
          <w:sz w:val="20"/>
          <w:szCs w:val="20"/>
          <w:b w:val="1"/>
          <w:bCs w:val="1"/>
          <w:color w:val="auto"/>
        </w:rPr>
        <w:t>Covered Persons</w:t>
      </w:r>
      <w:r>
        <w:rPr>
          <w:rFonts w:ascii="Calibri" w:cs="Calibri" w:eastAsia="Calibri" w:hAnsi="Calibri"/>
          <w:sz w:val="20"/>
          <w:szCs w:val="20"/>
          <w:color w:val="auto"/>
        </w:rPr>
        <w:t>”) who may have an interest in securites that are “benefcially owned” by an Insider comply with these policies. For more informaton regarding benefcial ownership of securites and Covered Persons, please see Secton 6 below.</w:t>
      </w:r>
    </w:p>
    <w:p>
      <w:pPr>
        <w:spacing w:after="0" w:line="200" w:lineRule="exact"/>
        <w:rPr>
          <w:sz w:val="20"/>
          <w:szCs w:val="20"/>
          <w:color w:val="auto"/>
        </w:rPr>
      </w:pPr>
    </w:p>
    <w:p>
      <w:pPr>
        <w:spacing w:after="0" w:line="256" w:lineRule="exact"/>
        <w:rPr>
          <w:sz w:val="20"/>
          <w:szCs w:val="20"/>
          <w:color w:val="auto"/>
        </w:rPr>
      </w:pPr>
    </w:p>
    <w:p>
      <w:pPr>
        <w:ind w:right="40"/>
        <w:spacing w:after="0" w:line="236" w:lineRule="auto"/>
        <w:rPr>
          <w:sz w:val="20"/>
          <w:szCs w:val="20"/>
          <w:color w:val="auto"/>
        </w:rPr>
      </w:pPr>
      <w:r>
        <w:rPr>
          <w:rFonts w:ascii="Calibri" w:cs="Calibri" w:eastAsia="Calibri" w:hAnsi="Calibri"/>
          <w:sz w:val="20"/>
          <w:szCs w:val="20"/>
          <w:color w:val="auto"/>
        </w:rPr>
        <w:t>Covered Persons must comply with the policies below. Accordingly, any reference below to “</w:t>
      </w:r>
      <w:r>
        <w:rPr>
          <w:rFonts w:ascii="Calibri" w:cs="Calibri" w:eastAsia="Calibri" w:hAnsi="Calibri"/>
          <w:sz w:val="20"/>
          <w:szCs w:val="20"/>
          <w:b w:val="1"/>
          <w:bCs w:val="1"/>
          <w:color w:val="auto"/>
        </w:rPr>
        <w:t>Insiders</w:t>
      </w:r>
      <w:r>
        <w:rPr>
          <w:rFonts w:ascii="Calibri" w:cs="Calibri" w:eastAsia="Calibri" w:hAnsi="Calibri"/>
          <w:sz w:val="20"/>
          <w:szCs w:val="20"/>
          <w:color w:val="auto"/>
        </w:rPr>
        <w:t xml:space="preserve">” should be read to include Covered Persons. In additon to the policies below, all Directors must comply with the Director stock ownership requirements located in the </w:t>
      </w:r>
      <w:r>
        <w:rPr>
          <w:rFonts w:ascii="Calibri" w:cs="Calibri" w:eastAsia="Calibri" w:hAnsi="Calibri"/>
          <w:sz w:val="20"/>
          <w:szCs w:val="20"/>
          <w:i w:val="1"/>
          <w:iCs w:val="1"/>
          <w:color w:val="auto"/>
        </w:rPr>
        <w:t xml:space="preserve">Corporate Governance Guidelines </w:t>
      </w:r>
      <w:r>
        <w:rPr>
          <w:rFonts w:ascii="Calibri" w:cs="Calibri" w:eastAsia="Calibri" w:hAnsi="Calibri"/>
          <w:sz w:val="20"/>
          <w:szCs w:val="20"/>
          <w:color w:val="auto"/>
        </w:rPr>
        <w:t>and Executve Ofcers must comply with the</w:t>
      </w:r>
      <w:r>
        <w:rPr>
          <w:rFonts w:ascii="Calibri" w:cs="Calibri" w:eastAsia="Calibri" w:hAnsi="Calibri"/>
          <w:sz w:val="20"/>
          <w:szCs w:val="20"/>
          <w:i w:val="1"/>
          <w:iCs w:val="1"/>
          <w:color w:val="auto"/>
        </w:rPr>
        <w:t xml:space="preserve"> Stock Ownership Requirements for Microsof Corporaton Executves</w:t>
      </w:r>
      <w:r>
        <w:rPr>
          <w:rFonts w:ascii="Calibri" w:cs="Calibri" w:eastAsia="Calibri" w:hAnsi="Calibri"/>
          <w:sz w:val="20"/>
          <w:szCs w:val="20"/>
          <w:color w:val="auto"/>
        </w:rPr>
        <w:t>.</w:t>
      </w:r>
    </w:p>
    <w:p>
      <w:pPr>
        <w:spacing w:after="0" w:line="218" w:lineRule="exact"/>
        <w:rPr>
          <w:sz w:val="20"/>
          <w:szCs w:val="20"/>
          <w:color w:val="auto"/>
        </w:rPr>
      </w:pPr>
    </w:p>
    <w:p>
      <w:pPr>
        <w:ind w:left="220" w:hanging="212"/>
        <w:spacing w:after="0"/>
        <w:tabs>
          <w:tab w:leader="none" w:pos="220" w:val="left"/>
        </w:tabs>
        <w:numPr>
          <w:ilvl w:val="0"/>
          <w:numId w:val="92"/>
        </w:numPr>
        <w:rPr>
          <w:rFonts w:ascii="Calibri" w:cs="Calibri" w:eastAsia="Calibri" w:hAnsi="Calibri"/>
          <w:sz w:val="20"/>
          <w:szCs w:val="20"/>
          <w:b w:val="1"/>
          <w:bCs w:val="1"/>
          <w:color w:val="auto"/>
        </w:rPr>
      </w:pPr>
      <w:r>
        <w:rPr>
          <w:rFonts w:ascii="Calibri" w:cs="Calibri" w:eastAsia="Calibri" w:hAnsi="Calibri"/>
          <w:sz w:val="20"/>
          <w:szCs w:val="20"/>
          <w:b w:val="1"/>
          <w:bCs w:val="1"/>
          <w:u w:val="single" w:color="auto"/>
          <w:color w:val="auto"/>
        </w:rPr>
        <w:t>Restrictons on Trading</w:t>
      </w:r>
    </w:p>
    <w:p>
      <w:pPr>
        <w:spacing w:after="0" w:line="224" w:lineRule="exact"/>
        <w:rPr>
          <w:rFonts w:ascii="Calibri" w:cs="Calibri" w:eastAsia="Calibri" w:hAnsi="Calibri"/>
          <w:sz w:val="20"/>
          <w:szCs w:val="20"/>
          <w:b w:val="1"/>
          <w:bCs w:val="1"/>
          <w:color w:val="auto"/>
        </w:rPr>
      </w:pPr>
    </w:p>
    <w:p>
      <w:pPr>
        <w:ind w:right="20" w:firstLine="757"/>
        <w:spacing w:after="0" w:line="237" w:lineRule="auto"/>
        <w:tabs>
          <w:tab w:leader="none" w:pos="1115" w:val="left"/>
        </w:tabs>
        <w:numPr>
          <w:ilvl w:val="1"/>
          <w:numId w:val="92"/>
        </w:numPr>
        <w:rPr>
          <w:rFonts w:ascii="Calibri" w:cs="Calibri" w:eastAsia="Calibri" w:hAnsi="Calibri"/>
          <w:sz w:val="20"/>
          <w:szCs w:val="20"/>
          <w:color w:val="auto"/>
        </w:rPr>
      </w:pPr>
      <w:r>
        <w:rPr>
          <w:rFonts w:ascii="Calibri" w:cs="Calibri" w:eastAsia="Calibri" w:hAnsi="Calibri"/>
          <w:sz w:val="20"/>
          <w:szCs w:val="20"/>
          <w:u w:val="single" w:color="auto"/>
          <w:color w:val="auto"/>
        </w:rPr>
        <w:t>Prohibiton on Trading While in Possession of Material, Nonpublic Informaton</w:t>
      </w:r>
      <w:r>
        <w:rPr>
          <w:rFonts w:ascii="Calibri" w:cs="Calibri" w:eastAsia="Calibri" w:hAnsi="Calibri"/>
          <w:sz w:val="20"/>
          <w:szCs w:val="20"/>
          <w:color w:val="auto"/>
        </w:rPr>
        <w:t>. Under Federal securites law and regulatons, no Insider may trade in Microsof securites while possessing material, nonpublic informaton concerning the Company, even if a quarterly window period described in Secton 2 is open. The window period is not a safe harbor that eliminates the need for cauton about whether an Insider should refrain from trading because he or she possesses material, nonpublic informaton about Microsof. For more informaton, see the General Insider Trading Policy.</w:t>
      </w:r>
    </w:p>
    <w:p>
      <w:pPr>
        <w:spacing w:after="0" w:line="225" w:lineRule="exact"/>
        <w:rPr>
          <w:rFonts w:ascii="Calibri" w:cs="Calibri" w:eastAsia="Calibri" w:hAnsi="Calibri"/>
          <w:sz w:val="20"/>
          <w:szCs w:val="20"/>
          <w:color w:val="auto"/>
        </w:rPr>
      </w:pPr>
    </w:p>
    <w:p>
      <w:pPr>
        <w:jc w:val="both"/>
        <w:ind w:right="320" w:firstLine="757"/>
        <w:spacing w:after="0" w:line="236" w:lineRule="auto"/>
        <w:tabs>
          <w:tab w:leader="none" w:pos="1115" w:val="left"/>
        </w:tabs>
        <w:numPr>
          <w:ilvl w:val="1"/>
          <w:numId w:val="92"/>
        </w:numPr>
        <w:rPr>
          <w:rFonts w:ascii="Calibri" w:cs="Calibri" w:eastAsia="Calibri" w:hAnsi="Calibri"/>
          <w:sz w:val="20"/>
          <w:szCs w:val="20"/>
          <w:color w:val="auto"/>
        </w:rPr>
      </w:pPr>
      <w:r>
        <w:rPr>
          <w:rFonts w:ascii="Calibri" w:cs="Calibri" w:eastAsia="Calibri" w:hAnsi="Calibri"/>
          <w:sz w:val="20"/>
          <w:szCs w:val="20"/>
          <w:u w:val="single" w:color="auto"/>
          <w:color w:val="auto"/>
        </w:rPr>
        <w:t>Trading Restricted to Open Window Periods</w:t>
      </w:r>
      <w:r>
        <w:rPr>
          <w:rFonts w:ascii="Calibri" w:cs="Calibri" w:eastAsia="Calibri" w:hAnsi="Calibri"/>
          <w:sz w:val="20"/>
          <w:szCs w:val="20"/>
          <w:color w:val="auto"/>
        </w:rPr>
        <w:t>. No Insider may trade in Microsof securites outside of an applicable Open Window Period described below in Secton 2, or during any trading blackout periods designated by Microsof, except pursuant to the terms of a Rule 10b5-1 Plan as outlined in Secton 4.E below. For more informaton, see the Restricted Trading Window Policy.</w:t>
      </w:r>
    </w:p>
    <w:p>
      <w:pPr>
        <w:spacing w:after="0" w:line="224" w:lineRule="exact"/>
        <w:rPr>
          <w:rFonts w:ascii="Calibri" w:cs="Calibri" w:eastAsia="Calibri" w:hAnsi="Calibri"/>
          <w:sz w:val="20"/>
          <w:szCs w:val="20"/>
          <w:color w:val="auto"/>
        </w:rPr>
      </w:pPr>
    </w:p>
    <w:p>
      <w:pPr>
        <w:ind w:right="80" w:firstLine="757"/>
        <w:spacing w:after="0" w:line="237" w:lineRule="auto"/>
        <w:tabs>
          <w:tab w:leader="none" w:pos="1115" w:val="left"/>
        </w:tabs>
        <w:numPr>
          <w:ilvl w:val="1"/>
          <w:numId w:val="92"/>
        </w:numPr>
        <w:rPr>
          <w:rFonts w:ascii="Calibri" w:cs="Calibri" w:eastAsia="Calibri" w:hAnsi="Calibri"/>
          <w:sz w:val="20"/>
          <w:szCs w:val="20"/>
          <w:color w:val="auto"/>
        </w:rPr>
      </w:pPr>
      <w:r>
        <w:rPr>
          <w:rFonts w:ascii="Calibri" w:cs="Calibri" w:eastAsia="Calibri" w:hAnsi="Calibri"/>
          <w:sz w:val="20"/>
          <w:szCs w:val="20"/>
          <w:u w:val="single" w:color="auto"/>
          <w:color w:val="auto"/>
        </w:rPr>
        <w:t>Prohibiton on Trading in Derivatves</w:t>
      </w:r>
      <w:r>
        <w:rPr>
          <w:rFonts w:ascii="Calibri" w:cs="Calibri" w:eastAsia="Calibri" w:hAnsi="Calibri"/>
          <w:sz w:val="20"/>
          <w:szCs w:val="20"/>
          <w:color w:val="auto"/>
        </w:rPr>
        <w:t>. Trading in derivatve securites (other than derivatve securites issued by Microsof as compensaton) related to Microsof stock or debt such as optons, puts, calls, warrants or similar fnancial instruments may create the appearance among regulators and Microsof shareholders that an Insider is engaging in short-term, speculatve transactons or inappropriately hedging the risk of declines in Microsof stock. For this reason, Insiders may not trade in optons, puts, calls or other derivatve instruments related to Microsof stock or debt.</w:t>
      </w:r>
    </w:p>
    <w:p>
      <w:pPr>
        <w:spacing w:after="0" w:line="225" w:lineRule="exact"/>
        <w:rPr>
          <w:rFonts w:ascii="Calibri" w:cs="Calibri" w:eastAsia="Calibri" w:hAnsi="Calibri"/>
          <w:sz w:val="20"/>
          <w:szCs w:val="20"/>
          <w:color w:val="auto"/>
        </w:rPr>
      </w:pPr>
    </w:p>
    <w:p>
      <w:pPr>
        <w:ind w:right="460" w:firstLine="757"/>
        <w:spacing w:after="0" w:line="234" w:lineRule="auto"/>
        <w:tabs>
          <w:tab w:leader="none" w:pos="1115" w:val="left"/>
        </w:tabs>
        <w:numPr>
          <w:ilvl w:val="1"/>
          <w:numId w:val="92"/>
        </w:numPr>
        <w:rPr>
          <w:rFonts w:ascii="Calibri" w:cs="Calibri" w:eastAsia="Calibri" w:hAnsi="Calibri"/>
          <w:sz w:val="20"/>
          <w:szCs w:val="20"/>
          <w:color w:val="auto"/>
        </w:rPr>
      </w:pPr>
      <w:r>
        <w:rPr>
          <w:rFonts w:ascii="Calibri" w:cs="Calibri" w:eastAsia="Calibri" w:hAnsi="Calibri"/>
          <w:sz w:val="20"/>
          <w:szCs w:val="20"/>
          <w:u w:val="single" w:color="auto"/>
          <w:color w:val="auto"/>
        </w:rPr>
        <w:t>Prohibiton on Pledging</w:t>
      </w:r>
      <w:r>
        <w:rPr>
          <w:rFonts w:ascii="Calibri" w:cs="Calibri" w:eastAsia="Calibri" w:hAnsi="Calibri"/>
          <w:sz w:val="20"/>
          <w:szCs w:val="20"/>
          <w:color w:val="auto"/>
        </w:rPr>
        <w:t>. No Insider may purchase Microsof stock on margin, borrow against Microsof stock held in a margin account, or pledge Microsof stock as collateral for a loan.</w:t>
      </w:r>
    </w:p>
    <w:p>
      <w:pPr>
        <w:spacing w:after="0" w:line="16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50" w:name="page151"/>
    <w:bookmarkEnd w:id="150"/>
    <w:p>
      <w:pPr>
        <w:spacing w:after="0" w:line="178" w:lineRule="exact"/>
        <w:rPr>
          <w:sz w:val="20"/>
          <w:szCs w:val="20"/>
          <w:color w:val="auto"/>
        </w:rPr>
      </w:pPr>
    </w:p>
    <w:p>
      <w:pPr>
        <w:ind w:left="220" w:hanging="212"/>
        <w:spacing w:after="0"/>
        <w:tabs>
          <w:tab w:leader="none" w:pos="220" w:val="left"/>
        </w:tabs>
        <w:numPr>
          <w:ilvl w:val="0"/>
          <w:numId w:val="93"/>
        </w:numPr>
        <w:rPr>
          <w:rFonts w:ascii="Calibri" w:cs="Calibri" w:eastAsia="Calibri" w:hAnsi="Calibri"/>
          <w:sz w:val="20"/>
          <w:szCs w:val="20"/>
          <w:b w:val="1"/>
          <w:bCs w:val="1"/>
          <w:color w:val="auto"/>
        </w:rPr>
      </w:pPr>
      <w:r>
        <w:rPr>
          <w:rFonts w:ascii="Calibri" w:cs="Calibri" w:eastAsia="Calibri" w:hAnsi="Calibri"/>
          <w:sz w:val="20"/>
          <w:szCs w:val="20"/>
          <w:b w:val="1"/>
          <w:bCs w:val="1"/>
          <w:u w:val="single" w:color="auto"/>
          <w:color w:val="auto"/>
        </w:rPr>
        <w:t>Trading Window and Blackout Periods</w:t>
      </w:r>
    </w:p>
    <w:p>
      <w:pPr>
        <w:spacing w:after="0" w:line="238" w:lineRule="exact"/>
        <w:rPr>
          <w:rFonts w:ascii="Calibri" w:cs="Calibri" w:eastAsia="Calibri" w:hAnsi="Calibri"/>
          <w:sz w:val="20"/>
          <w:szCs w:val="20"/>
          <w:b w:val="1"/>
          <w:bCs w:val="1"/>
          <w:color w:val="auto"/>
        </w:rPr>
      </w:pPr>
    </w:p>
    <w:p>
      <w:pPr>
        <w:ind w:firstLine="757"/>
        <w:spacing w:after="0" w:line="238" w:lineRule="auto"/>
        <w:tabs>
          <w:tab w:leader="none" w:pos="1018" w:val="left"/>
        </w:tabs>
        <w:numPr>
          <w:ilvl w:val="1"/>
          <w:numId w:val="93"/>
        </w:numPr>
        <w:rPr>
          <w:rFonts w:ascii="Arial" w:cs="Arial" w:eastAsia="Arial" w:hAnsi="Arial"/>
          <w:sz w:val="20"/>
          <w:szCs w:val="20"/>
          <w:color w:val="auto"/>
        </w:rPr>
      </w:pPr>
      <w:r>
        <w:rPr>
          <w:rFonts w:ascii="Calibri" w:cs="Calibri" w:eastAsia="Calibri" w:hAnsi="Calibri"/>
          <w:sz w:val="20"/>
          <w:szCs w:val="20"/>
          <w:color w:val="auto"/>
        </w:rPr>
        <w:t>An Insider may trade in Microsof securites only during quarterly window periods that follow each quarterly earnings announcement. This policy is intended to help prevent accusatons of trading on material, nonpublic informaton. The theory underlying the policy is that the period of tme following an earnings release is a tme when the public has been apprised of all relevant material informaton about the Company’s recent business and fnancial performance. The window period generally begins on the commencement of trading on the second full trading day following Microsof's public release of quarterly earnings, and ends at the close of trading 15 business days prior to the end of the third month of the fscal quarter in which the earnings are released (the “</w:t>
      </w:r>
      <w:r>
        <w:rPr>
          <w:rFonts w:ascii="Calibri" w:cs="Calibri" w:eastAsia="Calibri" w:hAnsi="Calibri"/>
          <w:sz w:val="20"/>
          <w:szCs w:val="20"/>
          <w:b w:val="1"/>
          <w:bCs w:val="1"/>
          <w:color w:val="auto"/>
        </w:rPr>
        <w:t>Open</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Window Period</w:t>
      </w:r>
      <w:r>
        <w:rPr>
          <w:rFonts w:ascii="Calibri" w:cs="Calibri" w:eastAsia="Calibri" w:hAnsi="Calibri"/>
          <w:sz w:val="20"/>
          <w:szCs w:val="20"/>
          <w:color w:val="auto"/>
        </w:rPr>
        <w:t>”). If, for example, Microsof made an earnings announcement on Thursday, the trading window would be expected 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open the following Monday. There are rare situatons when a quarterly window period is delayed, closed early or skipped. Microsof employees and directors who are subject to the trading window policy are sent email each quarter advising them of the frst and last day of that quarter’s Open Window Period. If an Open Window Period is delayed, closed early or skipped, Insiders will be sent email alertng them to this development. An Insider should not trade unless he or she has received notce about the opening of the trading window.</w:t>
      </w:r>
    </w:p>
    <w:p>
      <w:pPr>
        <w:spacing w:after="0" w:line="239" w:lineRule="exact"/>
        <w:rPr>
          <w:rFonts w:ascii="Arial" w:cs="Arial" w:eastAsia="Arial" w:hAnsi="Arial"/>
          <w:sz w:val="20"/>
          <w:szCs w:val="20"/>
          <w:color w:val="auto"/>
        </w:rPr>
      </w:pPr>
    </w:p>
    <w:p>
      <w:pPr>
        <w:ind w:right="180" w:firstLine="757"/>
        <w:spacing w:after="0" w:line="234" w:lineRule="auto"/>
        <w:tabs>
          <w:tab w:leader="none" w:pos="1018" w:val="left"/>
        </w:tabs>
        <w:numPr>
          <w:ilvl w:val="1"/>
          <w:numId w:val="93"/>
        </w:numPr>
        <w:rPr>
          <w:rFonts w:ascii="Arial" w:cs="Arial" w:eastAsia="Arial" w:hAnsi="Arial"/>
          <w:sz w:val="20"/>
          <w:szCs w:val="20"/>
          <w:color w:val="auto"/>
        </w:rPr>
      </w:pPr>
      <w:r>
        <w:rPr>
          <w:rFonts w:ascii="Calibri" w:cs="Calibri" w:eastAsia="Calibri" w:hAnsi="Calibri"/>
          <w:sz w:val="20"/>
          <w:szCs w:val="20"/>
          <w:color w:val="auto"/>
        </w:rPr>
        <w:t>Insiders who have material, nonpublic informaton concerning Microsof may not trade in Microsof securites even during Open Window Periods.</w:t>
      </w:r>
    </w:p>
    <w:p>
      <w:pPr>
        <w:spacing w:after="0" w:line="239" w:lineRule="exact"/>
        <w:rPr>
          <w:rFonts w:ascii="Arial" w:cs="Arial" w:eastAsia="Arial" w:hAnsi="Arial"/>
          <w:sz w:val="20"/>
          <w:szCs w:val="20"/>
          <w:color w:val="auto"/>
        </w:rPr>
      </w:pPr>
    </w:p>
    <w:p>
      <w:pPr>
        <w:ind w:right="180" w:firstLine="757"/>
        <w:spacing w:after="0" w:line="236" w:lineRule="auto"/>
        <w:tabs>
          <w:tab w:leader="none" w:pos="1018" w:val="left"/>
        </w:tabs>
        <w:numPr>
          <w:ilvl w:val="1"/>
          <w:numId w:val="93"/>
        </w:numPr>
        <w:rPr>
          <w:rFonts w:ascii="Arial" w:cs="Arial" w:eastAsia="Arial" w:hAnsi="Arial"/>
          <w:sz w:val="20"/>
          <w:szCs w:val="20"/>
          <w:color w:val="auto"/>
        </w:rPr>
      </w:pPr>
      <w:r>
        <w:rPr>
          <w:rFonts w:ascii="Calibri" w:cs="Calibri" w:eastAsia="Calibri" w:hAnsi="Calibri"/>
          <w:sz w:val="20"/>
          <w:szCs w:val="20"/>
          <w:color w:val="auto"/>
        </w:rPr>
        <w:t>Insiders may not trade in Microsof securites outside of an Open Window Period or during any blackout period that Microsof may designate. Insiders may not disclose to any outside third party, including brokers or fnancial advisers, the terms of the trading window policy, the date on which an Open Window Period has begun or ended, or that a blackout period has been designated.</w:t>
      </w:r>
    </w:p>
    <w:p>
      <w:pPr>
        <w:spacing w:after="0" w:line="215" w:lineRule="exact"/>
        <w:rPr>
          <w:rFonts w:ascii="Arial" w:cs="Arial" w:eastAsia="Arial" w:hAnsi="Arial"/>
          <w:sz w:val="20"/>
          <w:szCs w:val="20"/>
          <w:color w:val="auto"/>
        </w:rPr>
      </w:pPr>
    </w:p>
    <w:p>
      <w:pPr>
        <w:ind w:left="260" w:hanging="252"/>
        <w:spacing w:after="0"/>
        <w:tabs>
          <w:tab w:leader="none" w:pos="260" w:val="left"/>
        </w:tabs>
        <w:numPr>
          <w:ilvl w:val="0"/>
          <w:numId w:val="93"/>
        </w:numPr>
        <w:rPr>
          <w:rFonts w:ascii="Calibri" w:cs="Calibri" w:eastAsia="Calibri" w:hAnsi="Calibri"/>
          <w:sz w:val="20"/>
          <w:szCs w:val="20"/>
          <w:b w:val="1"/>
          <w:bCs w:val="1"/>
          <w:color w:val="auto"/>
        </w:rPr>
      </w:pPr>
      <w:r>
        <w:rPr>
          <w:rFonts w:ascii="Calibri" w:cs="Calibri" w:eastAsia="Calibri" w:hAnsi="Calibri"/>
          <w:sz w:val="20"/>
          <w:szCs w:val="20"/>
          <w:b w:val="1"/>
          <w:bCs w:val="1"/>
          <w:u w:val="single" w:color="auto"/>
          <w:color w:val="auto"/>
        </w:rPr>
        <w:t>Pre-Clearance Policies and Procedures</w:t>
      </w:r>
    </w:p>
    <w:p>
      <w:pPr>
        <w:spacing w:after="0" w:line="224" w:lineRule="exact"/>
        <w:rPr>
          <w:rFonts w:ascii="Calibri" w:cs="Calibri" w:eastAsia="Calibri" w:hAnsi="Calibri"/>
          <w:sz w:val="20"/>
          <w:szCs w:val="20"/>
          <w:b w:val="1"/>
          <w:bCs w:val="1"/>
          <w:color w:val="auto"/>
        </w:rPr>
      </w:pPr>
    </w:p>
    <w:p>
      <w:pPr>
        <w:ind w:firstLine="757"/>
        <w:spacing w:after="0" w:line="237" w:lineRule="auto"/>
        <w:tabs>
          <w:tab w:leader="none" w:pos="1115" w:val="left"/>
        </w:tabs>
        <w:numPr>
          <w:ilvl w:val="1"/>
          <w:numId w:val="93"/>
        </w:numPr>
        <w:rPr>
          <w:rFonts w:ascii="Calibri" w:cs="Calibri" w:eastAsia="Calibri" w:hAnsi="Calibri"/>
          <w:sz w:val="20"/>
          <w:szCs w:val="20"/>
          <w:color w:val="auto"/>
        </w:rPr>
      </w:pPr>
      <w:r>
        <w:rPr>
          <w:rFonts w:ascii="Calibri" w:cs="Calibri" w:eastAsia="Calibri" w:hAnsi="Calibri"/>
          <w:sz w:val="20"/>
          <w:szCs w:val="20"/>
          <w:u w:val="single" w:color="auto"/>
          <w:color w:val="auto"/>
        </w:rPr>
        <w:t>Potental Secton 16(b) Liability</w:t>
      </w:r>
      <w:r>
        <w:rPr>
          <w:rFonts w:ascii="Calibri" w:cs="Calibri" w:eastAsia="Calibri" w:hAnsi="Calibri"/>
          <w:sz w:val="20"/>
          <w:szCs w:val="20"/>
          <w:color w:val="auto"/>
        </w:rPr>
        <w:t>. Insiders are subject to the short-swing proft recapture rules of Secton 16 of the Securites Exchange Act of 1934. Compliance with the law includes prompt reportng of an Insider’s transactons involving Microsof securites. The Secton 16 reportng requirements also apply to transactons in Microsof securites owned by certain other individuals and enttes related to an Insider, as explained in greater detail in Secton 5 below. Any late or delinquent flings are required to be reported in Microsof’s annual proxy statement. In order to assist Insiders in complying with these reportng requirements, the procedures described below have been adopted so that CELA, Corporate Legal Group may prepare and fle with the SEC on an Insider’s behalf the appropriate form reportng an Insider’s transactons.</w:t>
      </w:r>
    </w:p>
    <w:p>
      <w:pPr>
        <w:spacing w:after="0" w:line="229" w:lineRule="exact"/>
        <w:rPr>
          <w:sz w:val="20"/>
          <w:szCs w:val="20"/>
          <w:color w:val="auto"/>
        </w:rPr>
      </w:pPr>
    </w:p>
    <w:p>
      <w:pPr>
        <w:ind w:right="240" w:firstLine="374"/>
        <w:spacing w:after="0" w:line="237" w:lineRule="auto"/>
        <w:rPr>
          <w:sz w:val="20"/>
          <w:szCs w:val="20"/>
          <w:color w:val="auto"/>
        </w:rPr>
      </w:pPr>
      <w:r>
        <w:rPr>
          <w:rFonts w:ascii="Calibri" w:cs="Calibri" w:eastAsia="Calibri" w:hAnsi="Calibri"/>
          <w:sz w:val="20"/>
          <w:szCs w:val="20"/>
          <w:color w:val="auto"/>
        </w:rPr>
        <w:t>The purpose of these flings with the SEC is to give any interested party the ability to examine the flings to determine whether an Insider has violated the so-called "short-swing proft" rules, which prohibit a specifed ofcer or director of a public company from proftng on sales and purchases of stock that occur within 6 months of each other. Neither lack of familiarity with the rules nor inadvertent non-compliance will excuse a violaton of the short-swing proft rules. Generally, this law should not present Insiders at Microsof with a problem because Microsof stock purchases that an Insider makes from the Company (e.g. stock acquired</w:t>
      </w:r>
    </w:p>
    <w:p>
      <w:pPr>
        <w:spacing w:after="0" w:line="162"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1" w:name="page152"/>
    <w:bookmarkEnd w:id="151"/>
    <w:p>
      <w:pPr>
        <w:spacing w:after="0" w:line="188"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on exercise of stock optons and stock purchased under the Employee Stock Purchase Plan) are all exempt from short swing proft liability under SEC rules, and therefore any sales of stock an Insider undertakes typically would not have any non-exempt purchases of stock with which they could be matched. However, an Insider may potentally have a problem if the Insider purchases Microsof shares in the open market or changes an investment electon under the Microsof 401(k) plan with respect to investng in Microsof stock. The advance notfcaton procedures described below are intended to help Insiders avoid transactons that would violate Secton 16(b), as well as meet the 2-day fling deadline for reportng most Insider transactons in Microsof securites. Insiders are expected to cooperate with the Company fully and promptly in disclosing their transactons involving Company securites.</w:t>
      </w:r>
    </w:p>
    <w:p>
      <w:pPr>
        <w:spacing w:after="0" w:line="229" w:lineRule="exact"/>
        <w:rPr>
          <w:sz w:val="20"/>
          <w:szCs w:val="20"/>
          <w:color w:val="auto"/>
        </w:rPr>
      </w:pPr>
    </w:p>
    <w:p>
      <w:pPr>
        <w:ind w:right="20" w:firstLine="757"/>
        <w:spacing w:after="0"/>
        <w:tabs>
          <w:tab w:leader="none" w:pos="1115" w:val="left"/>
        </w:tabs>
        <w:numPr>
          <w:ilvl w:val="0"/>
          <w:numId w:val="94"/>
        </w:numPr>
        <w:rPr>
          <w:rFonts w:ascii="Calibri" w:cs="Calibri" w:eastAsia="Calibri" w:hAnsi="Calibri"/>
          <w:sz w:val="20"/>
          <w:szCs w:val="20"/>
          <w:color w:val="auto"/>
        </w:rPr>
      </w:pPr>
      <w:r>
        <w:rPr>
          <w:rFonts w:ascii="Calibri" w:cs="Calibri" w:eastAsia="Calibri" w:hAnsi="Calibri"/>
          <w:sz w:val="20"/>
          <w:szCs w:val="20"/>
          <w:u w:val="single" w:color="auto"/>
          <w:color w:val="auto"/>
        </w:rPr>
        <w:t>Preclearance Requirement</w:t>
      </w:r>
      <w:r>
        <w:rPr>
          <w:rFonts w:ascii="Calibri" w:cs="Calibri" w:eastAsia="Calibri" w:hAnsi="Calibri"/>
          <w:sz w:val="20"/>
          <w:szCs w:val="20"/>
          <w:color w:val="auto"/>
        </w:rPr>
        <w:t xml:space="preserve">. All Insiders are required to obtain approval from the CELA Corporate Legal Group </w:t>
      </w:r>
      <w:r>
        <w:rPr>
          <w:rFonts w:ascii="Calibri" w:cs="Calibri" w:eastAsia="Calibri" w:hAnsi="Calibri"/>
          <w:sz w:val="20"/>
          <w:szCs w:val="20"/>
          <w:u w:val="single" w:color="auto"/>
          <w:color w:val="auto"/>
        </w:rPr>
        <w:t>before</w:t>
      </w:r>
      <w:r>
        <w:rPr>
          <w:rFonts w:ascii="Calibri" w:cs="Calibri" w:eastAsia="Calibri" w:hAnsi="Calibri"/>
          <w:sz w:val="20"/>
          <w:szCs w:val="20"/>
          <w:color w:val="auto"/>
        </w:rPr>
        <w:t xml:space="preserve"> entering into any transacton involving Microsof securites, including, but not limited to, opton exercises, gifs, purchases, and sales, of Microsof stock or debt. Some very limited exceptons apply as described in Secton 4 below. The Insider or his or her broker will be asked to answer some preclearance questons in a Preclearance Checklist, which includes a brief descripton of the nature of the transacton (e.g., exercise of stock opton, purchase, sale, gif, etc.), the type and number of Microsof securites involved, and the proposed date on which the Insider will enter into the transacton. A copy of the Preclearance Checklist may be requested from (**)@microsof.com.</w:t>
      </w:r>
    </w:p>
    <w:p>
      <w:pPr>
        <w:spacing w:after="0" w:line="200" w:lineRule="exact"/>
        <w:rPr>
          <w:sz w:val="20"/>
          <w:szCs w:val="20"/>
          <w:color w:val="auto"/>
        </w:rPr>
      </w:pPr>
    </w:p>
    <w:p>
      <w:pPr>
        <w:spacing w:after="0" w:line="252" w:lineRule="exact"/>
        <w:rPr>
          <w:sz w:val="20"/>
          <w:szCs w:val="20"/>
          <w:color w:val="auto"/>
        </w:rPr>
      </w:pPr>
    </w:p>
    <w:p>
      <w:pPr>
        <w:ind w:right="180" w:firstLine="374"/>
        <w:spacing w:after="0" w:line="234" w:lineRule="auto"/>
        <w:rPr>
          <w:sz w:val="20"/>
          <w:szCs w:val="20"/>
          <w:color w:val="auto"/>
        </w:rPr>
      </w:pPr>
      <w:r>
        <w:rPr>
          <w:rFonts w:ascii="Calibri" w:cs="Calibri" w:eastAsia="Calibri" w:hAnsi="Calibri"/>
          <w:sz w:val="20"/>
          <w:szCs w:val="20"/>
          <w:color w:val="auto"/>
        </w:rPr>
        <w:t>Preclearance requests should be sent by email to (**)@microsof.com. For questons, please call any of the following individuals (“</w:t>
      </w:r>
      <w:r>
        <w:rPr>
          <w:rFonts w:ascii="Calibri" w:cs="Calibri" w:eastAsia="Calibri" w:hAnsi="Calibri"/>
          <w:sz w:val="20"/>
          <w:szCs w:val="20"/>
          <w:b w:val="1"/>
          <w:bCs w:val="1"/>
          <w:color w:val="auto"/>
        </w:rPr>
        <w:t>Contacts</w:t>
      </w:r>
      <w:r>
        <w:rPr>
          <w:rFonts w:ascii="Calibri" w:cs="Calibri" w:eastAsia="Calibri" w:hAnsi="Calibri"/>
          <w:sz w:val="20"/>
          <w:szCs w:val="20"/>
          <w:color w:val="auto"/>
        </w:rPr>
        <w:t>”):</w:t>
      </w:r>
    </w:p>
    <w:p>
      <w:pPr>
        <w:spacing w:after="0" w:line="216"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w:t>
      </w:r>
    </w:p>
    <w:p>
      <w:pPr>
        <w:spacing w:after="0" w:line="225" w:lineRule="exact"/>
        <w:rPr>
          <w:sz w:val="20"/>
          <w:szCs w:val="20"/>
          <w:color w:val="auto"/>
        </w:rPr>
      </w:pPr>
    </w:p>
    <w:p>
      <w:pPr>
        <w:ind w:right="120"/>
        <w:spacing w:after="0" w:line="234" w:lineRule="auto"/>
        <w:rPr>
          <w:sz w:val="20"/>
          <w:szCs w:val="20"/>
          <w:color w:val="auto"/>
        </w:rPr>
      </w:pPr>
      <w:r>
        <w:rPr>
          <w:rFonts w:ascii="Calibri" w:cs="Calibri" w:eastAsia="Calibri" w:hAnsi="Calibri"/>
          <w:sz w:val="20"/>
          <w:szCs w:val="20"/>
          <w:color w:val="auto"/>
        </w:rPr>
        <w:t>As soon as possible following the preclearance request, one of the Contacts will review the transacton and advise the Insider whether he or she may proceed with the transacton.</w:t>
      </w:r>
    </w:p>
    <w:p>
      <w:pPr>
        <w:spacing w:after="0" w:line="226" w:lineRule="exact"/>
        <w:rPr>
          <w:sz w:val="20"/>
          <w:szCs w:val="20"/>
          <w:color w:val="auto"/>
        </w:rPr>
      </w:pPr>
    </w:p>
    <w:p>
      <w:pPr>
        <w:jc w:val="both"/>
        <w:ind w:right="80" w:firstLine="757"/>
        <w:spacing w:after="0" w:line="236" w:lineRule="auto"/>
        <w:tabs>
          <w:tab w:leader="none" w:pos="1115" w:val="left"/>
        </w:tabs>
        <w:numPr>
          <w:ilvl w:val="0"/>
          <w:numId w:val="95"/>
        </w:numPr>
        <w:rPr>
          <w:rFonts w:ascii="Calibri" w:cs="Calibri" w:eastAsia="Calibri" w:hAnsi="Calibri"/>
          <w:sz w:val="20"/>
          <w:szCs w:val="20"/>
          <w:color w:val="auto"/>
        </w:rPr>
      </w:pPr>
      <w:r>
        <w:rPr>
          <w:rFonts w:ascii="Calibri" w:cs="Calibri" w:eastAsia="Calibri" w:hAnsi="Calibri"/>
          <w:sz w:val="20"/>
          <w:szCs w:val="20"/>
          <w:u w:val="single" w:color="auto"/>
          <w:color w:val="auto"/>
        </w:rPr>
        <w:t>Confrmaton of Transacton</w:t>
      </w:r>
      <w:r>
        <w:rPr>
          <w:rFonts w:ascii="Calibri" w:cs="Calibri" w:eastAsia="Calibri" w:hAnsi="Calibri"/>
          <w:sz w:val="20"/>
          <w:szCs w:val="20"/>
          <w:color w:val="auto"/>
        </w:rPr>
        <w:t>. Immediately afer the transacton is executed, the Insider or his or her broker must provide the details of the transacton to one or more of the Contacts, either by phone or e-mail to (**)@microsof.com. This informaton must include the following:</w:t>
      </w:r>
    </w:p>
    <w:p>
      <w:pPr>
        <w:spacing w:after="0" w:line="215" w:lineRule="exact"/>
        <w:rPr>
          <w:rFonts w:ascii="Calibri" w:cs="Calibri" w:eastAsia="Calibri" w:hAnsi="Calibri"/>
          <w:sz w:val="20"/>
          <w:szCs w:val="20"/>
          <w:color w:val="auto"/>
        </w:rPr>
      </w:pPr>
    </w:p>
    <w:p>
      <w:pPr>
        <w:ind w:left="1500" w:hanging="369"/>
        <w:spacing w:after="0"/>
        <w:tabs>
          <w:tab w:leader="none" w:pos="1500" w:val="left"/>
        </w:tabs>
        <w:numPr>
          <w:ilvl w:val="1"/>
          <w:numId w:val="95"/>
        </w:numPr>
        <w:rPr>
          <w:rFonts w:ascii="Calibri" w:cs="Calibri" w:eastAsia="Calibri" w:hAnsi="Calibri"/>
          <w:sz w:val="20"/>
          <w:szCs w:val="20"/>
          <w:color w:val="auto"/>
        </w:rPr>
      </w:pPr>
      <w:r>
        <w:rPr>
          <w:rFonts w:ascii="Calibri" w:cs="Calibri" w:eastAsia="Calibri" w:hAnsi="Calibri"/>
          <w:sz w:val="20"/>
          <w:szCs w:val="20"/>
          <w:color w:val="auto"/>
        </w:rPr>
        <w:t>type of Microsof security involved;</w:t>
      </w:r>
    </w:p>
    <w:p>
      <w:pPr>
        <w:spacing w:after="0" w:line="106" w:lineRule="exact"/>
        <w:rPr>
          <w:rFonts w:ascii="Calibri" w:cs="Calibri" w:eastAsia="Calibri" w:hAnsi="Calibri"/>
          <w:sz w:val="20"/>
          <w:szCs w:val="20"/>
          <w:color w:val="auto"/>
        </w:rPr>
      </w:pPr>
    </w:p>
    <w:p>
      <w:pPr>
        <w:ind w:left="1500" w:hanging="369"/>
        <w:spacing w:after="0"/>
        <w:tabs>
          <w:tab w:leader="none" w:pos="1500" w:val="left"/>
        </w:tabs>
        <w:numPr>
          <w:ilvl w:val="1"/>
          <w:numId w:val="95"/>
        </w:numPr>
        <w:rPr>
          <w:rFonts w:ascii="Calibri" w:cs="Calibri" w:eastAsia="Calibri" w:hAnsi="Calibri"/>
          <w:sz w:val="20"/>
          <w:szCs w:val="20"/>
          <w:color w:val="auto"/>
        </w:rPr>
      </w:pPr>
      <w:r>
        <w:rPr>
          <w:rFonts w:ascii="Calibri" w:cs="Calibri" w:eastAsia="Calibri" w:hAnsi="Calibri"/>
          <w:sz w:val="20"/>
          <w:szCs w:val="20"/>
          <w:color w:val="auto"/>
        </w:rPr>
        <w:t>a brief descripton of the nature of the transacton (e.g., purchase, sale, exercise, etc.);</w:t>
      </w:r>
    </w:p>
    <w:p>
      <w:pPr>
        <w:spacing w:after="0" w:line="106" w:lineRule="exact"/>
        <w:rPr>
          <w:rFonts w:ascii="Calibri" w:cs="Calibri" w:eastAsia="Calibri" w:hAnsi="Calibri"/>
          <w:sz w:val="20"/>
          <w:szCs w:val="20"/>
          <w:color w:val="auto"/>
        </w:rPr>
      </w:pPr>
    </w:p>
    <w:p>
      <w:pPr>
        <w:ind w:left="1500" w:hanging="369"/>
        <w:spacing w:after="0"/>
        <w:tabs>
          <w:tab w:leader="none" w:pos="1500" w:val="left"/>
        </w:tabs>
        <w:numPr>
          <w:ilvl w:val="1"/>
          <w:numId w:val="95"/>
        </w:numPr>
        <w:rPr>
          <w:rFonts w:ascii="Calibri" w:cs="Calibri" w:eastAsia="Calibri" w:hAnsi="Calibri"/>
          <w:sz w:val="20"/>
          <w:szCs w:val="20"/>
          <w:color w:val="auto"/>
        </w:rPr>
      </w:pPr>
      <w:r>
        <w:rPr>
          <w:rFonts w:ascii="Calibri" w:cs="Calibri" w:eastAsia="Calibri" w:hAnsi="Calibri"/>
          <w:sz w:val="20"/>
          <w:szCs w:val="20"/>
          <w:color w:val="auto"/>
        </w:rPr>
        <w:t>number of shares involved;</w:t>
      </w:r>
    </w:p>
    <w:p>
      <w:pPr>
        <w:spacing w:after="0" w:line="106" w:lineRule="exact"/>
        <w:rPr>
          <w:rFonts w:ascii="Calibri" w:cs="Calibri" w:eastAsia="Calibri" w:hAnsi="Calibri"/>
          <w:sz w:val="20"/>
          <w:szCs w:val="20"/>
          <w:color w:val="auto"/>
        </w:rPr>
      </w:pPr>
    </w:p>
    <w:p>
      <w:pPr>
        <w:ind w:left="1500" w:hanging="369"/>
        <w:spacing w:after="0"/>
        <w:tabs>
          <w:tab w:leader="none" w:pos="1500" w:val="left"/>
        </w:tabs>
        <w:numPr>
          <w:ilvl w:val="1"/>
          <w:numId w:val="95"/>
        </w:numPr>
        <w:rPr>
          <w:rFonts w:ascii="Calibri" w:cs="Calibri" w:eastAsia="Calibri" w:hAnsi="Calibri"/>
          <w:sz w:val="20"/>
          <w:szCs w:val="20"/>
          <w:color w:val="auto"/>
        </w:rPr>
      </w:pPr>
      <w:r>
        <w:rPr>
          <w:rFonts w:ascii="Calibri" w:cs="Calibri" w:eastAsia="Calibri" w:hAnsi="Calibri"/>
          <w:sz w:val="20"/>
          <w:szCs w:val="20"/>
          <w:color w:val="auto"/>
        </w:rPr>
        <w:t>price per share;</w:t>
      </w:r>
    </w:p>
    <w:p>
      <w:pPr>
        <w:spacing w:after="0" w:line="106" w:lineRule="exact"/>
        <w:rPr>
          <w:rFonts w:ascii="Calibri" w:cs="Calibri" w:eastAsia="Calibri" w:hAnsi="Calibri"/>
          <w:sz w:val="20"/>
          <w:szCs w:val="20"/>
          <w:color w:val="auto"/>
        </w:rPr>
      </w:pPr>
    </w:p>
    <w:p>
      <w:pPr>
        <w:ind w:left="1400" w:hanging="269"/>
        <w:spacing w:after="0"/>
        <w:tabs>
          <w:tab w:leader="none" w:pos="1400" w:val="left"/>
        </w:tabs>
        <w:numPr>
          <w:ilvl w:val="1"/>
          <w:numId w:val="95"/>
        </w:numPr>
        <w:rPr>
          <w:rFonts w:ascii="Calibri" w:cs="Calibri" w:eastAsia="Calibri" w:hAnsi="Calibri"/>
          <w:sz w:val="20"/>
          <w:szCs w:val="20"/>
          <w:color w:val="auto"/>
        </w:rPr>
      </w:pPr>
      <w:r>
        <w:rPr>
          <w:rFonts w:ascii="Calibri" w:cs="Calibri" w:eastAsia="Calibri" w:hAnsi="Calibri"/>
          <w:sz w:val="20"/>
          <w:szCs w:val="20"/>
          <w:color w:val="auto"/>
        </w:rPr>
        <w:t>the total aggregate price/value; and</w:t>
      </w:r>
    </w:p>
    <w:p>
      <w:pPr>
        <w:spacing w:after="0" w:line="106" w:lineRule="exact"/>
        <w:rPr>
          <w:rFonts w:ascii="Calibri" w:cs="Calibri" w:eastAsia="Calibri" w:hAnsi="Calibri"/>
          <w:sz w:val="20"/>
          <w:szCs w:val="20"/>
          <w:color w:val="auto"/>
        </w:rPr>
      </w:pPr>
    </w:p>
    <w:p>
      <w:pPr>
        <w:ind w:left="1500" w:hanging="369"/>
        <w:spacing w:after="0"/>
        <w:tabs>
          <w:tab w:leader="none" w:pos="1500" w:val="left"/>
        </w:tabs>
        <w:numPr>
          <w:ilvl w:val="1"/>
          <w:numId w:val="95"/>
        </w:numPr>
        <w:rPr>
          <w:rFonts w:ascii="Calibri" w:cs="Calibri" w:eastAsia="Calibri" w:hAnsi="Calibri"/>
          <w:sz w:val="20"/>
          <w:szCs w:val="20"/>
          <w:color w:val="auto"/>
        </w:rPr>
      </w:pPr>
      <w:r>
        <w:rPr>
          <w:rFonts w:ascii="Calibri" w:cs="Calibri" w:eastAsia="Calibri" w:hAnsi="Calibri"/>
          <w:sz w:val="20"/>
          <w:szCs w:val="20"/>
          <w:color w:val="auto"/>
        </w:rPr>
        <w:t>the transacton date.</w:t>
      </w:r>
    </w:p>
    <w:p>
      <w:pPr>
        <w:spacing w:after="0" w:line="225" w:lineRule="exact"/>
        <w:rPr>
          <w:sz w:val="20"/>
          <w:szCs w:val="20"/>
          <w:color w:val="auto"/>
        </w:rPr>
      </w:pPr>
    </w:p>
    <w:p>
      <w:pPr>
        <w:ind w:right="40"/>
        <w:spacing w:after="0" w:line="236" w:lineRule="auto"/>
        <w:rPr>
          <w:sz w:val="20"/>
          <w:szCs w:val="20"/>
          <w:color w:val="auto"/>
        </w:rPr>
      </w:pPr>
      <w:r>
        <w:rPr>
          <w:rFonts w:ascii="Calibri" w:cs="Calibri" w:eastAsia="Calibri" w:hAnsi="Calibri"/>
          <w:sz w:val="20"/>
          <w:szCs w:val="20"/>
          <w:color w:val="auto"/>
        </w:rPr>
        <w:t>Please note that this informaton must be provided on the date the transacton is executed (commonly referred to as the “trade date”), as opposed to on the date the transacton is setled. In nearly all cases, the trade date is the date that gives rise to the Secton 16 reportng obligaton.</w:t>
      </w:r>
    </w:p>
    <w:p>
      <w:pPr>
        <w:spacing w:after="0" w:line="161" w:lineRule="exact"/>
        <w:rPr>
          <w:sz w:val="20"/>
          <w:szCs w:val="20"/>
          <w:color w:val="auto"/>
        </w:rPr>
      </w:pPr>
    </w:p>
    <w:p>
      <w:pPr>
        <w:jc w:val="center"/>
        <w:ind w:right="-119"/>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52" w:name="page153"/>
    <w:bookmarkEnd w:id="152"/>
    <w:p>
      <w:pPr>
        <w:spacing w:after="0" w:line="178" w:lineRule="exact"/>
        <w:rPr>
          <w:sz w:val="20"/>
          <w:szCs w:val="20"/>
          <w:color w:val="auto"/>
        </w:rPr>
      </w:pPr>
    </w:p>
    <w:p>
      <w:pPr>
        <w:ind w:left="252" w:hanging="252"/>
        <w:spacing w:after="0"/>
        <w:tabs>
          <w:tab w:leader="none" w:pos="252" w:val="left"/>
        </w:tabs>
        <w:numPr>
          <w:ilvl w:val="0"/>
          <w:numId w:val="96"/>
        </w:numPr>
        <w:rPr>
          <w:rFonts w:ascii="Calibri" w:cs="Calibri" w:eastAsia="Calibri" w:hAnsi="Calibri"/>
          <w:sz w:val="20"/>
          <w:szCs w:val="20"/>
          <w:b w:val="1"/>
          <w:bCs w:val="1"/>
          <w:color w:val="auto"/>
        </w:rPr>
      </w:pPr>
      <w:r>
        <w:rPr>
          <w:rFonts w:ascii="Calibri" w:cs="Calibri" w:eastAsia="Calibri" w:hAnsi="Calibri"/>
          <w:sz w:val="20"/>
          <w:szCs w:val="20"/>
          <w:b w:val="1"/>
          <w:bCs w:val="1"/>
          <w:u w:val="single" w:color="auto"/>
          <w:color w:val="auto"/>
        </w:rPr>
        <w:t>Applicaton of the Trading Restrictons and Preclearance Policies to Partcular Situatons</w:t>
      </w:r>
    </w:p>
    <w:p>
      <w:pPr>
        <w:spacing w:after="0" w:line="214" w:lineRule="exact"/>
        <w:rPr>
          <w:rFonts w:ascii="Calibri" w:cs="Calibri" w:eastAsia="Calibri" w:hAnsi="Calibri"/>
          <w:sz w:val="20"/>
          <w:szCs w:val="20"/>
          <w:b w:val="1"/>
          <w:bCs w:val="1"/>
          <w:color w:val="auto"/>
        </w:rPr>
      </w:pPr>
    </w:p>
    <w:p>
      <w:pPr>
        <w:ind w:left="1112" w:hanging="363"/>
        <w:spacing w:after="0"/>
        <w:tabs>
          <w:tab w:leader="none" w:pos="1112" w:val="left"/>
        </w:tabs>
        <w:numPr>
          <w:ilvl w:val="1"/>
          <w:numId w:val="96"/>
        </w:numPr>
        <w:rPr>
          <w:rFonts w:ascii="Calibri" w:cs="Calibri" w:eastAsia="Calibri" w:hAnsi="Calibri"/>
          <w:sz w:val="20"/>
          <w:szCs w:val="20"/>
          <w:color w:val="auto"/>
        </w:rPr>
      </w:pPr>
      <w:r>
        <w:rPr>
          <w:rFonts w:ascii="Calibri" w:cs="Calibri" w:eastAsia="Calibri" w:hAnsi="Calibri"/>
          <w:sz w:val="20"/>
          <w:szCs w:val="20"/>
          <w:u w:val="single" w:color="auto"/>
          <w:color w:val="auto"/>
        </w:rPr>
        <w:t>Stock Awards</w:t>
      </w:r>
      <w:r>
        <w:rPr>
          <w:rFonts w:ascii="Calibri" w:cs="Calibri" w:eastAsia="Calibri" w:hAnsi="Calibri"/>
          <w:sz w:val="20"/>
          <w:szCs w:val="20"/>
          <w:color w:val="auto"/>
        </w:rPr>
        <w:t>.</w:t>
      </w:r>
    </w:p>
    <w:p>
      <w:pPr>
        <w:spacing w:after="0" w:line="224" w:lineRule="exact"/>
        <w:rPr>
          <w:rFonts w:ascii="Calibri" w:cs="Calibri" w:eastAsia="Calibri" w:hAnsi="Calibri"/>
          <w:sz w:val="20"/>
          <w:szCs w:val="20"/>
          <w:color w:val="auto"/>
        </w:rPr>
      </w:pPr>
    </w:p>
    <w:p>
      <w:pPr>
        <w:ind w:left="1132" w:right="160" w:hanging="9"/>
        <w:spacing w:after="0" w:line="234" w:lineRule="auto"/>
        <w:tabs>
          <w:tab w:leader="none" w:pos="1498" w:val="left"/>
        </w:tabs>
        <w:numPr>
          <w:ilvl w:val="2"/>
          <w:numId w:val="96"/>
        </w:numPr>
        <w:rPr>
          <w:rFonts w:ascii="Calibri" w:cs="Calibri" w:eastAsia="Calibri" w:hAnsi="Calibri"/>
          <w:sz w:val="20"/>
          <w:szCs w:val="20"/>
          <w:color w:val="auto"/>
        </w:rPr>
      </w:pPr>
      <w:r>
        <w:rPr>
          <w:rFonts w:ascii="Calibri" w:cs="Calibri" w:eastAsia="Calibri" w:hAnsi="Calibri"/>
          <w:sz w:val="20"/>
          <w:szCs w:val="20"/>
          <w:u w:val="single" w:color="auto"/>
          <w:color w:val="auto"/>
        </w:rPr>
        <w:t>Trading Restrictons</w:t>
      </w:r>
      <w:r>
        <w:rPr>
          <w:rFonts w:ascii="Calibri" w:cs="Calibri" w:eastAsia="Calibri" w:hAnsi="Calibri"/>
          <w:sz w:val="20"/>
          <w:szCs w:val="20"/>
          <w:color w:val="auto"/>
        </w:rPr>
        <w:t>. Transactons involving Microsof stock received by an Insider pursuant to a Stock Award may be made only in accordance with, and at tmes permited by, the trading restrictons contained in Sectons 1 and 2 above.</w:t>
      </w:r>
    </w:p>
    <w:p>
      <w:pPr>
        <w:spacing w:after="0" w:line="225" w:lineRule="exact"/>
        <w:rPr>
          <w:rFonts w:ascii="Calibri" w:cs="Calibri" w:eastAsia="Calibri" w:hAnsi="Calibri"/>
          <w:sz w:val="20"/>
          <w:szCs w:val="20"/>
          <w:color w:val="auto"/>
        </w:rPr>
      </w:pPr>
    </w:p>
    <w:p>
      <w:pPr>
        <w:ind w:left="1132" w:right="100" w:hanging="9"/>
        <w:spacing w:after="0" w:line="236" w:lineRule="auto"/>
        <w:tabs>
          <w:tab w:leader="none" w:pos="1498" w:val="left"/>
        </w:tabs>
        <w:numPr>
          <w:ilvl w:val="2"/>
          <w:numId w:val="96"/>
        </w:numPr>
        <w:rPr>
          <w:rFonts w:ascii="Calibri" w:cs="Calibri" w:eastAsia="Calibri" w:hAnsi="Calibri"/>
          <w:sz w:val="20"/>
          <w:szCs w:val="20"/>
          <w:color w:val="auto"/>
        </w:rPr>
      </w:pPr>
      <w:r>
        <w:rPr>
          <w:rFonts w:ascii="Calibri" w:cs="Calibri" w:eastAsia="Calibri" w:hAnsi="Calibri"/>
          <w:sz w:val="20"/>
          <w:szCs w:val="20"/>
          <w:u w:val="single" w:color="auto"/>
          <w:color w:val="auto"/>
        </w:rPr>
        <w:t>Preclearance and Confrmaton</w:t>
      </w:r>
      <w:r>
        <w:rPr>
          <w:rFonts w:ascii="Calibri" w:cs="Calibri" w:eastAsia="Calibri" w:hAnsi="Calibri"/>
          <w:sz w:val="20"/>
          <w:szCs w:val="20"/>
          <w:color w:val="auto"/>
        </w:rPr>
        <w:t>. Insiders do not need to request preclearance or provide confrmaton of receipt of a Stock Award. Insiders must request preclearance and provide confrmaton of a transacton as outlined in Secton 3 above for any sales of Microsof stock received under a Stock Award.</w:t>
      </w:r>
    </w:p>
    <w:p>
      <w:pPr>
        <w:spacing w:after="0" w:line="215" w:lineRule="exact"/>
        <w:rPr>
          <w:rFonts w:ascii="Calibri" w:cs="Calibri" w:eastAsia="Calibri" w:hAnsi="Calibri"/>
          <w:sz w:val="20"/>
          <w:szCs w:val="20"/>
          <w:color w:val="auto"/>
        </w:rPr>
      </w:pPr>
    </w:p>
    <w:p>
      <w:pPr>
        <w:ind w:left="1112" w:hanging="363"/>
        <w:spacing w:after="0"/>
        <w:tabs>
          <w:tab w:leader="none" w:pos="1112" w:val="left"/>
        </w:tabs>
        <w:numPr>
          <w:ilvl w:val="1"/>
          <w:numId w:val="96"/>
        </w:numPr>
        <w:rPr>
          <w:rFonts w:ascii="Calibri" w:cs="Calibri" w:eastAsia="Calibri" w:hAnsi="Calibri"/>
          <w:sz w:val="20"/>
          <w:szCs w:val="20"/>
          <w:color w:val="auto"/>
        </w:rPr>
      </w:pPr>
      <w:r>
        <w:rPr>
          <w:rFonts w:ascii="Calibri" w:cs="Calibri" w:eastAsia="Calibri" w:hAnsi="Calibri"/>
          <w:sz w:val="20"/>
          <w:szCs w:val="20"/>
          <w:u w:val="single" w:color="auto"/>
          <w:color w:val="auto"/>
        </w:rPr>
        <w:t>Gifs</w:t>
      </w:r>
      <w:r>
        <w:rPr>
          <w:rFonts w:ascii="Calibri" w:cs="Calibri" w:eastAsia="Calibri" w:hAnsi="Calibri"/>
          <w:sz w:val="20"/>
          <w:szCs w:val="20"/>
          <w:color w:val="auto"/>
        </w:rPr>
        <w:t>.</w:t>
      </w:r>
    </w:p>
    <w:p>
      <w:pPr>
        <w:spacing w:after="0" w:line="224" w:lineRule="exact"/>
        <w:rPr>
          <w:rFonts w:ascii="Calibri" w:cs="Calibri" w:eastAsia="Calibri" w:hAnsi="Calibri"/>
          <w:sz w:val="20"/>
          <w:szCs w:val="20"/>
          <w:color w:val="auto"/>
        </w:rPr>
      </w:pPr>
    </w:p>
    <w:p>
      <w:pPr>
        <w:ind w:left="1132" w:right="340" w:hanging="9"/>
        <w:spacing w:after="0" w:line="234" w:lineRule="auto"/>
        <w:tabs>
          <w:tab w:leader="none" w:pos="1498" w:val="left"/>
        </w:tabs>
        <w:numPr>
          <w:ilvl w:val="2"/>
          <w:numId w:val="96"/>
        </w:numPr>
        <w:rPr>
          <w:rFonts w:ascii="Calibri" w:cs="Calibri" w:eastAsia="Calibri" w:hAnsi="Calibri"/>
          <w:sz w:val="20"/>
          <w:szCs w:val="20"/>
          <w:color w:val="auto"/>
        </w:rPr>
      </w:pPr>
      <w:r>
        <w:rPr>
          <w:rFonts w:ascii="Calibri" w:cs="Calibri" w:eastAsia="Calibri" w:hAnsi="Calibri"/>
          <w:sz w:val="20"/>
          <w:szCs w:val="20"/>
          <w:u w:val="single" w:color="auto"/>
          <w:color w:val="auto"/>
        </w:rPr>
        <w:t>Trading Restrictons</w:t>
      </w:r>
      <w:r>
        <w:rPr>
          <w:rFonts w:ascii="Calibri" w:cs="Calibri" w:eastAsia="Calibri" w:hAnsi="Calibri"/>
          <w:sz w:val="20"/>
          <w:szCs w:val="20"/>
          <w:color w:val="auto"/>
        </w:rPr>
        <w:t>. Gifs of Microsof stock may be made only in accordance with, and at tmes permited by, the trading restrictons contained in Sectons 1 and 2 above.</w:t>
      </w:r>
    </w:p>
    <w:p>
      <w:pPr>
        <w:spacing w:after="0" w:line="225" w:lineRule="exact"/>
        <w:rPr>
          <w:rFonts w:ascii="Calibri" w:cs="Calibri" w:eastAsia="Calibri" w:hAnsi="Calibri"/>
          <w:sz w:val="20"/>
          <w:szCs w:val="20"/>
          <w:color w:val="auto"/>
        </w:rPr>
      </w:pPr>
    </w:p>
    <w:p>
      <w:pPr>
        <w:ind w:left="1132" w:right="880" w:hanging="9"/>
        <w:spacing w:after="0" w:line="234" w:lineRule="auto"/>
        <w:tabs>
          <w:tab w:leader="none" w:pos="1498" w:val="left"/>
        </w:tabs>
        <w:numPr>
          <w:ilvl w:val="2"/>
          <w:numId w:val="96"/>
        </w:numPr>
        <w:rPr>
          <w:rFonts w:ascii="Calibri" w:cs="Calibri" w:eastAsia="Calibri" w:hAnsi="Calibri"/>
          <w:sz w:val="20"/>
          <w:szCs w:val="20"/>
          <w:color w:val="auto"/>
        </w:rPr>
      </w:pPr>
      <w:r>
        <w:rPr>
          <w:rFonts w:ascii="Calibri" w:cs="Calibri" w:eastAsia="Calibri" w:hAnsi="Calibri"/>
          <w:sz w:val="20"/>
          <w:szCs w:val="20"/>
          <w:u w:val="single" w:color="auto"/>
          <w:color w:val="auto"/>
        </w:rPr>
        <w:t>Preclearance and Confrmaton</w:t>
      </w:r>
      <w:r>
        <w:rPr>
          <w:rFonts w:ascii="Calibri" w:cs="Calibri" w:eastAsia="Calibri" w:hAnsi="Calibri"/>
          <w:sz w:val="20"/>
          <w:szCs w:val="20"/>
          <w:color w:val="auto"/>
        </w:rPr>
        <w:t>. Any gif is subject to the preclearance requirement and confrmaton of the transacton as outlined in Secton 3 above.</w:t>
      </w:r>
    </w:p>
    <w:p>
      <w:pPr>
        <w:spacing w:after="0" w:line="216" w:lineRule="exact"/>
        <w:rPr>
          <w:rFonts w:ascii="Calibri" w:cs="Calibri" w:eastAsia="Calibri" w:hAnsi="Calibri"/>
          <w:sz w:val="20"/>
          <w:szCs w:val="20"/>
          <w:color w:val="auto"/>
        </w:rPr>
      </w:pPr>
    </w:p>
    <w:p>
      <w:pPr>
        <w:ind w:left="1112" w:hanging="363"/>
        <w:spacing w:after="0"/>
        <w:tabs>
          <w:tab w:leader="none" w:pos="1112" w:val="left"/>
        </w:tabs>
        <w:numPr>
          <w:ilvl w:val="1"/>
          <w:numId w:val="96"/>
        </w:numPr>
        <w:rPr>
          <w:rFonts w:ascii="Calibri" w:cs="Calibri" w:eastAsia="Calibri" w:hAnsi="Calibri"/>
          <w:sz w:val="20"/>
          <w:szCs w:val="20"/>
          <w:color w:val="auto"/>
        </w:rPr>
      </w:pPr>
      <w:r>
        <w:rPr>
          <w:rFonts w:ascii="Calibri" w:cs="Calibri" w:eastAsia="Calibri" w:hAnsi="Calibri"/>
          <w:sz w:val="20"/>
          <w:szCs w:val="20"/>
          <w:u w:val="single" w:color="auto"/>
          <w:color w:val="auto"/>
        </w:rPr>
        <w:t>Employee Stock Purchase Plan</w:t>
      </w:r>
      <w:r>
        <w:rPr>
          <w:rFonts w:ascii="Calibri" w:cs="Calibri" w:eastAsia="Calibri" w:hAnsi="Calibri"/>
          <w:sz w:val="20"/>
          <w:szCs w:val="20"/>
          <w:color w:val="auto"/>
        </w:rPr>
        <w:t>.</w:t>
      </w:r>
    </w:p>
    <w:p>
      <w:pPr>
        <w:spacing w:after="0" w:line="224" w:lineRule="exact"/>
        <w:rPr>
          <w:rFonts w:ascii="Calibri" w:cs="Calibri" w:eastAsia="Calibri" w:hAnsi="Calibri"/>
          <w:sz w:val="20"/>
          <w:szCs w:val="20"/>
          <w:color w:val="auto"/>
        </w:rPr>
      </w:pPr>
    </w:p>
    <w:p>
      <w:pPr>
        <w:ind w:left="1132" w:hanging="9"/>
        <w:spacing w:after="0" w:line="236" w:lineRule="auto"/>
        <w:tabs>
          <w:tab w:leader="none" w:pos="1498" w:val="left"/>
        </w:tabs>
        <w:numPr>
          <w:ilvl w:val="2"/>
          <w:numId w:val="96"/>
        </w:numPr>
        <w:rPr>
          <w:rFonts w:ascii="Calibri" w:cs="Calibri" w:eastAsia="Calibri" w:hAnsi="Calibri"/>
          <w:sz w:val="20"/>
          <w:szCs w:val="20"/>
          <w:color w:val="auto"/>
        </w:rPr>
      </w:pPr>
      <w:r>
        <w:rPr>
          <w:rFonts w:ascii="Calibri" w:cs="Calibri" w:eastAsia="Calibri" w:hAnsi="Calibri"/>
          <w:sz w:val="20"/>
          <w:szCs w:val="20"/>
          <w:u w:val="single" w:color="auto"/>
          <w:color w:val="auto"/>
        </w:rPr>
        <w:t>Trading Restrictons</w:t>
      </w:r>
      <w:r>
        <w:rPr>
          <w:rFonts w:ascii="Calibri" w:cs="Calibri" w:eastAsia="Calibri" w:hAnsi="Calibri"/>
          <w:sz w:val="20"/>
          <w:szCs w:val="20"/>
          <w:color w:val="auto"/>
        </w:rPr>
        <w:t>. There is no restricton on purchases of Microsof stock under Microsof’s Employee Stock Purchase Plan (“</w:t>
      </w:r>
      <w:r>
        <w:rPr>
          <w:rFonts w:ascii="Calibri" w:cs="Calibri" w:eastAsia="Calibri" w:hAnsi="Calibri"/>
          <w:sz w:val="20"/>
          <w:szCs w:val="20"/>
          <w:b w:val="1"/>
          <w:bCs w:val="1"/>
          <w:color w:val="auto"/>
        </w:rPr>
        <w:t>ESPP</w:t>
      </w:r>
      <w:r>
        <w:rPr>
          <w:rFonts w:ascii="Calibri" w:cs="Calibri" w:eastAsia="Calibri" w:hAnsi="Calibri"/>
          <w:sz w:val="20"/>
          <w:szCs w:val="20"/>
          <w:color w:val="auto"/>
        </w:rPr>
        <w:t>”). However, an Insider’s sale of Microsof stock purchased pursuant to the ESPP may be made only in accordance with, and at tmes permited by, the trading restrictons contained in Sectons 1 and 2 above.</w:t>
      </w:r>
    </w:p>
    <w:p>
      <w:pPr>
        <w:spacing w:after="0" w:line="224" w:lineRule="exact"/>
        <w:rPr>
          <w:rFonts w:ascii="Calibri" w:cs="Calibri" w:eastAsia="Calibri" w:hAnsi="Calibri"/>
          <w:sz w:val="20"/>
          <w:szCs w:val="20"/>
          <w:color w:val="auto"/>
        </w:rPr>
      </w:pPr>
    </w:p>
    <w:p>
      <w:pPr>
        <w:ind w:left="1132" w:right="60" w:hanging="9"/>
        <w:spacing w:after="0" w:line="236" w:lineRule="auto"/>
        <w:tabs>
          <w:tab w:leader="none" w:pos="1498" w:val="left"/>
        </w:tabs>
        <w:numPr>
          <w:ilvl w:val="2"/>
          <w:numId w:val="96"/>
        </w:numPr>
        <w:rPr>
          <w:rFonts w:ascii="Calibri" w:cs="Calibri" w:eastAsia="Calibri" w:hAnsi="Calibri"/>
          <w:sz w:val="20"/>
          <w:szCs w:val="20"/>
          <w:color w:val="auto"/>
        </w:rPr>
      </w:pPr>
      <w:r>
        <w:rPr>
          <w:rFonts w:ascii="Calibri" w:cs="Calibri" w:eastAsia="Calibri" w:hAnsi="Calibri"/>
          <w:sz w:val="20"/>
          <w:szCs w:val="20"/>
          <w:u w:val="single" w:color="auto"/>
          <w:color w:val="auto"/>
        </w:rPr>
        <w:t>Preclearance and Confrmaton</w:t>
      </w:r>
      <w:r>
        <w:rPr>
          <w:rFonts w:ascii="Calibri" w:cs="Calibri" w:eastAsia="Calibri" w:hAnsi="Calibri"/>
          <w:sz w:val="20"/>
          <w:szCs w:val="20"/>
          <w:color w:val="auto"/>
        </w:rPr>
        <w:t>. Insiders do not need to request preclearance or provide confrmaton of purchases of Microsof stock pursuant to an electon under the ESPP. However, Insiders must request preclearance and provide confrmaton of the transacton as outlined in Secton 3 above for any sales of Microsof stock purchased pursuant to the ESPP.</w:t>
      </w:r>
    </w:p>
    <w:p>
      <w:pPr>
        <w:spacing w:after="0" w:line="218" w:lineRule="exact"/>
        <w:rPr>
          <w:rFonts w:ascii="Calibri" w:cs="Calibri" w:eastAsia="Calibri" w:hAnsi="Calibri"/>
          <w:sz w:val="20"/>
          <w:szCs w:val="20"/>
          <w:color w:val="auto"/>
        </w:rPr>
      </w:pPr>
    </w:p>
    <w:p>
      <w:pPr>
        <w:ind w:left="1112" w:hanging="363"/>
        <w:spacing w:after="0"/>
        <w:tabs>
          <w:tab w:leader="none" w:pos="1112" w:val="left"/>
        </w:tabs>
        <w:numPr>
          <w:ilvl w:val="1"/>
          <w:numId w:val="96"/>
        </w:numPr>
        <w:rPr>
          <w:rFonts w:ascii="Calibri" w:cs="Calibri" w:eastAsia="Calibri" w:hAnsi="Calibri"/>
          <w:sz w:val="20"/>
          <w:szCs w:val="20"/>
          <w:color w:val="auto"/>
        </w:rPr>
      </w:pPr>
      <w:r>
        <w:rPr>
          <w:rFonts w:ascii="Calibri" w:cs="Calibri" w:eastAsia="Calibri" w:hAnsi="Calibri"/>
          <w:sz w:val="20"/>
          <w:szCs w:val="20"/>
          <w:u w:val="single" w:color="auto"/>
          <w:color w:val="auto"/>
        </w:rPr>
        <w:t>Stock Optons</w:t>
      </w:r>
      <w:r>
        <w:rPr>
          <w:rFonts w:ascii="Calibri" w:cs="Calibri" w:eastAsia="Calibri" w:hAnsi="Calibri"/>
          <w:sz w:val="20"/>
          <w:szCs w:val="20"/>
          <w:color w:val="auto"/>
        </w:rPr>
        <w:t>.</w:t>
      </w:r>
    </w:p>
    <w:p>
      <w:pPr>
        <w:spacing w:after="0" w:line="224" w:lineRule="exact"/>
        <w:rPr>
          <w:rFonts w:ascii="Calibri" w:cs="Calibri" w:eastAsia="Calibri" w:hAnsi="Calibri"/>
          <w:sz w:val="20"/>
          <w:szCs w:val="20"/>
          <w:color w:val="auto"/>
        </w:rPr>
      </w:pPr>
    </w:p>
    <w:p>
      <w:pPr>
        <w:ind w:left="1132" w:right="40" w:hanging="9"/>
        <w:spacing w:after="0" w:line="237" w:lineRule="auto"/>
        <w:tabs>
          <w:tab w:leader="none" w:pos="1498" w:val="left"/>
        </w:tabs>
        <w:numPr>
          <w:ilvl w:val="2"/>
          <w:numId w:val="96"/>
        </w:numPr>
        <w:rPr>
          <w:rFonts w:ascii="Calibri" w:cs="Calibri" w:eastAsia="Calibri" w:hAnsi="Calibri"/>
          <w:sz w:val="20"/>
          <w:szCs w:val="20"/>
          <w:color w:val="auto"/>
        </w:rPr>
      </w:pPr>
      <w:r>
        <w:rPr>
          <w:rFonts w:ascii="Calibri" w:cs="Calibri" w:eastAsia="Calibri" w:hAnsi="Calibri"/>
          <w:sz w:val="20"/>
          <w:szCs w:val="20"/>
          <w:u w:val="single" w:color="auto"/>
          <w:color w:val="auto"/>
        </w:rPr>
        <w:t>Trading Restrictons</w:t>
      </w:r>
      <w:r>
        <w:rPr>
          <w:rFonts w:ascii="Calibri" w:cs="Calibri" w:eastAsia="Calibri" w:hAnsi="Calibri"/>
          <w:sz w:val="20"/>
          <w:szCs w:val="20"/>
          <w:color w:val="auto"/>
        </w:rPr>
        <w:t>. Stock optons may be exercised outside an Open Window Period only if the Insider pays the exercise price and withholding taxes in cash, and then holds the shares (also known as an “exercise and hold”). Any sale of stock as part of a broker-assisted cashless exercise of an opton, any other market sale for the purpose of generatng the cash needed to pay the exercise price of an opton, or any delivery of shares to pay the exercise price (if permissible under the applicable stock plan) may only be done in accordance with, and at tmes permited by, the trading restrictons described in Secton 1 and 2 above.</w:t>
      </w:r>
    </w:p>
    <w:p>
      <w:pPr>
        <w:spacing w:after="0" w:line="164" w:lineRule="exact"/>
        <w:rPr>
          <w:sz w:val="20"/>
          <w:szCs w:val="20"/>
          <w:color w:val="auto"/>
        </w:rPr>
      </w:pPr>
    </w:p>
    <w:p>
      <w:pPr>
        <w:jc w:val="center"/>
        <w:ind w:right="-11"/>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642620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153" w:name="page154"/>
    <w:bookmarkEnd w:id="153"/>
    <w:p>
      <w:pPr>
        <w:spacing w:after="0" w:line="188" w:lineRule="exact"/>
        <w:rPr>
          <w:sz w:val="20"/>
          <w:szCs w:val="20"/>
          <w:color w:val="auto"/>
        </w:rPr>
      </w:pPr>
    </w:p>
    <w:p>
      <w:pPr>
        <w:ind w:left="1140" w:right="80" w:hanging="9"/>
        <w:spacing w:after="0" w:line="234" w:lineRule="auto"/>
        <w:tabs>
          <w:tab w:leader="none" w:pos="1506" w:val="left"/>
        </w:tabs>
        <w:numPr>
          <w:ilvl w:val="2"/>
          <w:numId w:val="97"/>
        </w:numPr>
        <w:rPr>
          <w:rFonts w:ascii="Calibri" w:cs="Calibri" w:eastAsia="Calibri" w:hAnsi="Calibri"/>
          <w:sz w:val="20"/>
          <w:szCs w:val="20"/>
          <w:color w:val="auto"/>
        </w:rPr>
      </w:pPr>
      <w:r>
        <w:rPr>
          <w:rFonts w:ascii="Calibri" w:cs="Calibri" w:eastAsia="Calibri" w:hAnsi="Calibri"/>
          <w:sz w:val="20"/>
          <w:szCs w:val="20"/>
          <w:u w:val="single" w:color="auto"/>
          <w:color w:val="auto"/>
        </w:rPr>
        <w:t>Preclearance and Confrmaton</w:t>
      </w:r>
      <w:r>
        <w:rPr>
          <w:rFonts w:ascii="Calibri" w:cs="Calibri" w:eastAsia="Calibri" w:hAnsi="Calibri"/>
          <w:sz w:val="20"/>
          <w:szCs w:val="20"/>
          <w:color w:val="auto"/>
        </w:rPr>
        <w:t>. Any exercise of an employee stock opton is subject to the preclearance requirement and confrmaton of transacton process as outlined in Secton 3 above.</w:t>
      </w:r>
    </w:p>
    <w:p>
      <w:pPr>
        <w:spacing w:after="0" w:line="216" w:lineRule="exact"/>
        <w:rPr>
          <w:rFonts w:ascii="Calibri" w:cs="Calibri" w:eastAsia="Calibri" w:hAnsi="Calibri"/>
          <w:sz w:val="20"/>
          <w:szCs w:val="20"/>
          <w:color w:val="auto"/>
        </w:rPr>
      </w:pPr>
    </w:p>
    <w:p>
      <w:pPr>
        <w:ind w:left="1120" w:hanging="363"/>
        <w:spacing w:after="0"/>
        <w:tabs>
          <w:tab w:leader="none" w:pos="1120" w:val="left"/>
        </w:tabs>
        <w:numPr>
          <w:ilvl w:val="1"/>
          <w:numId w:val="98"/>
        </w:numPr>
        <w:rPr>
          <w:rFonts w:ascii="Calibri" w:cs="Calibri" w:eastAsia="Calibri" w:hAnsi="Calibri"/>
          <w:sz w:val="20"/>
          <w:szCs w:val="20"/>
          <w:color w:val="auto"/>
        </w:rPr>
      </w:pPr>
      <w:r>
        <w:rPr>
          <w:rFonts w:ascii="Calibri" w:cs="Calibri" w:eastAsia="Calibri" w:hAnsi="Calibri"/>
          <w:sz w:val="20"/>
          <w:szCs w:val="20"/>
          <w:u w:val="single" w:color="auto"/>
          <w:color w:val="auto"/>
        </w:rPr>
        <w:t>Transactons in Microsof Stock Pursuant to Rule 10b5-1 Plans</w:t>
      </w:r>
      <w:r>
        <w:rPr>
          <w:rFonts w:ascii="Calibri" w:cs="Calibri" w:eastAsia="Calibri" w:hAnsi="Calibri"/>
          <w:sz w:val="20"/>
          <w:szCs w:val="20"/>
          <w:color w:val="auto"/>
        </w:rPr>
        <w:t>.</w:t>
      </w:r>
    </w:p>
    <w:p>
      <w:pPr>
        <w:spacing w:after="0" w:line="224" w:lineRule="exact"/>
        <w:rPr>
          <w:rFonts w:ascii="Calibri" w:cs="Calibri" w:eastAsia="Calibri" w:hAnsi="Calibri"/>
          <w:sz w:val="20"/>
          <w:szCs w:val="20"/>
          <w:color w:val="auto"/>
        </w:rPr>
      </w:pPr>
    </w:p>
    <w:p>
      <w:pPr>
        <w:ind w:left="1140" w:hanging="9"/>
        <w:spacing w:after="0" w:line="238" w:lineRule="auto"/>
        <w:tabs>
          <w:tab w:leader="none" w:pos="1506" w:val="left"/>
        </w:tabs>
        <w:numPr>
          <w:ilvl w:val="2"/>
          <w:numId w:val="98"/>
        </w:numPr>
        <w:rPr>
          <w:rFonts w:ascii="Calibri" w:cs="Calibri" w:eastAsia="Calibri" w:hAnsi="Calibri"/>
          <w:sz w:val="20"/>
          <w:szCs w:val="20"/>
          <w:color w:val="auto"/>
        </w:rPr>
      </w:pPr>
      <w:r>
        <w:rPr>
          <w:rFonts w:ascii="Calibri" w:cs="Calibri" w:eastAsia="Calibri" w:hAnsi="Calibri"/>
          <w:sz w:val="20"/>
          <w:szCs w:val="20"/>
          <w:u w:val="single" w:color="auto"/>
          <w:color w:val="auto"/>
        </w:rPr>
        <w:t>Trading Restrictons</w:t>
      </w:r>
      <w:r>
        <w:rPr>
          <w:rFonts w:ascii="Calibri" w:cs="Calibri" w:eastAsia="Calibri" w:hAnsi="Calibri"/>
          <w:sz w:val="20"/>
          <w:szCs w:val="20"/>
          <w:color w:val="auto"/>
        </w:rPr>
        <w:t>. SEC Rule 10b5-1 allows trading under certain circumstances by Insiders during periods when the Insider would otherwise be prohibited from trading (for example, during periods when the trading window is closed or the insider possesses material, nonpublic informaton). In order to qualify for the afrmatve defense ofered by this Rule, the plan must be contained in an agreement that meets certain requirements, and the Insider must not exercise any discreton regarding the transactons under the plan during a period when trading would otherwise be prohibited (typically referred to as a “</w:t>
      </w:r>
      <w:r>
        <w:rPr>
          <w:rFonts w:ascii="Calibri" w:cs="Calibri" w:eastAsia="Calibri" w:hAnsi="Calibri"/>
          <w:sz w:val="20"/>
          <w:szCs w:val="20"/>
          <w:b w:val="1"/>
          <w:bCs w:val="1"/>
          <w:color w:val="auto"/>
        </w:rPr>
        <w:t>10b5-1 Plan</w:t>
      </w:r>
      <w:r>
        <w:rPr>
          <w:rFonts w:ascii="Calibri" w:cs="Calibri" w:eastAsia="Calibri" w:hAnsi="Calibri"/>
          <w:sz w:val="20"/>
          <w:szCs w:val="20"/>
          <w:color w:val="auto"/>
        </w:rPr>
        <w:t>”). An Insider may make sales of Microsof stock outside of the Open Window Period or during a blackout period only if such sales are made pursuant to a 10b5-1 Plan that consists of an agreement with the selling broker that has been prepared by a broker-dealer or a lawyer representng the Insider, reviewed and approved by the CELA Corporate Legal Group, and entered into by the Insider at a tme that sales could be made in accordance with the restrictons set forth in Sectons 1 and 2 above. For additonal informaton regarding 10b5-1 Plans and the policies associated with them, please send email to (**)@microsof.com.</w:t>
      </w:r>
    </w:p>
    <w:p>
      <w:pPr>
        <w:spacing w:after="0" w:line="225" w:lineRule="exact"/>
        <w:rPr>
          <w:rFonts w:ascii="Calibri" w:cs="Calibri" w:eastAsia="Calibri" w:hAnsi="Calibri"/>
          <w:sz w:val="20"/>
          <w:szCs w:val="20"/>
          <w:color w:val="auto"/>
        </w:rPr>
      </w:pPr>
    </w:p>
    <w:p>
      <w:pPr>
        <w:jc w:val="both"/>
        <w:ind w:left="1140" w:right="260" w:hanging="9"/>
        <w:spacing w:after="0" w:line="236" w:lineRule="auto"/>
        <w:tabs>
          <w:tab w:leader="none" w:pos="1506" w:val="left"/>
        </w:tabs>
        <w:numPr>
          <w:ilvl w:val="2"/>
          <w:numId w:val="98"/>
        </w:numPr>
        <w:rPr>
          <w:rFonts w:ascii="Calibri" w:cs="Calibri" w:eastAsia="Calibri" w:hAnsi="Calibri"/>
          <w:sz w:val="20"/>
          <w:szCs w:val="20"/>
          <w:color w:val="auto"/>
        </w:rPr>
      </w:pPr>
      <w:r>
        <w:rPr>
          <w:rFonts w:ascii="Calibri" w:cs="Calibri" w:eastAsia="Calibri" w:hAnsi="Calibri"/>
          <w:sz w:val="20"/>
          <w:szCs w:val="20"/>
          <w:u w:val="single" w:color="auto"/>
          <w:color w:val="auto"/>
        </w:rPr>
        <w:t>Preclearance and Confrmaton</w:t>
      </w:r>
      <w:r>
        <w:rPr>
          <w:rFonts w:ascii="Calibri" w:cs="Calibri" w:eastAsia="Calibri" w:hAnsi="Calibri"/>
          <w:sz w:val="20"/>
          <w:szCs w:val="20"/>
          <w:color w:val="auto"/>
        </w:rPr>
        <w:t>. Insiders engaging in transactons under an approved 10b5-1 Plan generally will not have an obligaton to request preclearance of such transactons. However, Insiders (or their brokers) must immediately confrm a transacton as provided in Secton 3 above upon executon of a transacton under a 10b5-1 Plan.</w:t>
      </w:r>
    </w:p>
    <w:p>
      <w:pPr>
        <w:spacing w:after="0" w:line="215" w:lineRule="exact"/>
        <w:rPr>
          <w:rFonts w:ascii="Calibri" w:cs="Calibri" w:eastAsia="Calibri" w:hAnsi="Calibri"/>
          <w:sz w:val="20"/>
          <w:szCs w:val="20"/>
          <w:color w:val="auto"/>
        </w:rPr>
      </w:pPr>
    </w:p>
    <w:p>
      <w:pPr>
        <w:ind w:left="380" w:hanging="372"/>
        <w:spacing w:after="0"/>
        <w:tabs>
          <w:tab w:leader="none" w:pos="380" w:val="left"/>
        </w:tabs>
        <w:numPr>
          <w:ilvl w:val="0"/>
          <w:numId w:val="99"/>
        </w:numPr>
        <w:rPr>
          <w:rFonts w:ascii="Calibri" w:cs="Calibri" w:eastAsia="Calibri" w:hAnsi="Calibri"/>
          <w:sz w:val="20"/>
          <w:szCs w:val="20"/>
          <w:b w:val="1"/>
          <w:bCs w:val="1"/>
          <w:color w:val="auto"/>
        </w:rPr>
      </w:pPr>
      <w:r>
        <w:rPr>
          <w:rFonts w:ascii="Calibri" w:cs="Calibri" w:eastAsia="Calibri" w:hAnsi="Calibri"/>
          <w:sz w:val="20"/>
          <w:szCs w:val="20"/>
          <w:b w:val="1"/>
          <w:bCs w:val="1"/>
          <w:u w:val="single" w:color="auto"/>
          <w:color w:val="auto"/>
        </w:rPr>
        <w:t>Tax Services from Microsof Independent Auditors</w:t>
      </w:r>
    </w:p>
    <w:p>
      <w:pPr>
        <w:spacing w:after="0" w:line="225" w:lineRule="exact"/>
        <w:rPr>
          <w:sz w:val="20"/>
          <w:szCs w:val="20"/>
          <w:color w:val="auto"/>
        </w:rPr>
      </w:pPr>
    </w:p>
    <w:p>
      <w:pPr>
        <w:ind w:right="240"/>
        <w:spacing w:after="0" w:line="236" w:lineRule="auto"/>
        <w:rPr>
          <w:sz w:val="20"/>
          <w:szCs w:val="20"/>
          <w:color w:val="auto"/>
        </w:rPr>
      </w:pPr>
      <w:r>
        <w:rPr>
          <w:rFonts w:ascii="Calibri" w:cs="Calibri" w:eastAsia="Calibri" w:hAnsi="Calibri"/>
          <w:sz w:val="20"/>
          <w:szCs w:val="20"/>
          <w:color w:val="auto"/>
        </w:rPr>
        <w:t>Microsof’s independent auditor (currently Deloite &amp; Touche LLP) is prohibited from providing tax services to individuals in a fnancial reportng oversight role at Microsof, or immediate family members of such persons, who do not meet the exceptons provided by PCAOB Rule 3523.</w:t>
      </w:r>
    </w:p>
    <w:p>
      <w:pPr>
        <w:spacing w:after="0" w:line="225" w:lineRule="exact"/>
        <w:rPr>
          <w:sz w:val="20"/>
          <w:szCs w:val="20"/>
          <w:color w:val="auto"/>
        </w:rPr>
      </w:pPr>
    </w:p>
    <w:p>
      <w:pPr>
        <w:ind w:right="340"/>
        <w:spacing w:after="0" w:line="234" w:lineRule="auto"/>
        <w:rPr>
          <w:sz w:val="20"/>
          <w:szCs w:val="20"/>
          <w:color w:val="auto"/>
        </w:rPr>
      </w:pPr>
      <w:r>
        <w:rPr>
          <w:rFonts w:ascii="Calibri" w:cs="Calibri" w:eastAsia="Calibri" w:hAnsi="Calibri"/>
          <w:sz w:val="20"/>
          <w:szCs w:val="20"/>
          <w:color w:val="auto"/>
        </w:rPr>
        <w:t xml:space="preserve">Employee Insiders not in a fnancial reportng oversight role and directors may use Microsof’s independent auditor for individual tax services, afer providing advance notce to and receiving approval from CELA (via the </w:t>
      </w:r>
      <w:r>
        <w:rPr>
          <w:rFonts w:ascii="Calibri" w:cs="Calibri" w:eastAsia="Calibri" w:hAnsi="Calibri"/>
          <w:sz w:val="20"/>
          <w:szCs w:val="20"/>
          <w:i w:val="1"/>
          <w:iCs w:val="1"/>
          <w:color w:val="auto"/>
        </w:rPr>
        <w:t>audsvc</w:t>
      </w:r>
      <w:r>
        <w:rPr>
          <w:rFonts w:ascii="Calibri" w:cs="Calibri" w:eastAsia="Calibri" w:hAnsi="Calibri"/>
          <w:sz w:val="20"/>
          <w:szCs w:val="20"/>
          <w:color w:val="auto"/>
        </w:rPr>
        <w:t xml:space="preserve"> alias).</w:t>
      </w:r>
    </w:p>
    <w:p>
      <w:pPr>
        <w:spacing w:after="0" w:line="226" w:lineRule="exact"/>
        <w:rPr>
          <w:sz w:val="20"/>
          <w:szCs w:val="20"/>
          <w:color w:val="auto"/>
        </w:rPr>
      </w:pPr>
    </w:p>
    <w:p>
      <w:pPr>
        <w:ind w:right="120"/>
        <w:spacing w:after="0" w:line="234" w:lineRule="auto"/>
        <w:rPr>
          <w:sz w:val="20"/>
          <w:szCs w:val="20"/>
          <w:color w:val="auto"/>
        </w:rPr>
      </w:pPr>
      <w:r>
        <w:rPr>
          <w:rFonts w:ascii="Calibri" w:cs="Calibri" w:eastAsia="Calibri" w:hAnsi="Calibri"/>
          <w:sz w:val="20"/>
          <w:szCs w:val="20"/>
          <w:color w:val="auto"/>
        </w:rPr>
        <w:t>If you are uncertain whether you a person in a fnancial reportng oversight role covered by this policy or are otherwise prohibited from using Microsof’s independent auditor for tax services, you may contact the</w:t>
      </w:r>
      <w:r>
        <w:rPr>
          <w:rFonts w:ascii="Calibri" w:cs="Calibri" w:eastAsia="Calibri" w:hAnsi="Calibri"/>
          <w:sz w:val="20"/>
          <w:szCs w:val="20"/>
          <w:i w:val="1"/>
          <w:iCs w:val="1"/>
          <w:u w:val="single" w:color="auto"/>
          <w:color w:val="auto"/>
        </w:rPr>
        <w:t>(**)@microsof.com</w:t>
      </w:r>
      <w:r>
        <w:rPr>
          <w:rFonts w:ascii="Calibri" w:cs="Calibri" w:eastAsia="Calibri" w:hAnsi="Calibri"/>
          <w:sz w:val="20"/>
          <w:szCs w:val="20"/>
          <w:color w:val="auto"/>
        </w:rPr>
        <w:t xml:space="preserve"> alias.</w:t>
      </w:r>
    </w:p>
    <w:p>
      <w:pPr>
        <w:spacing w:after="0" w:line="162"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4" w:name="page155"/>
    <w:bookmarkEnd w:id="154"/>
    <w:p>
      <w:pPr>
        <w:spacing w:after="0" w:line="178" w:lineRule="exact"/>
        <w:rPr>
          <w:sz w:val="20"/>
          <w:szCs w:val="20"/>
          <w:color w:val="auto"/>
        </w:rPr>
      </w:pPr>
    </w:p>
    <w:p>
      <w:pPr>
        <w:ind w:left="380" w:hanging="372"/>
        <w:spacing w:after="0"/>
        <w:tabs>
          <w:tab w:leader="none" w:pos="380" w:val="left"/>
        </w:tabs>
        <w:numPr>
          <w:ilvl w:val="0"/>
          <w:numId w:val="100"/>
        </w:numPr>
        <w:rPr>
          <w:rFonts w:ascii="Calibri" w:cs="Calibri" w:eastAsia="Calibri" w:hAnsi="Calibri"/>
          <w:sz w:val="20"/>
          <w:szCs w:val="20"/>
          <w:b w:val="1"/>
          <w:bCs w:val="1"/>
          <w:color w:val="auto"/>
        </w:rPr>
      </w:pPr>
      <w:r>
        <w:rPr>
          <w:rFonts w:ascii="Calibri" w:cs="Calibri" w:eastAsia="Calibri" w:hAnsi="Calibri"/>
          <w:sz w:val="20"/>
          <w:szCs w:val="20"/>
          <w:b w:val="1"/>
          <w:bCs w:val="1"/>
          <w:u w:val="single" w:color="auto"/>
          <w:color w:val="auto"/>
        </w:rPr>
        <w:t>Covered Persons</w:t>
      </w:r>
    </w:p>
    <w:p>
      <w:pPr>
        <w:spacing w:after="0" w:line="225" w:lineRule="exact"/>
        <w:rPr>
          <w:sz w:val="20"/>
          <w:szCs w:val="20"/>
          <w:color w:val="auto"/>
        </w:rPr>
      </w:pPr>
    </w:p>
    <w:p>
      <w:pPr>
        <w:ind w:right="60"/>
        <w:spacing w:after="0" w:line="236" w:lineRule="auto"/>
        <w:rPr>
          <w:sz w:val="20"/>
          <w:szCs w:val="20"/>
          <w:color w:val="auto"/>
        </w:rPr>
      </w:pPr>
      <w:r>
        <w:rPr>
          <w:rFonts w:ascii="Calibri" w:cs="Calibri" w:eastAsia="Calibri" w:hAnsi="Calibri"/>
          <w:sz w:val="20"/>
          <w:szCs w:val="20"/>
          <w:color w:val="auto"/>
        </w:rPr>
        <w:t>Insiders are subject to the Secton 16 reportng requirements with respect to all Microsof securites that they benefcially own. The determinaton of “benefcial ownership” is based on the Insider’s direct or economic interest in the securites. Although not exhaustve, we have listed below the primary types of relatonships that may give rise to benefcial ownership, thus triggering the Secton 16 reportng requirement.</w:t>
      </w:r>
    </w:p>
    <w:p>
      <w:pPr>
        <w:spacing w:after="0" w:line="228" w:lineRule="exact"/>
        <w:rPr>
          <w:sz w:val="20"/>
          <w:szCs w:val="20"/>
          <w:color w:val="auto"/>
        </w:rPr>
      </w:pPr>
    </w:p>
    <w:p>
      <w:pPr>
        <w:ind w:left="760" w:right="40" w:hanging="378"/>
        <w:spacing w:after="0" w:line="236" w:lineRule="auto"/>
        <w:tabs>
          <w:tab w:leader="none" w:pos="760" w:val="left"/>
        </w:tabs>
        <w:numPr>
          <w:ilvl w:val="0"/>
          <w:numId w:val="101"/>
        </w:numPr>
        <w:rPr>
          <w:rFonts w:ascii="Times New Roman" w:cs="Times New Roman" w:eastAsia="Times New Roman" w:hAnsi="Times New Roman"/>
          <w:sz w:val="18"/>
          <w:szCs w:val="18"/>
          <w:color w:val="auto"/>
        </w:rPr>
      </w:pPr>
      <w:r>
        <w:rPr>
          <w:rFonts w:ascii="Calibri" w:cs="Calibri" w:eastAsia="Calibri" w:hAnsi="Calibri"/>
          <w:sz w:val="20"/>
          <w:szCs w:val="20"/>
          <w:color w:val="auto"/>
        </w:rPr>
        <w:t>Microsof shares owned by immediate family members who live with the Insider or use the Insider’s address as their regular address (e.g., spouse, domestc partner, minor children, college students, parents, grandparents, grandchildren, siblings and in-laws).</w:t>
      </w:r>
    </w:p>
    <w:p>
      <w:pPr>
        <w:spacing w:after="0" w:line="8" w:lineRule="exact"/>
        <w:rPr>
          <w:rFonts w:ascii="Times New Roman" w:cs="Times New Roman" w:eastAsia="Times New Roman" w:hAnsi="Times New Roman"/>
          <w:sz w:val="18"/>
          <w:szCs w:val="18"/>
          <w:color w:val="auto"/>
        </w:rPr>
      </w:pPr>
    </w:p>
    <w:p>
      <w:pPr>
        <w:ind w:left="760" w:right="220" w:hanging="378"/>
        <w:spacing w:after="0" w:line="236" w:lineRule="auto"/>
        <w:tabs>
          <w:tab w:leader="none" w:pos="760" w:val="left"/>
        </w:tabs>
        <w:numPr>
          <w:ilvl w:val="0"/>
          <w:numId w:val="101"/>
        </w:numPr>
        <w:rPr>
          <w:rFonts w:ascii="Times New Roman" w:cs="Times New Roman" w:eastAsia="Times New Roman" w:hAnsi="Times New Roman"/>
          <w:sz w:val="18"/>
          <w:szCs w:val="18"/>
          <w:color w:val="auto"/>
        </w:rPr>
      </w:pPr>
      <w:r>
        <w:rPr>
          <w:rFonts w:ascii="Calibri" w:cs="Calibri" w:eastAsia="Calibri" w:hAnsi="Calibri"/>
          <w:sz w:val="20"/>
          <w:szCs w:val="20"/>
          <w:color w:val="auto"/>
        </w:rPr>
        <w:t>Microsof shares held in a trust, if the Insider is: (1) a trustee who has or shares investment control of the trust securites and the Insider or a member of his or her immediate family (whether or not they share the same household) has an economic interest in the trust securites; (2) a benefciary and has or shares investment control; or (3) a person who has the power to revoke the trust.</w:t>
      </w:r>
    </w:p>
    <w:p>
      <w:pPr>
        <w:spacing w:after="0" w:line="3" w:lineRule="exact"/>
        <w:rPr>
          <w:rFonts w:ascii="Times New Roman" w:cs="Times New Roman" w:eastAsia="Times New Roman" w:hAnsi="Times New Roman"/>
          <w:sz w:val="18"/>
          <w:szCs w:val="18"/>
          <w:color w:val="auto"/>
        </w:rPr>
      </w:pPr>
    </w:p>
    <w:p>
      <w:pPr>
        <w:ind w:left="760" w:hanging="378"/>
        <w:spacing w:after="0" w:line="238" w:lineRule="auto"/>
        <w:tabs>
          <w:tab w:leader="none" w:pos="760" w:val="left"/>
        </w:tabs>
        <w:numPr>
          <w:ilvl w:val="0"/>
          <w:numId w:val="101"/>
        </w:numPr>
        <w:rPr>
          <w:rFonts w:ascii="Times New Roman" w:cs="Times New Roman" w:eastAsia="Times New Roman" w:hAnsi="Times New Roman"/>
          <w:sz w:val="18"/>
          <w:szCs w:val="18"/>
          <w:color w:val="auto"/>
        </w:rPr>
      </w:pPr>
      <w:r>
        <w:rPr>
          <w:rFonts w:ascii="Calibri" w:cs="Calibri" w:eastAsia="Calibri" w:hAnsi="Calibri"/>
          <w:sz w:val="20"/>
          <w:szCs w:val="20"/>
          <w:color w:val="auto"/>
        </w:rPr>
        <w:t>Microsof shares held in the name of a partnership or other entty over which the Insider has a controlling infuence.</w:t>
      </w:r>
    </w:p>
    <w:p>
      <w:pPr>
        <w:spacing w:after="0" w:line="225"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Insiders may wish to consult with a Contact or send e-mail to (**)@microsof.com to clarify reportng responsibilites with respect to any Microsof securites over which the Insider has votng control or in which the Insider has an economic interest.</w:t>
      </w:r>
    </w:p>
    <w:p>
      <w:pPr>
        <w:spacing w:after="0" w:line="216" w:lineRule="exact"/>
        <w:rPr>
          <w:sz w:val="20"/>
          <w:szCs w:val="20"/>
          <w:color w:val="auto"/>
        </w:rPr>
      </w:pPr>
    </w:p>
    <w:p>
      <w:pPr>
        <w:ind w:left="380" w:hanging="372"/>
        <w:spacing w:after="0"/>
        <w:tabs>
          <w:tab w:leader="none" w:pos="380" w:val="left"/>
        </w:tabs>
        <w:numPr>
          <w:ilvl w:val="0"/>
          <w:numId w:val="102"/>
        </w:numPr>
        <w:rPr>
          <w:rFonts w:ascii="Calibri" w:cs="Calibri" w:eastAsia="Calibri" w:hAnsi="Calibri"/>
          <w:sz w:val="20"/>
          <w:szCs w:val="20"/>
          <w:b w:val="1"/>
          <w:bCs w:val="1"/>
          <w:color w:val="auto"/>
        </w:rPr>
      </w:pPr>
      <w:r>
        <w:rPr>
          <w:rFonts w:ascii="Calibri" w:cs="Calibri" w:eastAsia="Calibri" w:hAnsi="Calibri"/>
          <w:sz w:val="20"/>
          <w:szCs w:val="20"/>
          <w:b w:val="1"/>
          <w:bCs w:val="1"/>
          <w:u w:val="single" w:color="auto"/>
          <w:color w:val="auto"/>
        </w:rPr>
        <w:t>Sanctons</w:t>
      </w:r>
    </w:p>
    <w:p>
      <w:pPr>
        <w:spacing w:after="0" w:line="225" w:lineRule="exact"/>
        <w:rPr>
          <w:sz w:val="20"/>
          <w:szCs w:val="20"/>
          <w:color w:val="auto"/>
        </w:rPr>
      </w:pPr>
    </w:p>
    <w:p>
      <w:pPr>
        <w:ind w:right="40"/>
        <w:spacing w:after="0" w:line="237" w:lineRule="auto"/>
        <w:rPr>
          <w:sz w:val="20"/>
          <w:szCs w:val="20"/>
          <w:color w:val="auto"/>
        </w:rPr>
      </w:pPr>
      <w:r>
        <w:rPr>
          <w:rFonts w:ascii="Calibri" w:cs="Calibri" w:eastAsia="Calibri" w:hAnsi="Calibri"/>
          <w:sz w:val="20"/>
          <w:szCs w:val="20"/>
          <w:color w:val="auto"/>
        </w:rPr>
        <w:t>Persons who are found to have traded on material, nonpublic informaton can face serious criminal and civil penaltes. Insiders that violate the prohibiton on short-swing proft transactons will be required to disgorge the deemed proft from the transacton to the Company. Any late or delinquent flings are required to be reported in Microsof’s annual proxy statement. In additon, the SEC has broad authority to seek sanctons from late flers; these sanctons may include signifcant fnes and other penaltes. Violaton of these policies may result in disciplinary acton up to and including immediate terminaton of employment. Violaton of these policies also may be reported in Company flings with the SEC.</w:t>
      </w:r>
    </w:p>
    <w:p>
      <w:pPr>
        <w:spacing w:after="0" w:line="218" w:lineRule="exact"/>
        <w:rPr>
          <w:sz w:val="20"/>
          <w:szCs w:val="20"/>
          <w:color w:val="auto"/>
        </w:rPr>
      </w:pPr>
    </w:p>
    <w:p>
      <w:pPr>
        <w:ind w:left="380" w:hanging="372"/>
        <w:spacing w:after="0"/>
        <w:tabs>
          <w:tab w:leader="none" w:pos="380" w:val="left"/>
        </w:tabs>
        <w:numPr>
          <w:ilvl w:val="0"/>
          <w:numId w:val="103"/>
        </w:numPr>
        <w:rPr>
          <w:rFonts w:ascii="Calibri" w:cs="Calibri" w:eastAsia="Calibri" w:hAnsi="Calibri"/>
          <w:sz w:val="20"/>
          <w:szCs w:val="20"/>
          <w:b w:val="1"/>
          <w:bCs w:val="1"/>
          <w:color w:val="auto"/>
        </w:rPr>
      </w:pPr>
      <w:r>
        <w:rPr>
          <w:rFonts w:ascii="Calibri" w:cs="Calibri" w:eastAsia="Calibri" w:hAnsi="Calibri"/>
          <w:sz w:val="20"/>
          <w:szCs w:val="20"/>
          <w:b w:val="1"/>
          <w:bCs w:val="1"/>
          <w:u w:val="single" w:color="auto"/>
          <w:color w:val="auto"/>
        </w:rPr>
        <w:t>Questons</w:t>
      </w:r>
    </w:p>
    <w:p>
      <w:pPr>
        <w:spacing w:after="0" w:line="225" w:lineRule="exact"/>
        <w:rPr>
          <w:sz w:val="20"/>
          <w:szCs w:val="20"/>
          <w:color w:val="auto"/>
        </w:rPr>
      </w:pPr>
    </w:p>
    <w:p>
      <w:pPr>
        <w:spacing w:after="0" w:line="236" w:lineRule="auto"/>
        <w:rPr>
          <w:sz w:val="20"/>
          <w:szCs w:val="20"/>
          <w:color w:val="auto"/>
        </w:rPr>
      </w:pPr>
      <w:r>
        <w:rPr>
          <w:rFonts w:ascii="Calibri" w:cs="Calibri" w:eastAsia="Calibri" w:hAnsi="Calibri"/>
          <w:sz w:val="20"/>
          <w:szCs w:val="20"/>
          <w:color w:val="auto"/>
        </w:rPr>
        <w:t>Anyone with questons about these policies and procedures, or the applicaton of them to a proposed transacton, may obtain additonal guidance by sending e-mail to (**)@microsof.com. The ultmate responsibility for adhering to these policies and avoiding unlawful transactons rests with the Insider.</w:t>
      </w:r>
    </w:p>
    <w:p>
      <w:pPr>
        <w:spacing w:after="0" w:line="161"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5" w:name="page156"/>
    <w:bookmarkEnd w:id="155"/>
    <w:p>
      <w:pPr>
        <w:ind w:left="10400"/>
        <w:spacing w:after="0"/>
        <w:rPr>
          <w:sz w:val="20"/>
          <w:szCs w:val="20"/>
          <w:color w:val="auto"/>
        </w:rPr>
      </w:pPr>
      <w:r>
        <w:rPr>
          <w:rFonts w:ascii="Arial" w:cs="Arial" w:eastAsia="Arial" w:hAnsi="Arial"/>
          <w:sz w:val="18"/>
          <w:szCs w:val="18"/>
          <w:color w:val="auto"/>
        </w:rPr>
        <w:t>Exhibit 21</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 OF REGISTRANT</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is a list of subsidiaries of Microsoft Corporation as of June 30, 2024, omitting subsidiaries which, considered in the aggregate, would not constitute a significant subsidiary.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2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6920" w:type="dxa"/>
            <w:vAlign w:val="bottom"/>
          </w:tcPr>
          <w:p>
            <w:pPr>
              <w:ind w:left="1360"/>
              <w:spacing w:after="0"/>
              <w:rPr>
                <w:sz w:val="20"/>
                <w:szCs w:val="20"/>
                <w:color w:val="auto"/>
              </w:rPr>
            </w:pPr>
            <w:r>
              <w:rPr>
                <w:rFonts w:ascii="Arial" w:cs="Arial" w:eastAsia="Arial" w:hAnsi="Arial"/>
                <w:sz w:val="13"/>
                <w:szCs w:val="13"/>
                <w:b w:val="1"/>
                <w:bCs w:val="1"/>
                <w:color w:val="auto"/>
              </w:rPr>
              <w:t>Where Incorporated</w:t>
            </w:r>
          </w:p>
        </w:tc>
        <w:tc>
          <w:tcPr>
            <w:tcW w:w="20" w:type="dxa"/>
            <w:vAlign w:val="bottom"/>
          </w:tcPr>
          <w:p>
            <w:pPr>
              <w:spacing w:after="0"/>
              <w:rPr>
                <w:sz w:val="16"/>
                <w:szCs w:val="16"/>
                <w:color w:val="auto"/>
              </w:rPr>
            </w:pPr>
          </w:p>
        </w:tc>
      </w:tr>
      <w:tr>
        <w:trPr>
          <w:trHeight w:val="72"/>
        </w:trPr>
        <w:tc>
          <w:tcPr>
            <w:tcW w:w="20" w:type="dxa"/>
            <w:vAlign w:val="bottom"/>
          </w:tcPr>
          <w:p>
            <w:pPr>
              <w:spacing w:after="0"/>
              <w:rPr>
                <w:sz w:val="6"/>
                <w:szCs w:val="6"/>
                <w:color w:val="auto"/>
              </w:rPr>
            </w:pPr>
          </w:p>
        </w:tc>
        <w:tc>
          <w:tcPr>
            <w:tcW w:w="4280" w:type="dxa"/>
            <w:vAlign w:val="bottom"/>
            <w:tcBorders>
              <w:bottom w:val="single" w:sz="8" w:color="auto"/>
            </w:tcBorders>
          </w:tcPr>
          <w:p>
            <w:pPr>
              <w:spacing w:after="0"/>
              <w:rPr>
                <w:sz w:val="6"/>
                <w:szCs w:val="6"/>
                <w:color w:val="auto"/>
              </w:rPr>
            </w:pPr>
          </w:p>
        </w:tc>
        <w:tc>
          <w:tcPr>
            <w:tcW w:w="69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393"/>
        </w:trPr>
        <w:tc>
          <w:tcPr>
            <w:tcW w:w="2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Microsoft Ireland Research</w:t>
            </w:r>
          </w:p>
        </w:tc>
        <w:tc>
          <w:tcPr>
            <w:tcW w:w="6920" w:type="dxa"/>
            <w:vAlign w:val="bottom"/>
          </w:tcPr>
          <w:p>
            <w:pPr>
              <w:ind w:left="1360"/>
              <w:spacing w:after="0"/>
              <w:rPr>
                <w:sz w:val="20"/>
                <w:szCs w:val="20"/>
                <w:color w:val="auto"/>
              </w:rPr>
            </w:pPr>
            <w:r>
              <w:rPr>
                <w:rFonts w:ascii="Arial" w:cs="Arial" w:eastAsia="Arial" w:hAnsi="Arial"/>
                <w:sz w:val="18"/>
                <w:szCs w:val="18"/>
                <w:color w:val="auto"/>
              </w:rPr>
              <w:t>Ireland</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Microsoft Global Finance</w:t>
            </w:r>
          </w:p>
        </w:tc>
        <w:tc>
          <w:tcPr>
            <w:tcW w:w="6920" w:type="dxa"/>
            <w:vAlign w:val="bottom"/>
          </w:tcPr>
          <w:p>
            <w:pPr>
              <w:ind w:left="1360"/>
              <w:spacing w:after="0"/>
              <w:rPr>
                <w:sz w:val="20"/>
                <w:szCs w:val="20"/>
                <w:color w:val="auto"/>
              </w:rPr>
            </w:pPr>
            <w:r>
              <w:rPr>
                <w:rFonts w:ascii="Arial" w:cs="Arial" w:eastAsia="Arial" w:hAnsi="Arial"/>
                <w:sz w:val="18"/>
                <w:szCs w:val="18"/>
                <w:color w:val="auto"/>
              </w:rPr>
              <w:t>Ireland</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Microsoft Ireland Operations Limited</w:t>
            </w:r>
          </w:p>
        </w:tc>
        <w:tc>
          <w:tcPr>
            <w:tcW w:w="6920" w:type="dxa"/>
            <w:vAlign w:val="bottom"/>
          </w:tcPr>
          <w:p>
            <w:pPr>
              <w:ind w:left="1360"/>
              <w:spacing w:after="0"/>
              <w:rPr>
                <w:sz w:val="20"/>
                <w:szCs w:val="20"/>
                <w:color w:val="auto"/>
              </w:rPr>
            </w:pPr>
            <w:r>
              <w:rPr>
                <w:rFonts w:ascii="Arial" w:cs="Arial" w:eastAsia="Arial" w:hAnsi="Arial"/>
                <w:sz w:val="18"/>
                <w:szCs w:val="18"/>
                <w:color w:val="auto"/>
              </w:rPr>
              <w:t>Ireland</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Microsoft Online, Inc.</w:t>
            </w:r>
          </w:p>
        </w:tc>
        <w:tc>
          <w:tcPr>
            <w:tcW w:w="6920" w:type="dxa"/>
            <w:vAlign w:val="bottom"/>
          </w:tcPr>
          <w:p>
            <w:pPr>
              <w:ind w:left="136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LinkedIn Corporation</w:t>
            </w:r>
          </w:p>
        </w:tc>
        <w:tc>
          <w:tcPr>
            <w:tcW w:w="6920" w:type="dxa"/>
            <w:vAlign w:val="bottom"/>
          </w:tcPr>
          <w:p>
            <w:pPr>
              <w:ind w:left="136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LinkedIn Ireland Unlimited Company</w:t>
            </w:r>
          </w:p>
        </w:tc>
        <w:tc>
          <w:tcPr>
            <w:tcW w:w="6920" w:type="dxa"/>
            <w:vAlign w:val="bottom"/>
          </w:tcPr>
          <w:p>
            <w:pPr>
              <w:ind w:left="1360"/>
              <w:spacing w:after="0"/>
              <w:rPr>
                <w:sz w:val="20"/>
                <w:szCs w:val="20"/>
                <w:color w:val="auto"/>
              </w:rPr>
            </w:pPr>
            <w:r>
              <w:rPr>
                <w:rFonts w:ascii="Arial" w:cs="Arial" w:eastAsia="Arial" w:hAnsi="Arial"/>
                <w:sz w:val="18"/>
                <w:szCs w:val="18"/>
                <w:color w:val="auto"/>
              </w:rPr>
              <w:t>Ireland</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Nuance Communications, Inc.</w:t>
            </w:r>
          </w:p>
        </w:tc>
        <w:tc>
          <w:tcPr>
            <w:tcW w:w="6920" w:type="dxa"/>
            <w:vAlign w:val="bottom"/>
          </w:tcPr>
          <w:p>
            <w:pPr>
              <w:ind w:left="136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Activision Blizzard, Inc.</w:t>
            </w:r>
          </w:p>
        </w:tc>
        <w:tc>
          <w:tcPr>
            <w:tcW w:w="6920" w:type="dxa"/>
            <w:vAlign w:val="bottom"/>
          </w:tcPr>
          <w:p>
            <w:pPr>
              <w:ind w:left="136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Activision Publishing, Inc.</w:t>
            </w:r>
          </w:p>
        </w:tc>
        <w:tc>
          <w:tcPr>
            <w:tcW w:w="6920" w:type="dxa"/>
            <w:vAlign w:val="bottom"/>
          </w:tcPr>
          <w:p>
            <w:pPr>
              <w:ind w:left="1360"/>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20"/>
                <w:szCs w:val="20"/>
                <w:color w:val="auto"/>
              </w:rPr>
            </w:pPr>
          </w:p>
        </w:tc>
      </w:tr>
      <w:tr>
        <w:trPr>
          <w:trHeight w:val="1285"/>
        </w:trPr>
        <w:tc>
          <w:tcPr>
            <w:tcW w:w="2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6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color w:val="auto"/>
        </w:rPr>
        <w:t>Exhibit 23.1</w:t>
      </w:r>
    </w:p>
    <w:p>
      <w:pPr>
        <w:spacing w:after="0" w:line="158"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20" w:lineRule="exact"/>
        <w:rPr>
          <w:sz w:val="20"/>
          <w:szCs w:val="20"/>
          <w:color w:val="auto"/>
        </w:rPr>
      </w:pPr>
    </w:p>
    <w:p>
      <w:pPr>
        <w:jc w:val="both"/>
        <w:ind w:right="260"/>
        <w:spacing w:after="0" w:line="244" w:lineRule="auto"/>
        <w:rPr>
          <w:sz w:val="20"/>
          <w:szCs w:val="20"/>
          <w:color w:val="auto"/>
        </w:rPr>
      </w:pPr>
      <w:r>
        <w:rPr>
          <w:rFonts w:ascii="Arial" w:cs="Arial" w:eastAsia="Arial" w:hAnsi="Arial"/>
          <w:sz w:val="18"/>
          <w:szCs w:val="18"/>
          <w:color w:val="auto"/>
        </w:rPr>
        <w:t>We consent to the incorporation by reference in Registration Statement Nos. 333-109185, 333-118764, 333-52852, 333-132100, 333-161516, 333-75243, 333-185757, and 333-221833 on Form S-8 and Registration Statement No. 333-261590 on Form S-3 of our reports dated July 30, 2024, relating to the financial statements of Microsoft Corporation and the effectiveness of Microsoft Corporation’s internal control over financial reporting appearing in this Annual Report on Form 10-K of Microsoft Corporation for the year ended June 30, 2024.</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July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739140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20" w:top="1201" w:right="37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Satya Nadella, certify that:</w:t>
      </w:r>
    </w:p>
    <w:p>
      <w:pPr>
        <w:spacing w:after="0" w:line="158" w:lineRule="exact"/>
        <w:rPr>
          <w:sz w:val="20"/>
          <w:szCs w:val="20"/>
          <w:color w:val="auto"/>
        </w:rPr>
      </w:pPr>
    </w:p>
    <w:p>
      <w:pPr>
        <w:ind w:left="200" w:hanging="192"/>
        <w:spacing w:after="0"/>
        <w:tabs>
          <w:tab w:leader="none" w:pos="2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Microsoft Corporation;</w:t>
      </w:r>
    </w:p>
    <w:p>
      <w:pPr>
        <w:spacing w:after="0" w:line="157"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8"/>
          <w:szCs w:val="18"/>
          <w:color w:val="auto"/>
        </w:rPr>
      </w:pPr>
    </w:p>
    <w:p>
      <w:pPr>
        <w:ind w:firstLine="8"/>
        <w:spacing w:after="0" w:line="271" w:lineRule="auto"/>
        <w:tabs>
          <w:tab w:leader="none" w:pos="22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8"/>
          <w:szCs w:val="18"/>
          <w:color w:val="auto"/>
        </w:rPr>
      </w:pPr>
    </w:p>
    <w:p>
      <w:pPr>
        <w:jc w:val="both"/>
        <w:ind w:firstLine="8"/>
        <w:spacing w:after="0" w:line="253" w:lineRule="auto"/>
        <w:tabs>
          <w:tab w:leader="none" w:pos="2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sz w:val="20"/>
          <w:szCs w:val="20"/>
          <w:color w:val="auto"/>
        </w:rPr>
      </w:pPr>
    </w:p>
    <w:p>
      <w:pPr>
        <w:jc w:val="both"/>
        <w:ind w:right="20" w:firstLine="8"/>
        <w:spacing w:after="0" w:line="253" w:lineRule="auto"/>
        <w:tabs>
          <w:tab w:leader="none" w:pos="25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8"/>
          <w:szCs w:val="18"/>
          <w:color w:val="auto"/>
        </w:rPr>
      </w:pPr>
    </w:p>
    <w:p>
      <w:pPr>
        <w:jc w:val="both"/>
        <w:ind w:firstLine="8"/>
        <w:spacing w:after="0" w:line="253" w:lineRule="auto"/>
        <w:tabs>
          <w:tab w:leader="none" w:pos="22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ind w:right="20" w:firstLine="8"/>
        <w:spacing w:after="0" w:line="271" w:lineRule="auto"/>
        <w:tabs>
          <w:tab w:leader="none" w:pos="21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Arial" w:cs="Arial" w:eastAsia="Arial" w:hAnsi="Arial"/>
          <w:sz w:val="18"/>
          <w:szCs w:val="18"/>
          <w:color w:val="auto"/>
        </w:rPr>
      </w:pPr>
    </w:p>
    <w:p>
      <w:pPr>
        <w:jc w:val="both"/>
        <w:ind w:firstLine="8"/>
        <w:spacing w:after="0" w:line="253" w:lineRule="auto"/>
        <w:tabs>
          <w:tab w:leader="none" w:pos="22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sz w:val="20"/>
          <w:szCs w:val="20"/>
          <w:color w:val="auto"/>
        </w:rPr>
      </w:pPr>
    </w:p>
    <w:p>
      <w:pPr>
        <w:jc w:val="both"/>
        <w:ind w:firstLine="8"/>
        <w:spacing w:after="0" w:line="253" w:lineRule="auto"/>
        <w:tabs>
          <w:tab w:leader="none" w:pos="23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5" w:lineRule="exact"/>
        <w:rPr>
          <w:sz w:val="20"/>
          <w:szCs w:val="20"/>
          <w:color w:val="auto"/>
        </w:rPr>
      </w:pPr>
    </w:p>
    <w:p>
      <w:pPr>
        <w:ind w:right="20" w:firstLine="8"/>
        <w:spacing w:after="0" w:line="271" w:lineRule="auto"/>
        <w:tabs>
          <w:tab w:leader="none" w:pos="24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8"/>
          <w:szCs w:val="18"/>
          <w:color w:val="auto"/>
        </w:rPr>
      </w:pPr>
    </w:p>
    <w:p>
      <w:pPr>
        <w:ind w:right="20" w:firstLine="8"/>
        <w:spacing w:after="0" w:line="271" w:lineRule="auto"/>
        <w:tabs>
          <w:tab w:leader="none" w:pos="22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460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Satya Nadella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July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Amy E. Hood, certify that:</w:t>
      </w:r>
    </w:p>
    <w:p>
      <w:pPr>
        <w:spacing w:after="0" w:line="158" w:lineRule="exact"/>
        <w:rPr>
          <w:sz w:val="20"/>
          <w:szCs w:val="20"/>
          <w:color w:val="auto"/>
        </w:rPr>
      </w:pPr>
    </w:p>
    <w:p>
      <w:pPr>
        <w:ind w:left="200" w:hanging="192"/>
        <w:spacing w:after="0"/>
        <w:tabs>
          <w:tab w:leader="none" w:pos="2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Microsoft Corporation;</w:t>
      </w:r>
    </w:p>
    <w:p>
      <w:pPr>
        <w:spacing w:after="0" w:line="157"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8"/>
          <w:szCs w:val="18"/>
          <w:color w:val="auto"/>
        </w:rPr>
      </w:pPr>
    </w:p>
    <w:p>
      <w:pPr>
        <w:ind w:firstLine="8"/>
        <w:spacing w:after="0" w:line="271" w:lineRule="auto"/>
        <w:tabs>
          <w:tab w:leader="none" w:pos="22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8"/>
          <w:szCs w:val="18"/>
          <w:color w:val="auto"/>
        </w:rPr>
      </w:pPr>
    </w:p>
    <w:p>
      <w:pPr>
        <w:jc w:val="both"/>
        <w:ind w:firstLine="8"/>
        <w:spacing w:after="0" w:line="253" w:lineRule="auto"/>
        <w:tabs>
          <w:tab w:leader="none" w:pos="23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sz w:val="20"/>
          <w:szCs w:val="20"/>
          <w:color w:val="auto"/>
        </w:rPr>
      </w:pPr>
    </w:p>
    <w:p>
      <w:pPr>
        <w:jc w:val="both"/>
        <w:ind w:right="20" w:firstLine="8"/>
        <w:spacing w:after="0" w:line="253" w:lineRule="auto"/>
        <w:tabs>
          <w:tab w:leader="none" w:pos="25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8"/>
          <w:szCs w:val="18"/>
          <w:color w:val="auto"/>
        </w:rPr>
      </w:pPr>
    </w:p>
    <w:p>
      <w:pPr>
        <w:jc w:val="both"/>
        <w:ind w:firstLine="8"/>
        <w:spacing w:after="0" w:line="253" w:lineRule="auto"/>
        <w:tabs>
          <w:tab w:leader="none" w:pos="22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ind w:right="20" w:firstLine="8"/>
        <w:spacing w:after="0" w:line="271" w:lineRule="auto"/>
        <w:tabs>
          <w:tab w:leader="none" w:pos="21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Arial" w:cs="Arial" w:eastAsia="Arial" w:hAnsi="Arial"/>
          <w:sz w:val="18"/>
          <w:szCs w:val="18"/>
          <w:color w:val="auto"/>
        </w:rPr>
      </w:pPr>
    </w:p>
    <w:p>
      <w:pPr>
        <w:jc w:val="both"/>
        <w:ind w:firstLine="8"/>
        <w:spacing w:after="0" w:line="253" w:lineRule="auto"/>
        <w:tabs>
          <w:tab w:leader="none" w:pos="22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sz w:val="20"/>
          <w:szCs w:val="20"/>
          <w:color w:val="auto"/>
        </w:rPr>
      </w:pPr>
    </w:p>
    <w:p>
      <w:pPr>
        <w:jc w:val="both"/>
        <w:ind w:firstLine="8"/>
        <w:spacing w:after="0" w:line="253" w:lineRule="auto"/>
        <w:tabs>
          <w:tab w:leader="none" w:pos="23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5" w:lineRule="exact"/>
        <w:rPr>
          <w:sz w:val="20"/>
          <w:szCs w:val="20"/>
          <w:color w:val="auto"/>
        </w:rPr>
      </w:pPr>
    </w:p>
    <w:p>
      <w:pPr>
        <w:ind w:right="20" w:firstLine="8"/>
        <w:spacing w:after="0" w:line="271" w:lineRule="auto"/>
        <w:tabs>
          <w:tab w:leader="none" w:pos="2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8"/>
          <w:szCs w:val="18"/>
          <w:color w:val="auto"/>
        </w:rPr>
      </w:pPr>
    </w:p>
    <w:p>
      <w:pPr>
        <w:ind w:right="20" w:firstLine="8"/>
        <w:spacing w:after="0" w:line="271" w:lineRule="auto"/>
        <w:tabs>
          <w:tab w:leader="none" w:pos="22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460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Amy E. Hood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July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59" w:name="page160"/>
    <w:bookmarkEnd w:id="159"/>
    <w:p>
      <w:pPr>
        <w:ind w:left="10260"/>
        <w:spacing w:after="0"/>
        <w:rPr>
          <w:sz w:val="20"/>
          <w:szCs w:val="20"/>
          <w:color w:val="auto"/>
        </w:rPr>
      </w:pPr>
      <w:r>
        <w:rPr>
          <w:rFonts w:ascii="Arial" w:cs="Arial" w:eastAsia="Arial" w:hAnsi="Arial"/>
          <w:sz w:val="18"/>
          <w:szCs w:val="18"/>
          <w:color w:val="auto"/>
        </w:rPr>
        <w:t>Exhibit 32.1</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14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connection with the Annual Report of Microsoft Corporation, a Washington corporation (the “Company”), on Form 10-K for the year ended June 30, 2024, as filed with the Securities and Exchange Commission (the “Report”), Satya Nadella, Chief Executive Officer of the Company, does hereby certify, pursuant to § 906 of the Sarbanes-Oxley Act of 2002 (18 U.S.C. § 1350), that to his knowledge:</w:t>
      </w:r>
    </w:p>
    <w:p>
      <w:pPr>
        <w:spacing w:after="0" w:line="115" w:lineRule="exact"/>
        <w:rPr>
          <w:sz w:val="20"/>
          <w:szCs w:val="20"/>
          <w:color w:val="auto"/>
        </w:rPr>
      </w:pPr>
    </w:p>
    <w:p>
      <w:pPr>
        <w:ind w:left="280" w:hanging="272"/>
        <w:spacing w:after="0"/>
        <w:tabs>
          <w:tab w:leader="none" w:pos="2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1" w:lineRule="auto"/>
        <w:tabs>
          <w:tab w:leader="none" w:pos="28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460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Satya Nadella</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July 30, 2024</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60" w:name="page161"/>
    <w:bookmarkEnd w:id="160"/>
    <w:p>
      <w:pPr>
        <w:ind w:left="10260"/>
        <w:spacing w:after="0"/>
        <w:rPr>
          <w:sz w:val="20"/>
          <w:szCs w:val="20"/>
          <w:color w:val="auto"/>
        </w:rPr>
      </w:pPr>
      <w:r>
        <w:rPr>
          <w:rFonts w:ascii="Arial" w:cs="Arial" w:eastAsia="Arial" w:hAnsi="Arial"/>
          <w:sz w:val="18"/>
          <w:szCs w:val="18"/>
          <w:color w:val="auto"/>
        </w:rPr>
        <w:t>Exhibit 32.2</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Annual Report of Microsoft Corporation, a Washington corporation (the “Company”), on Form 10-K for the year ended June 30, 2024, as filed with the Securities and Exchange Commission (the “Report”), Amy E. Hood, Chief Financial Officer of the Company, does hereby certify, pursuant to § 906 of the Sarbanes-Oxley Act of 2002 (18 U.S.C. § 1350), that to her knowledge:</w:t>
      </w:r>
    </w:p>
    <w:p>
      <w:pPr>
        <w:spacing w:after="0" w:line="115" w:lineRule="exact"/>
        <w:rPr>
          <w:sz w:val="20"/>
          <w:szCs w:val="20"/>
          <w:color w:val="auto"/>
        </w:rPr>
      </w:pPr>
    </w:p>
    <w:p>
      <w:pPr>
        <w:ind w:left="280" w:hanging="272"/>
        <w:spacing w:after="0"/>
        <w:tabs>
          <w:tab w:leader="none" w:pos="2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1" w:lineRule="auto"/>
        <w:tabs>
          <w:tab w:leader="none" w:pos="28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4607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Amy E. Hood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July 30, 2024</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61" w:name="page162"/>
    <w:bookmarkEnd w:id="161"/>
    <w:p>
      <w:pPr>
        <w:ind w:left="10160"/>
        <w:spacing w:after="0"/>
        <w:rPr>
          <w:sz w:val="20"/>
          <w:szCs w:val="20"/>
          <w:color w:val="auto"/>
        </w:rPr>
      </w:pPr>
      <w:r>
        <w:rPr>
          <w:rFonts w:ascii="Arial" w:cs="Arial" w:eastAsia="Arial" w:hAnsi="Arial"/>
          <w:sz w:val="20"/>
          <w:szCs w:val="20"/>
          <w:color w:val="auto"/>
        </w:rPr>
        <w:t>Exhibit 97.1</w:t>
      </w:r>
    </w:p>
    <w:p>
      <w:pPr>
        <w:spacing w:after="0" w:line="149"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Microsof Corporaton</w:t>
      </w:r>
    </w:p>
    <w:p>
      <w:pPr>
        <w:jc w:val="center"/>
        <w:spacing w:after="0" w:line="238" w:lineRule="auto"/>
        <w:rPr>
          <w:sz w:val="20"/>
          <w:szCs w:val="20"/>
          <w:color w:val="auto"/>
        </w:rPr>
      </w:pPr>
      <w:r>
        <w:rPr>
          <w:rFonts w:ascii="Calibri" w:cs="Calibri" w:eastAsia="Calibri" w:hAnsi="Calibri"/>
          <w:sz w:val="20"/>
          <w:szCs w:val="20"/>
          <w:b w:val="1"/>
          <w:bCs w:val="1"/>
          <w:color w:val="auto"/>
        </w:rPr>
        <w:t>Executve Compensaton Recovery Policy</w:t>
      </w:r>
    </w:p>
    <w:p>
      <w:pPr>
        <w:spacing w:after="0" w:line="198" w:lineRule="exact"/>
        <w:rPr>
          <w:sz w:val="20"/>
          <w:szCs w:val="20"/>
          <w:color w:val="auto"/>
        </w:rPr>
      </w:pPr>
    </w:p>
    <w:p>
      <w:pPr>
        <w:ind w:right="460"/>
        <w:spacing w:after="0" w:line="236" w:lineRule="auto"/>
        <w:rPr>
          <w:sz w:val="20"/>
          <w:szCs w:val="20"/>
          <w:color w:val="auto"/>
        </w:rPr>
      </w:pPr>
      <w:r>
        <w:rPr>
          <w:rFonts w:ascii="Calibri" w:cs="Calibri" w:eastAsia="Calibri" w:hAnsi="Calibri"/>
          <w:sz w:val="20"/>
          <w:szCs w:val="20"/>
          <w:color w:val="auto"/>
        </w:rPr>
        <w:t xml:space="preserve">This policy covers Microsof’s Covered Ofcers and explains when Microsof will be required or authorized, as applicable, to seek recovery of Incentve Compensaton awarded or paid to Covered Ofcers. Please refer to </w:t>
      </w:r>
      <w:r>
        <w:rPr>
          <w:rFonts w:ascii="Calibri" w:cs="Calibri" w:eastAsia="Calibri" w:hAnsi="Calibri"/>
          <w:sz w:val="20"/>
          <w:szCs w:val="20"/>
          <w:u w:val="single" w:color="auto"/>
          <w:color w:val="auto"/>
        </w:rPr>
        <w:t>Exhibit A</w:t>
      </w:r>
      <w:r>
        <w:rPr>
          <w:rFonts w:ascii="Calibri" w:cs="Calibri" w:eastAsia="Calibri" w:hAnsi="Calibri"/>
          <w:sz w:val="20"/>
          <w:szCs w:val="20"/>
          <w:color w:val="auto"/>
        </w:rPr>
        <w:t xml:space="preserve"> atached hereto (the “</w:t>
      </w:r>
      <w:r>
        <w:rPr>
          <w:rFonts w:ascii="Calibri" w:cs="Calibri" w:eastAsia="Calibri" w:hAnsi="Calibri"/>
          <w:sz w:val="20"/>
          <w:szCs w:val="20"/>
          <w:u w:val="single" w:color="auto"/>
          <w:color w:val="auto"/>
        </w:rPr>
        <w:t>Defnitons</w:t>
      </w:r>
      <w:r>
        <w:rPr>
          <w:rFonts w:ascii="Calibri" w:cs="Calibri" w:eastAsia="Calibri" w:hAnsi="Calibri"/>
          <w:sz w:val="20"/>
          <w:szCs w:val="20"/>
          <w:color w:val="auto"/>
        </w:rPr>
        <w:t xml:space="preserve"> </w:t>
      </w:r>
      <w:r>
        <w:rPr>
          <w:rFonts w:ascii="Calibri" w:cs="Calibri" w:eastAsia="Calibri" w:hAnsi="Calibri"/>
          <w:sz w:val="20"/>
          <w:szCs w:val="20"/>
          <w:u w:val="single" w:color="auto"/>
          <w:color w:val="auto"/>
        </w:rPr>
        <w:t>Exhibit</w:t>
      </w:r>
      <w:r>
        <w:rPr>
          <w:rFonts w:ascii="Calibri" w:cs="Calibri" w:eastAsia="Calibri" w:hAnsi="Calibri"/>
          <w:sz w:val="20"/>
          <w:szCs w:val="20"/>
          <w:color w:val="auto"/>
        </w:rPr>
        <w:t>”) for the defnitons of capitalized terms used throughout this Policy.</w:t>
      </w:r>
    </w:p>
    <w:p>
      <w:pPr>
        <w:spacing w:after="0" w:line="184" w:lineRule="exact"/>
        <w:rPr>
          <w:sz w:val="20"/>
          <w:szCs w:val="20"/>
          <w:color w:val="auto"/>
        </w:rPr>
      </w:pPr>
    </w:p>
    <w:p>
      <w:pPr>
        <w:ind w:left="760" w:right="60" w:hanging="378"/>
        <w:spacing w:after="0"/>
        <w:tabs>
          <w:tab w:leader="none" w:pos="760" w:val="left"/>
        </w:tabs>
        <w:numPr>
          <w:ilvl w:val="0"/>
          <w:numId w:val="11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Miscalculaton of Financial Performance Measure Results. </w:t>
      </w:r>
      <w:r>
        <w:rPr>
          <w:rFonts w:ascii="Calibri" w:cs="Calibri" w:eastAsia="Calibri" w:hAnsi="Calibri"/>
          <w:sz w:val="20"/>
          <w:szCs w:val="20"/>
          <w:color w:val="auto"/>
        </w:rPr>
        <w:t>In the event of a Restatement, Microsof will seek to recover,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reasonably promptly, all Recoverable Incentve Compensaton from a Covered Ofcer during the Applicable Period. Such recovery, in the case of a Restatement, will be made without regard to any individual knowledge or responsibility related to the Restatement or the Recoverable Incentve Compensaton. Notwithstanding the foregoing, if Microsof is required to undertake a Restatement, Microsof will not be required to recover the Recoverable Incentve Compensaton if the Compensaton Commitee determines it Impractcable to do so, afer exercising a normal due process review of all the relevant facts and circumstances.</w:t>
      </w:r>
    </w:p>
    <w:p>
      <w:pPr>
        <w:spacing w:after="0" w:line="200" w:lineRule="exact"/>
        <w:rPr>
          <w:rFonts w:ascii="Calibri" w:cs="Calibri" w:eastAsia="Calibri" w:hAnsi="Calibri"/>
          <w:sz w:val="20"/>
          <w:szCs w:val="20"/>
          <w:b w:val="1"/>
          <w:bCs w:val="1"/>
          <w:color w:val="auto"/>
        </w:rPr>
      </w:pPr>
    </w:p>
    <w:p>
      <w:pPr>
        <w:spacing w:after="0" w:line="211" w:lineRule="exact"/>
        <w:rPr>
          <w:rFonts w:ascii="Calibri" w:cs="Calibri" w:eastAsia="Calibri" w:hAnsi="Calibri"/>
          <w:sz w:val="20"/>
          <w:szCs w:val="20"/>
          <w:b w:val="1"/>
          <w:bCs w:val="1"/>
          <w:color w:val="auto"/>
        </w:rPr>
      </w:pPr>
    </w:p>
    <w:p>
      <w:pPr>
        <w:ind w:left="760" w:right="6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Microsof will seek to recover all Recoverable Incentve Compensaton that was awarded or paid in accordance with the defniton of “Recoverable Incentve Compensaton” set forth on the Defnitons Exhibit. If such Recoverable Incentve Compensaton was not awarded or paid on a formulaic basis, Microsof will seek to recover the amount that the Compensaton Commitee determines in good faith should be recouped.</w:t>
      </w:r>
    </w:p>
    <w:p>
      <w:pPr>
        <w:spacing w:after="0" w:line="200" w:lineRule="exact"/>
        <w:rPr>
          <w:rFonts w:ascii="Calibri" w:cs="Calibri" w:eastAsia="Calibri" w:hAnsi="Calibri"/>
          <w:sz w:val="20"/>
          <w:szCs w:val="20"/>
          <w:b w:val="1"/>
          <w:bCs w:val="1"/>
          <w:color w:val="auto"/>
        </w:rPr>
      </w:pPr>
    </w:p>
    <w:p>
      <w:pPr>
        <w:jc w:val="both"/>
        <w:ind w:left="760" w:right="20" w:hanging="378"/>
        <w:spacing w:after="0" w:line="234" w:lineRule="auto"/>
        <w:tabs>
          <w:tab w:leader="none" w:pos="760" w:val="left"/>
        </w:tabs>
        <w:numPr>
          <w:ilvl w:val="0"/>
          <w:numId w:val="11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Legal and Compliance Violatons</w:t>
      </w:r>
      <w:r>
        <w:rPr>
          <w:rFonts w:ascii="Calibri" w:cs="Calibri" w:eastAsia="Calibri" w:hAnsi="Calibri"/>
          <w:sz w:val="20"/>
          <w:szCs w:val="20"/>
          <w:color w:val="auto"/>
        </w:rPr>
        <w:t>. Compliance with the law and Microsof’s Standards of Business Conduct and other corporate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policies is a pre-conditon to earning Incentve Compensaton. If Microsof in its sole discreton concludes that a Covered Ofcer</w:t>
      </w:r>
    </w:p>
    <w:p>
      <w:pPr>
        <w:spacing w:after="0" w:line="9" w:lineRule="exact"/>
        <w:rPr>
          <w:rFonts w:ascii="Calibri" w:cs="Calibri" w:eastAsia="Calibri" w:hAnsi="Calibri"/>
          <w:sz w:val="20"/>
          <w:szCs w:val="20"/>
          <w:b w:val="1"/>
          <w:bCs w:val="1"/>
          <w:color w:val="auto"/>
        </w:rPr>
      </w:pPr>
    </w:p>
    <w:p>
      <w:pPr>
        <w:ind w:left="760"/>
        <w:spacing w:after="0" w:line="237" w:lineRule="auto"/>
        <w:rPr>
          <w:rFonts w:ascii="Calibri" w:cs="Calibri" w:eastAsia="Calibri" w:hAnsi="Calibri"/>
          <w:sz w:val="20"/>
          <w:szCs w:val="20"/>
          <w:b w:val="1"/>
          <w:bCs w:val="1"/>
          <w:color w:val="auto"/>
        </w:rPr>
      </w:pPr>
      <w:r>
        <w:rPr>
          <w:rFonts w:ascii="Calibri" w:cs="Calibri" w:eastAsia="Calibri" w:hAnsi="Calibri"/>
          <w:sz w:val="20"/>
          <w:szCs w:val="20"/>
          <w:color w:val="auto"/>
        </w:rPr>
        <w:t>(1) commited a signifcant legal or compliance violaton in connecton with the Covered Ofcer’s employment, including a violaton of Microsof’s corporate policies or Microsof’s Standards of Business Conduct (each, “</w:t>
      </w:r>
      <w:r>
        <w:rPr>
          <w:rFonts w:ascii="Calibri" w:cs="Calibri" w:eastAsia="Calibri" w:hAnsi="Calibri"/>
          <w:sz w:val="20"/>
          <w:szCs w:val="20"/>
          <w:u w:val="single" w:color="auto"/>
          <w:color w:val="auto"/>
        </w:rPr>
        <w:t>Misconduct</w:t>
      </w:r>
      <w:r>
        <w:rPr>
          <w:rFonts w:ascii="Calibri" w:cs="Calibri" w:eastAsia="Calibri" w:hAnsi="Calibri"/>
          <w:sz w:val="20"/>
          <w:szCs w:val="20"/>
          <w:color w:val="auto"/>
        </w:rPr>
        <w:t>”), or (2) was aware of or willfully blind to Misconduct that occurred in an area over which the Covered Ofcer had supervisory authority, Microsof may, at the directon of the Compensaton Commitee, seek recovery of all or a porton of the Recoverable Incentve Compensaton awarded or paid to the Covered Ofcer for the Applicable Period in which the violaton occurred. In additon, Microsof may, at the directon of the Compensaton Commitee, conclude that any unpaid or unvested Incentve Compensaton has not been earned and must be forfeited.</w:t>
      </w:r>
    </w:p>
    <w:p>
      <w:pPr>
        <w:spacing w:after="0" w:line="189" w:lineRule="exact"/>
        <w:rPr>
          <w:sz w:val="20"/>
          <w:szCs w:val="20"/>
          <w:color w:val="auto"/>
        </w:rPr>
      </w:pPr>
    </w:p>
    <w:p>
      <w:pPr>
        <w:ind w:left="760" w:right="300"/>
        <w:spacing w:after="0" w:line="234" w:lineRule="auto"/>
        <w:rPr>
          <w:sz w:val="20"/>
          <w:szCs w:val="20"/>
          <w:color w:val="auto"/>
        </w:rPr>
      </w:pPr>
      <w:r>
        <w:rPr>
          <w:rFonts w:ascii="Calibri" w:cs="Calibri" w:eastAsia="Calibri" w:hAnsi="Calibri"/>
          <w:sz w:val="20"/>
          <w:szCs w:val="20"/>
          <w:color w:val="auto"/>
        </w:rPr>
        <w:t>In the event of Misconduct, Microsof may seek recovery of Recoverable Incentve Compensaton even if the Misconduct did not result in an award or payment greater than would have been awarded or paid absent the Misconduct.</w:t>
      </w:r>
    </w:p>
    <w:p>
      <w:pPr>
        <w:spacing w:after="0" w:line="185" w:lineRule="exact"/>
        <w:rPr>
          <w:sz w:val="20"/>
          <w:szCs w:val="20"/>
          <w:color w:val="auto"/>
        </w:rPr>
      </w:pPr>
    </w:p>
    <w:p>
      <w:pPr>
        <w:ind w:left="760" w:right="160"/>
        <w:spacing w:after="0" w:line="236" w:lineRule="auto"/>
        <w:rPr>
          <w:sz w:val="20"/>
          <w:szCs w:val="20"/>
          <w:color w:val="auto"/>
        </w:rPr>
      </w:pPr>
      <w:r>
        <w:rPr>
          <w:rFonts w:ascii="Calibri" w:cs="Calibri" w:eastAsia="Calibri" w:hAnsi="Calibri"/>
          <w:sz w:val="20"/>
          <w:szCs w:val="20"/>
          <w:color w:val="auto"/>
        </w:rPr>
        <w:t>In the event of Misconduct, in determining whether to seek recovery and the amount, if any, by which the payment or award should be reduced, the Compensaton Commitee may consider—among other things— the seriousness of the Misconduct, whether the Covered Ofcer was unjustly enriched, whether seeking the recovery would prejudice Microsof’s interests in any way, including in a proceeding or investgaton, and any other factors it deems relevant to the determinaton.</w:t>
      </w:r>
    </w:p>
    <w:p>
      <w:pPr>
        <w:spacing w:after="0" w:line="211" w:lineRule="exact"/>
        <w:rPr>
          <w:sz w:val="20"/>
          <w:szCs w:val="20"/>
          <w:color w:val="auto"/>
        </w:rPr>
      </w:pPr>
    </w:p>
    <w:p>
      <w:pPr>
        <w:ind w:left="20"/>
        <w:spacing w:after="0"/>
        <w:tabs>
          <w:tab w:leader="none" w:pos="8000" w:val="left"/>
        </w:tabs>
        <w:rPr>
          <w:sz w:val="20"/>
          <w:szCs w:val="20"/>
          <w:color w:val="auto"/>
        </w:rPr>
      </w:pPr>
      <w:r>
        <w:rPr>
          <w:rFonts w:ascii="Calibri" w:cs="Calibri" w:eastAsia="Calibri" w:hAnsi="Calibri"/>
          <w:sz w:val="18"/>
          <w:szCs w:val="18"/>
          <w:color w:val="auto"/>
        </w:rPr>
        <w:t>Microsof Corporaton</w:t>
      </w:r>
      <w:r>
        <w:rPr>
          <w:sz w:val="20"/>
          <w:szCs w:val="20"/>
          <w:color w:val="auto"/>
        </w:rPr>
        <w:tab/>
      </w:r>
      <w:r>
        <w:rPr>
          <w:rFonts w:ascii="Calibri" w:cs="Calibri" w:eastAsia="Calibri" w:hAnsi="Calibri"/>
          <w:sz w:val="18"/>
          <w:szCs w:val="18"/>
          <w:color w:val="auto"/>
        </w:rPr>
        <w:t>1 | Executve Compensaton Recovery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62" w:name="page163"/>
    <w:bookmarkEnd w:id="162"/>
    <w:p>
      <w:pPr>
        <w:spacing w:after="0" w:line="147" w:lineRule="exact"/>
        <w:rPr>
          <w:sz w:val="20"/>
          <w:szCs w:val="20"/>
          <w:color w:val="auto"/>
        </w:rPr>
      </w:pPr>
    </w:p>
    <w:p>
      <w:pPr>
        <w:jc w:val="both"/>
        <w:ind w:left="740" w:right="40" w:hanging="378"/>
        <w:spacing w:after="0" w:line="236" w:lineRule="auto"/>
        <w:tabs>
          <w:tab w:leader="none" w:pos="740" w:val="left"/>
        </w:tabs>
        <w:numPr>
          <w:ilvl w:val="0"/>
          <w:numId w:val="11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Other Actons</w:t>
      </w:r>
      <w:r>
        <w:rPr>
          <w:rFonts w:ascii="Calibri" w:cs="Calibri" w:eastAsia="Calibri" w:hAnsi="Calibri"/>
          <w:sz w:val="20"/>
          <w:szCs w:val="20"/>
          <w:color w:val="auto"/>
        </w:rPr>
        <w:t>. The Compensaton Commitee may, subject to applicable law, seek recovery in the manner it chooses, including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by seeking reimbursement from the Covered Ofcer of all or part of the compensaton awarded or paid, by electng to withhold unpaid compensaton, by set-of, or by rescinding or canceling unvested stock.</w:t>
      </w:r>
    </w:p>
    <w:p>
      <w:pPr>
        <w:spacing w:after="0" w:line="197" w:lineRule="exact"/>
        <w:rPr>
          <w:rFonts w:ascii="Calibri" w:cs="Calibri" w:eastAsia="Calibri" w:hAnsi="Calibri"/>
          <w:sz w:val="20"/>
          <w:szCs w:val="20"/>
          <w:b w:val="1"/>
          <w:bCs w:val="1"/>
          <w:color w:val="auto"/>
        </w:rPr>
      </w:pPr>
    </w:p>
    <w:p>
      <w:pPr>
        <w:ind w:left="740" w:right="280"/>
        <w:spacing w:after="0" w:line="236" w:lineRule="auto"/>
        <w:rPr>
          <w:rFonts w:ascii="Calibri" w:cs="Calibri" w:eastAsia="Calibri" w:hAnsi="Calibri"/>
          <w:sz w:val="20"/>
          <w:szCs w:val="20"/>
          <w:b w:val="1"/>
          <w:bCs w:val="1"/>
          <w:color w:val="auto"/>
        </w:rPr>
      </w:pPr>
      <w:r>
        <w:rPr>
          <w:rFonts w:ascii="Calibri" w:cs="Calibri" w:eastAsia="Calibri" w:hAnsi="Calibri"/>
          <w:sz w:val="20"/>
          <w:szCs w:val="20"/>
          <w:color w:val="auto"/>
        </w:rPr>
        <w:t>In the reasonable exercise of its business judgment under this Policy, the Compensaton Commitee may in its sole discreton determine whether and to what extent additonal acton is appropriate to address the circumstances surrounding a Restatement or Misconduct to minimize the likelihood of any recurrence and to impose such other discipline as it deems appropriate.</w:t>
      </w:r>
    </w:p>
    <w:p>
      <w:pPr>
        <w:spacing w:after="0" w:line="187" w:lineRule="exact"/>
        <w:rPr>
          <w:rFonts w:ascii="Calibri" w:cs="Calibri" w:eastAsia="Calibri" w:hAnsi="Calibri"/>
          <w:sz w:val="20"/>
          <w:szCs w:val="20"/>
          <w:b w:val="1"/>
          <w:bCs w:val="1"/>
          <w:color w:val="auto"/>
        </w:rPr>
      </w:pPr>
    </w:p>
    <w:p>
      <w:pPr>
        <w:ind w:left="740" w:hanging="378"/>
        <w:spacing w:after="0" w:line="236" w:lineRule="auto"/>
        <w:tabs>
          <w:tab w:leader="none" w:pos="740" w:val="left"/>
        </w:tabs>
        <w:numPr>
          <w:ilvl w:val="0"/>
          <w:numId w:val="11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No Indemnifcaton or Reimbursement</w:t>
      </w:r>
      <w:r>
        <w:rPr>
          <w:rFonts w:ascii="Calibri" w:cs="Calibri" w:eastAsia="Calibri" w:hAnsi="Calibri"/>
          <w:sz w:val="20"/>
          <w:szCs w:val="20"/>
          <w:color w:val="auto"/>
        </w:rPr>
        <w:t>. Notwithstanding the terms of any other policy, program, agreement or arrangement,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 no event will Microsof or any of its afliates indemnify or reimburse a Covered Ofcer for any loss under this Policy and in no event will Microsof or any of its afliates pay premiums on any insurance policy that would cover a Covered Ofcer’s potental obligatons with respect to Recoverable Incentve Compensaton under this Policy.</w:t>
      </w:r>
    </w:p>
    <w:p>
      <w:pPr>
        <w:spacing w:after="0" w:line="187" w:lineRule="exact"/>
        <w:rPr>
          <w:rFonts w:ascii="Calibri" w:cs="Calibri" w:eastAsia="Calibri" w:hAnsi="Calibri"/>
          <w:sz w:val="20"/>
          <w:szCs w:val="20"/>
          <w:b w:val="1"/>
          <w:bCs w:val="1"/>
          <w:color w:val="auto"/>
        </w:rPr>
      </w:pPr>
    </w:p>
    <w:p>
      <w:pPr>
        <w:ind w:left="740" w:right="80" w:hanging="378"/>
        <w:spacing w:after="0" w:line="237" w:lineRule="auto"/>
        <w:tabs>
          <w:tab w:leader="none" w:pos="740" w:val="left"/>
        </w:tabs>
        <w:numPr>
          <w:ilvl w:val="0"/>
          <w:numId w:val="11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Administraton of Policy</w:t>
      </w:r>
      <w:r>
        <w:rPr>
          <w:rFonts w:ascii="Calibri" w:cs="Calibri" w:eastAsia="Calibri" w:hAnsi="Calibri"/>
          <w:sz w:val="20"/>
          <w:szCs w:val="20"/>
          <w:color w:val="auto"/>
        </w:rPr>
        <w:t>. The Compensaton Commitee will have full authority to administer this Policy. Actons of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Compensaton Commitee pursuant to this Policy will be taken by the vote of a majority of its members. The Compensaton Commitee will, subject to the provisions of this Policy and Rule 10D-1 of the Securites Exchange Act of 1934, as amended (the “</w:t>
      </w:r>
      <w:r>
        <w:rPr>
          <w:rFonts w:ascii="Calibri" w:cs="Calibri" w:eastAsia="Calibri" w:hAnsi="Calibri"/>
          <w:sz w:val="20"/>
          <w:szCs w:val="20"/>
          <w:u w:val="single" w:color="auto"/>
          <w:color w:val="auto"/>
        </w:rPr>
        <w:t>Exchange Act</w:t>
      </w:r>
      <w:r>
        <w:rPr>
          <w:rFonts w:ascii="Calibri" w:cs="Calibri" w:eastAsia="Calibri" w:hAnsi="Calibri"/>
          <w:sz w:val="20"/>
          <w:szCs w:val="20"/>
          <w:color w:val="auto"/>
        </w:rPr>
        <w:t>”), and Microsof’s applicable exchange listng standards, make such determinatons and interpretatons and take such actons in connecton with this Policy as it deems necessary, appropriate or advisable. All determinatons and interpretatons made by the Compensaton Commitee will be fnal, binding and conclusive.</w:t>
      </w:r>
    </w:p>
    <w:p>
      <w:pPr>
        <w:spacing w:after="0" w:line="200" w:lineRule="exact"/>
        <w:rPr>
          <w:rFonts w:ascii="Calibri" w:cs="Calibri" w:eastAsia="Calibri" w:hAnsi="Calibri"/>
          <w:sz w:val="20"/>
          <w:szCs w:val="20"/>
          <w:b w:val="1"/>
          <w:bCs w:val="1"/>
          <w:color w:val="auto"/>
        </w:rPr>
      </w:pPr>
    </w:p>
    <w:p>
      <w:pPr>
        <w:ind w:left="740" w:hanging="378"/>
        <w:spacing w:after="0" w:line="237" w:lineRule="auto"/>
        <w:tabs>
          <w:tab w:leader="none" w:pos="740" w:val="left"/>
        </w:tabs>
        <w:numPr>
          <w:ilvl w:val="0"/>
          <w:numId w:val="11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Other Claims and Rights</w:t>
      </w:r>
      <w:r>
        <w:rPr>
          <w:rFonts w:ascii="Calibri" w:cs="Calibri" w:eastAsia="Calibri" w:hAnsi="Calibri"/>
          <w:sz w:val="20"/>
          <w:szCs w:val="20"/>
          <w:color w:val="auto"/>
        </w:rPr>
        <w:t>. The remedies under this Policy are in additon to, and not in lieu of, any legal and equitable claims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Microsof or any of its afliates may have or any actons that may be imposed by law enforcement agencies, regulators, administratve bodies, or other authorites. Further, the exercise by the Compensaton Commitee of any rights pursuant to this Policy will not impact any other rights that Microsof or any of its afliates may have with respect to any Covered Ofcer subject to this Policy.</w:t>
      </w:r>
    </w:p>
    <w:p>
      <w:pPr>
        <w:spacing w:after="0" w:line="185" w:lineRule="exact"/>
        <w:rPr>
          <w:rFonts w:ascii="Calibri" w:cs="Calibri" w:eastAsia="Calibri" w:hAnsi="Calibri"/>
          <w:sz w:val="20"/>
          <w:szCs w:val="20"/>
          <w:b w:val="1"/>
          <w:bCs w:val="1"/>
          <w:color w:val="auto"/>
        </w:rPr>
      </w:pPr>
    </w:p>
    <w:p>
      <w:pPr>
        <w:ind w:left="740" w:right="120" w:hanging="378"/>
        <w:spacing w:after="0" w:line="236" w:lineRule="auto"/>
        <w:tabs>
          <w:tab w:leader="none" w:pos="740" w:val="left"/>
        </w:tabs>
        <w:numPr>
          <w:ilvl w:val="0"/>
          <w:numId w:val="11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Conditon to Eligibility for Incentve Compensaton</w:t>
      </w:r>
      <w:r>
        <w:rPr>
          <w:rFonts w:ascii="Calibri" w:cs="Calibri" w:eastAsia="Calibri" w:hAnsi="Calibri"/>
          <w:sz w:val="20"/>
          <w:szCs w:val="20"/>
          <w:color w:val="auto"/>
        </w:rPr>
        <w:t>. All Incentve Compensaton subject to this Policy will not be earned, even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if already paid, untl the Policy ceases to apply to such Incentve Compensaton and any other vestng conditons applicable to such Incentve Compensaton are satsfed.</w:t>
      </w:r>
    </w:p>
    <w:p>
      <w:pPr>
        <w:spacing w:after="0" w:line="174" w:lineRule="exact"/>
        <w:rPr>
          <w:rFonts w:ascii="Calibri" w:cs="Calibri" w:eastAsia="Calibri" w:hAnsi="Calibri"/>
          <w:sz w:val="20"/>
          <w:szCs w:val="20"/>
          <w:b w:val="1"/>
          <w:bCs w:val="1"/>
          <w:color w:val="auto"/>
        </w:rPr>
      </w:pPr>
    </w:p>
    <w:p>
      <w:pPr>
        <w:ind w:left="740" w:hanging="378"/>
        <w:spacing w:after="0"/>
        <w:tabs>
          <w:tab w:leader="none" w:pos="740" w:val="left"/>
        </w:tabs>
        <w:numPr>
          <w:ilvl w:val="0"/>
          <w:numId w:val="11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Amendment; Terminaton</w:t>
      </w:r>
      <w:r>
        <w:rPr>
          <w:rFonts w:ascii="Calibri" w:cs="Calibri" w:eastAsia="Calibri" w:hAnsi="Calibri"/>
          <w:sz w:val="20"/>
          <w:szCs w:val="20"/>
          <w:color w:val="auto"/>
        </w:rPr>
        <w:t>. The Board or the Compensaton Commitee may amend or terminate this Policy at any tme.</w:t>
      </w:r>
    </w:p>
    <w:p>
      <w:pPr>
        <w:spacing w:after="0" w:line="208" w:lineRule="exact"/>
        <w:rPr>
          <w:sz w:val="20"/>
          <w:szCs w:val="20"/>
          <w:color w:val="auto"/>
        </w:rPr>
      </w:pPr>
    </w:p>
    <w:p>
      <w:pPr>
        <w:spacing w:after="0"/>
        <w:tabs>
          <w:tab w:leader="none" w:pos="7980" w:val="left"/>
        </w:tabs>
        <w:rPr>
          <w:sz w:val="20"/>
          <w:szCs w:val="20"/>
          <w:color w:val="auto"/>
        </w:rPr>
      </w:pPr>
      <w:r>
        <w:rPr>
          <w:rFonts w:ascii="Calibri" w:cs="Calibri" w:eastAsia="Calibri" w:hAnsi="Calibri"/>
          <w:sz w:val="18"/>
          <w:szCs w:val="18"/>
          <w:color w:val="auto"/>
        </w:rPr>
        <w:t>Microsof Corporaton</w:t>
      </w:r>
      <w:r>
        <w:rPr>
          <w:sz w:val="20"/>
          <w:szCs w:val="20"/>
          <w:color w:val="auto"/>
        </w:rPr>
        <w:tab/>
      </w:r>
      <w:r>
        <w:rPr>
          <w:rFonts w:ascii="Calibri" w:cs="Calibri" w:eastAsia="Calibri" w:hAnsi="Calibri"/>
          <w:sz w:val="18"/>
          <w:szCs w:val="18"/>
          <w:color w:val="auto"/>
        </w:rPr>
        <w:t>2 | Executve Compensaton Recovery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628015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63" w:name="page164"/>
    <w:bookmarkEnd w:id="163"/>
    <w:p>
      <w:pPr>
        <w:spacing w:after="0" w:line="147" w:lineRule="exact"/>
        <w:rPr>
          <w:sz w:val="20"/>
          <w:szCs w:val="20"/>
          <w:color w:val="auto"/>
        </w:rPr>
      </w:pPr>
    </w:p>
    <w:p>
      <w:pPr>
        <w:ind w:left="740" w:right="300" w:hanging="378"/>
        <w:spacing w:after="0"/>
        <w:tabs>
          <w:tab w:leader="none" w:pos="740" w:val="left"/>
        </w:tabs>
        <w:numPr>
          <w:ilvl w:val="0"/>
          <w:numId w:val="11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Efectveness</w:t>
      </w:r>
      <w:r>
        <w:rPr>
          <w:rFonts w:ascii="Calibri" w:cs="Calibri" w:eastAsia="Calibri" w:hAnsi="Calibri"/>
          <w:sz w:val="20"/>
          <w:szCs w:val="20"/>
          <w:color w:val="auto"/>
        </w:rPr>
        <w:t>. Except as otherwise determined in writng by the Compensaton Commitee, this Policy will apply to any</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Incentve Compensaton that (a) in the case of any Restatement, is Received by Covered Ofcers prior to, on or following the Efectve Date, and (b) in the case of Misconduct, is awarded or paid to a Covered Ofcer on or afer the Efectve Date. This Policy will survive and contnue notwithstanding any terminaton of a Covered Ofcer’s employment with Microsof and its afliates.</w:t>
      </w:r>
    </w:p>
    <w:p>
      <w:pPr>
        <w:spacing w:after="0" w:line="200" w:lineRule="exact"/>
        <w:rPr>
          <w:rFonts w:ascii="Calibri" w:cs="Calibri" w:eastAsia="Calibri" w:hAnsi="Calibri"/>
          <w:sz w:val="20"/>
          <w:szCs w:val="20"/>
          <w:b w:val="1"/>
          <w:bCs w:val="1"/>
          <w:color w:val="auto"/>
        </w:rPr>
      </w:pPr>
    </w:p>
    <w:p>
      <w:pPr>
        <w:spacing w:after="0" w:line="227" w:lineRule="exact"/>
        <w:rPr>
          <w:rFonts w:ascii="Calibri" w:cs="Calibri" w:eastAsia="Calibri" w:hAnsi="Calibri"/>
          <w:sz w:val="20"/>
          <w:szCs w:val="20"/>
          <w:b w:val="1"/>
          <w:bCs w:val="1"/>
          <w:color w:val="auto"/>
        </w:rPr>
      </w:pPr>
    </w:p>
    <w:p>
      <w:pPr>
        <w:ind w:left="740" w:right="200" w:hanging="378"/>
        <w:spacing w:after="0" w:line="234" w:lineRule="auto"/>
        <w:tabs>
          <w:tab w:leader="none" w:pos="740" w:val="left"/>
        </w:tabs>
        <w:numPr>
          <w:ilvl w:val="0"/>
          <w:numId w:val="11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Successors</w:t>
      </w:r>
      <w:r>
        <w:rPr>
          <w:rFonts w:ascii="Calibri" w:cs="Calibri" w:eastAsia="Calibri" w:hAnsi="Calibri"/>
          <w:sz w:val="20"/>
          <w:szCs w:val="20"/>
          <w:color w:val="auto"/>
        </w:rPr>
        <w:t>. This Policy shall be binding and enforceable against all Covered Ofcers and their successors, benefciaries, heirs,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executors, administrators, or other legal representatves.</w:t>
      </w:r>
    </w:p>
    <w:p>
      <w:pPr>
        <w:spacing w:after="0" w:line="185" w:lineRule="exact"/>
        <w:rPr>
          <w:rFonts w:ascii="Calibri" w:cs="Calibri" w:eastAsia="Calibri" w:hAnsi="Calibri"/>
          <w:sz w:val="20"/>
          <w:szCs w:val="20"/>
          <w:b w:val="1"/>
          <w:bCs w:val="1"/>
          <w:color w:val="auto"/>
        </w:rPr>
      </w:pPr>
    </w:p>
    <w:p>
      <w:pPr>
        <w:ind w:left="740" w:right="180" w:hanging="378"/>
        <w:spacing w:after="0" w:line="234" w:lineRule="auto"/>
        <w:tabs>
          <w:tab w:leader="none" w:pos="740" w:val="left"/>
        </w:tabs>
        <w:numPr>
          <w:ilvl w:val="0"/>
          <w:numId w:val="11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Governing Law</w:t>
      </w:r>
      <w:r>
        <w:rPr>
          <w:rFonts w:ascii="Calibri" w:cs="Calibri" w:eastAsia="Calibri" w:hAnsi="Calibri"/>
          <w:sz w:val="20"/>
          <w:szCs w:val="20"/>
          <w:color w:val="auto"/>
        </w:rPr>
        <w:t>. To the extent not preempted by U.S. federal law, this Policy will be governed by and construed in accordance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with the laws of the State of Washington, without reference to principles of confict of laws.</w:t>
      </w:r>
    </w:p>
    <w:p>
      <w:pPr>
        <w:spacing w:after="0" w:line="210" w:lineRule="exact"/>
        <w:rPr>
          <w:sz w:val="20"/>
          <w:szCs w:val="20"/>
          <w:color w:val="auto"/>
        </w:rPr>
      </w:pPr>
    </w:p>
    <w:p>
      <w:pPr>
        <w:spacing w:after="0"/>
        <w:tabs>
          <w:tab w:leader="none" w:pos="7980" w:val="left"/>
        </w:tabs>
        <w:rPr>
          <w:sz w:val="20"/>
          <w:szCs w:val="20"/>
          <w:color w:val="auto"/>
        </w:rPr>
      </w:pPr>
      <w:r>
        <w:rPr>
          <w:rFonts w:ascii="Calibri" w:cs="Calibri" w:eastAsia="Calibri" w:hAnsi="Calibri"/>
          <w:sz w:val="18"/>
          <w:szCs w:val="18"/>
          <w:color w:val="auto"/>
        </w:rPr>
        <w:t>Microsof Corporaton</w:t>
      </w:r>
      <w:r>
        <w:rPr>
          <w:sz w:val="20"/>
          <w:szCs w:val="20"/>
          <w:color w:val="auto"/>
        </w:rPr>
        <w:tab/>
      </w:r>
      <w:r>
        <w:rPr>
          <w:rFonts w:ascii="Calibri" w:cs="Calibri" w:eastAsia="Calibri" w:hAnsi="Calibri"/>
          <w:sz w:val="18"/>
          <w:szCs w:val="18"/>
          <w:color w:val="auto"/>
        </w:rPr>
        <w:t>3 | Executve Compensaton Recovery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628015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64" w:name="page165"/>
    <w:bookmarkEnd w:id="164"/>
    <w:p>
      <w:pPr>
        <w:jc w:val="center"/>
        <w:ind w:right="-19"/>
        <w:spacing w:after="0"/>
        <w:rPr>
          <w:sz w:val="20"/>
          <w:szCs w:val="20"/>
          <w:color w:val="auto"/>
        </w:rPr>
      </w:pPr>
      <w:r>
        <w:rPr>
          <w:rFonts w:ascii="Calibri" w:cs="Calibri" w:eastAsia="Calibri" w:hAnsi="Calibri"/>
          <w:sz w:val="20"/>
          <w:szCs w:val="20"/>
          <w:b w:val="1"/>
          <w:bCs w:val="1"/>
          <w:u w:val="single" w:color="auto"/>
          <w:color w:val="auto"/>
        </w:rPr>
        <w:t>EXHIBIT A</w:t>
      </w:r>
    </w:p>
    <w:p>
      <w:pPr>
        <w:spacing w:after="0" w:line="174"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u w:val="single" w:color="auto"/>
          <w:color w:val="auto"/>
        </w:rPr>
        <w:t>DEFINITIONS</w:t>
      </w:r>
    </w:p>
    <w:p>
      <w:pPr>
        <w:spacing w:after="0" w:line="198"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Applicable Period</w:t>
      </w:r>
      <w:r>
        <w:rPr>
          <w:rFonts w:ascii="Calibri" w:cs="Calibri" w:eastAsia="Calibri" w:hAnsi="Calibri"/>
          <w:sz w:val="20"/>
          <w:szCs w:val="20"/>
          <w:color w:val="auto"/>
        </w:rPr>
        <w:t>” means (a) in the case of any Restatement, the three completed fscal years of Microsof immediately preceding the earlier of (i) the date the Board, a commitee of the Board, or the ofcer or ofcers of Microsof authorized to take such acton if Board acton is not required, concludes (or reasonably should have concluded) that a Restatement is required or (ii) the date a regulator, court or other legally authorized entty directs Microsof to undertake a Restatement, and (b) in the case of any Misconduct, such period as the Compensaton Commitee or Board determines to be appropriate in light of the scope and nature of the Misconduct. The “Applicable Period” also includes any transiton period (that results from a change in Microsof’s fscal year) within or immediately following the three completed fscal years identfed in the preceding sentence.</w:t>
      </w:r>
    </w:p>
    <w:p>
      <w:pPr>
        <w:spacing w:after="0" w:line="179"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Board</w:t>
      </w:r>
      <w:r>
        <w:rPr>
          <w:rFonts w:ascii="Calibri" w:cs="Calibri" w:eastAsia="Calibri" w:hAnsi="Calibri"/>
          <w:sz w:val="20"/>
          <w:szCs w:val="20"/>
          <w:color w:val="auto"/>
        </w:rPr>
        <w:t>” means the Board of Directors of Microsof.</w:t>
      </w:r>
    </w:p>
    <w:p>
      <w:pPr>
        <w:spacing w:after="0" w:line="184" w:lineRule="exact"/>
        <w:rPr>
          <w:sz w:val="20"/>
          <w:szCs w:val="20"/>
          <w:color w:val="auto"/>
        </w:rPr>
      </w:pPr>
    </w:p>
    <w:p>
      <w:pPr>
        <w:ind w:right="160"/>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Compensaton Commitee</w:t>
      </w:r>
      <w:r>
        <w:rPr>
          <w:rFonts w:ascii="Calibri" w:cs="Calibri" w:eastAsia="Calibri" w:hAnsi="Calibri"/>
          <w:sz w:val="20"/>
          <w:szCs w:val="20"/>
          <w:color w:val="auto"/>
        </w:rPr>
        <w:t>” means Microsof’s commitee of independent directors responsible for executve compensaton decisions, or in the absence of such a commitee, a majority of the independent directors serving on the Board.</w:t>
      </w:r>
    </w:p>
    <w:p>
      <w:pPr>
        <w:spacing w:after="0" w:line="199" w:lineRule="exact"/>
        <w:rPr>
          <w:sz w:val="20"/>
          <w:szCs w:val="20"/>
          <w:color w:val="auto"/>
        </w:rPr>
      </w:pPr>
    </w:p>
    <w:p>
      <w:pPr>
        <w:ind w:right="120"/>
        <w:spacing w:after="0" w:line="237"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Covered Ofcer</w:t>
      </w:r>
      <w:r>
        <w:rPr>
          <w:rFonts w:ascii="Calibri" w:cs="Calibri" w:eastAsia="Calibri" w:hAnsi="Calibri"/>
          <w:sz w:val="20"/>
          <w:szCs w:val="20"/>
          <w:color w:val="auto"/>
        </w:rPr>
        <w:t>” means (a) in the case of any Restatement, any person who is, or was at any tme, during the Applicable Period, an Executve Ofcer of Microsof or an SLT Member, and (b) in the case of any Misconduct, any person who was an Executve Ofcer or an SLT Member at the tme of the Misconduct. For the avoidance of doubt, a Covered Ofcer may include a former Executve Ofcer or SLT Member that lef Microsof, retred, or transitoned to an employee role (including afer serving as an Executve Ofcer in an interim capacity) during the Applicable Period.</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Efectve Date</w:t>
      </w:r>
      <w:r>
        <w:rPr>
          <w:rFonts w:ascii="Calibri" w:cs="Calibri" w:eastAsia="Calibri" w:hAnsi="Calibri"/>
          <w:sz w:val="20"/>
          <w:szCs w:val="20"/>
          <w:color w:val="auto"/>
        </w:rPr>
        <w:t>” means July 1, 2023.</w:t>
      </w:r>
    </w:p>
    <w:p>
      <w:pPr>
        <w:spacing w:after="0" w:line="184" w:lineRule="exact"/>
        <w:rPr>
          <w:sz w:val="20"/>
          <w:szCs w:val="20"/>
          <w:color w:val="auto"/>
        </w:rPr>
      </w:pPr>
    </w:p>
    <w:p>
      <w:pPr>
        <w:ind w:right="140"/>
        <w:spacing w:after="0" w:line="236"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Executve Ofcer</w:t>
      </w:r>
      <w:r>
        <w:rPr>
          <w:rFonts w:ascii="Calibri" w:cs="Calibri" w:eastAsia="Calibri" w:hAnsi="Calibri"/>
          <w:sz w:val="20"/>
          <w:szCs w:val="20"/>
          <w:color w:val="auto"/>
        </w:rPr>
        <w:t>” means Microsof’s president, principal fnancial ofcer, principal accountng ofcer (or if there is no such accountng ofcer, the controller), any vice-president in charge of a principal business unit, division, or functon (such as sales, administraton, or fnance), any other ofcer who performs a policy-making functon, or any other person (including an ofcer of Microsof’s parent(s) or subsidiaries) who performs similar policy-making functons for Microsof.</w:t>
      </w:r>
    </w:p>
    <w:p>
      <w:pPr>
        <w:spacing w:after="0" w:line="201"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Financial Performance Measure</w:t>
      </w:r>
      <w:r>
        <w:rPr>
          <w:rFonts w:ascii="Calibri" w:cs="Calibri" w:eastAsia="Calibri" w:hAnsi="Calibri"/>
          <w:sz w:val="20"/>
          <w:szCs w:val="20"/>
          <w:color w:val="auto"/>
        </w:rPr>
        <w:t>” means a measure that is determined and presented in accordance with the accountng principles used in preparing Microsof’s fnancial statements (including “non-GAAP” fnancial measures, such as those appearing in Microsof’s earnings releases or Management Discussion and Analysis), and any measure that is derived wholly or in part from such measure. Stock price and total shareholder return (and any measures derived wholly or in part therefrom) shall be considered Financial Performance Measures.</w:t>
      </w:r>
    </w:p>
    <w:p>
      <w:pPr>
        <w:spacing w:after="0" w:line="187" w:lineRule="exact"/>
        <w:rPr>
          <w:sz w:val="20"/>
          <w:szCs w:val="20"/>
          <w:color w:val="auto"/>
        </w:rPr>
      </w:pPr>
    </w:p>
    <w:p>
      <w:pPr>
        <w:ind w:right="60"/>
        <w:spacing w:after="0" w:line="237"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Impractcable</w:t>
      </w:r>
      <w:r>
        <w:rPr>
          <w:rFonts w:ascii="Calibri" w:cs="Calibri" w:eastAsia="Calibri" w:hAnsi="Calibri"/>
          <w:sz w:val="20"/>
          <w:szCs w:val="20"/>
          <w:color w:val="auto"/>
        </w:rPr>
        <w:t>.” The Compensaton Commitee may determine in good faith that recovery of Recoverable Incentve Compensaton is “Impractcable” (a) in the case of any Restatement, if: (i) pursuing such recovery would violate home country law of the jurisdicton of incorporaton of the Company where that law was adopted prior to November 28, 2022 and Microsof provides an opinion of counsel to that efect acceptable to Microsof’s listng exchange; (ii) the direct expense paid to a third party to assist in enforcing this Policy would exceed the Recoverable Incentve Compensaton and Microsof has (A) made a reasonable atempt to recover such amounts and (B) provided documentaton of such atempts to recover to Microsof’s applicable listng exchange; or (iii) recovery would likely cause</w:t>
      </w:r>
    </w:p>
    <w:p>
      <w:pPr>
        <w:spacing w:after="0" w:line="211" w:lineRule="exact"/>
        <w:rPr>
          <w:sz w:val="20"/>
          <w:szCs w:val="20"/>
          <w:color w:val="auto"/>
        </w:rPr>
      </w:pPr>
    </w:p>
    <w:p>
      <w:pPr>
        <w:ind w:left="20"/>
        <w:spacing w:after="0"/>
        <w:tabs>
          <w:tab w:leader="none" w:pos="8000" w:val="left"/>
        </w:tabs>
        <w:rPr>
          <w:sz w:val="20"/>
          <w:szCs w:val="20"/>
          <w:color w:val="auto"/>
        </w:rPr>
      </w:pPr>
      <w:r>
        <w:rPr>
          <w:rFonts w:ascii="Calibri" w:cs="Calibri" w:eastAsia="Calibri" w:hAnsi="Calibri"/>
          <w:sz w:val="18"/>
          <w:szCs w:val="18"/>
          <w:color w:val="auto"/>
        </w:rPr>
        <w:t>Microsof Corporaton</w:t>
      </w:r>
      <w:r>
        <w:rPr>
          <w:sz w:val="20"/>
          <w:szCs w:val="20"/>
          <w:color w:val="auto"/>
        </w:rPr>
        <w:tab/>
      </w:r>
      <w:r>
        <w:rPr>
          <w:rFonts w:ascii="Calibri" w:cs="Calibri" w:eastAsia="Calibri" w:hAnsi="Calibri"/>
          <w:sz w:val="18"/>
          <w:szCs w:val="18"/>
          <w:color w:val="auto"/>
        </w:rPr>
        <w:t>4 | Executve Compensaton Recovery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2" w:right="359" w:bottom="1440" w:gutter="0" w:footer="0" w:header="0"/>
        </w:sectPr>
      </w:pPr>
    </w:p>
    <w:bookmarkStart w:id="165" w:name="page166"/>
    <w:bookmarkEnd w:id="165"/>
    <w:p>
      <w:pPr>
        <w:spacing w:after="0" w:line="147" w:lineRule="exact"/>
        <w:rPr>
          <w:sz w:val="20"/>
          <w:szCs w:val="20"/>
          <w:color w:val="auto"/>
        </w:rPr>
      </w:pPr>
    </w:p>
    <w:p>
      <w:pPr>
        <w:ind w:right="120"/>
        <w:spacing w:after="0" w:line="236" w:lineRule="auto"/>
        <w:rPr>
          <w:sz w:val="20"/>
          <w:szCs w:val="20"/>
          <w:color w:val="auto"/>
        </w:rPr>
      </w:pPr>
      <w:r>
        <w:rPr>
          <w:rFonts w:ascii="Calibri" w:cs="Calibri" w:eastAsia="Calibri" w:hAnsi="Calibri"/>
          <w:sz w:val="20"/>
          <w:szCs w:val="20"/>
          <w:color w:val="auto"/>
        </w:rPr>
        <w:t>an otherwise tax-qualifed retrement plan, under which benefts are broadly available to employees of Microsof, to fail to meet the requirements of the Internal Revenue Code of 1986, as amended, and (b) in the case of any Misconduct, in its sole discreton, in light of the scope and nature of the Misconduct.</w:t>
      </w:r>
    </w:p>
    <w:p>
      <w:pPr>
        <w:spacing w:after="0" w:line="198" w:lineRule="exact"/>
        <w:rPr>
          <w:sz w:val="20"/>
          <w:szCs w:val="20"/>
          <w:color w:val="auto"/>
        </w:rPr>
      </w:pPr>
    </w:p>
    <w:p>
      <w:pPr>
        <w:ind w:right="80"/>
        <w:spacing w:after="0" w:line="23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Incentve Compensaton</w:t>
      </w:r>
      <w:r>
        <w:rPr>
          <w:rFonts w:ascii="Calibri" w:cs="Calibri" w:eastAsia="Calibri" w:hAnsi="Calibri"/>
          <w:sz w:val="20"/>
          <w:szCs w:val="20"/>
          <w:color w:val="auto"/>
        </w:rPr>
        <w:t>” means any compensaton that is granted, earned, or vested based wholly or in part upon the atainment of a Financial Performance Measure. Incentve Compensaton does not include any base salaries (except with respect to any salary increases earned wholly or in part based on the atainment of a Financial Performance Measure performance goal); bonuses paid solely at the discreton of the Compensaton Commitee or Board that are not paid from a “bonus pool” that is determined by satsfying a Financial Performance Measure performance goal; bonuses paid solely upon satsfying one or more subjectve standards and/or completon of a specifed employment period; non-equity incentve plan awards earned solely upon satsfying one or more strategic measures or operatonal measures; and equity awards that vest solely based on the passage of tme and/or ataining one or more non-Financial Performance Measures. Notwithstanding the foregoing, in the case of any Misconduct, Incentve Compensaton will include all forms of cash and equity incentve compensaton, including, without limitaton, cash bonuses and equity awards that are received or vest solely based on the passage of tme and/or ataining one or more non-Financial Performance Measures.</w:t>
      </w:r>
    </w:p>
    <w:p>
      <w:pPr>
        <w:spacing w:after="0" w:line="185" w:lineRule="exact"/>
        <w:rPr>
          <w:sz w:val="20"/>
          <w:szCs w:val="20"/>
          <w:color w:val="auto"/>
        </w:rPr>
      </w:pPr>
    </w:p>
    <w:p>
      <w:pPr>
        <w:jc w:val="both"/>
        <w:ind w:right="120"/>
        <w:spacing w:after="0" w:line="236"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Received</w:t>
      </w:r>
      <w:r>
        <w:rPr>
          <w:rFonts w:ascii="Calibri" w:cs="Calibri" w:eastAsia="Calibri" w:hAnsi="Calibri"/>
          <w:sz w:val="20"/>
          <w:szCs w:val="20"/>
          <w:color w:val="auto"/>
        </w:rPr>
        <w:t>.” Incentve Compensaton is deemed “Received” in Microsof’s fscal period during which the Financial Performance Measure specifed in the Incentve Compensaton award is atained, even if the payment or grant of the Incentve Compensaton occurs afer the end of that period.</w:t>
      </w:r>
    </w:p>
    <w:p>
      <w:pPr>
        <w:spacing w:after="0" w:line="184" w:lineRule="exact"/>
        <w:rPr>
          <w:sz w:val="20"/>
          <w:szCs w:val="20"/>
          <w:color w:val="auto"/>
        </w:rPr>
      </w:pPr>
    </w:p>
    <w:p>
      <w:pPr>
        <w:spacing w:after="0" w:line="238"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Recoverable Incentve Compensaton</w:t>
      </w:r>
      <w:r>
        <w:rPr>
          <w:rFonts w:ascii="Calibri" w:cs="Calibri" w:eastAsia="Calibri" w:hAnsi="Calibri"/>
          <w:sz w:val="20"/>
          <w:szCs w:val="20"/>
          <w:color w:val="auto"/>
        </w:rPr>
        <w:t>” means (a) in the case of any Restatement, the amount of any Incentve Compensaton (calculated on a pre-tax basis) Received by a Covered Ofcer during the Applicable Period that is in excess of the amount that otherwise would have been Received if the calculaton were based on the Restatement, and (b) in the case of any Misconduct, the amount of any Incentve Compensaton (calculated on a pre-tax basis) awarded or paid to a Covered Ofcer during the Applicable Period that the Compensaton Commitee determines, in its sole discreton, to be appropriate in light of the scope and nature of the Misconduct. For the avoidance of doubt, in the case of any Restatement, Recoverable Incentve Compensaton does not include any Incentve Compensaton Received by a person (i) before such person began service as a Covered Ofcer and (ii) who did not serve as a Covered Ofcer at any tme during the performance period for that Incentve Compensaton. For the avoidance of doubt, in the case of any Restatement, Recoverable Incentve Compensaton may include Incentve Compensaton Received by a person while serving as an employee if such person previously served as a Covered Ofcer and then transitoned to an employee role. For Incentve Compensaton based on (or derived from) stock price or total shareholder return where the amount of Recoverable Incentve Compensaton is not subject to mathematcal recalculaton directly from the informaton in the applicable Restatement, the amount will be determined by the Compensaton Commitee based on a reasonable estmate of the efect of the Restatement on the stock price or total shareholder return upon which the Incentve Compensaton was Received (in which case, Microsof will maintain documentaton of such determinaton of that reasonable estmate and provide such documentaton to Microsof’s applicable listng exchange).</w:t>
      </w:r>
    </w:p>
    <w:p>
      <w:pPr>
        <w:spacing w:after="0" w:line="203"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Restatement</w:t>
      </w:r>
      <w:r>
        <w:rPr>
          <w:rFonts w:ascii="Calibri" w:cs="Calibri" w:eastAsia="Calibri" w:hAnsi="Calibri"/>
          <w:sz w:val="20"/>
          <w:szCs w:val="20"/>
          <w:color w:val="auto"/>
        </w:rPr>
        <w:t>” means an accountng restatement of any of Microsof’s fnancial statements fled with the Securites and Exchange Commission under the Exchange Act, or the Securites Act of 1933, as amended, due to Microsof’s material noncompliance with any fnancial reportng requirement under U.S. securites laws, regardless of whether Microsof or Covered Ofcer misconduct was the cause for such restatement. “Restatement” includes any required accountng restatement to correct an error in previously issued fnancial statements that is material to the previously issued fnancial statements</w:t>
      </w:r>
    </w:p>
    <w:p>
      <w:pPr>
        <w:spacing w:after="0" w:line="209" w:lineRule="exact"/>
        <w:rPr>
          <w:sz w:val="20"/>
          <w:szCs w:val="20"/>
          <w:color w:val="auto"/>
        </w:rPr>
      </w:pPr>
    </w:p>
    <w:p>
      <w:pPr>
        <w:ind w:left="20"/>
        <w:spacing w:after="0"/>
        <w:tabs>
          <w:tab w:leader="none" w:pos="8000" w:val="left"/>
        </w:tabs>
        <w:rPr>
          <w:sz w:val="20"/>
          <w:szCs w:val="20"/>
          <w:color w:val="auto"/>
        </w:rPr>
      </w:pPr>
      <w:r>
        <w:rPr>
          <w:rFonts w:ascii="Calibri" w:cs="Calibri" w:eastAsia="Calibri" w:hAnsi="Calibri"/>
          <w:sz w:val="18"/>
          <w:szCs w:val="18"/>
          <w:color w:val="auto"/>
        </w:rPr>
        <w:t>Microsof Corporaton</w:t>
      </w:r>
      <w:r>
        <w:rPr>
          <w:sz w:val="20"/>
          <w:szCs w:val="20"/>
          <w:color w:val="auto"/>
        </w:rPr>
        <w:tab/>
      </w:r>
      <w:r>
        <w:rPr>
          <w:rFonts w:ascii="Calibri" w:cs="Calibri" w:eastAsia="Calibri" w:hAnsi="Calibri"/>
          <w:sz w:val="18"/>
          <w:szCs w:val="18"/>
          <w:color w:val="auto"/>
        </w:rPr>
        <w:t>5 | Executve Compensaton Recovery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6" w:name="page167"/>
    <w:bookmarkEnd w:id="166"/>
    <w:p>
      <w:pPr>
        <w:spacing w:after="0" w:line="147" w:lineRule="exact"/>
        <w:rPr>
          <w:sz w:val="20"/>
          <w:szCs w:val="20"/>
          <w:color w:val="auto"/>
        </w:rPr>
      </w:pPr>
    </w:p>
    <w:p>
      <w:pPr>
        <w:ind w:right="600"/>
        <w:spacing w:after="0" w:line="234" w:lineRule="auto"/>
        <w:rPr>
          <w:sz w:val="20"/>
          <w:szCs w:val="20"/>
          <w:color w:val="auto"/>
        </w:rPr>
      </w:pPr>
      <w:r>
        <w:rPr>
          <w:rFonts w:ascii="Calibri" w:cs="Calibri" w:eastAsia="Calibri" w:hAnsi="Calibri"/>
          <w:sz w:val="20"/>
          <w:szCs w:val="20"/>
          <w:color w:val="auto"/>
        </w:rPr>
        <w:t>(commonly referred to as “Big R” restatements), or that would result in a material misstatement if the error were corrected in the current period or lef uncorrected in the current period (commonly referred to as “litle r” restatements).</w:t>
      </w:r>
    </w:p>
    <w:p>
      <w:pPr>
        <w:spacing w:after="0" w:line="199"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SLT Member</w:t>
      </w:r>
      <w:r>
        <w:rPr>
          <w:rFonts w:ascii="Calibri" w:cs="Calibri" w:eastAsia="Calibri" w:hAnsi="Calibri"/>
          <w:sz w:val="20"/>
          <w:szCs w:val="20"/>
          <w:color w:val="auto"/>
        </w:rPr>
        <w:t>” means any person who has been designated as a member of Microsof’s Senior Leadership Team, other than an Executve Ofcer.</w:t>
      </w:r>
    </w:p>
    <w:p>
      <w:pPr>
        <w:spacing w:after="0" w:line="351" w:lineRule="exact"/>
        <w:rPr>
          <w:sz w:val="20"/>
          <w:szCs w:val="20"/>
          <w:color w:val="auto"/>
        </w:rPr>
      </w:pPr>
    </w:p>
    <w:p>
      <w:pPr>
        <w:spacing w:after="0"/>
        <w:rPr>
          <w:sz w:val="20"/>
          <w:szCs w:val="20"/>
          <w:color w:val="auto"/>
        </w:rPr>
      </w:pPr>
      <w:r>
        <w:rPr>
          <w:rFonts w:ascii="Calibri" w:cs="Calibri" w:eastAsia="Calibri" w:hAnsi="Calibri"/>
          <w:sz w:val="20"/>
          <w:szCs w:val="20"/>
          <w:color w:val="auto"/>
        </w:rPr>
        <w:t>Updated July 1, 2023</w:t>
      </w:r>
    </w:p>
    <w:p>
      <w:pPr>
        <w:spacing w:after="0" w:line="208" w:lineRule="exact"/>
        <w:rPr>
          <w:sz w:val="20"/>
          <w:szCs w:val="20"/>
          <w:color w:val="auto"/>
        </w:rPr>
      </w:pPr>
    </w:p>
    <w:p>
      <w:pPr>
        <w:ind w:left="20"/>
        <w:spacing w:after="0"/>
        <w:tabs>
          <w:tab w:leader="none" w:pos="8000" w:val="left"/>
        </w:tabs>
        <w:rPr>
          <w:sz w:val="20"/>
          <w:szCs w:val="20"/>
          <w:color w:val="auto"/>
        </w:rPr>
      </w:pPr>
      <w:r>
        <w:rPr>
          <w:rFonts w:ascii="Calibri" w:cs="Calibri" w:eastAsia="Calibri" w:hAnsi="Calibri"/>
          <w:sz w:val="18"/>
          <w:szCs w:val="18"/>
          <w:color w:val="auto"/>
        </w:rPr>
        <w:t>Microsof Corporaton</w:t>
      </w:r>
      <w:r>
        <w:rPr>
          <w:sz w:val="20"/>
          <w:szCs w:val="20"/>
          <w:color w:val="auto"/>
        </w:rPr>
        <w:tab/>
      </w:r>
      <w:r>
        <w:rPr>
          <w:rFonts w:ascii="Calibri" w:cs="Calibri" w:eastAsia="Calibri" w:hAnsi="Calibri"/>
          <w:sz w:val="18"/>
          <w:szCs w:val="18"/>
          <w:color w:val="auto"/>
        </w:rPr>
        <w:t>6 | Executve Compensaton Recovery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7" w:name="page168"/>
    <w:bookmarkEnd w:id="1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1)"/>
      <w:numFmt w:val="lowerLetter"/>
      <w:start w:val="1"/>
    </w:lvl>
  </w:abstractNum>
  <w:abstractNum w:abstractNumId="26">
    <w:nsid w:val="6B94764"/>
    <w:multiLevelType w:val="hybridMultilevel"/>
    <w:lvl w:ilvl="0">
      <w:lvlJc w:val="left"/>
      <w:lvlText w:val="•"/>
      <w:numFmt w:val="bullet"/>
      <w:start w:val="1"/>
    </w:lvl>
  </w:abstractNum>
  <w:abstractNum w:abstractNumId="27">
    <w:nsid w:val="42C296BD"/>
    <w:multiLevelType w:val="hybridMultilevel"/>
    <w:lvl w:ilvl="0">
      <w:lvlJc w:val="left"/>
      <w:lvlText w:val="•"/>
      <w:numFmt w:val="bullet"/>
      <w:start w:val="1"/>
    </w:lvl>
  </w:abstractNum>
  <w:abstractNum w:abstractNumId="28">
    <w:nsid w:val="168E121F"/>
    <w:multiLevelType w:val="hybridMultilevel"/>
    <w:lvl w:ilvl="0">
      <w:lvlJc w:val="left"/>
      <w:lvlText w:val="(%1)"/>
      <w:numFmt w:val="lowerLetter"/>
      <w:start w:val="1"/>
    </w:lvl>
  </w:abstractNum>
  <w:abstractNum w:abstractNumId="29">
    <w:nsid w:val="1EBA5D23"/>
    <w:multiLevelType w:val="hybridMultilevel"/>
    <w:lvl w:ilvl="0">
      <w:lvlJc w:val="left"/>
      <w:lvlText w:val="(%1)"/>
      <w:numFmt w:val="lowerLetter"/>
      <w:start w:val="1"/>
    </w:lvl>
  </w:abstractNum>
  <w:abstractNum w:abstractNumId="30">
    <w:nsid w:val="661E3F1E"/>
    <w:multiLevelType w:val="hybridMultilevel"/>
    <w:lvl w:ilvl="0">
      <w:lvlJc w:val="left"/>
      <w:lvlText w:val="(%1)"/>
      <w:numFmt w:val="lowerLetter"/>
      <w:start w:val="1"/>
    </w:lvl>
  </w:abstractNum>
  <w:abstractNum w:abstractNumId="31">
    <w:nsid w:val="5DC79EA8"/>
    <w:multiLevelType w:val="hybridMultilevel"/>
    <w:lvl w:ilvl="0">
      <w:lvlJc w:val="left"/>
      <w:lvlText w:val="(%1)"/>
      <w:numFmt w:val="lowerLetter"/>
      <w:start w:val="1"/>
    </w:lvl>
  </w:abstractNum>
  <w:abstractNum w:abstractNumId="32">
    <w:nsid w:val="540A471C"/>
    <w:multiLevelType w:val="hybridMultilevel"/>
    <w:lvl w:ilvl="0">
      <w:lvlJc w:val="left"/>
      <w:lvlText w:val="(%1)"/>
      <w:numFmt w:val="lowerLetter"/>
      <w:start w:val="1"/>
    </w:lvl>
  </w:abstractNum>
  <w:abstractNum w:abstractNumId="33">
    <w:nsid w:val="7BD3EE7B"/>
    <w:multiLevelType w:val="hybridMultilevel"/>
    <w:lvl w:ilvl="0">
      <w:lvlJc w:val="left"/>
      <w:lvlText w:val="(%1)"/>
      <w:numFmt w:val="lowerLetter"/>
      <w:start w:val="1"/>
    </w:lvl>
  </w:abstractNum>
  <w:abstractNum w:abstractNumId="34">
    <w:nsid w:val="51D9C564"/>
    <w:multiLevelType w:val="hybridMultilevel"/>
    <w:lvl w:ilvl="0">
      <w:lvlJc w:val="left"/>
      <w:lvlText w:val="(%1)"/>
      <w:numFmt w:val="lowerLetter"/>
      <w:start w:val="1"/>
    </w:lvl>
  </w:abstractNum>
  <w:abstractNum w:abstractNumId="35">
    <w:nsid w:val="613EFDC5"/>
    <w:multiLevelType w:val="hybridMultilevel"/>
    <w:lvl w:ilvl="0">
      <w:lvlJc w:val="left"/>
      <w:lvlText w:val="•"/>
      <w:numFmt w:val="bullet"/>
      <w:start w:val="1"/>
    </w:lvl>
  </w:abstractNum>
  <w:abstractNum w:abstractNumId="36">
    <w:nsid w:val="BF72B14"/>
    <w:multiLevelType w:val="hybridMultilevel"/>
    <w:lvl w:ilvl="0">
      <w:lvlJc w:val="left"/>
      <w:lvlText w:val="•"/>
      <w:numFmt w:val="bullet"/>
      <w:start w:val="1"/>
    </w:lvl>
  </w:abstractNum>
  <w:abstractNum w:abstractNumId="37">
    <w:nsid w:val="11447B73"/>
    <w:multiLevelType w:val="hybridMultilevel"/>
    <w:lvl w:ilvl="0">
      <w:lvlJc w:val="left"/>
      <w:lvlText w:val="•"/>
      <w:numFmt w:val="bullet"/>
      <w:start w:val="1"/>
    </w:lvl>
  </w:abstractNum>
  <w:abstractNum w:abstractNumId="38">
    <w:nsid w:val="42963E5A"/>
    <w:multiLevelType w:val="hybridMultilevel"/>
    <w:lvl w:ilvl="0">
      <w:lvlJc w:val="left"/>
      <w:lvlText w:val="•"/>
      <w:numFmt w:val="bullet"/>
      <w:start w:val="1"/>
    </w:lvl>
  </w:abstractNum>
  <w:abstractNum w:abstractNumId="39">
    <w:nsid w:val="A0382C5"/>
    <w:multiLevelType w:val="hybridMultilevel"/>
    <w:lvl w:ilvl="0">
      <w:lvlJc w:val="left"/>
      <w:lvlText w:val="(%1)"/>
      <w:numFmt w:val="lowerLetter"/>
      <w:start w:val="1"/>
    </w:lvl>
  </w:abstractNum>
  <w:abstractNum w:abstractNumId="40">
    <w:nsid w:val="8F2B15E"/>
    <w:multiLevelType w:val="hybridMultilevel"/>
    <w:lvl w:ilvl="0">
      <w:lvlJc w:val="left"/>
      <w:lvlText w:val="\emdash "/>
      <w:numFmt w:val="bullet"/>
      <w:start w:val="1"/>
    </w:lvl>
  </w:abstractNum>
  <w:abstractNum w:abstractNumId="41">
    <w:nsid w:val="1A32234B"/>
    <w:multiLevelType w:val="hybridMultilevel"/>
    <w:lvl w:ilvl="0">
      <w:lvlJc w:val="left"/>
      <w:lvlText w:val="•"/>
      <w:numFmt w:val="bullet"/>
      <w:start w:val="1"/>
    </w:lvl>
  </w:abstractNum>
  <w:abstractNum w:abstractNumId="42">
    <w:nsid w:val="3B0FD379"/>
    <w:multiLevelType w:val="hybridMultilevel"/>
    <w:lvl w:ilvl="0">
      <w:lvlJc w:val="left"/>
      <w:lvlText w:val="•"/>
      <w:numFmt w:val="bullet"/>
      <w:start w:val="1"/>
    </w:lvl>
  </w:abstractNum>
  <w:abstractNum w:abstractNumId="43">
    <w:nsid w:val="68EB2F63"/>
    <w:multiLevelType w:val="hybridMultilevel"/>
    <w:lvl w:ilvl="0">
      <w:lvlJc w:val="left"/>
      <w:lvlText w:val="-"/>
      <w:numFmt w:val="bullet"/>
      <w:start w:val="1"/>
    </w:lvl>
  </w:abstractNum>
  <w:abstractNum w:abstractNumId="44">
    <w:nsid w:val="4962813B"/>
    <w:multiLevelType w:val="hybridMultilevel"/>
    <w:lvl w:ilvl="0">
      <w:lvlJc w:val="left"/>
      <w:lvlText w:val="•"/>
      <w:numFmt w:val="bullet"/>
      <w:start w:val="1"/>
    </w:lvl>
  </w:abstractNum>
  <w:abstractNum w:abstractNumId="45">
    <w:nsid w:val="60B6DF70"/>
    <w:multiLevelType w:val="hybridMultilevel"/>
    <w:lvl w:ilvl="0">
      <w:lvlJc w:val="left"/>
      <w:lvlText w:val="•"/>
      <w:numFmt w:val="bullet"/>
      <w:start w:val="1"/>
    </w:lvl>
  </w:abstractNum>
  <w:abstractNum w:abstractNumId="46">
    <w:nsid w:val="6A5EE64"/>
    <w:multiLevelType w:val="hybridMultilevel"/>
    <w:lvl w:ilvl="0">
      <w:lvlJc w:val="left"/>
      <w:lvlText w:val="•"/>
      <w:numFmt w:val="bullet"/>
      <w:start w:val="1"/>
    </w:lvl>
  </w:abstractNum>
  <w:abstractNum w:abstractNumId="47">
    <w:nsid w:val="14330624"/>
    <w:multiLevelType w:val="hybridMultilevel"/>
    <w:lvl w:ilvl="0">
      <w:lvlJc w:val="left"/>
      <w:lvlText w:val="•"/>
      <w:numFmt w:val="bullet"/>
      <w:start w:val="1"/>
    </w:lvl>
  </w:abstractNum>
  <w:abstractNum w:abstractNumId="48">
    <w:nsid w:val="7FFFCA11"/>
    <w:multiLevelType w:val="hybridMultilevel"/>
    <w:lvl w:ilvl="0">
      <w:lvlJc w:val="left"/>
      <w:lvlText w:val="-"/>
      <w:numFmt w:val="bullet"/>
      <w:start w:val="1"/>
    </w:lvl>
  </w:abstractNum>
  <w:abstractNum w:abstractNumId="49">
    <w:nsid w:val="1A27709E"/>
    <w:multiLevelType w:val="hybridMultilevel"/>
    <w:lvl w:ilvl="0">
      <w:lvlJc w:val="left"/>
      <w:lvlText w:val="*"/>
      <w:numFmt w:val="bullet"/>
      <w:start w:val="1"/>
    </w:lvl>
  </w:abstractNum>
  <w:abstractNum w:abstractNumId="50">
    <w:nsid w:val="71EA1109"/>
    <w:multiLevelType w:val="hybridMultilevel"/>
    <w:lvl w:ilvl="0">
      <w:lvlJc w:val="left"/>
      <w:lvlText w:val="(%1)"/>
      <w:numFmt w:val="lowerLetter"/>
      <w:start w:val="1"/>
    </w:lvl>
  </w:abstractNum>
  <w:abstractNum w:abstractNumId="51">
    <w:nsid w:val="100F59DC"/>
    <w:multiLevelType w:val="hybridMultilevel"/>
    <w:lvl w:ilvl="0">
      <w:lvlJc w:val="left"/>
      <w:lvlText w:val="(%1)"/>
      <w:numFmt w:val="lowerLetter"/>
      <w:start w:val="8"/>
    </w:lvl>
  </w:abstractNum>
  <w:abstractNum w:abstractNumId="52">
    <w:nsid w:val="7FB7E0AA"/>
    <w:multiLevelType w:val="hybridMultilevel"/>
    <w:lvl w:ilvl="0">
      <w:lvlJc w:val="left"/>
      <w:lvlText w:val="(%1)"/>
      <w:numFmt w:val="decimal"/>
      <w:start w:val="1"/>
    </w:lvl>
  </w:abstractNum>
  <w:abstractNum w:abstractNumId="53">
    <w:nsid w:val="6EB5BD4"/>
    <w:multiLevelType w:val="hybridMultilevel"/>
    <w:lvl w:ilvl="0">
      <w:lvlJc w:val="left"/>
      <w:lvlText w:val="•"/>
      <w:numFmt w:val="bullet"/>
      <w:start w:val="1"/>
    </w:lvl>
  </w:abstractNum>
  <w:abstractNum w:abstractNumId="54">
    <w:nsid w:val="6F6DD9AC"/>
    <w:multiLevelType w:val="hybridMultilevel"/>
    <w:lvl w:ilvl="0">
      <w:lvlJc w:val="left"/>
      <w:lvlText w:val="(%1)"/>
      <w:numFmt w:val="decimal"/>
      <w:start w:val="1"/>
    </w:lvl>
    <w:lvl w:ilvl="1">
      <w:lvlJc w:val="left"/>
      <w:lvlText w:val="•"/>
      <w:numFmt w:val="bullet"/>
      <w:start w:val="1"/>
    </w:lvl>
  </w:abstractNum>
  <w:abstractNum w:abstractNumId="55">
    <w:nsid w:val="94211F2"/>
    <w:multiLevelType w:val="hybridMultilevel"/>
    <w:lvl w:ilvl="0">
      <w:lvlJc w:val="left"/>
      <w:lvlText w:val="(%1)"/>
      <w:numFmt w:val="decimal"/>
      <w:start w:val="6"/>
    </w:lvl>
    <w:lvl w:ilvl="1">
      <w:lvlJc w:val="left"/>
      <w:lvlText w:val="•"/>
      <w:numFmt w:val="bullet"/>
      <w:start w:val="1"/>
    </w:lvl>
  </w:abstractNum>
  <w:abstractNum w:abstractNumId="56">
    <w:nsid w:val="885E1B"/>
    <w:multiLevelType w:val="hybridMultilevel"/>
    <w:lvl w:ilvl="0">
      <w:lvlJc w:val="left"/>
      <w:lvlText w:val="(%1)"/>
      <w:numFmt w:val="decimal"/>
      <w:start w:val="1"/>
    </w:lvl>
  </w:abstractNum>
  <w:abstractNum w:abstractNumId="57">
    <w:nsid w:val="76272110"/>
    <w:multiLevelType w:val="hybridMultilevel"/>
    <w:lvl w:ilvl="0">
      <w:lvlJc w:val="left"/>
      <w:lvlText w:val="%1."/>
      <w:numFmt w:val="decimal"/>
      <w:start w:val="1"/>
    </w:lvl>
  </w:abstractNum>
  <w:abstractNum w:abstractNumId="58">
    <w:nsid w:val="4C04A8AF"/>
    <w:multiLevelType w:val="hybridMultilevel"/>
    <w:lvl w:ilvl="0">
      <w:lvlJc w:val="left"/>
      <w:lvlText w:val="%1."/>
      <w:numFmt w:val="decimal"/>
      <w:start w:val="2"/>
    </w:lvl>
  </w:abstractNum>
  <w:abstractNum w:abstractNumId="59">
    <w:nsid w:val="1716703B"/>
    <w:multiLevelType w:val="hybridMultilevel"/>
    <w:lvl w:ilvl="0">
      <w:lvlJc w:val="left"/>
      <w:lvlText w:val="%1."/>
      <w:numFmt w:val="decimal"/>
      <w:start w:val="3"/>
    </w:lvl>
  </w:abstractNum>
  <w:abstractNum w:abstractNumId="60">
    <w:nsid w:val="14E17E33"/>
    <w:multiLevelType w:val="hybridMultilevel"/>
    <w:lvl w:ilvl="0">
      <w:lvlJc w:val="left"/>
      <w:lvlText w:val="(%1)"/>
      <w:numFmt w:val="lowerLetter"/>
      <w:start w:val="1"/>
    </w:lvl>
  </w:abstractNum>
  <w:abstractNum w:abstractNumId="61">
    <w:nsid w:val="3222E7CD"/>
    <w:multiLevelType w:val="hybridMultilevel"/>
    <w:lvl w:ilvl="0">
      <w:lvlJc w:val="left"/>
      <w:lvlText w:val="%1."/>
      <w:numFmt w:val="decimal"/>
      <w:start w:val="4"/>
    </w:lvl>
  </w:abstractNum>
  <w:abstractNum w:abstractNumId="62">
    <w:nsid w:val="74DE0EE3"/>
    <w:multiLevelType w:val="hybridMultilevel"/>
    <w:lvl w:ilvl="0">
      <w:lvlJc w:val="left"/>
      <w:lvlText w:val="%1."/>
      <w:numFmt w:val="decimal"/>
      <w:start w:val="5"/>
    </w:lvl>
  </w:abstractNum>
  <w:abstractNum w:abstractNumId="63">
    <w:nsid w:val="68EBC55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64">
    <w:nsid w:val="2DF6D648"/>
    <w:multiLevelType w:val="hybridMultilevel"/>
    <w:lvl w:ilvl="0">
      <w:lvlJc w:val="left"/>
      <w:lvlText w:val="(%1)"/>
      <w:numFmt w:val="lowerLetter"/>
      <w:start w:val="3"/>
    </w:lvl>
    <w:lvl w:ilvl="1">
      <w:lvlJc w:val="left"/>
      <w:lvlText w:val="(%2)"/>
      <w:numFmt w:val="lowerRoman"/>
      <w:start w:val="1"/>
    </w:lvl>
  </w:abstractNum>
  <w:abstractNum w:abstractNumId="65">
    <w:nsid w:val="46B7D447"/>
    <w:multiLevelType w:val="hybridMultilevel"/>
    <w:lvl w:ilvl="0">
      <w:lvlJc w:val="left"/>
      <w:lvlText w:val="(%1)"/>
      <w:numFmt w:val="lowerLetter"/>
      <w:start w:val="4"/>
    </w:lvl>
  </w:abstractNum>
  <w:abstractNum w:abstractNumId="66">
    <w:nsid w:val="4A2AC315"/>
    <w:multiLevelType w:val="hybridMultilevel"/>
    <w:lvl w:ilvl="0">
      <w:lvlJc w:val="left"/>
      <w:lvlText w:val="%1."/>
      <w:numFmt w:val="decimal"/>
      <w:start w:val="6"/>
    </w:lvl>
    <w:lvl w:ilvl="1">
      <w:lvlJc w:val="left"/>
      <w:lvlText w:val="(%2)"/>
      <w:numFmt w:val="lowerLetter"/>
      <w:start w:val="1"/>
    </w:lvl>
  </w:abstractNum>
  <w:abstractNum w:abstractNumId="67">
    <w:nsid w:val="39EE015C"/>
    <w:multiLevelType w:val="hybridMultilevel"/>
    <w:lvl w:ilvl="0">
      <w:lvlJc w:val="left"/>
      <w:lvlText w:val="(%1)"/>
      <w:numFmt w:val="lowerLetter"/>
      <w:start w:val="1"/>
    </w:lvl>
    <w:lvl w:ilvl="1">
      <w:lvlJc w:val="left"/>
      <w:lvlText w:val="(%2)"/>
      <w:numFmt w:val="lowerRoman"/>
      <w:start w:val="1"/>
    </w:lvl>
  </w:abstractNum>
  <w:abstractNum w:abstractNumId="68">
    <w:nsid w:val="57FC4FBB"/>
    <w:multiLevelType w:val="hybridMultilevel"/>
    <w:lvl w:ilvl="0">
      <w:lvlJc w:val="left"/>
      <w:lvlText w:val="(%1)"/>
      <w:numFmt w:val="lowerRoman"/>
      <w:start w:val="1"/>
    </w:lvl>
  </w:abstractNum>
  <w:abstractNum w:abstractNumId="69">
    <w:nsid w:val="CC1016F"/>
    <w:multiLevelType w:val="hybridMultilevel"/>
    <w:lvl w:ilvl="0">
      <w:lvlJc w:val="left"/>
      <w:lvlText w:val="(%1)"/>
      <w:numFmt w:val="lowerLetter"/>
      <w:start w:val="1"/>
    </w:lvl>
  </w:abstractNum>
  <w:abstractNum w:abstractNumId="70">
    <w:nsid w:val="43F18422"/>
    <w:multiLevelType w:val="hybridMultilevel"/>
    <w:lvl w:ilvl="0">
      <w:lvlJc w:val="left"/>
      <w:lvlText w:val="(%1)"/>
      <w:numFmt w:val="lowerLetter"/>
      <w:start w:val="1"/>
    </w:lvl>
  </w:abstractNum>
  <w:abstractNum w:abstractNumId="71">
    <w:nsid w:val="60EF0119"/>
    <w:multiLevelType w:val="hybridMultilevel"/>
    <w:lvl w:ilvl="0">
      <w:lvlJc w:val="left"/>
      <w:lvlText w:val="%1."/>
      <w:numFmt w:val="decimal"/>
      <w:start w:val="7"/>
    </w:lvl>
  </w:abstractNum>
  <w:abstractNum w:abstractNumId="72">
    <w:nsid w:val="26F324BA"/>
    <w:multiLevelType w:val="hybridMultilevel"/>
    <w:lvl w:ilvl="0">
      <w:lvlJc w:val="left"/>
      <w:lvlText w:val="(%1)"/>
      <w:numFmt w:val="lowerLetter"/>
      <w:start w:val="1"/>
    </w:lvl>
    <w:lvl w:ilvl="1">
      <w:lvlJc w:val="left"/>
      <w:lvlText w:val="(%2)"/>
      <w:numFmt w:val="lowerLetter"/>
      <w:start w:val="9"/>
    </w:lvl>
  </w:abstractNum>
  <w:abstractNum w:abstractNumId="73">
    <w:nsid w:val="7F01579B"/>
    <w:multiLevelType w:val="hybridMultilevel"/>
    <w:lvl w:ilvl="0">
      <w:lvlJc w:val="left"/>
      <w:lvlText w:val="%1"/>
      <w:numFmt w:val="lowerLetter"/>
      <w:start w:val="1"/>
    </w:lvl>
    <w:lvl w:ilvl="1">
      <w:lvlJc w:val="left"/>
      <w:lvlText w:val="(%2)"/>
      <w:numFmt w:val="lowerRoman"/>
      <w:start w:val="2"/>
    </w:lvl>
  </w:abstractNum>
  <w:abstractNum w:abstractNumId="74">
    <w:nsid w:val="49DA307D"/>
    <w:multiLevelType w:val="hybridMultilevel"/>
    <w:lvl w:ilvl="0">
      <w:lvlJc w:val="left"/>
      <w:lvlText w:val="(%1)"/>
      <w:numFmt w:val="lowerLetter"/>
      <w:start w:val="4"/>
    </w:lvl>
    <w:lvl w:ilvl="1">
      <w:lvlJc w:val="left"/>
      <w:lvlText w:val="%2"/>
      <w:numFmt w:val="lowerRoman"/>
      <w:start w:val="1"/>
    </w:lvl>
  </w:abstractNum>
  <w:abstractNum w:abstractNumId="75">
    <w:nsid w:val="7055A5F5"/>
    <w:multiLevelType w:val="hybridMultilevel"/>
    <w:lvl w:ilvl="0">
      <w:lvlJc w:val="left"/>
      <w:lvlText w:val="(%1)"/>
      <w:numFmt w:val="lowerLetter"/>
      <w:start w:val="5"/>
    </w:lvl>
    <w:lvl w:ilvl="1">
      <w:lvlJc w:val="left"/>
      <w:lvlText w:val="(%2)"/>
      <w:numFmt w:val="lowerRoman"/>
      <w:start w:val="1"/>
    </w:lvl>
  </w:abstractNum>
  <w:abstractNum w:abstractNumId="76">
    <w:nsid w:val="5FB8370B"/>
    <w:multiLevelType w:val="hybridMultilevel"/>
    <w:lvl w:ilvl="0">
      <w:lvlJc w:val="left"/>
      <w:lvlText w:val="(%1)"/>
      <w:numFmt w:val="lowerLetter"/>
      <w:start w:val="6"/>
    </w:lvl>
  </w:abstractNum>
  <w:abstractNum w:abstractNumId="77">
    <w:nsid w:val="50801EE1"/>
    <w:multiLevelType w:val="hybridMultilevel"/>
    <w:lvl w:ilvl="0">
      <w:lvlJc w:val="left"/>
      <w:lvlText w:val="%1."/>
      <w:numFmt w:val="decimal"/>
      <w:start w:val="8"/>
    </w:lvl>
  </w:abstractNum>
  <w:abstractNum w:abstractNumId="78">
    <w:nsid w:val="488AC1A"/>
    <w:multiLevelType w:val="hybridMultilevel"/>
    <w:lvl w:ilvl="0">
      <w:lvlJc w:val="left"/>
      <w:lvlText w:val="%1."/>
      <w:numFmt w:val="decimal"/>
      <w:start w:val="9"/>
    </w:lvl>
  </w:abstractNum>
  <w:abstractNum w:abstractNumId="79">
    <w:nsid w:val="5FB8011C"/>
    <w:multiLevelType w:val="hybridMultilevel"/>
    <w:lvl w:ilvl="0">
      <w:lvlJc w:val="left"/>
      <w:lvlText w:val="•"/>
      <w:numFmt w:val="bullet"/>
      <w:start w:val="1"/>
    </w:lvl>
  </w:abstractNum>
  <w:abstractNum w:abstractNumId="80">
    <w:nsid w:val="6AA78F7F"/>
    <w:multiLevelType w:val="hybridMultilevel"/>
    <w:lvl w:ilvl="0">
      <w:lvlJc w:val="left"/>
      <w:lvlText w:val="•"/>
      <w:numFmt w:val="bullet"/>
      <w:start w:val="1"/>
    </w:lvl>
  </w:abstractNum>
  <w:abstractNum w:abstractNumId="81">
    <w:nsid w:val="7672BD23"/>
    <w:multiLevelType w:val="hybridMultilevel"/>
    <w:lvl w:ilvl="0">
      <w:lvlJc w:val="left"/>
      <w:lvlText w:val="•"/>
      <w:numFmt w:val="bullet"/>
      <w:start w:val="1"/>
    </w:lvl>
  </w:abstractNum>
  <w:abstractNum w:abstractNumId="82">
    <w:nsid w:val="6FC75AF8"/>
    <w:multiLevelType w:val="hybridMultilevel"/>
    <w:lvl w:ilvl="0">
      <w:lvlJc w:val="left"/>
      <w:lvlText w:val="%1."/>
      <w:numFmt w:val="upperLetter"/>
      <w:start w:val="3"/>
    </w:lvl>
    <w:lvl w:ilvl="1">
      <w:lvlJc w:val="left"/>
      <w:lvlText w:val="•"/>
      <w:numFmt w:val="bullet"/>
      <w:start w:val="1"/>
    </w:lvl>
  </w:abstractNum>
  <w:abstractNum w:abstractNumId="83">
    <w:nsid w:val="6A5F7029"/>
    <w:multiLevelType w:val="hybridMultilevel"/>
    <w:lvl w:ilvl="0">
      <w:lvlJc w:val="left"/>
      <w:lvlText w:val="%1."/>
      <w:numFmt w:val="decimal"/>
      <w:start w:val="8"/>
    </w:lvl>
  </w:abstractNum>
  <w:abstractNum w:abstractNumId="84">
    <w:nsid w:val="7D5E18F8"/>
    <w:multiLevelType w:val="hybridMultilevel"/>
    <w:lvl w:ilvl="0">
      <w:lvlJc w:val="left"/>
      <w:lvlText w:val="%1."/>
      <w:numFmt w:val="decimal"/>
      <w:start w:val="10"/>
    </w:lvl>
  </w:abstractNum>
  <w:abstractNum w:abstractNumId="85">
    <w:nsid w:val="5F3534A4"/>
    <w:multiLevelType w:val="hybridMultilevel"/>
    <w:lvl w:ilvl="0">
      <w:lvlJc w:val="left"/>
      <w:lvlText w:val="•"/>
      <w:numFmt w:val="bullet"/>
      <w:start w:val="1"/>
    </w:lvl>
  </w:abstractNum>
  <w:abstractNum w:abstractNumId="86">
    <w:nsid w:val="73A1821B"/>
    <w:multiLevelType w:val="hybridMultilevel"/>
    <w:lvl w:ilvl="0">
      <w:lvlJc w:val="left"/>
      <w:lvlText w:val="•"/>
      <w:numFmt w:val="bullet"/>
      <w:start w:val="1"/>
    </w:lvl>
  </w:abstractNum>
  <w:abstractNum w:abstractNumId="87">
    <w:nsid w:val="7DE67713"/>
    <w:multiLevelType w:val="hybridMultilevel"/>
    <w:lvl w:ilvl="0">
      <w:lvlJc w:val="left"/>
      <w:lvlText w:val="•"/>
      <w:numFmt w:val="bullet"/>
      <w:start w:val="1"/>
    </w:lvl>
  </w:abstractNum>
  <w:abstractNum w:abstractNumId="88">
    <w:nsid w:val="555C55B5"/>
    <w:multiLevelType w:val="hybridMultilevel"/>
    <w:lvl w:ilvl="0">
      <w:lvlJc w:val="left"/>
      <w:lvlText w:val="%1."/>
      <w:numFmt w:val="decimal"/>
      <w:start w:val="4"/>
    </w:lvl>
  </w:abstractNum>
  <w:abstractNum w:abstractNumId="89">
    <w:nsid w:val="3FA62ACA"/>
    <w:multiLevelType w:val="hybridMultilevel"/>
    <w:lvl w:ilvl="0">
      <w:lvlJc w:val="left"/>
      <w:lvlText w:val="%1."/>
      <w:numFmt w:val="decimal"/>
      <w:start w:val="8"/>
    </w:lvl>
  </w:abstractNum>
  <w:abstractNum w:abstractNumId="90">
    <w:nsid w:val="14FCE74E"/>
    <w:multiLevelType w:val="hybridMultilevel"/>
    <w:lvl w:ilvl="0">
      <w:lvlJc w:val="left"/>
      <w:lvlText w:val="%1."/>
      <w:numFmt w:val="decimal"/>
      <w:start w:val="10"/>
    </w:lvl>
  </w:abstractNum>
  <w:abstractNum w:abstractNumId="91">
    <w:nsid w:val="6A3DD3E8"/>
    <w:multiLevelType w:val="hybridMultilevel"/>
    <w:lvl w:ilvl="0">
      <w:lvlJc w:val="left"/>
      <w:lvlText w:val="%1."/>
      <w:numFmt w:val="decimal"/>
      <w:start w:val="1"/>
    </w:lvl>
    <w:lvl w:ilvl="1">
      <w:lvlJc w:val="left"/>
      <w:lvlText w:val="%2."/>
      <w:numFmt w:val="upperLetter"/>
      <w:start w:val="1"/>
    </w:lvl>
  </w:abstractNum>
  <w:abstractNum w:abstractNumId="92">
    <w:nsid w:val="71C91298"/>
    <w:multiLevelType w:val="hybridMultilevel"/>
    <w:lvl w:ilvl="0">
      <w:lvlJc w:val="left"/>
      <w:lvlText w:val="%1."/>
      <w:numFmt w:val="decimal"/>
      <w:start w:val="2"/>
    </w:lvl>
    <w:lvl w:ilvl="1">
      <w:lvlJc w:val="left"/>
      <w:lvlText w:val="%2."/>
      <w:numFmt w:val="upperLetter"/>
      <w:start w:val="1"/>
    </w:lvl>
  </w:abstractNum>
  <w:abstractNum w:abstractNumId="93">
    <w:nsid w:val="9DAF632"/>
    <w:multiLevelType w:val="hybridMultilevel"/>
    <w:lvl w:ilvl="0">
      <w:lvlJc w:val="left"/>
      <w:lvlText w:val="%1."/>
      <w:numFmt w:val="upperLetter"/>
      <w:start w:val="2"/>
    </w:lvl>
  </w:abstractNum>
  <w:abstractNum w:abstractNumId="94">
    <w:nsid w:val="53299938"/>
    <w:multiLevelType w:val="hybridMultilevel"/>
    <w:lvl w:ilvl="0">
      <w:lvlJc w:val="left"/>
      <w:lvlText w:val="%1."/>
      <w:numFmt w:val="upperLetter"/>
      <w:start w:val="3"/>
    </w:lvl>
    <w:lvl w:ilvl="1">
      <w:lvlJc w:val="left"/>
      <w:lvlText w:val="%2."/>
      <w:numFmt w:val="lowerRoman"/>
      <w:start w:val="1"/>
    </w:lvl>
  </w:abstractNum>
  <w:abstractNum w:abstractNumId="95">
    <w:nsid w:val="1FBFE8E0"/>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96">
    <w:nsid w:val="5092CA79"/>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2"/>
    </w:lvl>
  </w:abstractNum>
  <w:abstractNum w:abstractNumId="97">
    <w:nsid w:val="1D545C4D"/>
    <w:multiLevelType w:val="hybridMultilevel"/>
    <w:lvl w:ilvl="0">
      <w:lvlJc w:val="left"/>
      <w:lvlText w:val="%1"/>
      <w:numFmt w:val="decimal"/>
      <w:start w:val="1"/>
    </w:lvl>
    <w:lvl w:ilvl="1">
      <w:lvlJc w:val="left"/>
      <w:lvlText w:val="%2."/>
      <w:numFmt w:val="upperLetter"/>
      <w:start w:val="5"/>
    </w:lvl>
    <w:lvl w:ilvl="2">
      <w:lvlJc w:val="left"/>
      <w:lvlText w:val="%3."/>
      <w:numFmt w:val="lowerRoman"/>
      <w:start w:val="1"/>
    </w:lvl>
  </w:abstractNum>
  <w:abstractNum w:abstractNumId="98">
    <w:nsid w:val="59ADEA3D"/>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99">
    <w:nsid w:val="288F1A34"/>
    <w:multiLevelType w:val="hybridMultilevel"/>
    <w:lvl w:ilvl="0">
      <w:lvlJc w:val="left"/>
      <w:lvlText w:val="%1."/>
      <w:numFmt w:val="decimal"/>
      <w:start w:val="6"/>
    </w:lvl>
  </w:abstractNum>
  <w:abstractNum w:abstractNumId="100">
    <w:nsid w:val="2A155DBC"/>
    <w:multiLevelType w:val="hybridMultilevel"/>
    <w:lvl w:ilvl="0">
      <w:lvlJc w:val="left"/>
      <w:lvlText w:val="•"/>
      <w:numFmt w:val="bullet"/>
      <w:start w:val="1"/>
    </w:lvl>
  </w:abstractNum>
  <w:abstractNum w:abstractNumId="101">
    <w:nsid w:val="1D9F6E5F"/>
    <w:multiLevelType w:val="hybridMultilevel"/>
    <w:lvl w:ilvl="0">
      <w:lvlJc w:val="left"/>
      <w:lvlText w:val="%1."/>
      <w:numFmt w:val="decimal"/>
      <w:start w:val="7"/>
    </w:lvl>
  </w:abstractNum>
  <w:abstractNum w:abstractNumId="102">
    <w:nsid w:val="97E1B4E"/>
    <w:multiLevelType w:val="hybridMultilevel"/>
    <w:lvl w:ilvl="0">
      <w:lvlJc w:val="left"/>
      <w:lvlText w:val="%1."/>
      <w:numFmt w:val="decimal"/>
      <w:start w:val="8"/>
    </w:lvl>
  </w:abstractNum>
  <w:abstractNum w:abstractNumId="103">
    <w:nsid w:val="51088277"/>
    <w:multiLevelType w:val="hybridMultilevel"/>
    <w:lvl w:ilvl="0">
      <w:lvlJc w:val="left"/>
      <w:lvlText w:val="%1."/>
      <w:numFmt w:val="decimal"/>
      <w:start w:val="1"/>
    </w:lvl>
  </w:abstractNum>
  <w:abstractNum w:abstractNumId="104">
    <w:nsid w:val="1CA0C5FA"/>
    <w:multiLevelType w:val="hybridMultilevel"/>
    <w:lvl w:ilvl="0">
      <w:lvlJc w:val="left"/>
      <w:lvlText w:val="%1)"/>
      <w:numFmt w:val="lowerLetter"/>
      <w:start w:val="1"/>
    </w:lvl>
  </w:abstractNum>
  <w:abstractNum w:abstractNumId="105">
    <w:nsid w:val="53584BCB"/>
    <w:multiLevelType w:val="hybridMultilevel"/>
    <w:lvl w:ilvl="0">
      <w:lvlJc w:val="left"/>
      <w:lvlText w:val="%1."/>
      <w:numFmt w:val="decimal"/>
      <w:start w:val="5"/>
    </w:lvl>
  </w:abstractNum>
  <w:abstractNum w:abstractNumId="106">
    <w:nsid w:val="415E286C"/>
    <w:multiLevelType w:val="hybridMultilevel"/>
    <w:lvl w:ilvl="0">
      <w:lvlJc w:val="left"/>
      <w:lvlText w:val="%1)"/>
      <w:numFmt w:val="lowerLetter"/>
      <w:start w:val="1"/>
    </w:lvl>
  </w:abstractNum>
  <w:abstractNum w:abstractNumId="107">
    <w:nsid w:val="7C58FD05"/>
    <w:multiLevelType w:val="hybridMultilevel"/>
    <w:lvl w:ilvl="0">
      <w:lvlJc w:val="left"/>
      <w:lvlText w:val="%1."/>
      <w:numFmt w:val="decimal"/>
      <w:start w:val="1"/>
    </w:lvl>
  </w:abstractNum>
  <w:abstractNum w:abstractNumId="108">
    <w:nsid w:val="23D86AAC"/>
    <w:multiLevelType w:val="hybridMultilevel"/>
    <w:lvl w:ilvl="0">
      <w:lvlJc w:val="left"/>
      <w:lvlText w:val="%1)"/>
      <w:numFmt w:val="lowerLetter"/>
      <w:start w:val="1"/>
    </w:lvl>
  </w:abstractNum>
  <w:abstractNum w:abstractNumId="109">
    <w:nsid w:val="45E6D486"/>
    <w:multiLevelType w:val="hybridMultilevel"/>
    <w:lvl w:ilvl="0">
      <w:lvlJc w:val="left"/>
      <w:lvlText w:val="%1."/>
      <w:numFmt w:val="decimal"/>
      <w:start w:val="5"/>
    </w:lvl>
  </w:abstractNum>
  <w:abstractNum w:abstractNumId="110">
    <w:nsid w:val="5C10FE21"/>
    <w:multiLevelType w:val="hybridMultilevel"/>
    <w:lvl w:ilvl="0">
      <w:lvlJc w:val="left"/>
      <w:lvlText w:val="%1)"/>
      <w:numFmt w:val="lowerLetter"/>
      <w:start w:val="1"/>
    </w:lvl>
  </w:abstractNum>
  <w:abstractNum w:abstractNumId="111">
    <w:nsid w:val="E7FFA2B"/>
    <w:multiLevelType w:val="hybridMultilevel"/>
    <w:lvl w:ilvl="0">
      <w:lvlJc w:val="left"/>
      <w:lvlText w:val="(%1)"/>
      <w:numFmt w:val="decimal"/>
      <w:start w:val="1"/>
    </w:lvl>
  </w:abstractNum>
  <w:abstractNum w:abstractNumId="112">
    <w:nsid w:val="3C5991AA"/>
    <w:multiLevelType w:val="hybridMultilevel"/>
    <w:lvl w:ilvl="0">
      <w:lvlJc w:val="left"/>
      <w:lvlText w:val="(%1)"/>
      <w:numFmt w:val="decimal"/>
      <w:start w:val="1"/>
    </w:lvl>
  </w:abstractNum>
  <w:abstractNum w:abstractNumId="113">
    <w:nsid w:val="4BD8591A"/>
    <w:multiLevelType w:val="hybridMultilevel"/>
    <w:lvl w:ilvl="0">
      <w:lvlJc w:val="left"/>
      <w:lvlText w:val="%1."/>
      <w:numFmt w:val="decimal"/>
      <w:start w:val="1"/>
    </w:lvl>
  </w:abstractNum>
  <w:abstractNum w:abstractNumId="114">
    <w:nsid w:val="78DF6A55"/>
    <w:multiLevelType w:val="hybridMultilevel"/>
    <w:lvl w:ilvl="0">
      <w:lvlJc w:val="left"/>
      <w:lvlText w:val="%1."/>
      <w:numFmt w:val="decimal"/>
      <w:start w:val="3"/>
    </w:lvl>
  </w:abstractNum>
  <w:abstractNum w:abstractNumId="115">
    <w:nsid w:val="39B7AAA2"/>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22" Type="http://schemas.openxmlformats.org/officeDocument/2006/relationships/image" Target="media/image174.png"/><Relationship Id="rId223" Type="http://schemas.openxmlformats.org/officeDocument/2006/relationships/image" Target="media/image175.png"/><Relationship Id="rId226" Type="http://schemas.openxmlformats.org/officeDocument/2006/relationships/image" Target="media/image176.png"/><Relationship Id="rId227" Type="http://schemas.openxmlformats.org/officeDocument/2006/relationships/image" Target="media/image177.png"/><Relationship Id="rId228" Type="http://schemas.openxmlformats.org/officeDocument/2006/relationships/image" Target="media/image178.png"/><Relationship Id="rId229" Type="http://schemas.openxmlformats.org/officeDocument/2006/relationships/image" Target="media/image179.png"/><Relationship Id="rId230" Type="http://schemas.openxmlformats.org/officeDocument/2006/relationships/image" Target="media/image180.png"/><Relationship Id="rId231" Type="http://schemas.openxmlformats.org/officeDocument/2006/relationships/image" Target="media/image181.png"/><Relationship Id="rId232" Type="http://schemas.openxmlformats.org/officeDocument/2006/relationships/image" Target="media/image182.png"/><Relationship Id="rId233" Type="http://schemas.openxmlformats.org/officeDocument/2006/relationships/image" Target="media/image183.png"/><Relationship Id="rId234" Type="http://schemas.openxmlformats.org/officeDocument/2006/relationships/image" Target="media/image184.png"/><Relationship Id="rId235" Type="http://schemas.openxmlformats.org/officeDocument/2006/relationships/image" Target="media/image185.png"/><Relationship Id="rId236" Type="http://schemas.openxmlformats.org/officeDocument/2006/relationships/image" Target="media/image186.png"/><Relationship Id="rId237" Type="http://schemas.openxmlformats.org/officeDocument/2006/relationships/image" Target="media/image187.png"/><Relationship Id="rId238" Type="http://schemas.openxmlformats.org/officeDocument/2006/relationships/image" Target="media/image188.png"/><Relationship Id="rId239" Type="http://schemas.openxmlformats.org/officeDocument/2006/relationships/image" Target="media/image189.png"/><Relationship Id="rId240" Type="http://schemas.openxmlformats.org/officeDocument/2006/relationships/image" Target="media/image190.png"/><Relationship Id="rId241" Type="http://schemas.openxmlformats.org/officeDocument/2006/relationships/image" Target="media/image191.png"/><Relationship Id="rId242" Type="http://schemas.openxmlformats.org/officeDocument/2006/relationships/image" Target="media/image192.png"/><Relationship Id="rId243" Type="http://schemas.openxmlformats.org/officeDocument/2006/relationships/image" Target="media/image193.png"/><Relationship Id="rId244" Type="http://schemas.openxmlformats.org/officeDocument/2006/relationships/image" Target="media/image194.png"/><Relationship Id="rId245" Type="http://schemas.openxmlformats.org/officeDocument/2006/relationships/image" Target="media/image195.png"/><Relationship Id="rId246" Type="http://schemas.openxmlformats.org/officeDocument/2006/relationships/image" Target="media/image196.png"/><Relationship Id="rId247" Type="http://schemas.openxmlformats.org/officeDocument/2006/relationships/image" Target="media/image197.png"/><Relationship Id="rId248" Type="http://schemas.openxmlformats.org/officeDocument/2006/relationships/image" Target="media/image198.png"/><Relationship Id="rId249" Type="http://schemas.openxmlformats.org/officeDocument/2006/relationships/image" Target="media/image199.png"/><Relationship Id="rId250" Type="http://schemas.openxmlformats.org/officeDocument/2006/relationships/image" Target="media/image200.png"/><Relationship Id="rId251" Type="http://schemas.openxmlformats.org/officeDocument/2006/relationships/image" Target="media/image201.png"/><Relationship Id="rId252" Type="http://schemas.openxmlformats.org/officeDocument/2006/relationships/image" Target="media/image202.png"/><Relationship Id="rId253" Type="http://schemas.openxmlformats.org/officeDocument/2006/relationships/image" Target="media/image203.png"/><Relationship Id="rId254" Type="http://schemas.openxmlformats.org/officeDocument/2006/relationships/image" Target="media/image204.png"/><Relationship Id="rId255" Type="http://schemas.openxmlformats.org/officeDocument/2006/relationships/image" Target="media/image205.png"/><Relationship Id="rId256" Type="http://schemas.openxmlformats.org/officeDocument/2006/relationships/image" Target="media/image206.png"/><Relationship Id="rId257" Type="http://schemas.openxmlformats.org/officeDocument/2006/relationships/image" Target="media/image207.png"/><Relationship Id="rId258" Type="http://schemas.openxmlformats.org/officeDocument/2006/relationships/image" Target="media/image208.png"/><Relationship Id="rId259" Type="http://schemas.openxmlformats.org/officeDocument/2006/relationships/image" Target="media/image209.png"/><Relationship Id="rId260" Type="http://schemas.openxmlformats.org/officeDocument/2006/relationships/image" Target="media/image210.png"/><Relationship Id="rId261" Type="http://schemas.openxmlformats.org/officeDocument/2006/relationships/image" Target="media/image211.png"/><Relationship Id="rId262" Type="http://schemas.openxmlformats.org/officeDocument/2006/relationships/image" Target="media/image212.png"/><Relationship Id="rId263" Type="http://schemas.openxmlformats.org/officeDocument/2006/relationships/image" Target="media/image213.png"/><Relationship Id="rId264" Type="http://schemas.openxmlformats.org/officeDocument/2006/relationships/image" Target="media/image214.png"/><Relationship Id="rId265" Type="http://schemas.openxmlformats.org/officeDocument/2006/relationships/image" Target="media/image215.png"/><Relationship Id="rId266" Type="http://schemas.openxmlformats.org/officeDocument/2006/relationships/image" Target="media/image216.png"/><Relationship Id="rId267" Type="http://schemas.openxmlformats.org/officeDocument/2006/relationships/image" Target="media/image217.png"/><Relationship Id="rId268" Type="http://schemas.openxmlformats.org/officeDocument/2006/relationships/image" Target="media/image218.png"/><Relationship Id="rId269" Type="http://schemas.openxmlformats.org/officeDocument/2006/relationships/image" Target="media/image219.png"/><Relationship Id="rId270" Type="http://schemas.openxmlformats.org/officeDocument/2006/relationships/image" Target="media/image220.png"/><Relationship Id="rId271" Type="http://schemas.openxmlformats.org/officeDocument/2006/relationships/image" Target="media/image221.png"/><Relationship Id="rId272" Type="http://schemas.openxmlformats.org/officeDocument/2006/relationships/image" Target="media/image222.png"/><Relationship Id="rId273" Type="http://schemas.openxmlformats.org/officeDocument/2006/relationships/image" Target="media/image223.png"/><Relationship Id="rId274" Type="http://schemas.openxmlformats.org/officeDocument/2006/relationships/image" Target="media/image224.png"/><Relationship Id="rId275" Type="http://schemas.openxmlformats.org/officeDocument/2006/relationships/image" Target="media/image225.png"/><Relationship Id="rId276" Type="http://schemas.openxmlformats.org/officeDocument/2006/relationships/image" Target="media/image226.png"/><Relationship Id="rId277" Type="http://schemas.openxmlformats.org/officeDocument/2006/relationships/image" Target="media/image227.png"/><Relationship Id="rId278" Type="http://schemas.openxmlformats.org/officeDocument/2006/relationships/image" Target="media/image228.png"/><Relationship Id="rId279" Type="http://schemas.openxmlformats.org/officeDocument/2006/relationships/image" Target="media/image229.png"/><Relationship Id="rId280" Type="http://schemas.openxmlformats.org/officeDocument/2006/relationships/image" Target="media/image230.png"/><Relationship Id="rId281" Type="http://schemas.openxmlformats.org/officeDocument/2006/relationships/image" Target="media/image231.png"/><Relationship Id="rId282" Type="http://schemas.openxmlformats.org/officeDocument/2006/relationships/image" Target="media/image232.png"/><Relationship Id="rId283" Type="http://schemas.openxmlformats.org/officeDocument/2006/relationships/image" Target="media/image233.png"/><Relationship Id="rId284" Type="http://schemas.openxmlformats.org/officeDocument/2006/relationships/image" Target="media/image234.png"/><Relationship Id="rId285" Type="http://schemas.openxmlformats.org/officeDocument/2006/relationships/image" Target="media/image235.png"/><Relationship Id="rId286" Type="http://schemas.openxmlformats.org/officeDocument/2006/relationships/image" Target="media/image236.png"/><Relationship Id="rId287" Type="http://schemas.openxmlformats.org/officeDocument/2006/relationships/image" Target="media/image237.png"/><Relationship Id="rId288" Type="http://schemas.openxmlformats.org/officeDocument/2006/relationships/image" Target="media/image238.png"/><Relationship Id="rId289" Type="http://schemas.openxmlformats.org/officeDocument/2006/relationships/image" Target="media/image239.png"/><Relationship Id="rId290" Type="http://schemas.openxmlformats.org/officeDocument/2006/relationships/image" Target="media/image240.png"/><Relationship Id="rId291" Type="http://schemas.openxmlformats.org/officeDocument/2006/relationships/image" Target="media/image241.png"/><Relationship Id="rId292" Type="http://schemas.openxmlformats.org/officeDocument/2006/relationships/image" Target="media/image242.png"/><Relationship Id="rId293" Type="http://schemas.openxmlformats.org/officeDocument/2006/relationships/image" Target="media/image243.png"/><Relationship Id="rId294" Type="http://schemas.openxmlformats.org/officeDocument/2006/relationships/image" Target="media/image244.png"/><Relationship Id="rId295" Type="http://schemas.openxmlformats.org/officeDocument/2006/relationships/image" Target="media/image245.png"/><Relationship Id="rId296" Type="http://schemas.openxmlformats.org/officeDocument/2006/relationships/image" Target="media/image246.png"/><Relationship Id="rId297" Type="http://schemas.openxmlformats.org/officeDocument/2006/relationships/image" Target="media/image247.png"/><Relationship Id="rId298" Type="http://schemas.openxmlformats.org/officeDocument/2006/relationships/image" Target="media/image248.png"/><Relationship Id="rId299" Type="http://schemas.openxmlformats.org/officeDocument/2006/relationships/image" Target="media/image249.png"/><Relationship Id="rId300" Type="http://schemas.openxmlformats.org/officeDocument/2006/relationships/image" Target="media/image250.png"/><Relationship Id="rId301" Type="http://schemas.openxmlformats.org/officeDocument/2006/relationships/image" Target="media/image251.png"/><Relationship Id="rId302" Type="http://schemas.openxmlformats.org/officeDocument/2006/relationships/image" Target="media/image252.png"/><Relationship Id="rId303" Type="http://schemas.openxmlformats.org/officeDocument/2006/relationships/image" Target="media/image253.png"/><Relationship Id="rId304" Type="http://schemas.openxmlformats.org/officeDocument/2006/relationships/image" Target="media/image254.png"/><Relationship Id="rId305" Type="http://schemas.openxmlformats.org/officeDocument/2006/relationships/image" Target="media/image255.png"/><Relationship Id="rId306" Type="http://schemas.openxmlformats.org/officeDocument/2006/relationships/image" Target="media/image256.png"/><Relationship Id="rId307" Type="http://schemas.openxmlformats.org/officeDocument/2006/relationships/image" Target="media/image257.png"/><Relationship Id="rId308" Type="http://schemas.openxmlformats.org/officeDocument/2006/relationships/image" Target="media/image258.png"/><Relationship Id="rId309" Type="http://schemas.openxmlformats.org/officeDocument/2006/relationships/image" Target="media/image259.png"/><Relationship Id="rId310" Type="http://schemas.openxmlformats.org/officeDocument/2006/relationships/image" Target="media/image260.png"/><Relationship Id="rId311" Type="http://schemas.openxmlformats.org/officeDocument/2006/relationships/image" Target="media/image261.png"/><Relationship Id="rId312" Type="http://schemas.openxmlformats.org/officeDocument/2006/relationships/image" Target="media/image262.png"/><Relationship Id="rId167" Type="http://schemas.openxmlformats.org/officeDocument/2006/relationships/hyperlink" Target="https://www.sec.gov/Archives/edgar/data/789019/000119312516782569/d305147dex31.htm" TargetMode="External"/><Relationship Id="rId168" Type="http://schemas.openxmlformats.org/officeDocument/2006/relationships/hyperlink" Target="https://www.sec.gov/Archives/edgar/data/789019/000119312523181341/d288670dex32.htm" TargetMode="External"/><Relationship Id="rId169" Type="http://schemas.openxmlformats.org/officeDocument/2006/relationships/hyperlink" Target="https://www.sec.gov/Archives/edgar/data/789019/000119312515357088/d97665dex41.htm" TargetMode="External"/><Relationship Id="rId170" Type="http://schemas.openxmlformats.org/officeDocument/2006/relationships/hyperlink" Target="https://www.sec.gov/Archives/edgar/data/789019/000119312509113054/dex42.htm" TargetMode="External"/><Relationship Id="rId171" Type="http://schemas.openxmlformats.org/officeDocument/2006/relationships/hyperlink" Target="https://www.sec.gov/Archives/edgar/data/789019/000119312510216531/dex42.htm" TargetMode="External"/><Relationship Id="rId177" Type="http://schemas.openxmlformats.org/officeDocument/2006/relationships/hyperlink" Target="https://www.sec.gov/Archives/edgar/data/789019/000119312511026916/dex42.htm" TargetMode="External"/><Relationship Id="rId178" Type="http://schemas.openxmlformats.org/officeDocument/2006/relationships/hyperlink" Target="https://www.sec.gov/Archives/edgar/data/789019/000119312512456267/d433368dex41.htm" TargetMode="External"/><Relationship Id="rId179" Type="http://schemas.openxmlformats.org/officeDocument/2006/relationships/hyperlink" Target="https://www.sec.gov/Archives/edgar/data/789019/000119312513192843/d531397dex41.htm" TargetMode="External"/><Relationship Id="rId180" Type="http://schemas.openxmlformats.org/officeDocument/2006/relationships/hyperlink" Target="https://www.sec.gov/Archives/edgar/data/789019/000119312513192843/d531397dex42.htm" TargetMode="External"/><Relationship Id="rId181" Type="http://schemas.openxmlformats.org/officeDocument/2006/relationships/hyperlink" Target="https://www.sec.gov/Archives/edgar/data/789019/000119312513464138/d638276dex41.htm" TargetMode="External"/><Relationship Id="rId185" Type="http://schemas.openxmlformats.org/officeDocument/2006/relationships/hyperlink" Target="https://www.sec.gov/Archives/edgar/data/789019/000119312513464138/d638276dex42.htm" TargetMode="External"/><Relationship Id="rId186" Type="http://schemas.openxmlformats.org/officeDocument/2006/relationships/hyperlink" Target="https://www.sec.gov/Archives/edgar/data/789019/000119312515045564/d871136dex41.htm" TargetMode="External"/><Relationship Id="rId187" Type="http://schemas.openxmlformats.org/officeDocument/2006/relationships/hyperlink" Target="https://www.sec.gov/Archives/edgar/data/789019/000119312515363226/d88549dex41.htm" TargetMode="External"/><Relationship Id="rId188" Type="http://schemas.openxmlformats.org/officeDocument/2006/relationships/hyperlink" Target="https://www.sec.gov/Archives/edgar/data/789019/000119312516673577/d236874dex41.htm" TargetMode="External"/><Relationship Id="rId191" Type="http://schemas.openxmlformats.org/officeDocument/2006/relationships/hyperlink" Target="https://www.sec.gov/Archives/edgar/data/789019/000119312517030734/d270302dex41.htm" TargetMode="External"/><Relationship Id="rId192" Type="http://schemas.openxmlformats.org/officeDocument/2006/relationships/hyperlink" Target="https://www.sec.gov/Archives/edgar/data/789019/000119312520157234/d829164dex41.htm" TargetMode="External"/><Relationship Id="rId193" Type="http://schemas.openxmlformats.org/officeDocument/2006/relationships/hyperlink" Target="https://www.sec.gov/Archives/edgar/data/789019/000119312521084239/d130687dex41.htm" TargetMode="External"/><Relationship Id="rId194" Type="http://schemas.openxmlformats.org/officeDocument/2006/relationships/hyperlink" Target="https://www.sec.gov/Archives/edgar/data/789019/000119312523271376/d566386dex42.htm" TargetMode="External"/><Relationship Id="rId195" Type="http://schemas.openxmlformats.org/officeDocument/2006/relationships/hyperlink" Target="https://www.sec.gov/Archives/edgar/data/789019/000119312523271376/d566386dex49.htm" TargetMode="External"/><Relationship Id="rId198" Type="http://schemas.openxmlformats.org/officeDocument/2006/relationships/hyperlink" Target="https://www.sec.gov/Archives/edgar/data/789019/000119312523271376/d566386dex410.htm" TargetMode="External"/><Relationship Id="rId199" Type="http://schemas.openxmlformats.org/officeDocument/2006/relationships/hyperlink" Target="https://www.sec.gov/Archives/edgar/data/789019/000119312523271376/d566386dex411.htm" TargetMode="External"/><Relationship Id="rId200" Type="http://schemas.openxmlformats.org/officeDocument/2006/relationships/hyperlink" Target="https://www.sec.gov/Archives/edgar/data/789019/000119312523271376/d566386dex412.htm" TargetMode="External"/><Relationship Id="rId201" Type="http://schemas.openxmlformats.org/officeDocument/2006/relationships/hyperlink" Target="https://www.sec.gov/Archives/edgar/data/789019/000119312523271376/d566386dex413.htm" TargetMode="External"/><Relationship Id="rId202" Type="http://schemas.openxmlformats.org/officeDocument/2006/relationships/hyperlink" Target="https://www.sec.gov/Archives/edgar/data/789019/000119312523271376/d566386dex414.htm" TargetMode="External"/><Relationship Id="rId203" Type="http://schemas.openxmlformats.org/officeDocument/2006/relationships/hyperlink" Target="https://www.sec.gov/Archives/edgar/data/789019/000119312523271376/d566386dex415.htm" TargetMode="External"/><Relationship Id="rId204" Type="http://schemas.openxmlformats.org/officeDocument/2006/relationships/hyperlink" Target="https://www.sec.gov/Archives/edgar/data/789019/000119312516742796/d245252dex101.htm" TargetMode="External"/><Relationship Id="rId205" Type="http://schemas.openxmlformats.org/officeDocument/2006/relationships/hyperlink" Target="https://www.sec.gov/Archives/edgar/data/789019/000119312512316848/d347676dex104.htm" TargetMode="External"/><Relationship Id="rId208" Type="http://schemas.openxmlformats.org/officeDocument/2006/relationships/hyperlink" Target="https://www.sec.gov/Archives/edgar/data/789019/000119312517310951/d461626ddef14a.htm" TargetMode="External"/><Relationship Id="rId209" Type="http://schemas.openxmlformats.org/officeDocument/2006/relationships/hyperlink" Target="https://www.sec.gov/Archives/edgar/data/789019/000156459018009307/msft-ex1026_280.htm" TargetMode="External"/><Relationship Id="rId210" Type="http://schemas.openxmlformats.org/officeDocument/2006/relationships/hyperlink" Target="https://www.sec.gov/Archives/edgar/data/789019/000156459018009307/msft-ex1027_281.htm" TargetMode="External"/><Relationship Id="rId211" Type="http://schemas.openxmlformats.org/officeDocument/2006/relationships/hyperlink" Target="https://www.sec.gov/Archives/edgar/data/789019/000119312516742796/d245252dex1012.htm" TargetMode="External"/><Relationship Id="rId212" Type="http://schemas.openxmlformats.org/officeDocument/2006/relationships/hyperlink" Target="https://www.sec.gov/Archives/edgar/data/789019/000156459020034944/msft-ex1025_365.htm" TargetMode="External"/><Relationship Id="rId213" Type="http://schemas.openxmlformats.org/officeDocument/2006/relationships/hyperlink" Target="https://www.sec.gov/Archives/edgar/data/789019/000156459019027952/msft-ex1013_465.htm" TargetMode="External"/><Relationship Id="rId214" Type="http://schemas.openxmlformats.org/officeDocument/2006/relationships/hyperlink" Target="https://www.sec.gov/Archives/edgar/data/789019/000156459020034944/msft-ex1026_364.htm" TargetMode="External"/><Relationship Id="rId215" Type="http://schemas.openxmlformats.org/officeDocument/2006/relationships/hyperlink" Target="https://www.sec.gov/Archives/edgar/data/789019/000156459018001129/msft-ex1014_505.htm" TargetMode="External"/><Relationship Id="rId216" Type="http://schemas.openxmlformats.org/officeDocument/2006/relationships/hyperlink" Target="https://www.sec.gov/Archives/edgar/data/789019/000119312518277602/d602842dex101.htm" TargetMode="External"/><Relationship Id="rId217" Type="http://schemas.openxmlformats.org/officeDocument/2006/relationships/hyperlink" Target="https://www.sec.gov/Archives/edgar/data/789019/000119312516742796/d245252dex1017.htm" TargetMode="External"/><Relationship Id="rId218" Type="http://schemas.openxmlformats.org/officeDocument/2006/relationships/hyperlink" Target="https://www.sec.gov/Archives/edgar/data/789019/000119312516742796/d245252dex1018.htm" TargetMode="External"/><Relationship Id="rId219" Type="http://schemas.openxmlformats.org/officeDocument/2006/relationships/hyperlink" Target="https://www.sec.gov/Archives/edgar/data/789019/000119312516742796/d245252dex1025.htm" TargetMode="External"/><Relationship Id="rId220" Type="http://schemas.openxmlformats.org/officeDocument/2006/relationships/hyperlink" Target="https://www.sec.gov/Archives/edgar/data/789019/000119312516742796/d245252dex1022.htm" TargetMode="External"/><Relationship Id="rId221" Type="http://schemas.openxmlformats.org/officeDocument/2006/relationships/hyperlink" Target="https://www.sec.gov/Archives/edgar/data/789019/000119312514035080/d669538dex101.htm" TargetMode="External"/><Relationship Id="rId224" Type="http://schemas.openxmlformats.org/officeDocument/2006/relationships/hyperlink" Target="https://www.sec.gov/Archives/edgar/data/789019/000119312515020351/d827041dex1024.htm" TargetMode="External"/><Relationship Id="rId225" Type="http://schemas.openxmlformats.org/officeDocument/2006/relationships/hyperlink" Target="https://www.sec.gov/Archives/edgar/data/789019/000156459021051992/msft-ex1027_3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2024-07-30T15:34:11Z</dcterms:created>
  <dcterms:modified xsi:type="dcterms:W3CDTF">2024-07-30T15:34:11Z</dcterms:modified>
</cp:coreProperties>
</file>