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left"/>
        <w:rPr/>
      </w:pPr>
      <w:bookmarkStart w:id="0" w:name="msft-20230331.htm"/>
      <w:bookmarkStart w:id="1" w:name="ksmsft20230331"/>
      <w:bookmarkEnd w:id="0"/>
      <w:bookmarkEnd w:id="1"/>
      <w:r>
        <w:rPr/>
        <w:t> </w:t>
      </w:r>
    </w:p>
    <w:p>
      <w:pPr>
        <w:pStyle w:val="TextBody"/>
        <w:spacing w:before="0" w:after="0"/>
        <w:jc w:val="both"/>
        <w:rPr/>
      </w:pPr>
      <w:r>
        <w:rPr/>
        <w:t> </w:t>
      </w:r>
    </w:p>
    <w:p>
      <w:pPr>
        <w:pStyle w:val="TextBody"/>
        <w:pBdr>
          <w:top w:val="single" w:sz="8" w:space="1" w:color="000000"/>
        </w:pBdr>
        <w:spacing w:before="0" w:after="0"/>
        <w:jc w:val="both"/>
        <w:rPr/>
      </w:pPr>
      <w:r>
        <w:rPr/>
        <w:t> </w:t>
      </w:r>
    </w:p>
    <w:p>
      <w:pPr>
        <w:pStyle w:val="TextBody"/>
        <w:spacing w:before="20" w:after="0"/>
        <w:jc w:val="center"/>
        <w:rPr>
          <w:rFonts w:ascii="Arial;sans-serif" w:hAnsi="Arial;sans-serif"/>
          <w:b/>
          <w:sz w:val="36"/>
        </w:rPr>
      </w:pPr>
      <w:r>
        <w:rPr>
          <w:rFonts w:ascii="Arial;sans-serif" w:hAnsi="Arial;sans-serif"/>
          <w:b/>
          <w:sz w:val="36"/>
        </w:rPr>
        <w:t>UNITED STATES</w:t>
      </w:r>
    </w:p>
    <w:p>
      <w:pPr>
        <w:pStyle w:val="TextBody"/>
        <w:spacing w:before="0" w:after="0"/>
        <w:jc w:val="center"/>
        <w:rPr>
          <w:rFonts w:ascii="Arial;sans-serif" w:hAnsi="Arial;sans-serif"/>
          <w:b/>
          <w:sz w:val="36"/>
        </w:rPr>
      </w:pPr>
      <w:r>
        <w:rPr>
          <w:rFonts w:ascii="Arial;sans-serif" w:hAnsi="Arial;sans-serif"/>
          <w:b/>
          <w:sz w:val="36"/>
        </w:rPr>
        <w:t>SECURITIES AND EXCHANGE COMMISSION</w:t>
      </w:r>
    </w:p>
    <w:p>
      <w:pPr>
        <w:pStyle w:val="TextBody"/>
        <w:spacing w:before="0" w:after="0"/>
        <w:jc w:val="center"/>
        <w:rPr>
          <w:rFonts w:ascii="Arial;sans-serif" w:hAnsi="Arial;sans-serif"/>
          <w:b/>
          <w:sz w:val="24"/>
        </w:rPr>
      </w:pPr>
      <w:r>
        <w:rPr>
          <w:rFonts w:ascii="Arial;sans-serif" w:hAnsi="Arial;sans-serif"/>
          <w:b/>
          <w:sz w:val="24"/>
        </w:rPr>
        <w:t>Washington, D.C. 20549</w:t>
      </w:r>
    </w:p>
    <w:p>
      <w:pPr>
        <w:pStyle w:val="TextBody"/>
        <w:spacing w:before="0" w:after="0"/>
        <w:jc w:val="center"/>
        <w:rPr/>
      </w:pPr>
      <w:r>
        <w:rPr/>
        <w:t> </w:t>
      </w:r>
    </w:p>
    <w:p>
      <w:pPr>
        <w:pStyle w:val="TextBody"/>
        <w:spacing w:before="0" w:after="0"/>
        <w:jc w:val="center"/>
        <w:rPr>
          <w:rFonts w:ascii="Arial;sans-serif" w:hAnsi="Arial;sans-serif"/>
          <w:b/>
          <w:sz w:val="36"/>
        </w:rPr>
      </w:pPr>
      <w:r>
        <w:rPr>
          <w:rFonts w:ascii="Arial;sans-serif" w:hAnsi="Arial;sans-serif"/>
          <w:b/>
          <w:sz w:val="36"/>
        </w:rPr>
        <w:t>FORM 10-Q</w:t>
      </w:r>
    </w:p>
    <w:p>
      <w:pPr>
        <w:pStyle w:val="TextBody"/>
        <w:pBdr>
          <w:bottom w:val="single" w:sz="8" w:space="1" w:color="000000"/>
        </w:pBdr>
        <w:spacing w:before="0" w:after="0"/>
        <w:jc w:val="center"/>
        <w:rPr/>
      </w:pPr>
      <w:r>
        <w:rPr/>
        <w:t>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388"/>
        <w:gridCol w:w="9817"/>
      </w:tblGrid>
      <w:tr>
        <w:trPr/>
        <w:tc>
          <w:tcPr>
            <w:tcW w:w="388" w:type="dxa"/>
            <w:tcBorders/>
            <w:shd w:fill="auto" w:val="clear"/>
            <w:vAlign w:val="center"/>
          </w:tcPr>
          <w:p>
            <w:pPr>
              <w:pStyle w:val="TableContents"/>
              <w:spacing w:before="0" w:after="283"/>
              <w:rPr>
                <w:sz w:val="4"/>
                <w:szCs w:val="4"/>
              </w:rPr>
            </w:pPr>
            <w:r>
              <w:rPr>
                <w:sz w:val="4"/>
                <w:szCs w:val="4"/>
              </w:rPr>
            </w:r>
          </w:p>
        </w:tc>
        <w:tc>
          <w:tcPr>
            <w:tcW w:w="9817" w:type="dxa"/>
            <w:tcBorders/>
            <w:shd w:fill="auto" w:val="clear"/>
            <w:vAlign w:val="center"/>
          </w:tcPr>
          <w:p>
            <w:pPr>
              <w:pStyle w:val="TableContents"/>
              <w:spacing w:before="0" w:after="283"/>
              <w:rPr>
                <w:sz w:val="4"/>
                <w:szCs w:val="4"/>
              </w:rPr>
            </w:pPr>
            <w:r>
              <w:rPr>
                <w:sz w:val="4"/>
                <w:szCs w:val="4"/>
              </w:rPr>
            </w:r>
          </w:p>
        </w:tc>
      </w:tr>
      <w:tr>
        <w:trPr/>
        <w:tc>
          <w:tcPr>
            <w:tcW w:w="388" w:type="dxa"/>
            <w:tcBorders/>
            <w:shd w:fill="auto" w:val="clear"/>
            <w:vAlign w:val="center"/>
          </w:tcPr>
          <w:p>
            <w:pPr>
              <w:pStyle w:val="TableContents"/>
              <w:spacing w:before="0" w:after="0"/>
              <w:ind w:left="0" w:right="0" w:hanging="0"/>
              <w:jc w:val="left"/>
              <w:rPr/>
            </w:pPr>
            <w:r>
              <w:rPr/>
              <w:t>☒</w:t>
            </w:r>
          </w:p>
        </w:tc>
        <w:tc>
          <w:tcPr>
            <w:tcW w:w="9817"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QUARTERLY REPORT PURSUANT TO SECTION 13 OR 15(d) OF THE SECURITIES EXCHANGE ACT OF 1934</w:t>
            </w:r>
          </w:p>
        </w:tc>
      </w:tr>
      <w:tr>
        <w:trPr/>
        <w:tc>
          <w:tcPr>
            <w:tcW w:w="388" w:type="dxa"/>
            <w:tcBorders/>
            <w:shd w:fill="auto" w:val="clear"/>
            <w:vAlign w:val="center"/>
          </w:tcPr>
          <w:p>
            <w:pPr>
              <w:pStyle w:val="TableContents"/>
              <w:spacing w:before="0" w:after="0"/>
              <w:ind w:left="0" w:right="0" w:hanging="0"/>
              <w:jc w:val="left"/>
              <w:rPr/>
            </w:pPr>
            <w:r>
              <w:rPr/>
              <w:t> </w:t>
            </w:r>
          </w:p>
        </w:tc>
        <w:tc>
          <w:tcPr>
            <w:tcW w:w="9817" w:type="dxa"/>
            <w:tcBorders/>
            <w:shd w:fill="auto" w:val="clear"/>
            <w:vAlign w:val="center"/>
          </w:tcPr>
          <w:p>
            <w:pPr>
              <w:pStyle w:val="TableContents"/>
              <w:spacing w:before="0" w:after="0"/>
              <w:ind w:left="0" w:right="0" w:hanging="0"/>
              <w:jc w:val="left"/>
              <w:rPr/>
            </w:pPr>
            <w:r>
              <w:rPr/>
              <w:t> </w:t>
            </w:r>
          </w:p>
        </w:tc>
      </w:tr>
      <w:tr>
        <w:trPr/>
        <w:tc>
          <w:tcPr>
            <w:tcW w:w="388" w:type="dxa"/>
            <w:tcBorders/>
            <w:shd w:fill="auto" w:val="clear"/>
            <w:vAlign w:val="center"/>
          </w:tcPr>
          <w:p>
            <w:pPr>
              <w:pStyle w:val="TableContents"/>
              <w:spacing w:before="0" w:after="0"/>
              <w:ind w:left="0" w:right="0" w:hanging="0"/>
              <w:jc w:val="left"/>
              <w:rPr/>
            </w:pPr>
            <w:r>
              <w:rPr/>
              <w:t> </w:t>
            </w:r>
          </w:p>
        </w:tc>
        <w:tc>
          <w:tcPr>
            <w:tcW w:w="9817" w:type="dxa"/>
            <w:tcBorders/>
            <w:shd w:fill="auto" w:val="clear"/>
            <w:vAlign w:val="center"/>
          </w:tcPr>
          <w:p>
            <w:pPr>
              <w:pStyle w:val="TableContents"/>
              <w:spacing w:before="0" w:after="0"/>
              <w:ind w:left="0" w:right="0" w:hanging="0"/>
              <w:jc w:val="left"/>
              <w:rPr>
                <w:rFonts w:ascii="Arial;sans-serif" w:hAnsi="Arial;sans-serif"/>
                <w:b/>
                <w:sz w:val="16"/>
              </w:rPr>
            </w:pPr>
            <w:r>
              <w:rPr>
                <w:rFonts w:ascii="Arial;sans-serif" w:hAnsi="Arial;sans-serif"/>
                <w:b/>
                <w:sz w:val="16"/>
              </w:rPr>
              <w:t>For the Quarterly Period Ended March 31, 2023</w:t>
            </w:r>
          </w:p>
        </w:tc>
      </w:tr>
      <w:tr>
        <w:trPr/>
        <w:tc>
          <w:tcPr>
            <w:tcW w:w="388" w:type="dxa"/>
            <w:tcBorders/>
            <w:shd w:fill="auto" w:val="clear"/>
            <w:vAlign w:val="center"/>
          </w:tcPr>
          <w:p>
            <w:pPr>
              <w:pStyle w:val="TableContents"/>
              <w:spacing w:before="0" w:after="0"/>
              <w:ind w:left="0" w:right="0" w:hanging="0"/>
              <w:jc w:val="left"/>
              <w:rPr/>
            </w:pPr>
            <w:r>
              <w:rPr/>
              <w:t> </w:t>
            </w:r>
          </w:p>
        </w:tc>
        <w:tc>
          <w:tcPr>
            <w:tcW w:w="9817" w:type="dxa"/>
            <w:tcBorders/>
            <w:shd w:fill="auto" w:val="clear"/>
            <w:vAlign w:val="center"/>
          </w:tcPr>
          <w:p>
            <w:pPr>
              <w:pStyle w:val="TableContents"/>
              <w:spacing w:before="0" w:after="0"/>
              <w:ind w:left="0" w:right="0" w:hanging="0"/>
              <w:jc w:val="left"/>
              <w:rPr/>
            </w:pPr>
            <w:r>
              <w:rPr/>
              <w:t> </w:t>
            </w:r>
          </w:p>
        </w:tc>
      </w:tr>
      <w:tr>
        <w:trPr/>
        <w:tc>
          <w:tcPr>
            <w:tcW w:w="388" w:type="dxa"/>
            <w:tcBorders/>
            <w:shd w:fill="auto" w:val="clear"/>
            <w:vAlign w:val="center"/>
          </w:tcPr>
          <w:p>
            <w:pPr>
              <w:pStyle w:val="TableContents"/>
              <w:spacing w:before="0" w:after="0"/>
              <w:ind w:left="0" w:right="0" w:hanging="0"/>
              <w:jc w:val="left"/>
              <w:rPr/>
            </w:pPr>
            <w:r>
              <w:rPr/>
              <w:t> </w:t>
            </w:r>
          </w:p>
        </w:tc>
        <w:tc>
          <w:tcPr>
            <w:tcW w:w="9817" w:type="dxa"/>
            <w:tcBorders/>
            <w:shd w:fill="auto" w:val="cle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OR</w:t>
            </w:r>
          </w:p>
        </w:tc>
      </w:tr>
      <w:tr>
        <w:trPr/>
        <w:tc>
          <w:tcPr>
            <w:tcW w:w="388" w:type="dxa"/>
            <w:tcBorders/>
            <w:shd w:fill="auto" w:val="clear"/>
            <w:vAlign w:val="center"/>
          </w:tcPr>
          <w:p>
            <w:pPr>
              <w:pStyle w:val="TableContents"/>
              <w:spacing w:before="0" w:after="0"/>
              <w:ind w:left="0" w:right="0" w:hanging="0"/>
              <w:jc w:val="left"/>
              <w:rPr/>
            </w:pPr>
            <w:r>
              <w:rPr/>
              <w:t> </w:t>
            </w:r>
          </w:p>
        </w:tc>
        <w:tc>
          <w:tcPr>
            <w:tcW w:w="9817" w:type="dxa"/>
            <w:tcBorders/>
            <w:shd w:fill="auto" w:val="clear"/>
            <w:vAlign w:val="center"/>
          </w:tcPr>
          <w:p>
            <w:pPr>
              <w:pStyle w:val="TableContents"/>
              <w:spacing w:before="0" w:after="0"/>
              <w:ind w:left="0" w:right="0" w:hanging="0"/>
              <w:jc w:val="left"/>
              <w:rPr/>
            </w:pPr>
            <w:r>
              <w:rPr/>
              <w:t> </w:t>
            </w:r>
          </w:p>
        </w:tc>
      </w:tr>
      <w:tr>
        <w:trPr/>
        <w:tc>
          <w:tcPr>
            <w:tcW w:w="388" w:type="dxa"/>
            <w:tcBorders/>
            <w:shd w:fill="auto" w:val="clear"/>
            <w:vAlign w:val="center"/>
          </w:tcPr>
          <w:p>
            <w:pPr>
              <w:pStyle w:val="TableContents"/>
              <w:spacing w:before="0" w:after="0"/>
              <w:ind w:left="0" w:right="0" w:hanging="0"/>
              <w:jc w:val="left"/>
              <w:rPr/>
            </w:pPr>
            <w:r>
              <w:rPr/>
              <w:t xml:space="preserve">☐ </w:t>
            </w:r>
          </w:p>
        </w:tc>
        <w:tc>
          <w:tcPr>
            <w:tcW w:w="9817"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TRANSITION REPORT PURSUANT TO SECTION 13 OR 15(d) OF THE SECURITIES EXCHANGE ACT OF 1934</w:t>
            </w:r>
          </w:p>
        </w:tc>
      </w:tr>
      <w:tr>
        <w:trPr/>
        <w:tc>
          <w:tcPr>
            <w:tcW w:w="388" w:type="dxa"/>
            <w:tcBorders/>
            <w:shd w:fill="auto" w:val="clear"/>
            <w:vAlign w:val="center"/>
          </w:tcPr>
          <w:p>
            <w:pPr>
              <w:pStyle w:val="TableContents"/>
              <w:spacing w:before="0" w:after="0"/>
              <w:ind w:left="0" w:right="0" w:hanging="0"/>
              <w:jc w:val="left"/>
              <w:rPr/>
            </w:pPr>
            <w:r>
              <w:rPr/>
              <w:t> </w:t>
            </w:r>
          </w:p>
        </w:tc>
        <w:tc>
          <w:tcPr>
            <w:tcW w:w="9817" w:type="dxa"/>
            <w:tcBorders/>
            <w:shd w:fill="auto" w:val="clear"/>
            <w:vAlign w:val="center"/>
          </w:tcPr>
          <w:p>
            <w:pPr>
              <w:pStyle w:val="TableContents"/>
              <w:spacing w:before="0" w:after="0"/>
              <w:ind w:left="0" w:right="0" w:hanging="0"/>
              <w:jc w:val="left"/>
              <w:rPr/>
            </w:pPr>
            <w:r>
              <w:rPr/>
              <w:t> </w:t>
            </w:r>
          </w:p>
        </w:tc>
      </w:tr>
      <w:tr>
        <w:trPr/>
        <w:tc>
          <w:tcPr>
            <w:tcW w:w="388" w:type="dxa"/>
            <w:tcBorders/>
            <w:shd w:fill="auto" w:val="clear"/>
            <w:vAlign w:val="center"/>
          </w:tcPr>
          <w:p>
            <w:pPr>
              <w:pStyle w:val="TableContents"/>
              <w:spacing w:before="0" w:after="0"/>
              <w:ind w:left="0" w:right="0" w:hanging="0"/>
              <w:jc w:val="left"/>
              <w:rPr/>
            </w:pPr>
            <w:r>
              <w:rPr/>
              <w:t> </w:t>
            </w:r>
          </w:p>
        </w:tc>
        <w:tc>
          <w:tcPr>
            <w:tcW w:w="9817" w:type="dxa"/>
            <w:tcBorders/>
            <w:shd w:fill="auto" w:val="clear"/>
            <w:vAlign w:val="center"/>
          </w:tcPr>
          <w:p>
            <w:pPr>
              <w:pStyle w:val="TableContents"/>
              <w:spacing w:before="0" w:after="0"/>
              <w:ind w:left="0" w:right="0" w:hanging="0"/>
              <w:jc w:val="left"/>
              <w:rPr>
                <w:rFonts w:ascii="Arial;sans-serif" w:hAnsi="Arial;sans-serif"/>
                <w:b/>
                <w:sz w:val="16"/>
              </w:rPr>
            </w:pPr>
            <w:r>
              <w:rPr>
                <w:rFonts w:ascii="Arial;sans-serif" w:hAnsi="Arial;sans-serif"/>
                <w:b/>
                <w:sz w:val="16"/>
              </w:rPr>
              <w:t>For the Transition Period From to</w:t>
            </w:r>
          </w:p>
        </w:tc>
      </w:tr>
    </w:tbl>
    <w:p>
      <w:pPr>
        <w:pStyle w:val="TextBody"/>
        <w:spacing w:before="40" w:after="0"/>
        <w:jc w:val="center"/>
        <w:rPr>
          <w:rFonts w:ascii="Arial;sans-serif" w:hAnsi="Arial;sans-serif"/>
          <w:b/>
          <w:sz w:val="20"/>
        </w:rPr>
      </w:pPr>
      <w:r>
        <w:rPr>
          <w:rFonts w:ascii="Arial;sans-serif" w:hAnsi="Arial;sans-serif"/>
          <w:b/>
          <w:sz w:val="20"/>
        </w:rPr>
        <w:t>Commission File Number 001-37845</w:t>
      </w:r>
    </w:p>
    <w:p>
      <w:pPr>
        <w:pStyle w:val="TextBody"/>
        <w:spacing w:before="0" w:after="0"/>
        <w:jc w:val="center"/>
        <w:rPr/>
      </w:pPr>
      <w:r>
        <w:rPr/>
        <w:t> </w:t>
      </w:r>
    </w:p>
    <w:p>
      <w:pPr>
        <w:pStyle w:val="TextBody"/>
        <w:spacing w:before="0" w:after="0"/>
        <w:jc w:val="center"/>
        <w:rPr>
          <w:rFonts w:ascii="Arial;sans-serif" w:hAnsi="Arial;sans-serif"/>
          <w:b/>
          <w:sz w:val="48"/>
        </w:rPr>
      </w:pPr>
      <w:r>
        <w:rPr>
          <w:rFonts w:ascii="Arial;sans-serif" w:hAnsi="Arial;sans-serif"/>
          <w:b/>
          <w:sz w:val="48"/>
        </w:rPr>
        <w:t>MICROSOFT CORPORATION</w:t>
      </w:r>
    </w:p>
    <w:tbl>
      <w:tblPr>
        <w:tblW w:w="3448" w:type="dxa"/>
        <w:jc w:val="left"/>
        <w:tblInd w:w="0" w:type="dxa"/>
        <w:tblCellMar>
          <w:top w:w="28" w:type="dxa"/>
          <w:left w:w="28" w:type="dxa"/>
          <w:bottom w:w="28" w:type="dxa"/>
          <w:right w:w="28" w:type="dxa"/>
        </w:tblCellMar>
      </w:tblPr>
      <w:tblGrid>
        <w:gridCol w:w="2281"/>
        <w:gridCol w:w="146"/>
        <w:gridCol w:w="1021"/>
      </w:tblGrid>
      <w:tr>
        <w:trPr/>
        <w:tc>
          <w:tcPr>
            <w:tcW w:w="22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r>
      <w:tr>
        <w:trPr/>
        <w:tc>
          <w:tcPr>
            <w:tcW w:w="2281" w:type="dxa"/>
            <w:tcBorders/>
            <w:shd w:fill="auto" w:val="clear"/>
            <w:vAlign w:val="center"/>
          </w:tcPr>
          <w:p>
            <w:pPr>
              <w:pStyle w:val="TableContents"/>
              <w:spacing w:before="0" w:after="0"/>
              <w:ind w:left="0" w:right="0" w:hanging="0"/>
              <w:jc w:val="center"/>
              <w:rPr>
                <w:rFonts w:ascii="Arial;sans-serif" w:hAnsi="Arial;sans-serif"/>
                <w:b/>
                <w:caps/>
                <w:sz w:val="17"/>
              </w:rPr>
            </w:pPr>
            <w:r>
              <w:rPr>
                <w:rFonts w:ascii="Arial;sans-serif" w:hAnsi="Arial;sans-serif"/>
                <w:b/>
                <w:caps/>
                <w:sz w:val="17"/>
              </w:rPr>
              <w:t>Washington</w:t>
            </w:r>
          </w:p>
        </w:tc>
        <w:tc>
          <w:tcPr>
            <w:tcW w:w="146" w:type="dxa"/>
            <w:tcBorders/>
            <w:shd w:fill="auto" w:val="clear"/>
            <w:vAlign w:val="center"/>
          </w:tcPr>
          <w:p>
            <w:pPr>
              <w:pStyle w:val="TableContents"/>
              <w:spacing w:before="0" w:after="0"/>
              <w:ind w:left="0" w:right="0" w:hanging="0"/>
              <w:jc w:val="center"/>
              <w:rPr/>
            </w:pPr>
            <w:r>
              <w:rPr/>
              <w:t> </w:t>
            </w:r>
          </w:p>
        </w:tc>
        <w:tc>
          <w:tcPr>
            <w:tcW w:w="1021" w:type="dxa"/>
            <w:tcBorders/>
            <w:shd w:fill="auto" w:val="clear"/>
            <w:vAlign w:val="center"/>
          </w:tcPr>
          <w:p>
            <w:pPr>
              <w:pStyle w:val="TableContents"/>
              <w:spacing w:before="0" w:after="0"/>
              <w:ind w:left="0" w:right="0" w:hanging="0"/>
              <w:jc w:val="center"/>
              <w:rPr>
                <w:rFonts w:ascii="Arial;sans-serif" w:hAnsi="Arial;sans-serif"/>
                <w:b/>
                <w:sz w:val="17"/>
              </w:rPr>
            </w:pPr>
            <w:r>
              <w:rPr>
                <w:rFonts w:ascii="Arial;sans-serif" w:hAnsi="Arial;sans-serif"/>
                <w:b/>
                <w:sz w:val="17"/>
              </w:rPr>
              <w:t>91-1144442</w:t>
            </w:r>
          </w:p>
        </w:tc>
      </w:tr>
      <w:tr>
        <w:trPr/>
        <w:tc>
          <w:tcPr>
            <w:tcW w:w="2281" w:type="dxa"/>
            <w:tcBorders/>
            <w:shd w:fill="auto" w:val="clear"/>
            <w:vAlign w:val="center"/>
          </w:tcPr>
          <w:p>
            <w:pPr>
              <w:pStyle w:val="TableContents"/>
              <w:spacing w:before="0" w:after="0"/>
              <w:ind w:left="0" w:right="0" w:hanging="0"/>
              <w:jc w:val="center"/>
              <w:rPr>
                <w:rFonts w:ascii="Arial;sans-serif" w:hAnsi="Arial;sans-serif"/>
                <w:b/>
                <w:sz w:val="15"/>
              </w:rPr>
            </w:pPr>
            <w:r>
              <w:rPr>
                <w:rFonts w:ascii="Arial;sans-serif" w:hAnsi="Arial;sans-serif"/>
                <w:b/>
                <w:sz w:val="15"/>
              </w:rPr>
              <w:t>(STATE OF INCORPORATION)</w:t>
            </w:r>
          </w:p>
        </w:tc>
        <w:tc>
          <w:tcPr>
            <w:tcW w:w="146" w:type="dxa"/>
            <w:tcBorders/>
            <w:shd w:fill="auto" w:val="clear"/>
            <w:vAlign w:val="center"/>
          </w:tcPr>
          <w:p>
            <w:pPr>
              <w:pStyle w:val="TableContents"/>
              <w:spacing w:before="0" w:after="0"/>
              <w:ind w:left="0" w:right="0" w:hanging="0"/>
              <w:jc w:val="center"/>
              <w:rPr/>
            </w:pPr>
            <w:r>
              <w:rPr/>
              <w:t> </w:t>
            </w:r>
          </w:p>
        </w:tc>
        <w:tc>
          <w:tcPr>
            <w:tcW w:w="1021" w:type="dxa"/>
            <w:tcBorders/>
            <w:shd w:fill="auto" w:val="clear"/>
            <w:vAlign w:val="center"/>
          </w:tcPr>
          <w:p>
            <w:pPr>
              <w:pStyle w:val="TableContents"/>
              <w:spacing w:before="0" w:after="0"/>
              <w:ind w:left="0" w:right="0" w:hanging="0"/>
              <w:jc w:val="center"/>
              <w:rPr>
                <w:rFonts w:ascii="Arial;sans-serif" w:hAnsi="Arial;sans-serif"/>
                <w:b/>
                <w:sz w:val="15"/>
              </w:rPr>
            </w:pPr>
            <w:r>
              <w:rPr>
                <w:rFonts w:ascii="Arial;sans-serif" w:hAnsi="Arial;sans-serif"/>
                <w:b/>
                <w:sz w:val="15"/>
              </w:rPr>
              <w:t>(I.R.S. ID)</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Arial;sans-serif" w:hAnsi="Arial;sans-serif"/>
          <w:b/>
          <w:caps/>
          <w:sz w:val="17"/>
        </w:rPr>
        <w:t>ONE MICROSOFT WAY, REDMOND,</w:t>
      </w:r>
      <w:r>
        <w:rPr>
          <w:rFonts w:ascii="Times New Roman" w:hAnsi="Times New Roman"/>
          <w:sz w:val="20"/>
        </w:rPr>
        <w:t xml:space="preserve"> </w:t>
      </w:r>
      <w:r>
        <w:rPr>
          <w:rFonts w:ascii="Arial;sans-serif" w:hAnsi="Arial;sans-serif"/>
          <w:b/>
          <w:caps/>
          <w:sz w:val="17"/>
        </w:rPr>
        <w:t>Washington</w:t>
      </w:r>
      <w:r>
        <w:rPr>
          <w:rFonts w:ascii="Times New Roman" w:hAnsi="Times New Roman"/>
          <w:sz w:val="20"/>
        </w:rPr>
        <w:t xml:space="preserve"> </w:t>
      </w:r>
      <w:r>
        <w:rPr>
          <w:rFonts w:ascii="Arial;sans-serif" w:hAnsi="Arial;sans-serif"/>
          <w:b/>
          <w:caps/>
          <w:sz w:val="17"/>
        </w:rPr>
        <w:t>98052-6399</w:t>
      </w:r>
    </w:p>
    <w:p>
      <w:pPr>
        <w:pStyle w:val="TextBody"/>
        <w:spacing w:before="0" w:after="0"/>
        <w:jc w:val="center"/>
        <w:rPr>
          <w:rFonts w:ascii="Arial;sans-serif" w:hAnsi="Arial;sans-serif"/>
          <w:b/>
          <w:sz w:val="17"/>
        </w:rPr>
      </w:pPr>
      <w:r>
        <w:rPr>
          <w:rFonts w:ascii="Arial;sans-serif" w:hAnsi="Arial;sans-serif"/>
          <w:b/>
          <w:sz w:val="17"/>
        </w:rPr>
        <w:t>(425) 882-8080</w:t>
      </w:r>
    </w:p>
    <w:p>
      <w:pPr>
        <w:pStyle w:val="TextBody"/>
        <w:spacing w:before="0" w:after="0"/>
        <w:jc w:val="center"/>
        <w:rPr>
          <w:rFonts w:ascii="Arial;sans-serif" w:hAnsi="Arial;sans-serif"/>
          <w:b/>
          <w:sz w:val="17"/>
        </w:rPr>
      </w:pPr>
      <w:r>
        <w:rPr>
          <w:rFonts w:ascii="Arial;sans-serif" w:hAnsi="Arial;sans-serif"/>
          <w:b/>
          <w:sz w:val="17"/>
        </w:rPr>
        <w:t>www.microsoft.com/investor</w:t>
      </w:r>
    </w:p>
    <w:tbl>
      <w:tblPr>
        <w:tblW w:w="8830" w:type="dxa"/>
        <w:jc w:val="left"/>
        <w:tblInd w:w="0" w:type="dxa"/>
        <w:tblCellMar>
          <w:top w:w="28" w:type="dxa"/>
          <w:left w:w="28" w:type="dxa"/>
          <w:bottom w:w="28" w:type="dxa"/>
          <w:right w:w="28" w:type="dxa"/>
        </w:tblCellMar>
      </w:tblPr>
      <w:tblGrid>
        <w:gridCol w:w="4291"/>
        <w:gridCol w:w="146"/>
        <w:gridCol w:w="1246"/>
        <w:gridCol w:w="146"/>
        <w:gridCol w:w="3001"/>
      </w:tblGrid>
      <w:tr>
        <w:trPr/>
        <w:tc>
          <w:tcPr>
            <w:tcW w:w="42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01" w:type="dxa"/>
            <w:tcBorders/>
            <w:shd w:fill="auto" w:val="clear"/>
            <w:vAlign w:val="center"/>
          </w:tcPr>
          <w:p>
            <w:pPr>
              <w:pStyle w:val="TableContents"/>
              <w:spacing w:before="0" w:after="283"/>
              <w:rPr>
                <w:sz w:val="4"/>
                <w:szCs w:val="4"/>
              </w:rPr>
            </w:pPr>
            <w:r>
              <w:rPr>
                <w:sz w:val="4"/>
                <w:szCs w:val="4"/>
              </w:rPr>
            </w:r>
          </w:p>
        </w:tc>
      </w:tr>
      <w:tr>
        <w:trPr/>
        <w:tc>
          <w:tcPr>
            <w:tcW w:w="429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2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3001" w:type="dxa"/>
            <w:tcBorders/>
            <w:shd w:fill="auto" w:val="clear"/>
            <w:vAlign w:val="center"/>
          </w:tcPr>
          <w:p>
            <w:pPr>
              <w:pStyle w:val="TableContents"/>
              <w:spacing w:before="0" w:after="0"/>
              <w:ind w:left="0" w:right="0" w:hanging="0"/>
              <w:jc w:val="left"/>
              <w:rPr/>
            </w:pPr>
            <w:r>
              <w:rPr/>
              <w:t> </w:t>
            </w:r>
          </w:p>
        </w:tc>
      </w:tr>
      <w:tr>
        <w:trPr/>
        <w:tc>
          <w:tcPr>
            <w:tcW w:w="4291" w:type="dxa"/>
            <w:tcBorders/>
            <w:shd w:fill="auto" w:val="clear"/>
            <w:vAlign w:val="center"/>
          </w:tcPr>
          <w:p>
            <w:pPr>
              <w:pStyle w:val="TableContents"/>
              <w:spacing w:before="0" w:after="0"/>
              <w:ind w:left="0" w:right="0" w:hanging="0"/>
              <w:jc w:val="left"/>
              <w:rPr>
                <w:rFonts w:ascii="Arial;sans-serif" w:hAnsi="Arial;sans-serif"/>
                <w:b w:val="false"/>
                <w:sz w:val="17"/>
              </w:rPr>
            </w:pPr>
            <w:r>
              <w:rPr>
                <w:rFonts w:ascii="Arial;sans-serif" w:hAnsi="Arial;sans-serif"/>
                <w:b w:val="false"/>
                <w:sz w:val="17"/>
              </w:rPr>
              <w:t>Securities registered pursuant to Section 12(b) of the Act:</w:t>
            </w:r>
          </w:p>
        </w:tc>
        <w:tc>
          <w:tcPr>
            <w:tcW w:w="146" w:type="dxa"/>
            <w:tcBorders/>
            <w:shd w:fill="auto" w:val="clear"/>
            <w:vAlign w:val="center"/>
          </w:tcPr>
          <w:p>
            <w:pPr>
              <w:pStyle w:val="TableContents"/>
              <w:spacing w:before="0" w:after="0"/>
              <w:ind w:left="0" w:right="0" w:hanging="0"/>
              <w:jc w:val="left"/>
              <w:rPr/>
            </w:pPr>
            <w:r>
              <w:rPr/>
              <w:t> </w:t>
            </w:r>
          </w:p>
        </w:tc>
        <w:tc>
          <w:tcPr>
            <w:tcW w:w="1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01" w:type="dxa"/>
            <w:tcBorders/>
            <w:shd w:fill="auto" w:val="clear"/>
            <w:vAlign w:val="center"/>
          </w:tcPr>
          <w:p>
            <w:pPr>
              <w:pStyle w:val="TableContents"/>
              <w:spacing w:before="0" w:after="0"/>
              <w:ind w:left="0" w:right="0" w:hanging="0"/>
              <w:jc w:val="left"/>
              <w:rPr/>
            </w:pPr>
            <w:r>
              <w:rPr/>
              <w:t> </w:t>
            </w:r>
          </w:p>
        </w:tc>
      </w:tr>
      <w:tr>
        <w:trPr/>
        <w:tc>
          <w:tcPr>
            <w:tcW w:w="429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01" w:type="dxa"/>
            <w:tcBorders/>
            <w:shd w:fill="auto" w:val="clear"/>
            <w:vAlign w:val="center"/>
          </w:tcPr>
          <w:p>
            <w:pPr>
              <w:pStyle w:val="TableContents"/>
              <w:spacing w:before="0" w:after="0"/>
              <w:ind w:left="0" w:right="0" w:hanging="0"/>
              <w:jc w:val="left"/>
              <w:rPr/>
            </w:pPr>
            <w:r>
              <w:rPr/>
              <w:t> </w:t>
            </w:r>
          </w:p>
        </w:tc>
      </w:tr>
      <w:tr>
        <w:trPr/>
        <w:tc>
          <w:tcPr>
            <w:tcW w:w="4291" w:type="dxa"/>
            <w:tcBorders/>
            <w:shd w:fill="auto" w:val="clear"/>
            <w:vAlign w:val="center"/>
          </w:tcPr>
          <w:p>
            <w:pPr>
              <w:pStyle w:val="TableContents"/>
              <w:spacing w:before="0" w:after="0"/>
              <w:ind w:left="0" w:right="0" w:hanging="0"/>
              <w:jc w:val="left"/>
              <w:rPr>
                <w:rFonts w:ascii="Arial;sans-serif" w:hAnsi="Arial;sans-serif"/>
                <w:b w:val="false"/>
                <w:sz w:val="17"/>
              </w:rPr>
            </w:pPr>
            <w:r>
              <w:rPr>
                <w:rFonts w:ascii="Arial;sans-serif" w:hAnsi="Arial;sans-serif"/>
                <w:b w:val="false"/>
                <w:sz w:val="17"/>
              </w:rPr>
              <w:t>Title of each class</w:t>
            </w:r>
          </w:p>
        </w:tc>
        <w:tc>
          <w:tcPr>
            <w:tcW w:w="146" w:type="dxa"/>
            <w:tcBorders/>
            <w:shd w:fill="auto" w:val="clear"/>
            <w:vAlign w:val="center"/>
          </w:tcPr>
          <w:p>
            <w:pPr>
              <w:pStyle w:val="TableContents"/>
              <w:spacing w:before="0" w:after="0"/>
              <w:ind w:left="0" w:right="0" w:hanging="0"/>
              <w:jc w:val="left"/>
              <w:rPr/>
            </w:pPr>
            <w:r>
              <w:rPr/>
              <w:t> </w:t>
            </w:r>
          </w:p>
        </w:tc>
        <w:tc>
          <w:tcPr>
            <w:tcW w:w="1246" w:type="dxa"/>
            <w:tcBorders/>
            <w:shd w:fill="auto" w:val="clear"/>
            <w:vAlign w:val="center"/>
          </w:tcPr>
          <w:p>
            <w:pPr>
              <w:pStyle w:val="TableContents"/>
              <w:spacing w:before="0" w:after="0"/>
              <w:ind w:left="0" w:right="0" w:hanging="0"/>
              <w:jc w:val="center"/>
              <w:rPr>
                <w:rFonts w:ascii="Arial;sans-serif" w:hAnsi="Arial;sans-serif"/>
                <w:b w:val="false"/>
                <w:sz w:val="17"/>
              </w:rPr>
            </w:pPr>
            <w:r>
              <w:rPr>
                <w:rFonts w:ascii="Arial;sans-serif" w:hAnsi="Arial;sans-serif"/>
                <w:b w:val="false"/>
                <w:sz w:val="17"/>
              </w:rPr>
              <w:t>Trading Symbol</w:t>
            </w:r>
          </w:p>
        </w:tc>
        <w:tc>
          <w:tcPr>
            <w:tcW w:w="146" w:type="dxa"/>
            <w:tcBorders/>
            <w:shd w:fill="auto" w:val="clear"/>
            <w:vAlign w:val="center"/>
          </w:tcPr>
          <w:p>
            <w:pPr>
              <w:pStyle w:val="TableContents"/>
              <w:spacing w:before="0" w:after="0"/>
              <w:ind w:left="0" w:right="0" w:hanging="0"/>
              <w:jc w:val="left"/>
              <w:rPr/>
            </w:pPr>
            <w:r>
              <w:rPr/>
              <w:t> </w:t>
            </w:r>
          </w:p>
        </w:tc>
        <w:tc>
          <w:tcPr>
            <w:tcW w:w="3001" w:type="dxa"/>
            <w:tcBorders/>
            <w:shd w:fill="auto" w:val="clear"/>
            <w:vAlign w:val="center"/>
          </w:tcPr>
          <w:p>
            <w:pPr>
              <w:pStyle w:val="TableContents"/>
              <w:spacing w:before="0" w:after="0"/>
              <w:ind w:left="0" w:right="0" w:hanging="0"/>
              <w:jc w:val="center"/>
              <w:rPr>
                <w:rFonts w:ascii="Arial;sans-serif" w:hAnsi="Arial;sans-serif"/>
                <w:b w:val="false"/>
                <w:sz w:val="17"/>
              </w:rPr>
            </w:pPr>
            <w:r>
              <w:rPr>
                <w:rFonts w:ascii="Arial;sans-serif" w:hAnsi="Arial;sans-serif"/>
                <w:b w:val="false"/>
                <w:sz w:val="17"/>
              </w:rPr>
              <w:t>Name of exchange on which registered</w:t>
            </w:r>
          </w:p>
        </w:tc>
      </w:tr>
      <w:tr>
        <w:trPr/>
        <w:tc>
          <w:tcPr>
            <w:tcW w:w="429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01" w:type="dxa"/>
            <w:tcBorders/>
            <w:shd w:fill="auto" w:val="clear"/>
            <w:vAlign w:val="center"/>
          </w:tcPr>
          <w:p>
            <w:pPr>
              <w:pStyle w:val="TableContents"/>
              <w:spacing w:before="0" w:after="0"/>
              <w:ind w:left="0" w:right="0" w:hanging="0"/>
              <w:jc w:val="left"/>
              <w:rPr/>
            </w:pPr>
            <w:r>
              <w:rPr/>
              <w:t> </w:t>
            </w:r>
          </w:p>
        </w:tc>
      </w:tr>
      <w:tr>
        <w:trPr/>
        <w:tc>
          <w:tcPr>
            <w:tcW w:w="4291" w:type="dxa"/>
            <w:tcBorders/>
            <w:shd w:fill="auto" w:val="clear"/>
            <w:vAlign w:val="center"/>
          </w:tcPr>
          <w:p>
            <w:pPr>
              <w:pStyle w:val="TableContents"/>
              <w:spacing w:before="0" w:after="0"/>
              <w:ind w:left="0" w:right="0" w:hanging="0"/>
              <w:jc w:val="left"/>
              <w:rPr>
                <w:rFonts w:ascii="Arial;sans-serif" w:hAnsi="Arial;sans-serif"/>
                <w:b/>
                <w:sz w:val="17"/>
              </w:rPr>
            </w:pPr>
            <w:r>
              <w:rPr>
                <w:rFonts w:ascii="Arial;sans-serif" w:hAnsi="Arial;sans-serif"/>
                <w:b/>
                <w:sz w:val="17"/>
              </w:rPr>
              <w:t>Common stock, $0.00000625 par value per share</w:t>
            </w:r>
          </w:p>
        </w:tc>
        <w:tc>
          <w:tcPr>
            <w:tcW w:w="146" w:type="dxa"/>
            <w:tcBorders/>
            <w:shd w:fill="auto" w:val="clear"/>
            <w:vAlign w:val="center"/>
          </w:tcPr>
          <w:p>
            <w:pPr>
              <w:pStyle w:val="TableContents"/>
              <w:spacing w:before="0" w:after="0"/>
              <w:ind w:left="0" w:right="0" w:hanging="0"/>
              <w:jc w:val="both"/>
              <w:rPr/>
            </w:pPr>
            <w:r>
              <w:rPr/>
              <w:t> </w:t>
            </w:r>
          </w:p>
        </w:tc>
        <w:tc>
          <w:tcPr>
            <w:tcW w:w="1246" w:type="dxa"/>
            <w:tcBorders/>
            <w:shd w:fill="auto" w:val="clear"/>
            <w:vAlign w:val="center"/>
          </w:tcPr>
          <w:p>
            <w:pPr>
              <w:pStyle w:val="TableContents"/>
              <w:spacing w:before="0" w:after="0"/>
              <w:ind w:left="0" w:right="0" w:hanging="0"/>
              <w:jc w:val="center"/>
              <w:rPr>
                <w:rFonts w:ascii="Arial;sans-serif" w:hAnsi="Arial;sans-serif"/>
                <w:b/>
                <w:sz w:val="17"/>
              </w:rPr>
            </w:pPr>
            <w:r>
              <w:rPr>
                <w:rFonts w:ascii="Arial;sans-serif" w:hAnsi="Arial;sans-serif"/>
                <w:b/>
                <w:sz w:val="17"/>
              </w:rPr>
              <w:t>MSFT</w:t>
            </w:r>
          </w:p>
        </w:tc>
        <w:tc>
          <w:tcPr>
            <w:tcW w:w="146" w:type="dxa"/>
            <w:tcBorders/>
            <w:shd w:fill="auto" w:val="clear"/>
            <w:vAlign w:val="center"/>
          </w:tcPr>
          <w:p>
            <w:pPr>
              <w:pStyle w:val="TableContents"/>
              <w:spacing w:before="0" w:after="0"/>
              <w:ind w:left="0" w:right="0" w:hanging="0"/>
              <w:jc w:val="left"/>
              <w:rPr/>
            </w:pPr>
            <w:r>
              <w:rPr/>
              <w:t> </w:t>
            </w:r>
          </w:p>
        </w:tc>
        <w:tc>
          <w:tcPr>
            <w:tcW w:w="3001" w:type="dxa"/>
            <w:tcBorders/>
            <w:shd w:fill="auto" w:val="clear"/>
            <w:vAlign w:val="center"/>
          </w:tcPr>
          <w:p>
            <w:pPr>
              <w:pStyle w:val="TableContents"/>
              <w:spacing w:before="0" w:after="0"/>
              <w:ind w:left="0" w:right="0" w:hanging="0"/>
              <w:jc w:val="center"/>
              <w:rPr>
                <w:rFonts w:ascii="Arial;sans-serif" w:hAnsi="Arial;sans-serif"/>
                <w:b/>
                <w:caps/>
                <w:sz w:val="17"/>
              </w:rPr>
            </w:pPr>
            <w:r>
              <w:rPr>
                <w:rFonts w:ascii="Arial;sans-serif" w:hAnsi="Arial;sans-serif"/>
                <w:b/>
                <w:caps/>
                <w:sz w:val="17"/>
              </w:rPr>
              <w:t>Nasdaq</w:t>
            </w:r>
          </w:p>
        </w:tc>
      </w:tr>
      <w:tr>
        <w:trPr/>
        <w:tc>
          <w:tcPr>
            <w:tcW w:w="4291" w:type="dxa"/>
            <w:tcBorders/>
            <w:shd w:fill="auto" w:val="clear"/>
            <w:vAlign w:val="center"/>
          </w:tcPr>
          <w:p>
            <w:pPr>
              <w:pStyle w:val="TableContents"/>
              <w:spacing w:before="0" w:after="0"/>
              <w:ind w:left="0" w:right="0" w:hanging="0"/>
              <w:jc w:val="left"/>
              <w:rPr>
                <w:rFonts w:ascii="Arial;sans-serif" w:hAnsi="Arial;sans-serif"/>
                <w:b/>
                <w:sz w:val="17"/>
              </w:rPr>
            </w:pPr>
            <w:r>
              <w:rPr>
                <w:rFonts w:ascii="Arial;sans-serif" w:hAnsi="Arial;sans-serif"/>
                <w:b/>
                <w:sz w:val="17"/>
              </w:rPr>
              <w:t>3.125% Notes due 2028</w:t>
            </w:r>
          </w:p>
        </w:tc>
        <w:tc>
          <w:tcPr>
            <w:tcW w:w="146" w:type="dxa"/>
            <w:tcBorders/>
            <w:shd w:fill="auto" w:val="clear"/>
            <w:vAlign w:val="center"/>
          </w:tcPr>
          <w:p>
            <w:pPr>
              <w:pStyle w:val="TableContents"/>
              <w:spacing w:before="0" w:after="0"/>
              <w:ind w:left="0" w:right="0" w:hanging="0"/>
              <w:jc w:val="both"/>
              <w:rPr/>
            </w:pPr>
            <w:r>
              <w:rPr/>
              <w:t> </w:t>
            </w:r>
          </w:p>
        </w:tc>
        <w:tc>
          <w:tcPr>
            <w:tcW w:w="1246" w:type="dxa"/>
            <w:tcBorders/>
            <w:shd w:fill="auto" w:val="clear"/>
            <w:vAlign w:val="center"/>
          </w:tcPr>
          <w:p>
            <w:pPr>
              <w:pStyle w:val="TableContents"/>
              <w:spacing w:before="0" w:after="0"/>
              <w:ind w:left="0" w:right="0" w:hanging="0"/>
              <w:jc w:val="center"/>
              <w:rPr>
                <w:rFonts w:ascii="Arial;sans-serif" w:hAnsi="Arial;sans-serif"/>
                <w:b/>
                <w:sz w:val="17"/>
              </w:rPr>
            </w:pPr>
            <w:r>
              <w:rPr>
                <w:rFonts w:ascii="Arial;sans-serif" w:hAnsi="Arial;sans-serif"/>
                <w:b/>
                <w:sz w:val="17"/>
              </w:rPr>
              <w:t>MSFT</w:t>
            </w:r>
          </w:p>
        </w:tc>
        <w:tc>
          <w:tcPr>
            <w:tcW w:w="146" w:type="dxa"/>
            <w:tcBorders/>
            <w:shd w:fill="auto" w:val="clear"/>
            <w:vAlign w:val="center"/>
          </w:tcPr>
          <w:p>
            <w:pPr>
              <w:pStyle w:val="TableContents"/>
              <w:spacing w:before="0" w:after="0"/>
              <w:ind w:left="0" w:right="0" w:hanging="0"/>
              <w:jc w:val="left"/>
              <w:rPr/>
            </w:pPr>
            <w:r>
              <w:rPr/>
              <w:t> </w:t>
            </w:r>
          </w:p>
        </w:tc>
        <w:tc>
          <w:tcPr>
            <w:tcW w:w="3001" w:type="dxa"/>
            <w:tcBorders/>
            <w:shd w:fill="auto" w:val="clear"/>
            <w:vAlign w:val="center"/>
          </w:tcPr>
          <w:p>
            <w:pPr>
              <w:pStyle w:val="TableContents"/>
              <w:spacing w:before="0" w:after="0"/>
              <w:ind w:left="0" w:right="0" w:hanging="0"/>
              <w:jc w:val="center"/>
              <w:rPr>
                <w:rFonts w:ascii="Arial;sans-serif" w:hAnsi="Arial;sans-serif"/>
                <w:b/>
                <w:caps/>
                <w:sz w:val="17"/>
              </w:rPr>
            </w:pPr>
            <w:r>
              <w:rPr>
                <w:rFonts w:ascii="Arial;sans-serif" w:hAnsi="Arial;sans-serif"/>
                <w:b/>
                <w:caps/>
                <w:sz w:val="17"/>
              </w:rPr>
              <w:t>Nasdaq</w:t>
            </w:r>
          </w:p>
        </w:tc>
      </w:tr>
      <w:tr>
        <w:trPr/>
        <w:tc>
          <w:tcPr>
            <w:tcW w:w="4291" w:type="dxa"/>
            <w:tcBorders/>
            <w:shd w:fill="auto" w:val="clear"/>
            <w:vAlign w:val="center"/>
          </w:tcPr>
          <w:p>
            <w:pPr>
              <w:pStyle w:val="TableContents"/>
              <w:spacing w:before="0" w:after="0"/>
              <w:ind w:left="0" w:right="0" w:hanging="0"/>
              <w:jc w:val="left"/>
              <w:rPr>
                <w:rFonts w:ascii="Arial;sans-serif" w:hAnsi="Arial;sans-serif"/>
                <w:b/>
                <w:sz w:val="17"/>
              </w:rPr>
            </w:pPr>
            <w:r>
              <w:rPr>
                <w:rFonts w:ascii="Arial;sans-serif" w:hAnsi="Arial;sans-serif"/>
                <w:b/>
                <w:sz w:val="17"/>
              </w:rPr>
              <w:t>2.625% Notes due 2033</w:t>
            </w:r>
          </w:p>
        </w:tc>
        <w:tc>
          <w:tcPr>
            <w:tcW w:w="146" w:type="dxa"/>
            <w:tcBorders/>
            <w:shd w:fill="auto" w:val="clear"/>
            <w:vAlign w:val="center"/>
          </w:tcPr>
          <w:p>
            <w:pPr>
              <w:pStyle w:val="TableContents"/>
              <w:spacing w:before="0" w:after="0"/>
              <w:ind w:left="0" w:right="0" w:hanging="0"/>
              <w:jc w:val="both"/>
              <w:rPr/>
            </w:pPr>
            <w:r>
              <w:rPr/>
              <w:t> </w:t>
            </w:r>
          </w:p>
        </w:tc>
        <w:tc>
          <w:tcPr>
            <w:tcW w:w="1246" w:type="dxa"/>
            <w:tcBorders/>
            <w:shd w:fill="auto" w:val="clear"/>
            <w:vAlign w:val="center"/>
          </w:tcPr>
          <w:p>
            <w:pPr>
              <w:pStyle w:val="TableContents"/>
              <w:spacing w:before="0" w:after="0"/>
              <w:ind w:left="0" w:right="0" w:hanging="0"/>
              <w:jc w:val="center"/>
              <w:rPr>
                <w:rFonts w:ascii="Arial;sans-serif" w:hAnsi="Arial;sans-serif"/>
                <w:b/>
                <w:sz w:val="17"/>
              </w:rPr>
            </w:pPr>
            <w:r>
              <w:rPr>
                <w:rFonts w:ascii="Arial;sans-serif" w:hAnsi="Arial;sans-serif"/>
                <w:b/>
                <w:sz w:val="17"/>
              </w:rPr>
              <w:t>MSFT</w:t>
            </w:r>
          </w:p>
        </w:tc>
        <w:tc>
          <w:tcPr>
            <w:tcW w:w="146" w:type="dxa"/>
            <w:tcBorders/>
            <w:shd w:fill="auto" w:val="clear"/>
            <w:vAlign w:val="center"/>
          </w:tcPr>
          <w:p>
            <w:pPr>
              <w:pStyle w:val="TableContents"/>
              <w:spacing w:before="0" w:after="0"/>
              <w:ind w:left="0" w:right="0" w:hanging="0"/>
              <w:jc w:val="left"/>
              <w:rPr/>
            </w:pPr>
            <w:r>
              <w:rPr/>
              <w:t> </w:t>
            </w:r>
          </w:p>
        </w:tc>
        <w:tc>
          <w:tcPr>
            <w:tcW w:w="3001" w:type="dxa"/>
            <w:tcBorders/>
            <w:shd w:fill="auto" w:val="clear"/>
            <w:vAlign w:val="center"/>
          </w:tcPr>
          <w:p>
            <w:pPr>
              <w:pStyle w:val="TableContents"/>
              <w:spacing w:before="0" w:after="0"/>
              <w:ind w:left="0" w:right="0" w:hanging="0"/>
              <w:jc w:val="center"/>
              <w:rPr>
                <w:rFonts w:ascii="Arial;sans-serif" w:hAnsi="Arial;sans-serif"/>
                <w:b/>
                <w:caps/>
                <w:sz w:val="17"/>
              </w:rPr>
            </w:pPr>
            <w:r>
              <w:rPr>
                <w:rFonts w:ascii="Arial;sans-serif" w:hAnsi="Arial;sans-serif"/>
                <w:b/>
                <w:caps/>
                <w:sz w:val="17"/>
              </w:rPr>
              <w:t>Nasdaq</w:t>
            </w:r>
          </w:p>
        </w:tc>
      </w:tr>
    </w:tbl>
    <w:p>
      <w:pPr>
        <w:pStyle w:val="TextBody"/>
        <w:spacing w:before="80" w:after="0"/>
        <w:jc w:val="both"/>
        <w:rPr>
          <w:rFonts w:ascii="Times New Roman" w:hAnsi="Times New Roman"/>
          <w:sz w:val="20"/>
        </w:rPr>
      </w:pPr>
      <w:r>
        <w:rPr>
          <w:rFonts w:ascii="Arial;sans-serif" w:hAnsi="Arial;sans-serif"/>
          <w:b w:val="false"/>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Arial;sans-serif" w:hAnsi="Arial;sans-serif"/>
          <w:b w:val="false"/>
          <w:sz w:val="17"/>
        </w:rPr>
        <w:t xml:space="preserve">No </w:t>
      </w:r>
      <w:r>
        <w:rPr>
          <w:rFonts w:ascii="Times New Roman" w:hAnsi="Times New Roman"/>
          <w:sz w:val="20"/>
        </w:rPr>
        <w:t xml:space="preserve">☐ </w:t>
      </w:r>
    </w:p>
    <w:p>
      <w:pPr>
        <w:pStyle w:val="TextBody"/>
        <w:spacing w:before="80" w:after="0"/>
        <w:jc w:val="both"/>
        <w:rPr>
          <w:rFonts w:ascii="Times New Roman" w:hAnsi="Times New Roman"/>
          <w:sz w:val="20"/>
        </w:rPr>
      </w:pPr>
      <w:r>
        <w:rPr>
          <w:rFonts w:ascii="Arial;sans-serif" w:hAnsi="Arial;sans-serif"/>
          <w:b w:val="false"/>
          <w:sz w:val="17"/>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Arial;sans-serif" w:hAnsi="Arial;sans-serif"/>
          <w:b w:val="false"/>
          <w:sz w:val="17"/>
        </w:rPr>
        <w:t xml:space="preserve">No </w:t>
      </w:r>
      <w:r>
        <w:rPr>
          <w:rFonts w:ascii="Times New Roman" w:hAnsi="Times New Roman"/>
          <w:sz w:val="20"/>
        </w:rPr>
        <w:t>☐</w:t>
      </w:r>
    </w:p>
    <w:p>
      <w:pPr>
        <w:pStyle w:val="TextBody"/>
        <w:spacing w:before="80" w:after="0"/>
        <w:jc w:val="both"/>
        <w:rPr>
          <w:rFonts w:ascii="Times New Roman" w:hAnsi="Times New Roman"/>
          <w:sz w:val="20"/>
        </w:rPr>
      </w:pPr>
      <w:r>
        <w:rPr>
          <w:rFonts w:ascii="Arial;sans-serif" w:hAnsi="Arial;sans-serif"/>
          <w:b w:val="false"/>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0"/>
        </w:rPr>
        <w:t xml:space="preserve"> </w:t>
      </w:r>
    </w:p>
    <w:p>
      <w:pPr>
        <w:pStyle w:val="TextBody"/>
        <w:spacing w:before="0" w:after="0"/>
        <w:jc w:val="left"/>
        <w:rPr/>
      </w:pPr>
      <w:r>
        <w:rPr/>
        <w:t> </w:t>
      </w:r>
    </w:p>
    <w:tbl>
      <w:tblPr>
        <w:tblW w:w="4543" w:type="dxa"/>
        <w:jc w:val="left"/>
        <w:tblInd w:w="0" w:type="dxa"/>
        <w:tblCellMar>
          <w:top w:w="28" w:type="dxa"/>
          <w:left w:w="28" w:type="dxa"/>
          <w:bottom w:w="28" w:type="dxa"/>
          <w:right w:w="28" w:type="dxa"/>
        </w:tblCellMar>
      </w:tblPr>
      <w:tblGrid>
        <w:gridCol w:w="2011"/>
        <w:gridCol w:w="146"/>
        <w:gridCol w:w="2386"/>
      </w:tblGrid>
      <w:tr>
        <w:trPr/>
        <w:tc>
          <w:tcPr>
            <w:tcW w:w="20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86" w:type="dxa"/>
            <w:tcBorders/>
            <w:shd w:fill="auto" w:val="clear"/>
            <w:vAlign w:val="center"/>
          </w:tcPr>
          <w:p>
            <w:pPr>
              <w:pStyle w:val="TableContents"/>
              <w:spacing w:before="0" w:after="283"/>
              <w:rPr>
                <w:sz w:val="4"/>
                <w:szCs w:val="4"/>
              </w:rPr>
            </w:pPr>
            <w:r>
              <w:rPr>
                <w:sz w:val="4"/>
                <w:szCs w:val="4"/>
              </w:rPr>
            </w:r>
          </w:p>
        </w:tc>
      </w:tr>
      <w:tr>
        <w:trPr/>
        <w:tc>
          <w:tcPr>
            <w:tcW w:w="2011" w:type="dxa"/>
            <w:tcBorders/>
            <w:shd w:fill="auto" w:val="clear"/>
            <w:vAlign w:val="center"/>
          </w:tcPr>
          <w:p>
            <w:pPr>
              <w:pStyle w:val="TableContents"/>
              <w:spacing w:before="0" w:after="0"/>
              <w:ind w:left="0" w:right="0" w:hanging="0"/>
              <w:jc w:val="left"/>
              <w:rPr>
                <w:rFonts w:ascii="Times New Roman" w:hAnsi="Times New Roman"/>
                <w:sz w:val="17"/>
              </w:rPr>
            </w:pPr>
            <w:r>
              <w:rPr>
                <w:rFonts w:ascii="Arial;sans-serif" w:hAnsi="Arial;sans-serif"/>
                <w:b w:val="false"/>
                <w:sz w:val="17"/>
              </w:rPr>
              <w:t>Large Accelerated Filer</w:t>
            </w:r>
            <w:r>
              <w:rPr>
                <w:rFonts w:ascii="Times New Roman" w:hAnsi="Times New Roman"/>
                <w:sz w:val="17"/>
              </w:rPr>
              <w:t xml:space="preserve">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386" w:type="dxa"/>
            <w:tcBorders/>
            <w:shd w:fill="auto" w:val="clear"/>
            <w:vAlign w:val="center"/>
          </w:tcPr>
          <w:p>
            <w:pPr>
              <w:pStyle w:val="TableContents"/>
              <w:spacing w:before="0" w:after="0"/>
              <w:ind w:left="0" w:right="0" w:hanging="0"/>
              <w:jc w:val="left"/>
              <w:rPr>
                <w:rFonts w:ascii="Times New Roman" w:hAnsi="Times New Roman"/>
                <w:sz w:val="17"/>
              </w:rPr>
            </w:pPr>
            <w:r>
              <w:rPr>
                <w:rFonts w:ascii="Arial;sans-serif" w:hAnsi="Arial;sans-serif"/>
                <w:b w:val="false"/>
                <w:sz w:val="17"/>
              </w:rPr>
              <w:t xml:space="preserve">Accelerated Filer </w:t>
            </w:r>
            <w:r>
              <w:rPr>
                <w:rFonts w:ascii="Times New Roman" w:hAnsi="Times New Roman"/>
                <w:sz w:val="17"/>
              </w:rPr>
              <w:t>☐</w:t>
            </w:r>
          </w:p>
        </w:tc>
      </w:tr>
      <w:tr>
        <w:trPr/>
        <w:tc>
          <w:tcPr>
            <w:tcW w:w="2011" w:type="dxa"/>
            <w:tcBorders/>
            <w:shd w:fill="auto" w:val="clear"/>
            <w:vAlign w:val="center"/>
          </w:tcPr>
          <w:p>
            <w:pPr>
              <w:pStyle w:val="TableContents"/>
              <w:spacing w:before="0" w:after="0"/>
              <w:ind w:left="0" w:right="0" w:hanging="0"/>
              <w:jc w:val="left"/>
              <w:rPr>
                <w:rFonts w:ascii="Times New Roman" w:hAnsi="Times New Roman"/>
                <w:sz w:val="17"/>
              </w:rPr>
            </w:pPr>
            <w:r>
              <w:rPr>
                <w:rFonts w:ascii="Arial;sans-serif" w:hAnsi="Arial;sans-serif"/>
                <w:b w:val="false"/>
                <w:sz w:val="17"/>
              </w:rPr>
              <w:t xml:space="preserve">Non-accelerated Filer </w:t>
            </w:r>
            <w:r>
              <w:rPr>
                <w:rFonts w:ascii="Times New Roman" w:hAnsi="Times New Roman"/>
                <w:sz w:val="17"/>
              </w:rPr>
              <w:t xml:space="preserve">☐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386" w:type="dxa"/>
            <w:tcBorders/>
            <w:shd w:fill="auto" w:val="clear"/>
            <w:vAlign w:val="center"/>
          </w:tcPr>
          <w:p>
            <w:pPr>
              <w:pStyle w:val="TableContents"/>
              <w:spacing w:before="0" w:after="0"/>
              <w:ind w:left="0" w:right="0" w:hanging="0"/>
              <w:jc w:val="left"/>
              <w:rPr>
                <w:rFonts w:ascii="Times New Roman" w:hAnsi="Times New Roman"/>
                <w:sz w:val="17"/>
              </w:rPr>
            </w:pPr>
            <w:r>
              <w:rPr>
                <w:rFonts w:ascii="Arial;sans-serif" w:hAnsi="Arial;sans-serif"/>
                <w:b w:val="false"/>
                <w:sz w:val="17"/>
              </w:rPr>
              <w:t xml:space="preserve">Smaller Reporting Company </w:t>
            </w:r>
            <w:r>
              <w:rPr>
                <w:rFonts w:ascii="Times New Roman" w:hAnsi="Times New Roman"/>
                <w:sz w:val="17"/>
              </w:rPr>
              <w:t>☐</w:t>
            </w:r>
          </w:p>
        </w:tc>
      </w:tr>
      <w:tr>
        <w:trPr/>
        <w:tc>
          <w:tcPr>
            <w:tcW w:w="20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6" w:type="dxa"/>
            <w:tcBorders/>
            <w:shd w:fill="auto" w:val="clear"/>
            <w:vAlign w:val="center"/>
          </w:tcPr>
          <w:p>
            <w:pPr>
              <w:pStyle w:val="TableContents"/>
              <w:spacing w:before="0" w:after="0"/>
              <w:ind w:left="0" w:right="0" w:hanging="0"/>
              <w:jc w:val="left"/>
              <w:rPr>
                <w:rFonts w:ascii="Times New Roman" w:hAnsi="Times New Roman"/>
                <w:sz w:val="17"/>
              </w:rPr>
            </w:pPr>
            <w:r>
              <w:rPr>
                <w:rFonts w:ascii="Arial;sans-serif" w:hAnsi="Arial;sans-serif"/>
                <w:b w:val="false"/>
                <w:sz w:val="17"/>
              </w:rPr>
              <w:t xml:space="preserve">Emerging Growth Company </w:t>
            </w:r>
            <w:r>
              <w:rPr>
                <w:rFonts w:ascii="Times New Roman" w:hAnsi="Times New Roman"/>
                <w:sz w:val="17"/>
              </w:rPr>
              <w:t>☐</w:t>
            </w:r>
          </w:p>
        </w:tc>
      </w:tr>
    </w:tbl>
    <w:p>
      <w:pPr>
        <w:pStyle w:val="TextBody"/>
        <w:spacing w:before="0" w:after="0"/>
        <w:jc w:val="left"/>
        <w:rPr/>
      </w:pPr>
      <w:r>
        <w:rPr/>
        <w:t> </w:t>
      </w:r>
    </w:p>
    <w:p>
      <w:pPr>
        <w:pStyle w:val="TextBody"/>
        <w:spacing w:before="0" w:after="0"/>
        <w:jc w:val="both"/>
        <w:rPr>
          <w:rFonts w:ascii="Times New Roman" w:hAnsi="Times New Roman"/>
          <w:sz w:val="20"/>
        </w:rPr>
      </w:pPr>
      <w:r>
        <w:rPr>
          <w:rFonts w:ascii="Arial;sans-serif" w:hAnsi="Arial;sans-serif"/>
          <w:b w:val="false"/>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spacing w:before="80" w:after="0"/>
        <w:jc w:val="both"/>
        <w:rPr>
          <w:rFonts w:ascii="Times New Roman" w:hAnsi="Times New Roman"/>
          <w:sz w:val="20"/>
        </w:rPr>
      </w:pPr>
      <w:r>
        <w:rPr>
          <w:rFonts w:ascii="Arial;sans-serif" w:hAnsi="Arial;sans-serif"/>
          <w:b w:val="false"/>
          <w:sz w:val="17"/>
        </w:rPr>
        <w:t xml:space="preserve">Indicate by check mark whether the registrant is a shell company (as defined in Rule 12b-2 of the Exchange Act). Yes </w:t>
      </w:r>
      <w:r>
        <w:rPr>
          <w:rFonts w:ascii="Times New Roman" w:hAnsi="Times New Roman"/>
          <w:sz w:val="20"/>
        </w:rPr>
        <w:t xml:space="preserve">☐ </w:t>
      </w:r>
      <w:r>
        <w:rPr>
          <w:rFonts w:ascii="Arial;sans-serif" w:hAnsi="Arial;sans-serif"/>
          <w:b w:val="false"/>
          <w:sz w:val="17"/>
        </w:rPr>
        <w:t xml:space="preserve">No </w:t>
      </w:r>
      <w:r>
        <w:rPr>
          <w:rFonts w:ascii="Times New Roman" w:hAnsi="Times New Roman"/>
          <w:sz w:val="20"/>
        </w:rPr>
        <w:t xml:space="preserve">☒ </w:t>
      </w:r>
    </w:p>
    <w:p>
      <w:pPr>
        <w:pStyle w:val="TextBody"/>
        <w:spacing w:before="80" w:after="0"/>
        <w:jc w:val="both"/>
        <w:rPr>
          <w:rFonts w:ascii="Times New Roman" w:hAnsi="Times New Roman"/>
          <w:sz w:val="20"/>
        </w:rPr>
      </w:pPr>
      <w:r>
        <w:rPr>
          <w:rFonts w:ascii="Arial;sans-serif" w:hAnsi="Arial;sans-serif"/>
          <w:b w:val="false"/>
          <w:sz w:val="17"/>
        </w:rPr>
        <w:t>Indicate the number of shares outstanding of each of the issuer’s classes of common stock, as of the latest practicable date.</w:t>
      </w:r>
      <w:r>
        <w:rPr>
          <w:rFonts w:ascii="Times New Roman" w:hAnsi="Times New Roman"/>
          <w:sz w:val="20"/>
        </w:rPr>
        <w:t xml:space="preserve"> </w:t>
      </w:r>
    </w:p>
    <w:tbl>
      <w:tblPr>
        <w:tblW w:w="6658" w:type="dxa"/>
        <w:jc w:val="left"/>
        <w:tblInd w:w="0" w:type="dxa"/>
        <w:tblCellMar>
          <w:top w:w="28" w:type="dxa"/>
          <w:left w:w="28" w:type="dxa"/>
          <w:bottom w:w="28" w:type="dxa"/>
          <w:right w:w="28" w:type="dxa"/>
        </w:tblCellMar>
      </w:tblPr>
      <w:tblGrid>
        <w:gridCol w:w="3751"/>
        <w:gridCol w:w="109"/>
        <w:gridCol w:w="2461"/>
        <w:gridCol w:w="146"/>
        <w:gridCol w:w="191"/>
      </w:tblGrid>
      <w:tr>
        <w:trPr/>
        <w:tc>
          <w:tcPr>
            <w:tcW w:w="375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46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91" w:type="dxa"/>
            <w:tcBorders/>
            <w:shd w:fill="FFFFFF" w:val="clear"/>
            <w:vAlign w:val="center"/>
          </w:tcPr>
          <w:p>
            <w:pPr>
              <w:pStyle w:val="TableContents"/>
              <w:spacing w:before="0" w:after="283"/>
              <w:rPr>
                <w:sz w:val="4"/>
                <w:szCs w:val="4"/>
              </w:rPr>
            </w:pPr>
            <w:r>
              <w:rPr>
                <w:sz w:val="4"/>
                <w:szCs w:val="4"/>
              </w:rPr>
            </w:r>
          </w:p>
        </w:tc>
      </w:tr>
      <w:tr>
        <w:trPr/>
        <w:tc>
          <w:tcPr>
            <w:tcW w:w="3751"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Class</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46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Outstanding as of April 20, 2023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91" w:type="dxa"/>
            <w:tcBorders/>
            <w:shd w:fill="auto" w:val="clear"/>
            <w:vAlign w:val="center"/>
          </w:tcPr>
          <w:p>
            <w:pPr>
              <w:pStyle w:val="TableContents"/>
              <w:spacing w:before="0" w:after="0"/>
              <w:ind w:left="0" w:right="0" w:hanging="0"/>
              <w:jc w:val="left"/>
              <w:rPr/>
            </w:pPr>
            <w:r>
              <w:rPr/>
              <w:t> </w:t>
            </w:r>
          </w:p>
        </w:tc>
      </w:tr>
      <w:tr>
        <w:trPr/>
        <w:tc>
          <w:tcPr>
            <w:tcW w:w="6321" w:type="dxa"/>
            <w:gridSpan w:val="3"/>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r>
      <w:tr>
        <w:trPr/>
        <w:tc>
          <w:tcPr>
            <w:tcW w:w="3751" w:type="dxa"/>
            <w:tcBorders/>
            <w:shd w:fill="auto" w:val="clear"/>
            <w:vAlign w:val="center"/>
          </w:tcPr>
          <w:p>
            <w:pPr>
              <w:pStyle w:val="TableContents"/>
              <w:spacing w:before="0" w:after="283"/>
              <w:ind w:left="0" w:right="0" w:hanging="0"/>
              <w:rPr>
                <w:sz w:val="4"/>
                <w:szCs w:val="4"/>
              </w:rPr>
            </w:pPr>
            <w:r>
              <w:rPr>
                <w:sz w:val="4"/>
                <w:szCs w:val="4"/>
              </w:rPr>
            </w:r>
          </w:p>
        </w:tc>
        <w:tc>
          <w:tcPr>
            <w:tcW w:w="2907" w:type="dxa"/>
            <w:gridSpan w:val="4"/>
            <w:tcBorders/>
            <w:shd w:fill="auto" w:val="clear"/>
            <w:vAlign w:val="center"/>
          </w:tcPr>
          <w:p>
            <w:pPr>
              <w:pStyle w:val="TableContents"/>
              <w:spacing w:before="0" w:after="0"/>
              <w:ind w:left="0" w:right="0" w:hanging="0"/>
              <w:jc w:val="left"/>
              <w:rPr/>
            </w:pPr>
            <w:r>
              <w:rPr/>
              <w:t> </w:t>
            </w:r>
          </w:p>
        </w:tc>
      </w:tr>
      <w:tr>
        <w:trPr/>
        <w:tc>
          <w:tcPr>
            <w:tcW w:w="3751"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17"/>
              </w:rPr>
              <w:t>Common Stock, $0.00000625</w:t>
            </w:r>
            <w:r>
              <w:rPr>
                <w:rFonts w:ascii="Times New Roman" w:hAnsi="Times New Roman"/>
                <w:sz w:val="20"/>
              </w:rPr>
              <w:t> </w:t>
            </w:r>
            <w:r>
              <w:rPr>
                <w:rFonts w:ascii="Arial;sans-serif" w:hAnsi="Arial;sans-serif"/>
                <w:b w:val="false"/>
                <w:sz w:val="17"/>
              </w:rPr>
              <w:t>par value per share</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461" w:type="dxa"/>
            <w:tcBorders/>
            <w:shd w:fill="auto" w:val="clear"/>
            <w:vAlign w:val="center"/>
          </w:tcPr>
          <w:p>
            <w:pPr>
              <w:pStyle w:val="TableContents"/>
              <w:spacing w:before="0" w:after="0"/>
              <w:ind w:left="0" w:right="0" w:hanging="0"/>
              <w:jc w:val="right"/>
              <w:rPr>
                <w:rFonts w:ascii="Times New Roman" w:hAnsi="Times New Roman"/>
                <w:sz w:val="20"/>
              </w:rPr>
            </w:pPr>
            <w:r>
              <w:rPr>
                <w:rFonts w:ascii="Arial;sans-serif" w:hAnsi="Arial;sans-serif"/>
                <w:b w:val="false"/>
                <w:sz w:val="17"/>
              </w:rPr>
              <w:t>7,435,487,575</w:t>
            </w:r>
            <w:r>
              <w:rPr>
                <w:rFonts w:ascii="Times New Roman" w:hAnsi="Times New Roman"/>
                <w:sz w:val="20"/>
              </w:rPr>
              <w:t> </w:t>
            </w:r>
            <w:r>
              <w:rPr>
                <w:rFonts w:ascii="Arial;sans-serif" w:hAnsi="Arial;sans-serif"/>
                <w:b w:val="false"/>
                <w:sz w:val="17"/>
              </w:rPr>
              <w:t>shares</w:t>
            </w:r>
          </w:p>
        </w:tc>
        <w:tc>
          <w:tcPr>
            <w:tcW w:w="337" w:type="dxa"/>
            <w:gridSpan w:val="2"/>
            <w:tcBorders/>
            <w:shd w:fill="auto" w:val="clear"/>
            <w:vAlign w:val="center"/>
          </w:tcPr>
          <w:p>
            <w:pPr>
              <w:pStyle w:val="TableContents"/>
              <w:spacing w:before="0" w:after="283"/>
              <w:ind w:left="0" w:right="0" w:hanging="0"/>
              <w:rPr>
                <w:sz w:val="4"/>
                <w:szCs w:val="4"/>
              </w:rPr>
            </w:pPr>
            <w:r>
              <w:rPr>
                <w:sz w:val="4"/>
                <w:szCs w:val="4"/>
              </w:rPr>
            </w:r>
          </w:p>
        </w:tc>
      </w:tr>
    </w:tbl>
    <w:p>
      <w:pPr>
        <w:pStyle w:val="TextBody"/>
        <w:pBdr>
          <w:top w:val="single" w:sz="6" w:space="1" w:color="000000"/>
        </w:pBdr>
        <w:spacing w:before="0" w:after="0"/>
        <w:jc w:val="both"/>
        <w:rPr/>
      </w:pPr>
      <w:r>
        <w:rPr/>
        <w:t> </w:t>
      </w:r>
    </w:p>
    <w:p>
      <w:pPr>
        <w:pStyle w:val="TextBody"/>
        <w:spacing w:before="0" w:after="0"/>
        <w:jc w:val="both"/>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Arial;sans-serif" w:hAnsi="Arial;sans-serif"/>
          <w:b/>
          <w:sz w:val="20"/>
        </w:rPr>
        <w:t>MICROSOFT CORPORATION</w:t>
      </w:r>
      <w:r>
        <w:rPr>
          <w:rFonts w:ascii="Times New Roman" w:hAnsi="Times New Roman"/>
          <w:sz w:val="20"/>
        </w:rPr>
        <w:t xml:space="preserve"> </w:t>
      </w:r>
    </w:p>
    <w:p>
      <w:pPr>
        <w:pStyle w:val="TextBody"/>
        <w:spacing w:before="90" w:after="0"/>
        <w:jc w:val="center"/>
        <w:rPr>
          <w:rFonts w:ascii="Times New Roman" w:hAnsi="Times New Roman"/>
          <w:sz w:val="20"/>
        </w:rPr>
      </w:pPr>
      <w:r>
        <w:rPr>
          <w:rFonts w:ascii="Arial;sans-serif" w:hAnsi="Arial;sans-serif"/>
          <w:b/>
          <w:sz w:val="20"/>
        </w:rPr>
        <w:t>FORM 10-Q</w:t>
      </w:r>
      <w:r>
        <w:rPr>
          <w:rFonts w:ascii="Times New Roman" w:hAnsi="Times New Roman"/>
          <w:sz w:val="20"/>
        </w:rPr>
        <w:t xml:space="preserve"> </w:t>
      </w:r>
    </w:p>
    <w:p>
      <w:pPr>
        <w:pStyle w:val="TextBody"/>
        <w:spacing w:before="90" w:after="0"/>
        <w:jc w:val="center"/>
        <w:rPr>
          <w:rFonts w:ascii="Arial;sans-serif" w:hAnsi="Arial;sans-serif"/>
          <w:b/>
          <w:sz w:val="20"/>
        </w:rPr>
      </w:pPr>
      <w:r>
        <w:rPr>
          <w:rFonts w:ascii="Arial;sans-serif" w:hAnsi="Arial;sans-serif"/>
          <w:b/>
          <w:sz w:val="20"/>
        </w:rPr>
        <w:t>For the Quarter Ended March 31, 2023</w:t>
      </w:r>
    </w:p>
    <w:p>
      <w:pPr>
        <w:pStyle w:val="TextBody"/>
        <w:spacing w:before="90" w:after="0"/>
        <w:jc w:val="center"/>
        <w:rPr>
          <w:rFonts w:ascii="Times New Roman" w:hAnsi="Times New Roman"/>
          <w:sz w:val="20"/>
        </w:rPr>
      </w:pPr>
      <w:r>
        <w:rPr>
          <w:rFonts w:ascii="Arial;sans-serif" w:hAnsi="Arial;sans-serif"/>
          <w:b/>
          <w:sz w:val="20"/>
        </w:rPr>
        <w:t>INDEX</w:t>
      </w:r>
      <w:r>
        <w:rPr>
          <w:rFonts w:ascii="Times New Roman" w:hAnsi="Times New Roman"/>
          <w:sz w:val="20"/>
        </w:rPr>
        <w:t xml:space="preserve"> </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889"/>
        <w:gridCol w:w="803"/>
        <w:gridCol w:w="262"/>
        <w:gridCol w:w="7724"/>
        <w:gridCol w:w="527"/>
      </w:tblGrid>
      <w:tr>
        <w:trPr/>
        <w:tc>
          <w:tcPr>
            <w:tcW w:w="889"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7724"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r>
      <w:tr>
        <w:trPr/>
        <w:tc>
          <w:tcPr>
            <w:tcW w:w="889" w:type="dxa"/>
            <w:tcBorders/>
            <w:shd w:fill="auto" w:val="clear"/>
            <w:vAlign w:val="center"/>
          </w:tcPr>
          <w:p>
            <w:pPr>
              <w:pStyle w:val="TableContents"/>
              <w:spacing w:before="0" w:after="283"/>
              <w:ind w:left="0" w:right="0" w:hanging="0"/>
              <w:rPr>
                <w:sz w:val="4"/>
                <w:szCs w:val="4"/>
              </w:rPr>
            </w:pPr>
            <w:r>
              <w:rPr>
                <w:sz w:val="4"/>
                <w:szCs w:val="4"/>
              </w:rPr>
            </w:r>
          </w:p>
        </w:tc>
        <w:tc>
          <w:tcPr>
            <w:tcW w:w="8789" w:type="dxa"/>
            <w:gridSpan w:val="3"/>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Page</w:t>
            </w:r>
          </w:p>
        </w:tc>
      </w:tr>
      <w:tr>
        <w:trPr/>
        <w:tc>
          <w:tcPr>
            <w:tcW w:w="889"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PART I.</w:t>
            </w:r>
          </w:p>
        </w:tc>
        <w:tc>
          <w:tcPr>
            <w:tcW w:w="8789" w:type="dxa"/>
            <w:gridSpan w:val="3"/>
            <w:tcBorders/>
            <w:shd w:fill="auto" w:val="clear"/>
            <w:vAlign w:val="center"/>
          </w:tcPr>
          <w:p>
            <w:pPr>
              <w:pStyle w:val="TableContents"/>
              <w:spacing w:before="0" w:after="0"/>
              <w:ind w:left="0" w:right="0" w:hanging="0"/>
              <w:jc w:val="left"/>
              <w:rPr/>
            </w:pPr>
            <w:hyperlink w:anchor="part_i_financial_information">
              <w:r>
                <w:rPr>
                  <w:rStyle w:val="InternetLink"/>
                  <w:rFonts w:ascii="Arial;sans-serif" w:hAnsi="Arial;sans-serif"/>
                  <w:b/>
                  <w:sz w:val="20"/>
                </w:rPr>
                <w:t>FINANCIAL INFORMATION</w:t>
              </w:r>
            </w:hyperlink>
          </w:p>
        </w:tc>
        <w:tc>
          <w:tcPr>
            <w:tcW w:w="527" w:type="dxa"/>
            <w:tcBorders/>
            <w:shd w:fill="auto" w:val="clear"/>
            <w:vAlign w:val="center"/>
          </w:tcPr>
          <w:p>
            <w:pPr>
              <w:pStyle w:val="TableContents"/>
              <w:spacing w:before="0" w:after="0"/>
              <w:ind w:left="0" w:right="0" w:hanging="0"/>
              <w:jc w:val="right"/>
              <w:rPr/>
            </w:pPr>
            <w:r>
              <w:rPr/>
              <w:t> </w:t>
            </w:r>
          </w:p>
        </w:tc>
      </w:tr>
      <w:tr>
        <w:trPr/>
        <w:tc>
          <w:tcPr>
            <w:tcW w:w="889" w:type="dxa"/>
            <w:tcBorders/>
            <w:shd w:fill="auto" w:val="clear"/>
            <w:vAlign w:val="center"/>
          </w:tcPr>
          <w:p>
            <w:pPr>
              <w:pStyle w:val="TableContents"/>
              <w:spacing w:before="0" w:after="283"/>
              <w:ind w:left="0" w:right="0" w:hanging="0"/>
              <w:rPr>
                <w:sz w:val="4"/>
                <w:szCs w:val="4"/>
              </w:rPr>
            </w:pPr>
            <w:r>
              <w:rPr>
                <w:sz w:val="4"/>
                <w:szCs w:val="4"/>
              </w:rPr>
            </w:r>
          </w:p>
        </w:tc>
        <w:tc>
          <w:tcPr>
            <w:tcW w:w="803" w:type="dxa"/>
            <w:tcBorders/>
            <w:shd w:fill="auto" w:val="clear"/>
            <w:vAlign w:val="center"/>
          </w:tcPr>
          <w:p>
            <w:pPr>
              <w:pStyle w:val="TableContents"/>
              <w:spacing w:before="0" w:after="0"/>
              <w:ind w:left="0" w:right="0" w:hanging="0"/>
              <w:jc w:val="left"/>
              <w:rPr/>
            </w:pPr>
            <w:r>
              <w:rPr/>
              <w:t> </w:t>
            </w:r>
          </w:p>
        </w:tc>
        <w:tc>
          <w:tcPr>
            <w:tcW w:w="7986" w:type="dxa"/>
            <w:gridSpan w:val="2"/>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 </w:t>
            </w:r>
          </w:p>
        </w:tc>
      </w:tr>
      <w:tr>
        <w:trPr/>
        <w:tc>
          <w:tcPr>
            <w:tcW w:w="889" w:type="dxa"/>
            <w:tcBorders/>
            <w:shd w:fill="auto" w:val="clear"/>
            <w:vAlign w:val="center"/>
          </w:tcPr>
          <w:p>
            <w:pPr>
              <w:pStyle w:val="TableContents"/>
              <w:spacing w:before="0" w:after="283"/>
              <w:ind w:left="0" w:right="0" w:hanging="0"/>
              <w:rPr>
                <w:sz w:val="4"/>
                <w:szCs w:val="4"/>
              </w:rPr>
            </w:pPr>
            <w:r>
              <w:rPr>
                <w:sz w:val="4"/>
                <w:szCs w:val="4"/>
              </w:rPr>
            </w:r>
          </w:p>
        </w:tc>
        <w:tc>
          <w:tcPr>
            <w:tcW w:w="803"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Item 1.</w:t>
            </w:r>
          </w:p>
        </w:tc>
        <w:tc>
          <w:tcPr>
            <w:tcW w:w="7986" w:type="dxa"/>
            <w:gridSpan w:val="2"/>
            <w:tcBorders/>
            <w:shd w:fill="auto" w:val="clear"/>
            <w:vAlign w:val="center"/>
          </w:tcPr>
          <w:p>
            <w:pPr>
              <w:pStyle w:val="TableContents"/>
              <w:spacing w:before="0" w:after="0"/>
              <w:ind w:left="0" w:right="0" w:hanging="0"/>
              <w:jc w:val="left"/>
              <w:rPr/>
            </w:pPr>
            <w:hyperlink w:anchor="item_1_financial_statements">
              <w:r>
                <w:rPr>
                  <w:rStyle w:val="InternetLink"/>
                  <w:rFonts w:ascii="Arial;sans-serif" w:hAnsi="Arial;sans-serif"/>
                  <w:b w:val="false"/>
                  <w:sz w:val="20"/>
                </w:rPr>
                <w:t>Financial Statements</w:t>
              </w:r>
            </w:hyperlink>
          </w:p>
        </w:tc>
        <w:tc>
          <w:tcPr>
            <w:tcW w:w="527" w:type="dxa"/>
            <w:tcBorders/>
            <w:shd w:fill="auto" w:val="clear"/>
            <w:vAlign w:val="center"/>
          </w:tcPr>
          <w:p>
            <w:pPr>
              <w:pStyle w:val="TableContents"/>
              <w:spacing w:before="0" w:after="0"/>
              <w:ind w:left="0" w:right="0" w:hanging="0"/>
              <w:jc w:val="right"/>
              <w:rPr/>
            </w:pPr>
            <w:r>
              <w:rPr/>
              <w:t> </w:t>
            </w:r>
          </w:p>
        </w:tc>
      </w:tr>
      <w:tr>
        <w:trPr/>
        <w:tc>
          <w:tcPr>
            <w:tcW w:w="889" w:type="dxa"/>
            <w:tcBorders/>
            <w:shd w:fill="auto" w:val="clear"/>
            <w:vAlign w:val="center"/>
          </w:tcPr>
          <w:p>
            <w:pPr>
              <w:pStyle w:val="TableContents"/>
              <w:spacing w:before="0" w:after="283"/>
              <w:ind w:left="0" w:right="0" w:hanging="0"/>
              <w:rPr>
                <w:sz w:val="4"/>
                <w:szCs w:val="4"/>
              </w:rPr>
            </w:pPr>
            <w:r>
              <w:rPr>
                <w:sz w:val="4"/>
                <w:szCs w:val="4"/>
              </w:rPr>
            </w:r>
          </w:p>
        </w:tc>
        <w:tc>
          <w:tcPr>
            <w:tcW w:w="803"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pPr>
            <w:r>
              <w:rPr/>
              <w:t> </w:t>
            </w:r>
          </w:p>
        </w:tc>
        <w:tc>
          <w:tcPr>
            <w:tcW w:w="7724"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 </w:t>
            </w:r>
          </w:p>
        </w:tc>
      </w:tr>
      <w:tr>
        <w:trPr/>
        <w:tc>
          <w:tcPr>
            <w:tcW w:w="889" w:type="dxa"/>
            <w:tcBorders/>
            <w:shd w:fill="auto" w:val="clear"/>
            <w:vAlign w:val="center"/>
          </w:tcPr>
          <w:p>
            <w:pPr>
              <w:pStyle w:val="TableContents"/>
              <w:spacing w:before="0" w:after="283"/>
              <w:ind w:left="0" w:right="0" w:hanging="0"/>
              <w:rPr>
                <w:sz w:val="4"/>
                <w:szCs w:val="4"/>
              </w:rPr>
            </w:pPr>
            <w:r>
              <w:rPr>
                <w:sz w:val="4"/>
                <w:szCs w:val="4"/>
              </w:rPr>
            </w:r>
          </w:p>
        </w:tc>
        <w:tc>
          <w:tcPr>
            <w:tcW w:w="803" w:type="dxa"/>
            <w:tcBorders/>
            <w:shd w:fill="auto" w:val="clear"/>
            <w:vAlign w:val="center"/>
          </w:tcPr>
          <w:p>
            <w:pPr>
              <w:pStyle w:val="TableContents"/>
              <w:spacing w:before="0" w:after="283"/>
              <w:ind w:left="0" w:right="0" w:hanging="0"/>
              <w:rPr>
                <w:sz w:val="4"/>
                <w:szCs w:val="4"/>
              </w:rPr>
            </w:pPr>
            <w:r>
              <w:rPr>
                <w:sz w:val="4"/>
                <w:szCs w:val="4"/>
              </w:rPr>
            </w:r>
          </w:p>
        </w:tc>
        <w:tc>
          <w:tcPr>
            <w:tcW w:w="26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w:t>
            </w:r>
          </w:p>
        </w:tc>
        <w:tc>
          <w:tcPr>
            <w:tcW w:w="7724" w:type="dxa"/>
            <w:tcBorders/>
            <w:shd w:fill="auto" w:val="clear"/>
            <w:vAlign w:val="center"/>
          </w:tcPr>
          <w:p>
            <w:pPr>
              <w:pStyle w:val="TableContents"/>
              <w:spacing w:before="0" w:after="0"/>
              <w:ind w:left="0" w:right="0" w:hanging="0"/>
              <w:jc w:val="left"/>
              <w:rPr/>
            </w:pPr>
            <w:hyperlink w:anchor="income_statements">
              <w:r>
                <w:rPr>
                  <w:rStyle w:val="InternetLink"/>
                  <w:rFonts w:ascii="Arial;sans-serif" w:hAnsi="Arial;sans-serif"/>
                  <w:b w:val="false"/>
                  <w:sz w:val="20"/>
                </w:rPr>
                <w:t>Income Statements for the Three and Nine Months Ended March 31, 2023 and 2022</w:t>
              </w:r>
            </w:hyperlink>
          </w:p>
        </w:tc>
        <w:tc>
          <w:tcPr>
            <w:tcW w:w="52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w:t>
            </w:r>
          </w:p>
        </w:tc>
      </w:tr>
      <w:tr>
        <w:trPr/>
        <w:tc>
          <w:tcPr>
            <w:tcW w:w="889" w:type="dxa"/>
            <w:tcBorders/>
            <w:shd w:fill="auto" w:val="clear"/>
            <w:vAlign w:val="center"/>
          </w:tcPr>
          <w:p>
            <w:pPr>
              <w:pStyle w:val="TableContents"/>
              <w:spacing w:before="0" w:after="283"/>
              <w:ind w:left="0" w:right="0" w:hanging="0"/>
              <w:rPr>
                <w:sz w:val="4"/>
                <w:szCs w:val="4"/>
              </w:rPr>
            </w:pPr>
            <w:r>
              <w:rPr>
                <w:sz w:val="4"/>
                <w:szCs w:val="4"/>
              </w:rPr>
            </w:r>
          </w:p>
        </w:tc>
        <w:tc>
          <w:tcPr>
            <w:tcW w:w="803"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pPr>
            <w:r>
              <w:rPr/>
              <w:t> </w:t>
            </w:r>
          </w:p>
        </w:tc>
        <w:tc>
          <w:tcPr>
            <w:tcW w:w="7724"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 </w:t>
            </w:r>
          </w:p>
        </w:tc>
      </w:tr>
      <w:tr>
        <w:trPr/>
        <w:tc>
          <w:tcPr>
            <w:tcW w:w="889" w:type="dxa"/>
            <w:tcBorders/>
            <w:shd w:fill="auto" w:val="clear"/>
            <w:vAlign w:val="center"/>
          </w:tcPr>
          <w:p>
            <w:pPr>
              <w:pStyle w:val="TableContents"/>
              <w:spacing w:before="0" w:after="283"/>
              <w:ind w:left="0" w:right="0" w:hanging="0"/>
              <w:rPr>
                <w:sz w:val="4"/>
                <w:szCs w:val="4"/>
              </w:rPr>
            </w:pPr>
            <w:r>
              <w:rPr>
                <w:sz w:val="4"/>
                <w:szCs w:val="4"/>
              </w:rPr>
            </w:r>
          </w:p>
        </w:tc>
        <w:tc>
          <w:tcPr>
            <w:tcW w:w="803"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b)</w:t>
            </w:r>
          </w:p>
        </w:tc>
        <w:tc>
          <w:tcPr>
            <w:tcW w:w="7724" w:type="dxa"/>
            <w:tcBorders/>
            <w:shd w:fill="auto" w:val="clear"/>
            <w:vAlign w:val="center"/>
          </w:tcPr>
          <w:p>
            <w:pPr>
              <w:pStyle w:val="TableContents"/>
              <w:spacing w:before="0" w:after="0"/>
              <w:ind w:left="0" w:right="0" w:hanging="0"/>
              <w:jc w:val="left"/>
              <w:rPr/>
            </w:pPr>
            <w:hyperlink w:anchor="comprehensive_income_statements">
              <w:r>
                <w:rPr>
                  <w:rStyle w:val="InternetLink"/>
                  <w:rFonts w:ascii="Arial;sans-serif" w:hAnsi="Arial;sans-serif"/>
                  <w:b w:val="false"/>
                  <w:sz w:val="20"/>
                </w:rPr>
                <w:t>Comprehensive Income Statements for the Three and Nine Months Ended March 31, 2023 and 2022</w:t>
              </w:r>
            </w:hyperlink>
          </w:p>
        </w:tc>
        <w:tc>
          <w:tcPr>
            <w:tcW w:w="52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w:t>
            </w:r>
          </w:p>
        </w:tc>
      </w:tr>
      <w:tr>
        <w:trPr/>
        <w:tc>
          <w:tcPr>
            <w:tcW w:w="889" w:type="dxa"/>
            <w:tcBorders/>
            <w:shd w:fill="auto" w:val="clear"/>
            <w:vAlign w:val="center"/>
          </w:tcPr>
          <w:p>
            <w:pPr>
              <w:pStyle w:val="TableContents"/>
              <w:spacing w:before="0" w:after="283"/>
              <w:ind w:left="0" w:right="0" w:hanging="0"/>
              <w:rPr>
                <w:sz w:val="4"/>
                <w:szCs w:val="4"/>
              </w:rPr>
            </w:pPr>
            <w:r>
              <w:rPr>
                <w:sz w:val="4"/>
                <w:szCs w:val="4"/>
              </w:rPr>
            </w:r>
          </w:p>
        </w:tc>
        <w:tc>
          <w:tcPr>
            <w:tcW w:w="803"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pPr>
            <w:r>
              <w:rPr/>
              <w:t> </w:t>
            </w:r>
          </w:p>
        </w:tc>
        <w:tc>
          <w:tcPr>
            <w:tcW w:w="7724"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 </w:t>
            </w:r>
          </w:p>
        </w:tc>
      </w:tr>
      <w:tr>
        <w:trPr/>
        <w:tc>
          <w:tcPr>
            <w:tcW w:w="889" w:type="dxa"/>
            <w:tcBorders/>
            <w:shd w:fill="auto" w:val="clear"/>
            <w:vAlign w:val="center"/>
          </w:tcPr>
          <w:p>
            <w:pPr>
              <w:pStyle w:val="TableContents"/>
              <w:spacing w:before="0" w:after="283"/>
              <w:ind w:left="0" w:right="0" w:hanging="0"/>
              <w:rPr>
                <w:sz w:val="4"/>
                <w:szCs w:val="4"/>
              </w:rPr>
            </w:pPr>
            <w:r>
              <w:rPr>
                <w:sz w:val="4"/>
                <w:szCs w:val="4"/>
              </w:rPr>
            </w:r>
          </w:p>
        </w:tc>
        <w:tc>
          <w:tcPr>
            <w:tcW w:w="803"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w:t>
            </w:r>
          </w:p>
        </w:tc>
        <w:tc>
          <w:tcPr>
            <w:tcW w:w="7724" w:type="dxa"/>
            <w:tcBorders/>
            <w:shd w:fill="auto" w:val="clear"/>
            <w:vAlign w:val="center"/>
          </w:tcPr>
          <w:p>
            <w:pPr>
              <w:pStyle w:val="TableContents"/>
              <w:spacing w:before="0" w:after="0"/>
              <w:ind w:left="0" w:right="0" w:hanging="0"/>
              <w:jc w:val="left"/>
              <w:rPr/>
            </w:pPr>
            <w:hyperlink w:anchor="balance_sheets">
              <w:r>
                <w:rPr>
                  <w:rStyle w:val="InternetLink"/>
                  <w:rFonts w:ascii="Arial;sans-serif" w:hAnsi="Arial;sans-serif"/>
                  <w:b w:val="false"/>
                  <w:sz w:val="20"/>
                </w:rPr>
                <w:t>Balance Sheets as of March 31, 2023 and June 30, 2022</w:t>
              </w:r>
            </w:hyperlink>
          </w:p>
        </w:tc>
        <w:tc>
          <w:tcPr>
            <w:tcW w:w="52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w:t>
            </w:r>
          </w:p>
        </w:tc>
      </w:tr>
      <w:tr>
        <w:trPr/>
        <w:tc>
          <w:tcPr>
            <w:tcW w:w="889" w:type="dxa"/>
            <w:tcBorders/>
            <w:shd w:fill="auto" w:val="clear"/>
            <w:vAlign w:val="center"/>
          </w:tcPr>
          <w:p>
            <w:pPr>
              <w:pStyle w:val="TableContents"/>
              <w:spacing w:before="0" w:after="283"/>
              <w:ind w:left="0" w:right="0" w:hanging="0"/>
              <w:rPr>
                <w:sz w:val="4"/>
                <w:szCs w:val="4"/>
              </w:rPr>
            </w:pPr>
            <w:r>
              <w:rPr>
                <w:sz w:val="4"/>
                <w:szCs w:val="4"/>
              </w:rPr>
            </w:r>
          </w:p>
        </w:tc>
        <w:tc>
          <w:tcPr>
            <w:tcW w:w="803"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pPr>
            <w:r>
              <w:rPr/>
              <w:t> </w:t>
            </w:r>
          </w:p>
        </w:tc>
        <w:tc>
          <w:tcPr>
            <w:tcW w:w="7724"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 </w:t>
            </w:r>
          </w:p>
        </w:tc>
      </w:tr>
      <w:tr>
        <w:trPr/>
        <w:tc>
          <w:tcPr>
            <w:tcW w:w="889" w:type="dxa"/>
            <w:tcBorders/>
            <w:shd w:fill="auto" w:val="clear"/>
            <w:vAlign w:val="center"/>
          </w:tcPr>
          <w:p>
            <w:pPr>
              <w:pStyle w:val="TableContents"/>
              <w:spacing w:before="0" w:after="283"/>
              <w:ind w:left="0" w:right="0" w:hanging="0"/>
              <w:rPr>
                <w:sz w:val="4"/>
                <w:szCs w:val="4"/>
              </w:rPr>
            </w:pPr>
            <w:r>
              <w:rPr>
                <w:sz w:val="4"/>
                <w:szCs w:val="4"/>
              </w:rPr>
            </w:r>
          </w:p>
        </w:tc>
        <w:tc>
          <w:tcPr>
            <w:tcW w:w="803"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w:t>
            </w:r>
          </w:p>
        </w:tc>
        <w:tc>
          <w:tcPr>
            <w:tcW w:w="7724" w:type="dxa"/>
            <w:tcBorders/>
            <w:shd w:fill="auto" w:val="clear"/>
            <w:vAlign w:val="center"/>
          </w:tcPr>
          <w:p>
            <w:pPr>
              <w:pStyle w:val="TableContents"/>
              <w:spacing w:before="0" w:after="0"/>
              <w:ind w:left="0" w:right="0" w:hanging="0"/>
              <w:jc w:val="left"/>
              <w:rPr/>
            </w:pPr>
            <w:hyperlink w:anchor="cash_flows_statements">
              <w:r>
                <w:rPr>
                  <w:rStyle w:val="InternetLink"/>
                  <w:rFonts w:ascii="Arial;sans-serif" w:hAnsi="Arial;sans-serif"/>
                  <w:b w:val="false"/>
                  <w:sz w:val="20"/>
                </w:rPr>
                <w:t>Cash Flows Statements for the Three and Nine Months Ended March 31, 2023 and 2022</w:t>
              </w:r>
            </w:hyperlink>
          </w:p>
        </w:tc>
        <w:tc>
          <w:tcPr>
            <w:tcW w:w="52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w:t>
            </w:r>
          </w:p>
        </w:tc>
      </w:tr>
      <w:tr>
        <w:trPr/>
        <w:tc>
          <w:tcPr>
            <w:tcW w:w="889" w:type="dxa"/>
            <w:tcBorders/>
            <w:shd w:fill="auto" w:val="clear"/>
            <w:vAlign w:val="center"/>
          </w:tcPr>
          <w:p>
            <w:pPr>
              <w:pStyle w:val="TableContents"/>
              <w:spacing w:before="0" w:after="283"/>
              <w:ind w:left="0" w:right="0" w:hanging="0"/>
              <w:rPr>
                <w:sz w:val="4"/>
                <w:szCs w:val="4"/>
              </w:rPr>
            </w:pPr>
            <w:r>
              <w:rPr>
                <w:sz w:val="4"/>
                <w:szCs w:val="4"/>
              </w:rPr>
            </w:r>
          </w:p>
        </w:tc>
        <w:tc>
          <w:tcPr>
            <w:tcW w:w="803"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pPr>
            <w:r>
              <w:rPr/>
              <w:t> </w:t>
            </w:r>
          </w:p>
        </w:tc>
        <w:tc>
          <w:tcPr>
            <w:tcW w:w="7724"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 </w:t>
            </w:r>
          </w:p>
        </w:tc>
      </w:tr>
      <w:tr>
        <w:trPr/>
        <w:tc>
          <w:tcPr>
            <w:tcW w:w="889" w:type="dxa"/>
            <w:tcBorders/>
            <w:shd w:fill="auto" w:val="clear"/>
            <w:vAlign w:val="center"/>
          </w:tcPr>
          <w:p>
            <w:pPr>
              <w:pStyle w:val="TableContents"/>
              <w:spacing w:before="0" w:after="283"/>
              <w:ind w:left="0" w:right="0" w:hanging="0"/>
              <w:rPr>
                <w:sz w:val="4"/>
                <w:szCs w:val="4"/>
              </w:rPr>
            </w:pPr>
            <w:r>
              <w:rPr>
                <w:sz w:val="4"/>
                <w:szCs w:val="4"/>
              </w:rPr>
            </w:r>
          </w:p>
        </w:tc>
        <w:tc>
          <w:tcPr>
            <w:tcW w:w="803"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e)</w:t>
            </w:r>
          </w:p>
        </w:tc>
        <w:tc>
          <w:tcPr>
            <w:tcW w:w="7724" w:type="dxa"/>
            <w:tcBorders/>
            <w:shd w:fill="auto" w:val="clear"/>
            <w:vAlign w:val="center"/>
          </w:tcPr>
          <w:p>
            <w:pPr>
              <w:pStyle w:val="TableContents"/>
              <w:spacing w:before="0" w:after="0"/>
              <w:ind w:left="0" w:right="0" w:hanging="0"/>
              <w:jc w:val="left"/>
              <w:rPr/>
            </w:pPr>
            <w:hyperlink w:anchor="stockholders_equity_statements">
              <w:r>
                <w:rPr>
                  <w:rStyle w:val="InternetLink"/>
                  <w:rFonts w:ascii="Arial;sans-serif" w:hAnsi="Arial;sans-serif"/>
                  <w:b w:val="false"/>
                  <w:sz w:val="20"/>
                </w:rPr>
                <w:t>Stockholders’ Equity Statements for the Three and Nine Months Ended March 31, 2023 and 2022</w:t>
              </w:r>
            </w:hyperlink>
          </w:p>
        </w:tc>
        <w:tc>
          <w:tcPr>
            <w:tcW w:w="52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w:t>
            </w:r>
          </w:p>
        </w:tc>
      </w:tr>
      <w:tr>
        <w:trPr/>
        <w:tc>
          <w:tcPr>
            <w:tcW w:w="889" w:type="dxa"/>
            <w:tcBorders/>
            <w:shd w:fill="auto" w:val="clear"/>
            <w:vAlign w:val="center"/>
          </w:tcPr>
          <w:p>
            <w:pPr>
              <w:pStyle w:val="TableContents"/>
              <w:spacing w:before="0" w:after="283"/>
              <w:ind w:left="0" w:right="0" w:hanging="0"/>
              <w:rPr>
                <w:sz w:val="4"/>
                <w:szCs w:val="4"/>
              </w:rPr>
            </w:pPr>
            <w:r>
              <w:rPr>
                <w:sz w:val="4"/>
                <w:szCs w:val="4"/>
              </w:rPr>
            </w:r>
          </w:p>
        </w:tc>
        <w:tc>
          <w:tcPr>
            <w:tcW w:w="803"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pPr>
            <w:r>
              <w:rPr/>
              <w:t> </w:t>
            </w:r>
          </w:p>
        </w:tc>
        <w:tc>
          <w:tcPr>
            <w:tcW w:w="7724"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 </w:t>
            </w:r>
          </w:p>
        </w:tc>
      </w:tr>
      <w:tr>
        <w:trPr/>
        <w:tc>
          <w:tcPr>
            <w:tcW w:w="889" w:type="dxa"/>
            <w:tcBorders/>
            <w:shd w:fill="auto" w:val="clear"/>
            <w:vAlign w:val="center"/>
          </w:tcPr>
          <w:p>
            <w:pPr>
              <w:pStyle w:val="TableContents"/>
              <w:spacing w:before="0" w:after="283"/>
              <w:ind w:left="0" w:right="0" w:hanging="0"/>
              <w:rPr>
                <w:sz w:val="4"/>
                <w:szCs w:val="4"/>
              </w:rPr>
            </w:pPr>
            <w:r>
              <w:rPr>
                <w:sz w:val="4"/>
                <w:szCs w:val="4"/>
              </w:rPr>
            </w:r>
          </w:p>
        </w:tc>
        <w:tc>
          <w:tcPr>
            <w:tcW w:w="803"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f)</w:t>
            </w:r>
          </w:p>
        </w:tc>
        <w:tc>
          <w:tcPr>
            <w:tcW w:w="7724" w:type="dxa"/>
            <w:tcBorders/>
            <w:shd w:fill="auto" w:val="clear"/>
            <w:vAlign w:val="center"/>
          </w:tcPr>
          <w:p>
            <w:pPr>
              <w:pStyle w:val="TableContents"/>
              <w:spacing w:before="0" w:after="0"/>
              <w:ind w:left="0" w:right="0" w:hanging="0"/>
              <w:jc w:val="left"/>
              <w:rPr/>
            </w:pPr>
            <w:hyperlink w:anchor="notes_to_financial_statements">
              <w:r>
                <w:rPr>
                  <w:rStyle w:val="InternetLink"/>
                  <w:rFonts w:ascii="Arial;sans-serif" w:hAnsi="Arial;sans-serif"/>
                  <w:b w:val="false"/>
                  <w:sz w:val="20"/>
                </w:rPr>
                <w:t>Notes to Financial Statements</w:t>
              </w:r>
            </w:hyperlink>
          </w:p>
        </w:tc>
        <w:tc>
          <w:tcPr>
            <w:tcW w:w="52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w:t>
            </w:r>
          </w:p>
        </w:tc>
      </w:tr>
      <w:tr>
        <w:trPr/>
        <w:tc>
          <w:tcPr>
            <w:tcW w:w="889" w:type="dxa"/>
            <w:tcBorders/>
            <w:shd w:fill="auto" w:val="clear"/>
            <w:vAlign w:val="center"/>
          </w:tcPr>
          <w:p>
            <w:pPr>
              <w:pStyle w:val="TableContents"/>
              <w:spacing w:before="0" w:after="283"/>
              <w:ind w:left="0" w:right="0" w:hanging="0"/>
              <w:rPr>
                <w:sz w:val="4"/>
                <w:szCs w:val="4"/>
              </w:rPr>
            </w:pPr>
            <w:r>
              <w:rPr>
                <w:sz w:val="4"/>
                <w:szCs w:val="4"/>
              </w:rPr>
            </w:r>
          </w:p>
        </w:tc>
        <w:tc>
          <w:tcPr>
            <w:tcW w:w="803"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pPr>
            <w:r>
              <w:rPr/>
              <w:t> </w:t>
            </w:r>
          </w:p>
        </w:tc>
        <w:tc>
          <w:tcPr>
            <w:tcW w:w="7724"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 </w:t>
            </w:r>
          </w:p>
        </w:tc>
      </w:tr>
      <w:tr>
        <w:trPr/>
        <w:tc>
          <w:tcPr>
            <w:tcW w:w="889" w:type="dxa"/>
            <w:tcBorders/>
            <w:shd w:fill="auto" w:val="clear"/>
            <w:vAlign w:val="center"/>
          </w:tcPr>
          <w:p>
            <w:pPr>
              <w:pStyle w:val="TableContents"/>
              <w:spacing w:before="0" w:after="283"/>
              <w:ind w:left="0" w:right="0" w:hanging="0"/>
              <w:rPr>
                <w:sz w:val="4"/>
                <w:szCs w:val="4"/>
              </w:rPr>
            </w:pPr>
            <w:r>
              <w:rPr>
                <w:sz w:val="4"/>
                <w:szCs w:val="4"/>
              </w:rPr>
            </w:r>
          </w:p>
        </w:tc>
        <w:tc>
          <w:tcPr>
            <w:tcW w:w="803"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g)</w:t>
            </w:r>
          </w:p>
        </w:tc>
        <w:tc>
          <w:tcPr>
            <w:tcW w:w="7724" w:type="dxa"/>
            <w:tcBorders/>
            <w:shd w:fill="auto" w:val="clear"/>
            <w:vAlign w:val="center"/>
          </w:tcPr>
          <w:p>
            <w:pPr>
              <w:pStyle w:val="TableContents"/>
              <w:spacing w:before="0" w:after="0"/>
              <w:ind w:left="0" w:right="0" w:hanging="0"/>
              <w:jc w:val="left"/>
              <w:rPr/>
            </w:pPr>
            <w:hyperlink w:anchor="report_independent_registered_public_acc">
              <w:r>
                <w:rPr>
                  <w:rStyle w:val="InternetLink"/>
                  <w:rFonts w:ascii="Arial;sans-serif" w:hAnsi="Arial;sans-serif"/>
                  <w:b w:val="false"/>
                  <w:sz w:val="20"/>
                </w:rPr>
                <w:t>Report of Independent Registered Public Accounting Firm</w:t>
              </w:r>
            </w:hyperlink>
          </w:p>
        </w:tc>
        <w:tc>
          <w:tcPr>
            <w:tcW w:w="52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31</w:t>
            </w:r>
          </w:p>
        </w:tc>
      </w:tr>
      <w:tr>
        <w:trPr/>
        <w:tc>
          <w:tcPr>
            <w:tcW w:w="889" w:type="dxa"/>
            <w:tcBorders/>
            <w:shd w:fill="auto" w:val="clear"/>
            <w:vAlign w:val="center"/>
          </w:tcPr>
          <w:p>
            <w:pPr>
              <w:pStyle w:val="TableContents"/>
              <w:spacing w:before="0" w:after="283"/>
              <w:ind w:left="0" w:right="0" w:hanging="0"/>
              <w:rPr>
                <w:sz w:val="4"/>
                <w:szCs w:val="4"/>
              </w:rPr>
            </w:pPr>
            <w:r>
              <w:rPr>
                <w:sz w:val="4"/>
                <w:szCs w:val="4"/>
              </w:rPr>
            </w:r>
          </w:p>
        </w:tc>
        <w:tc>
          <w:tcPr>
            <w:tcW w:w="803"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pPr>
            <w:r>
              <w:rPr/>
              <w:t> </w:t>
            </w:r>
          </w:p>
        </w:tc>
        <w:tc>
          <w:tcPr>
            <w:tcW w:w="7724"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 </w:t>
            </w:r>
          </w:p>
        </w:tc>
      </w:tr>
      <w:tr>
        <w:trPr/>
        <w:tc>
          <w:tcPr>
            <w:tcW w:w="889" w:type="dxa"/>
            <w:tcBorders/>
            <w:shd w:fill="auto" w:val="clear"/>
            <w:vAlign w:val="center"/>
          </w:tcPr>
          <w:p>
            <w:pPr>
              <w:pStyle w:val="TableContents"/>
              <w:spacing w:before="0" w:after="283"/>
              <w:ind w:left="0" w:right="0" w:hanging="0"/>
              <w:rPr>
                <w:sz w:val="4"/>
                <w:szCs w:val="4"/>
              </w:rPr>
            </w:pPr>
            <w:r>
              <w:rPr>
                <w:sz w:val="4"/>
                <w:szCs w:val="4"/>
              </w:rPr>
            </w:r>
          </w:p>
        </w:tc>
        <w:tc>
          <w:tcPr>
            <w:tcW w:w="803"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Item 2.</w:t>
            </w:r>
          </w:p>
        </w:tc>
        <w:tc>
          <w:tcPr>
            <w:tcW w:w="7986" w:type="dxa"/>
            <w:gridSpan w:val="2"/>
            <w:tcBorders/>
            <w:shd w:fill="auto" w:val="clear"/>
            <w:vAlign w:val="center"/>
          </w:tcPr>
          <w:p>
            <w:pPr>
              <w:pStyle w:val="TableContents"/>
              <w:spacing w:before="0" w:after="0"/>
              <w:ind w:left="0" w:right="0" w:hanging="0"/>
              <w:jc w:val="left"/>
              <w:rPr/>
            </w:pPr>
            <w:hyperlink w:anchor="item_2_managements_discussion_analysis_f">
              <w:r>
                <w:rPr>
                  <w:rStyle w:val="InternetLink"/>
                  <w:rFonts w:ascii="Arial;sans-serif" w:hAnsi="Arial;sans-serif"/>
                  <w:b w:val="false"/>
                  <w:sz w:val="20"/>
                </w:rPr>
                <w:t>Management’s Discussion and Analysis of Financial Condition and Results of Operations</w:t>
              </w:r>
            </w:hyperlink>
          </w:p>
        </w:tc>
        <w:tc>
          <w:tcPr>
            <w:tcW w:w="52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32</w:t>
            </w:r>
          </w:p>
        </w:tc>
      </w:tr>
      <w:tr>
        <w:trPr/>
        <w:tc>
          <w:tcPr>
            <w:tcW w:w="889" w:type="dxa"/>
            <w:tcBorders/>
            <w:shd w:fill="auto" w:val="clear"/>
            <w:vAlign w:val="center"/>
          </w:tcPr>
          <w:p>
            <w:pPr>
              <w:pStyle w:val="TableContents"/>
              <w:spacing w:before="0" w:after="283"/>
              <w:ind w:left="0" w:right="0" w:hanging="0"/>
              <w:rPr>
                <w:sz w:val="4"/>
                <w:szCs w:val="4"/>
              </w:rPr>
            </w:pPr>
            <w:r>
              <w:rPr>
                <w:sz w:val="4"/>
                <w:szCs w:val="4"/>
              </w:rPr>
            </w:r>
          </w:p>
        </w:tc>
        <w:tc>
          <w:tcPr>
            <w:tcW w:w="803"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pPr>
            <w:r>
              <w:rPr/>
              <w:t> </w:t>
            </w:r>
          </w:p>
        </w:tc>
        <w:tc>
          <w:tcPr>
            <w:tcW w:w="7724"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 </w:t>
            </w:r>
          </w:p>
        </w:tc>
      </w:tr>
      <w:tr>
        <w:trPr/>
        <w:tc>
          <w:tcPr>
            <w:tcW w:w="889" w:type="dxa"/>
            <w:tcBorders/>
            <w:shd w:fill="auto" w:val="clear"/>
            <w:vAlign w:val="center"/>
          </w:tcPr>
          <w:p>
            <w:pPr>
              <w:pStyle w:val="TableContents"/>
              <w:spacing w:before="0" w:after="283"/>
              <w:ind w:left="0" w:right="0" w:hanging="0"/>
              <w:rPr>
                <w:sz w:val="4"/>
                <w:szCs w:val="4"/>
              </w:rPr>
            </w:pPr>
            <w:r>
              <w:rPr>
                <w:sz w:val="4"/>
                <w:szCs w:val="4"/>
              </w:rPr>
            </w:r>
          </w:p>
        </w:tc>
        <w:tc>
          <w:tcPr>
            <w:tcW w:w="803"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Item 3.</w:t>
            </w:r>
          </w:p>
        </w:tc>
        <w:tc>
          <w:tcPr>
            <w:tcW w:w="7986" w:type="dxa"/>
            <w:gridSpan w:val="2"/>
            <w:tcBorders/>
            <w:shd w:fill="auto" w:val="clear"/>
            <w:vAlign w:val="center"/>
          </w:tcPr>
          <w:p>
            <w:pPr>
              <w:pStyle w:val="TableContents"/>
              <w:spacing w:before="0" w:after="0"/>
              <w:ind w:left="0" w:right="0" w:hanging="0"/>
              <w:jc w:val="left"/>
              <w:rPr/>
            </w:pPr>
            <w:hyperlink w:anchor="item_3_quantitative_qualitative_disclosu">
              <w:r>
                <w:rPr>
                  <w:rStyle w:val="InternetLink"/>
                  <w:rFonts w:ascii="Arial;sans-serif" w:hAnsi="Arial;sans-serif"/>
                  <w:b w:val="false"/>
                  <w:sz w:val="20"/>
                </w:rPr>
                <w:t>Quantitative and Qualitative Disclosures About Market Risk</w:t>
              </w:r>
            </w:hyperlink>
          </w:p>
        </w:tc>
        <w:tc>
          <w:tcPr>
            <w:tcW w:w="52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50</w:t>
            </w:r>
          </w:p>
        </w:tc>
      </w:tr>
      <w:tr>
        <w:trPr/>
        <w:tc>
          <w:tcPr>
            <w:tcW w:w="889" w:type="dxa"/>
            <w:tcBorders/>
            <w:shd w:fill="auto" w:val="clear"/>
            <w:vAlign w:val="center"/>
          </w:tcPr>
          <w:p>
            <w:pPr>
              <w:pStyle w:val="TableContents"/>
              <w:spacing w:before="0" w:after="283"/>
              <w:ind w:left="0" w:right="0" w:hanging="0"/>
              <w:rPr>
                <w:sz w:val="4"/>
                <w:szCs w:val="4"/>
              </w:rPr>
            </w:pPr>
            <w:r>
              <w:rPr>
                <w:sz w:val="4"/>
                <w:szCs w:val="4"/>
              </w:rPr>
            </w:r>
          </w:p>
        </w:tc>
        <w:tc>
          <w:tcPr>
            <w:tcW w:w="803"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pPr>
            <w:r>
              <w:rPr/>
              <w:t> </w:t>
            </w:r>
          </w:p>
        </w:tc>
        <w:tc>
          <w:tcPr>
            <w:tcW w:w="7724"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 </w:t>
            </w:r>
          </w:p>
        </w:tc>
      </w:tr>
      <w:tr>
        <w:trPr/>
        <w:tc>
          <w:tcPr>
            <w:tcW w:w="889" w:type="dxa"/>
            <w:tcBorders/>
            <w:shd w:fill="auto" w:val="clear"/>
            <w:vAlign w:val="center"/>
          </w:tcPr>
          <w:p>
            <w:pPr>
              <w:pStyle w:val="TableContents"/>
              <w:spacing w:before="0" w:after="283"/>
              <w:ind w:left="0" w:right="0" w:hanging="0"/>
              <w:rPr>
                <w:sz w:val="4"/>
                <w:szCs w:val="4"/>
              </w:rPr>
            </w:pPr>
            <w:r>
              <w:rPr>
                <w:sz w:val="4"/>
                <w:szCs w:val="4"/>
              </w:rPr>
            </w:r>
          </w:p>
        </w:tc>
        <w:tc>
          <w:tcPr>
            <w:tcW w:w="803"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Item 4.</w:t>
            </w:r>
          </w:p>
        </w:tc>
        <w:tc>
          <w:tcPr>
            <w:tcW w:w="7986" w:type="dxa"/>
            <w:gridSpan w:val="2"/>
            <w:tcBorders/>
            <w:shd w:fill="auto" w:val="clear"/>
            <w:vAlign w:val="center"/>
          </w:tcPr>
          <w:p>
            <w:pPr>
              <w:pStyle w:val="TableContents"/>
              <w:spacing w:before="0" w:after="0"/>
              <w:ind w:left="0" w:right="0" w:hanging="0"/>
              <w:jc w:val="left"/>
              <w:rPr/>
            </w:pPr>
            <w:hyperlink w:anchor="item_4_controls_procedures">
              <w:r>
                <w:rPr>
                  <w:rStyle w:val="InternetLink"/>
                  <w:rFonts w:ascii="Arial;sans-serif" w:hAnsi="Arial;sans-serif"/>
                  <w:b w:val="false"/>
                  <w:sz w:val="20"/>
                </w:rPr>
                <w:t>Controls and Procedures</w:t>
              </w:r>
            </w:hyperlink>
          </w:p>
        </w:tc>
        <w:tc>
          <w:tcPr>
            <w:tcW w:w="52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50</w:t>
            </w:r>
          </w:p>
        </w:tc>
      </w:tr>
      <w:tr>
        <w:trPr/>
        <w:tc>
          <w:tcPr>
            <w:tcW w:w="889" w:type="dxa"/>
            <w:tcBorders/>
            <w:shd w:fill="auto" w:val="clear"/>
            <w:vAlign w:val="center"/>
          </w:tcPr>
          <w:p>
            <w:pPr>
              <w:pStyle w:val="TableContents"/>
              <w:spacing w:before="0" w:after="283"/>
              <w:ind w:left="0" w:right="0" w:hanging="0"/>
              <w:rPr>
                <w:sz w:val="4"/>
                <w:szCs w:val="4"/>
              </w:rPr>
            </w:pPr>
            <w:r>
              <w:rPr>
                <w:sz w:val="4"/>
                <w:szCs w:val="4"/>
              </w:rPr>
            </w:r>
          </w:p>
        </w:tc>
        <w:tc>
          <w:tcPr>
            <w:tcW w:w="803"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pPr>
            <w:r>
              <w:rPr/>
              <w:t> </w:t>
            </w:r>
          </w:p>
        </w:tc>
        <w:tc>
          <w:tcPr>
            <w:tcW w:w="7724"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 </w:t>
            </w:r>
          </w:p>
        </w:tc>
      </w:tr>
      <w:tr>
        <w:trPr/>
        <w:tc>
          <w:tcPr>
            <w:tcW w:w="889"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sz w:val="20"/>
              </w:rPr>
              <w:t>PART II.</w:t>
            </w:r>
            <w:r>
              <w:rPr>
                <w:rFonts w:ascii="Times New Roman" w:hAnsi="Times New Roman"/>
                <w:sz w:val="20"/>
              </w:rPr>
              <w:t xml:space="preserve"> </w:t>
            </w:r>
          </w:p>
        </w:tc>
        <w:tc>
          <w:tcPr>
            <w:tcW w:w="8789" w:type="dxa"/>
            <w:gridSpan w:val="3"/>
            <w:tcBorders/>
            <w:shd w:fill="auto" w:val="clear"/>
            <w:vAlign w:val="center"/>
          </w:tcPr>
          <w:p>
            <w:pPr>
              <w:pStyle w:val="TableContents"/>
              <w:spacing w:before="0" w:after="0"/>
              <w:ind w:left="0" w:right="0" w:hanging="0"/>
              <w:jc w:val="left"/>
              <w:rPr/>
            </w:pPr>
            <w:hyperlink w:anchor="part_ii_or_information">
              <w:r>
                <w:rPr>
                  <w:rStyle w:val="InternetLink"/>
                  <w:rFonts w:ascii="Arial;sans-serif" w:hAnsi="Arial;sans-serif"/>
                  <w:b/>
                  <w:sz w:val="20"/>
                </w:rPr>
                <w:t>OTHER INFORMATION</w:t>
              </w:r>
            </w:hyperlink>
          </w:p>
        </w:tc>
        <w:tc>
          <w:tcPr>
            <w:tcW w:w="527" w:type="dxa"/>
            <w:tcBorders/>
            <w:shd w:fill="auto" w:val="clear"/>
            <w:vAlign w:val="center"/>
          </w:tcPr>
          <w:p>
            <w:pPr>
              <w:pStyle w:val="TableContents"/>
              <w:spacing w:before="0" w:after="0"/>
              <w:ind w:left="0" w:right="0" w:hanging="0"/>
              <w:jc w:val="right"/>
              <w:rPr/>
            </w:pPr>
            <w:r>
              <w:rPr/>
              <w:t> </w:t>
            </w:r>
          </w:p>
        </w:tc>
      </w:tr>
      <w:tr>
        <w:trPr/>
        <w:tc>
          <w:tcPr>
            <w:tcW w:w="889" w:type="dxa"/>
            <w:tcBorders/>
            <w:shd w:fill="auto" w:val="clear"/>
            <w:vAlign w:val="center"/>
          </w:tcPr>
          <w:p>
            <w:pPr>
              <w:pStyle w:val="TableContents"/>
              <w:spacing w:before="0" w:after="283"/>
              <w:ind w:left="0" w:right="0" w:hanging="0"/>
              <w:rPr>
                <w:sz w:val="4"/>
                <w:szCs w:val="4"/>
              </w:rPr>
            </w:pPr>
            <w:r>
              <w:rPr>
                <w:sz w:val="4"/>
                <w:szCs w:val="4"/>
              </w:rPr>
            </w:r>
          </w:p>
        </w:tc>
        <w:tc>
          <w:tcPr>
            <w:tcW w:w="803"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pPr>
            <w:r>
              <w:rPr/>
              <w:t> </w:t>
            </w:r>
          </w:p>
        </w:tc>
        <w:tc>
          <w:tcPr>
            <w:tcW w:w="7724"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 </w:t>
            </w:r>
          </w:p>
        </w:tc>
      </w:tr>
      <w:tr>
        <w:trPr/>
        <w:tc>
          <w:tcPr>
            <w:tcW w:w="889" w:type="dxa"/>
            <w:tcBorders/>
            <w:shd w:fill="auto" w:val="clear"/>
            <w:vAlign w:val="center"/>
          </w:tcPr>
          <w:p>
            <w:pPr>
              <w:pStyle w:val="TableContents"/>
              <w:spacing w:before="0" w:after="283"/>
              <w:ind w:left="0" w:right="0" w:hanging="0"/>
              <w:rPr>
                <w:sz w:val="4"/>
                <w:szCs w:val="4"/>
              </w:rPr>
            </w:pPr>
            <w:r>
              <w:rPr>
                <w:sz w:val="4"/>
                <w:szCs w:val="4"/>
              </w:rPr>
            </w:r>
          </w:p>
        </w:tc>
        <w:tc>
          <w:tcPr>
            <w:tcW w:w="803"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Item 1.</w:t>
            </w:r>
          </w:p>
        </w:tc>
        <w:tc>
          <w:tcPr>
            <w:tcW w:w="7986" w:type="dxa"/>
            <w:gridSpan w:val="2"/>
            <w:tcBorders/>
            <w:shd w:fill="auto" w:val="clear"/>
            <w:vAlign w:val="center"/>
          </w:tcPr>
          <w:p>
            <w:pPr>
              <w:pStyle w:val="TableContents"/>
              <w:spacing w:before="0" w:after="0"/>
              <w:ind w:left="0" w:right="0" w:hanging="0"/>
              <w:jc w:val="left"/>
              <w:rPr/>
            </w:pPr>
            <w:hyperlink w:anchor="item_1_legal_proceedings">
              <w:r>
                <w:rPr>
                  <w:rStyle w:val="InternetLink"/>
                  <w:rFonts w:ascii="Arial;sans-serif" w:hAnsi="Arial;sans-serif"/>
                  <w:b w:val="false"/>
                  <w:sz w:val="20"/>
                </w:rPr>
                <w:t>Legal Proceedings</w:t>
              </w:r>
            </w:hyperlink>
          </w:p>
        </w:tc>
        <w:tc>
          <w:tcPr>
            <w:tcW w:w="52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51</w:t>
            </w:r>
          </w:p>
        </w:tc>
      </w:tr>
      <w:tr>
        <w:trPr/>
        <w:tc>
          <w:tcPr>
            <w:tcW w:w="889" w:type="dxa"/>
            <w:tcBorders/>
            <w:shd w:fill="auto" w:val="clear"/>
            <w:vAlign w:val="center"/>
          </w:tcPr>
          <w:p>
            <w:pPr>
              <w:pStyle w:val="TableContents"/>
              <w:spacing w:before="0" w:after="283"/>
              <w:ind w:left="0" w:right="0" w:hanging="0"/>
              <w:rPr>
                <w:sz w:val="4"/>
                <w:szCs w:val="4"/>
              </w:rPr>
            </w:pPr>
            <w:r>
              <w:rPr>
                <w:sz w:val="4"/>
                <w:szCs w:val="4"/>
              </w:rPr>
            </w:r>
          </w:p>
        </w:tc>
        <w:tc>
          <w:tcPr>
            <w:tcW w:w="803"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pPr>
            <w:r>
              <w:rPr/>
              <w:t> </w:t>
            </w:r>
          </w:p>
        </w:tc>
        <w:tc>
          <w:tcPr>
            <w:tcW w:w="7724"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 </w:t>
            </w:r>
          </w:p>
        </w:tc>
      </w:tr>
      <w:tr>
        <w:trPr/>
        <w:tc>
          <w:tcPr>
            <w:tcW w:w="889" w:type="dxa"/>
            <w:tcBorders/>
            <w:shd w:fill="auto" w:val="clear"/>
            <w:vAlign w:val="center"/>
          </w:tcPr>
          <w:p>
            <w:pPr>
              <w:pStyle w:val="TableContents"/>
              <w:spacing w:before="0" w:after="283"/>
              <w:ind w:left="0" w:right="0" w:hanging="0"/>
              <w:rPr>
                <w:sz w:val="4"/>
                <w:szCs w:val="4"/>
              </w:rPr>
            </w:pPr>
            <w:r>
              <w:rPr>
                <w:sz w:val="4"/>
                <w:szCs w:val="4"/>
              </w:rPr>
            </w:r>
          </w:p>
        </w:tc>
        <w:tc>
          <w:tcPr>
            <w:tcW w:w="803"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Item 1A.</w:t>
            </w:r>
          </w:p>
        </w:tc>
        <w:tc>
          <w:tcPr>
            <w:tcW w:w="7986" w:type="dxa"/>
            <w:gridSpan w:val="2"/>
            <w:tcBorders/>
            <w:shd w:fill="auto" w:val="clear"/>
            <w:vAlign w:val="center"/>
          </w:tcPr>
          <w:p>
            <w:pPr>
              <w:pStyle w:val="TableContents"/>
              <w:spacing w:before="0" w:after="0"/>
              <w:ind w:left="0" w:right="0" w:hanging="0"/>
              <w:jc w:val="left"/>
              <w:rPr/>
            </w:pPr>
            <w:hyperlink w:anchor="item_1a_risk_factors">
              <w:r>
                <w:rPr>
                  <w:rStyle w:val="InternetLink"/>
                  <w:rFonts w:ascii="Arial;sans-serif" w:hAnsi="Arial;sans-serif"/>
                  <w:b w:val="false"/>
                  <w:sz w:val="20"/>
                </w:rPr>
                <w:t>Risk Factors</w:t>
              </w:r>
            </w:hyperlink>
          </w:p>
        </w:tc>
        <w:tc>
          <w:tcPr>
            <w:tcW w:w="52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51</w:t>
            </w:r>
          </w:p>
        </w:tc>
      </w:tr>
      <w:tr>
        <w:trPr/>
        <w:tc>
          <w:tcPr>
            <w:tcW w:w="889" w:type="dxa"/>
            <w:tcBorders/>
            <w:shd w:fill="auto" w:val="clear"/>
            <w:vAlign w:val="center"/>
          </w:tcPr>
          <w:p>
            <w:pPr>
              <w:pStyle w:val="TableContents"/>
              <w:spacing w:before="0" w:after="283"/>
              <w:ind w:left="0" w:right="0" w:hanging="0"/>
              <w:rPr>
                <w:sz w:val="4"/>
                <w:szCs w:val="4"/>
              </w:rPr>
            </w:pPr>
            <w:r>
              <w:rPr>
                <w:sz w:val="4"/>
                <w:szCs w:val="4"/>
              </w:rPr>
            </w:r>
          </w:p>
        </w:tc>
        <w:tc>
          <w:tcPr>
            <w:tcW w:w="803"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pPr>
            <w:r>
              <w:rPr/>
              <w:t> </w:t>
            </w:r>
          </w:p>
        </w:tc>
        <w:tc>
          <w:tcPr>
            <w:tcW w:w="7724"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 </w:t>
            </w:r>
          </w:p>
        </w:tc>
      </w:tr>
      <w:tr>
        <w:trPr/>
        <w:tc>
          <w:tcPr>
            <w:tcW w:w="889" w:type="dxa"/>
            <w:tcBorders/>
            <w:shd w:fill="auto" w:val="clear"/>
            <w:vAlign w:val="center"/>
          </w:tcPr>
          <w:p>
            <w:pPr>
              <w:pStyle w:val="TableContents"/>
              <w:spacing w:before="0" w:after="283"/>
              <w:ind w:left="0" w:right="0" w:hanging="0"/>
              <w:rPr>
                <w:sz w:val="4"/>
                <w:szCs w:val="4"/>
              </w:rPr>
            </w:pPr>
            <w:r>
              <w:rPr>
                <w:sz w:val="4"/>
                <w:szCs w:val="4"/>
              </w:rPr>
            </w:r>
          </w:p>
        </w:tc>
        <w:tc>
          <w:tcPr>
            <w:tcW w:w="803"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Item 2.</w:t>
            </w:r>
          </w:p>
        </w:tc>
        <w:tc>
          <w:tcPr>
            <w:tcW w:w="7986" w:type="dxa"/>
            <w:gridSpan w:val="2"/>
            <w:tcBorders/>
            <w:shd w:fill="auto" w:val="clear"/>
            <w:vAlign w:val="center"/>
          </w:tcPr>
          <w:p>
            <w:pPr>
              <w:pStyle w:val="TableContents"/>
              <w:spacing w:before="0" w:after="0"/>
              <w:ind w:left="0" w:right="0" w:hanging="0"/>
              <w:jc w:val="left"/>
              <w:rPr/>
            </w:pPr>
            <w:hyperlink w:anchor="item_2_unregistered_sales_equity_securit">
              <w:r>
                <w:rPr>
                  <w:rStyle w:val="InternetLink"/>
                  <w:rFonts w:ascii="Arial;sans-serif" w:hAnsi="Arial;sans-serif"/>
                  <w:b w:val="false"/>
                  <w:sz w:val="20"/>
                </w:rPr>
                <w:t>Unregistered Sales of Equity Securities and Use of Proceeds</w:t>
              </w:r>
            </w:hyperlink>
          </w:p>
        </w:tc>
        <w:tc>
          <w:tcPr>
            <w:tcW w:w="52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66</w:t>
            </w:r>
          </w:p>
        </w:tc>
      </w:tr>
      <w:tr>
        <w:trPr/>
        <w:tc>
          <w:tcPr>
            <w:tcW w:w="889" w:type="dxa"/>
            <w:tcBorders/>
            <w:shd w:fill="auto" w:val="clear"/>
            <w:vAlign w:val="center"/>
          </w:tcPr>
          <w:p>
            <w:pPr>
              <w:pStyle w:val="TableContents"/>
              <w:spacing w:before="0" w:after="283"/>
              <w:ind w:left="0" w:right="0" w:hanging="0"/>
              <w:rPr>
                <w:sz w:val="4"/>
                <w:szCs w:val="4"/>
              </w:rPr>
            </w:pPr>
            <w:r>
              <w:rPr>
                <w:sz w:val="4"/>
                <w:szCs w:val="4"/>
              </w:rPr>
            </w:r>
          </w:p>
        </w:tc>
        <w:tc>
          <w:tcPr>
            <w:tcW w:w="803"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pPr>
            <w:r>
              <w:rPr/>
              <w:t> </w:t>
            </w:r>
          </w:p>
        </w:tc>
        <w:tc>
          <w:tcPr>
            <w:tcW w:w="7724"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 </w:t>
            </w:r>
          </w:p>
        </w:tc>
      </w:tr>
      <w:tr>
        <w:trPr/>
        <w:tc>
          <w:tcPr>
            <w:tcW w:w="889" w:type="dxa"/>
            <w:tcBorders/>
            <w:shd w:fill="auto" w:val="clear"/>
            <w:vAlign w:val="center"/>
          </w:tcPr>
          <w:p>
            <w:pPr>
              <w:pStyle w:val="TableContents"/>
              <w:spacing w:before="0" w:after="283"/>
              <w:ind w:left="0" w:right="0" w:hanging="0"/>
              <w:rPr>
                <w:sz w:val="4"/>
                <w:szCs w:val="4"/>
              </w:rPr>
            </w:pPr>
            <w:r>
              <w:rPr>
                <w:sz w:val="4"/>
                <w:szCs w:val="4"/>
              </w:rPr>
            </w:r>
          </w:p>
        </w:tc>
        <w:tc>
          <w:tcPr>
            <w:tcW w:w="803"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Item 6.</w:t>
            </w:r>
          </w:p>
        </w:tc>
        <w:tc>
          <w:tcPr>
            <w:tcW w:w="7986" w:type="dxa"/>
            <w:gridSpan w:val="2"/>
            <w:tcBorders/>
            <w:shd w:fill="auto" w:val="clear"/>
            <w:vAlign w:val="center"/>
          </w:tcPr>
          <w:p>
            <w:pPr>
              <w:pStyle w:val="TableContents"/>
              <w:spacing w:before="0" w:after="0"/>
              <w:ind w:left="0" w:right="0" w:hanging="0"/>
              <w:jc w:val="left"/>
              <w:rPr/>
            </w:pPr>
            <w:hyperlink w:anchor="item_6_exhibits">
              <w:r>
                <w:rPr>
                  <w:rStyle w:val="InternetLink"/>
                  <w:rFonts w:ascii="Arial;sans-serif" w:hAnsi="Arial;sans-serif"/>
                  <w:b w:val="false"/>
                  <w:sz w:val="20"/>
                </w:rPr>
                <w:t>Exhibits</w:t>
              </w:r>
            </w:hyperlink>
          </w:p>
        </w:tc>
        <w:tc>
          <w:tcPr>
            <w:tcW w:w="52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67</w:t>
            </w:r>
          </w:p>
        </w:tc>
      </w:tr>
      <w:tr>
        <w:trPr/>
        <w:tc>
          <w:tcPr>
            <w:tcW w:w="889" w:type="dxa"/>
            <w:tcBorders/>
            <w:shd w:fill="auto" w:val="clear"/>
            <w:vAlign w:val="center"/>
          </w:tcPr>
          <w:p>
            <w:pPr>
              <w:pStyle w:val="TableContents"/>
              <w:spacing w:before="0" w:after="283"/>
              <w:ind w:left="0" w:right="0" w:hanging="0"/>
              <w:rPr>
                <w:sz w:val="4"/>
                <w:szCs w:val="4"/>
              </w:rPr>
            </w:pPr>
            <w:r>
              <w:rPr>
                <w:sz w:val="4"/>
                <w:szCs w:val="4"/>
              </w:rPr>
            </w:r>
          </w:p>
        </w:tc>
        <w:tc>
          <w:tcPr>
            <w:tcW w:w="803"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pPr>
            <w:r>
              <w:rPr/>
              <w:t> </w:t>
            </w:r>
          </w:p>
        </w:tc>
        <w:tc>
          <w:tcPr>
            <w:tcW w:w="7724"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 </w:t>
            </w:r>
          </w:p>
        </w:tc>
      </w:tr>
      <w:tr>
        <w:trPr/>
        <w:tc>
          <w:tcPr>
            <w:tcW w:w="9678" w:type="dxa"/>
            <w:gridSpan w:val="4"/>
            <w:tcBorders/>
            <w:shd w:fill="auto" w:val="clear"/>
            <w:vAlign w:val="center"/>
          </w:tcPr>
          <w:p>
            <w:pPr>
              <w:pStyle w:val="TableContents"/>
              <w:spacing w:before="0" w:after="0"/>
              <w:ind w:left="0" w:right="0" w:hanging="0"/>
              <w:jc w:val="left"/>
              <w:rPr/>
            </w:pPr>
            <w:hyperlink w:anchor="signatures">
              <w:r>
                <w:rPr>
                  <w:rStyle w:val="InternetLink"/>
                  <w:rFonts w:ascii="Arial;sans-serif" w:hAnsi="Arial;sans-serif"/>
                  <w:b/>
                  <w:sz w:val="20"/>
                </w:rPr>
                <w:t>SIGNATURE</w:t>
              </w:r>
            </w:hyperlink>
          </w:p>
        </w:tc>
        <w:tc>
          <w:tcPr>
            <w:tcW w:w="52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68</w:t>
            </w:r>
          </w:p>
        </w:tc>
      </w:tr>
    </w:tbl>
    <w:p>
      <w:pPr>
        <w:pStyle w:val="TextBody"/>
        <w:spacing w:before="0" w:after="0"/>
        <w:jc w:val="left"/>
        <w:rPr/>
      </w:pPr>
      <w:r>
        <w:rPr/>
        <w:t> </w:t>
      </w:r>
    </w:p>
    <w:p>
      <w:pPr>
        <w:pStyle w:val="TextBody"/>
        <w:spacing w:before="0" w:after="0"/>
        <w:jc w:val="left"/>
        <w:rPr/>
      </w:pPr>
      <w:r>
        <w:rPr/>
        <w:t> </w:t>
      </w:r>
    </w:p>
    <w:p>
      <w:pPr>
        <w:pStyle w:val="TextBody"/>
        <w:spacing w:before="240" w:after="0"/>
        <w:jc w:val="center"/>
        <w:rPr>
          <w:rFonts w:ascii="Arial;sans-serif" w:hAnsi="Arial;sans-serif"/>
          <w:b w:val="false"/>
          <w:sz w:val="16"/>
        </w:rPr>
      </w:pPr>
      <w:r>
        <w:rPr>
          <w:rFonts w:ascii="Arial;sans-serif" w:hAnsi="Arial;sans-serif"/>
          <w:b w:val="false"/>
          <w:sz w:val="16"/>
        </w:rPr>
        <w:t>2</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w:t>
      </w:r>
    </w:p>
    <w:p>
      <w:pPr>
        <w:pStyle w:val="TextBody"/>
        <w:spacing w:before="0" w:after="0"/>
        <w:jc w:val="center"/>
        <w:rPr>
          <w:rFonts w:ascii="Arial;sans-serif" w:hAnsi="Arial;sans-serif"/>
          <w:b w:val="false"/>
          <w:sz w:val="15"/>
        </w:rPr>
      </w:pPr>
      <w:r>
        <w:rPr>
          <w:rFonts w:ascii="Arial;sans-serif" w:hAnsi="Arial;sans-serif"/>
          <w:b w:val="false"/>
          <w:sz w:val="15"/>
        </w:rPr>
        <w:t>Item 1</w:t>
      </w:r>
    </w:p>
    <w:p>
      <w:pPr>
        <w:pStyle w:val="TextBody"/>
        <w:spacing w:before="0" w:after="0"/>
        <w:jc w:val="left"/>
        <w:rPr/>
      </w:pPr>
      <w:r>
        <w:rPr/>
        <w:t> </w:t>
      </w:r>
    </w:p>
    <w:p>
      <w:pPr>
        <w:pStyle w:val="TextBody"/>
        <w:spacing w:before="0" w:after="0"/>
        <w:jc w:val="center"/>
        <w:rPr>
          <w:rFonts w:ascii="Arial;sans-serif" w:hAnsi="Arial;sans-serif"/>
          <w:b/>
          <w:sz w:val="20"/>
        </w:rPr>
      </w:pPr>
      <w:bookmarkStart w:id="2" w:name="part_i_financial_information"/>
      <w:bookmarkEnd w:id="2"/>
      <w:r>
        <w:rPr>
          <w:rFonts w:ascii="Arial;sans-serif" w:hAnsi="Arial;sans-serif"/>
          <w:b/>
          <w:sz w:val="20"/>
        </w:rPr>
        <w:t>PART I. FINANCIAL INFORMATION</w:t>
      </w:r>
    </w:p>
    <w:p>
      <w:pPr>
        <w:pStyle w:val="TextBody"/>
        <w:spacing w:before="90" w:after="0"/>
        <w:jc w:val="center"/>
        <w:rPr>
          <w:rFonts w:ascii="Arial;sans-serif" w:hAnsi="Arial;sans-serif"/>
          <w:b/>
          <w:sz w:val="24"/>
        </w:rPr>
      </w:pPr>
      <w:bookmarkStart w:id="3" w:name="item_1_financial_statements"/>
      <w:bookmarkEnd w:id="3"/>
      <w:r>
        <w:rPr>
          <w:rFonts w:ascii="Arial;sans-serif" w:hAnsi="Arial;sans-serif"/>
          <w:b/>
          <w:sz w:val="24"/>
        </w:rPr>
        <w:t>ITEM 1. FINANCIAL STATEMENTS</w:t>
      </w:r>
    </w:p>
    <w:p>
      <w:pPr>
        <w:pStyle w:val="TextBody"/>
        <w:spacing w:before="90" w:after="0"/>
        <w:jc w:val="center"/>
        <w:rPr>
          <w:rFonts w:ascii="Times New Roman" w:hAnsi="Times New Roman"/>
          <w:sz w:val="20"/>
        </w:rPr>
      </w:pPr>
      <w:bookmarkStart w:id="4" w:name="income_statements"/>
      <w:bookmarkEnd w:id="4"/>
      <w:r>
        <w:rPr>
          <w:rFonts w:ascii="Arial;sans-serif" w:hAnsi="Arial;sans-serif"/>
          <w:b/>
          <w:sz w:val="20"/>
        </w:rPr>
        <w:t>INCOME STATEMENTS</w:t>
      </w:r>
      <w:r>
        <w:rPr>
          <w:rFonts w:ascii="Times New Roman" w:hAnsi="Times New Roman"/>
          <w:sz w:val="20"/>
        </w:rPr>
        <w:t xml:space="preserve"> </w:t>
      </w:r>
    </w:p>
    <w:p>
      <w:pPr>
        <w:pStyle w:val="TextBody"/>
        <w:spacing w:before="0" w:after="0"/>
        <w:jc w:val="left"/>
        <w:rPr/>
      </w:pPr>
      <w:r>
        <w:rPr/>
        <w:t> </w:t>
      </w:r>
    </w:p>
    <w:tbl>
      <w:tblPr>
        <w:tblW w:w="8944" w:type="dxa"/>
        <w:jc w:val="left"/>
        <w:tblInd w:w="0" w:type="dxa"/>
        <w:tblCellMar>
          <w:top w:w="28" w:type="dxa"/>
          <w:left w:w="28" w:type="dxa"/>
          <w:bottom w:w="28" w:type="dxa"/>
          <w:right w:w="28" w:type="dxa"/>
        </w:tblCellMar>
      </w:tblPr>
      <w:tblGrid>
        <w:gridCol w:w="3856"/>
        <w:gridCol w:w="146"/>
        <w:gridCol w:w="211"/>
        <w:gridCol w:w="691"/>
        <w:gridCol w:w="146"/>
        <w:gridCol w:w="211"/>
        <w:gridCol w:w="691"/>
        <w:gridCol w:w="166"/>
        <w:gridCol w:w="211"/>
        <w:gridCol w:w="796"/>
        <w:gridCol w:w="146"/>
        <w:gridCol w:w="211"/>
        <w:gridCol w:w="796"/>
        <w:gridCol w:w="666"/>
      </w:tblGrid>
      <w:tr>
        <w:trPr/>
        <w:tc>
          <w:tcPr>
            <w:tcW w:w="38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r>
      <w:tr>
        <w:trPr/>
        <w:tc>
          <w:tcPr>
            <w:tcW w:w="3856"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(In millions, except per share amounts) (Unaudited)</w:t>
            </w:r>
          </w:p>
        </w:tc>
        <w:tc>
          <w:tcPr>
            <w:tcW w:w="146" w:type="dxa"/>
            <w:tcBorders/>
            <w:shd w:fill="auto" w:val="clear"/>
            <w:vAlign w:val="center"/>
          </w:tcPr>
          <w:p>
            <w:pPr>
              <w:pStyle w:val="TableContents"/>
              <w:spacing w:before="0" w:after="0"/>
              <w:ind w:left="0" w:right="0" w:hanging="0"/>
              <w:jc w:val="left"/>
              <w:rPr/>
            </w:pPr>
            <w:r>
              <w:rPr/>
              <w:t> </w:t>
            </w:r>
          </w:p>
        </w:tc>
        <w:tc>
          <w:tcPr>
            <w:tcW w:w="1950" w:type="dxa"/>
            <w:gridSpan w:val="5"/>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Three Months Ended</w:t>
              <w:br/>
              <w:t>March 31,</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949" w:type="dxa"/>
            <w:gridSpan w:val="4"/>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Nine Months Ended</w:t>
              <w:br/>
              <w:t>March 31,</w:t>
            </w:r>
          </w:p>
        </w:tc>
        <w:tc>
          <w:tcPr>
            <w:tcW w:w="666" w:type="dxa"/>
            <w:tcBorders/>
            <w:shd w:fill="auto" w:val="clear"/>
            <w:vAlign w:val="center"/>
          </w:tcPr>
          <w:p>
            <w:pPr>
              <w:pStyle w:val="TableContents"/>
              <w:spacing w:before="0" w:after="0"/>
              <w:ind w:left="0" w:right="0" w:hanging="0"/>
              <w:jc w:val="left"/>
              <w:rPr/>
            </w:pPr>
            <w:r>
              <w:rPr/>
              <w:t> </w:t>
            </w:r>
          </w:p>
        </w:tc>
      </w:tr>
      <w:tr>
        <w:trPr/>
        <w:tc>
          <w:tcPr>
            <w:tcW w:w="385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85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9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666" w:type="dxa"/>
            <w:tcBorders/>
            <w:shd w:fill="auto" w:val="clear"/>
            <w:vAlign w:val="center"/>
          </w:tcPr>
          <w:p>
            <w:pPr>
              <w:pStyle w:val="TableContents"/>
              <w:spacing w:before="0" w:after="0"/>
              <w:ind w:left="0" w:right="0" w:hanging="0"/>
              <w:jc w:val="left"/>
              <w:rPr/>
            </w:pPr>
            <w:r>
              <w:rPr/>
              <w:t> </w:t>
            </w:r>
          </w:p>
        </w:tc>
      </w:tr>
      <w:tr>
        <w:trPr/>
        <w:tc>
          <w:tcPr>
            <w:tcW w:w="38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2"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02"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16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666" w:type="dxa"/>
            <w:tcBorders/>
            <w:shd w:fill="auto" w:val="clear"/>
            <w:vAlign w:val="center"/>
          </w:tcPr>
          <w:p>
            <w:pPr>
              <w:pStyle w:val="TableContents"/>
              <w:spacing w:before="0" w:after="0"/>
              <w:ind w:left="0" w:right="0" w:hanging="0"/>
              <w:jc w:val="left"/>
              <w:rPr/>
            </w:pPr>
            <w:r>
              <w:rPr/>
              <w:t> </w:t>
            </w:r>
          </w:p>
        </w:tc>
      </w:tr>
      <w:tr>
        <w:trPr/>
        <w:tc>
          <w:tcPr>
            <w:tcW w:w="385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666" w:type="dxa"/>
            <w:tcBorders/>
            <w:shd w:fill="auto" w:val="clear"/>
            <w:vAlign w:val="center"/>
          </w:tcPr>
          <w:p>
            <w:pPr>
              <w:pStyle w:val="TableContents"/>
              <w:spacing w:before="0" w:after="0"/>
              <w:ind w:left="0" w:right="0" w:hanging="0"/>
              <w:jc w:val="left"/>
              <w:rPr/>
            </w:pPr>
            <w:r>
              <w:rPr/>
              <w:t> </w:t>
            </w:r>
          </w:p>
        </w:tc>
      </w:tr>
      <w:tr>
        <w:trPr/>
        <w:tc>
          <w:tcPr>
            <w:tcW w:w="38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Revenue: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666" w:type="dxa"/>
            <w:tcBorders/>
            <w:shd w:fill="auto" w:val="clear"/>
            <w:vAlign w:val="center"/>
          </w:tcPr>
          <w:p>
            <w:pPr>
              <w:pStyle w:val="TableContents"/>
              <w:spacing w:before="0" w:after="0"/>
              <w:ind w:left="0" w:right="0" w:firstLine="245"/>
              <w:jc w:val="left"/>
              <w:rPr/>
            </w:pPr>
            <w:r>
              <w:rPr/>
              <w:t> </w:t>
            </w:r>
          </w:p>
        </w:tc>
      </w:tr>
      <w:tr>
        <w:trPr/>
        <w:tc>
          <w:tcPr>
            <w:tcW w:w="3856"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Product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15,588</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17,366</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47,846</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54,776</w:t>
            </w:r>
          </w:p>
        </w:tc>
        <w:tc>
          <w:tcPr>
            <w:tcW w:w="666" w:type="dxa"/>
            <w:tcBorders/>
            <w:shd w:fill="auto" w:val="clear"/>
            <w:vAlign w:val="center"/>
          </w:tcPr>
          <w:p>
            <w:pPr>
              <w:pStyle w:val="TableContents"/>
              <w:spacing w:before="0" w:after="0"/>
              <w:ind w:left="0" w:right="0" w:firstLine="245"/>
              <w:jc w:val="left"/>
              <w:rPr/>
            </w:pPr>
            <w:r>
              <w:rPr/>
              <w:t> </w:t>
            </w:r>
          </w:p>
        </w:tc>
      </w:tr>
      <w:tr>
        <w:trPr/>
        <w:tc>
          <w:tcPr>
            <w:tcW w:w="3856"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Service and other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37,269</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31,994</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107,880</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91,629</w:t>
            </w:r>
          </w:p>
        </w:tc>
        <w:tc>
          <w:tcPr>
            <w:tcW w:w="666" w:type="dxa"/>
            <w:tcBorders/>
            <w:shd w:fill="auto" w:val="clear"/>
            <w:vAlign w:val="center"/>
          </w:tcPr>
          <w:p>
            <w:pPr>
              <w:pStyle w:val="TableContents"/>
              <w:spacing w:before="0" w:after="0"/>
              <w:ind w:left="0" w:right="0" w:hanging="0"/>
              <w:jc w:val="left"/>
              <w:rPr/>
            </w:pPr>
            <w:r>
              <w:rPr/>
              <w:t> </w:t>
            </w:r>
          </w:p>
        </w:tc>
      </w:tr>
      <w:tr>
        <w:trPr/>
        <w:tc>
          <w:tcPr>
            <w:tcW w:w="4904" w:type="dxa"/>
            <w:gridSpan w:val="4"/>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6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04" w:type="dxa"/>
            <w:gridSpan w:val="4"/>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666" w:type="dxa"/>
            <w:tcBorders/>
            <w:shd w:fill="auto" w:val="clear"/>
            <w:vAlign w:val="center"/>
          </w:tcPr>
          <w:p>
            <w:pPr>
              <w:pStyle w:val="TableContents"/>
              <w:spacing w:before="0" w:after="0"/>
              <w:ind w:left="0" w:right="0" w:firstLine="245"/>
              <w:jc w:val="left"/>
              <w:rPr/>
            </w:pPr>
            <w:r>
              <w:rPr/>
              <w:t> </w:t>
            </w:r>
          </w:p>
        </w:tc>
      </w:tr>
      <w:tr>
        <w:trPr/>
        <w:tc>
          <w:tcPr>
            <w:tcW w:w="3856"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Total revenue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52,857</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49,360</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155,726</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146,405</w:t>
            </w:r>
          </w:p>
        </w:tc>
        <w:tc>
          <w:tcPr>
            <w:tcW w:w="666" w:type="dxa"/>
            <w:tcBorders/>
            <w:shd w:fill="auto" w:val="clear"/>
            <w:vAlign w:val="center"/>
          </w:tcPr>
          <w:p>
            <w:pPr>
              <w:pStyle w:val="TableContents"/>
              <w:spacing w:before="0" w:after="0"/>
              <w:ind w:left="0" w:right="0" w:hanging="0"/>
              <w:jc w:val="left"/>
              <w:rPr/>
            </w:pPr>
            <w:r>
              <w:rPr/>
              <w:t> </w:t>
            </w:r>
          </w:p>
        </w:tc>
      </w:tr>
      <w:tr>
        <w:trPr/>
        <w:tc>
          <w:tcPr>
            <w:tcW w:w="4904" w:type="dxa"/>
            <w:gridSpan w:val="4"/>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6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04" w:type="dxa"/>
            <w:gridSpan w:val="4"/>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666" w:type="dxa"/>
            <w:tcBorders/>
            <w:shd w:fill="auto" w:val="clear"/>
            <w:vAlign w:val="center"/>
          </w:tcPr>
          <w:p>
            <w:pPr>
              <w:pStyle w:val="TableContents"/>
              <w:spacing w:before="0" w:after="0"/>
              <w:ind w:left="0" w:right="0" w:hanging="0"/>
              <w:jc w:val="left"/>
              <w:rPr/>
            </w:pPr>
            <w:r>
              <w:rPr/>
              <w:t> </w:t>
            </w:r>
          </w:p>
        </w:tc>
      </w:tr>
      <w:tr>
        <w:trPr/>
        <w:tc>
          <w:tcPr>
            <w:tcW w:w="38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Cost of revenue: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666" w:type="dxa"/>
            <w:tcBorders/>
            <w:shd w:fill="auto" w:val="clear"/>
            <w:vAlign w:val="center"/>
          </w:tcPr>
          <w:p>
            <w:pPr>
              <w:pStyle w:val="TableContents"/>
              <w:spacing w:before="0" w:after="0"/>
              <w:ind w:left="0" w:right="0" w:firstLine="245"/>
              <w:jc w:val="left"/>
              <w:rPr/>
            </w:pPr>
            <w:r>
              <w:rPr/>
              <w:t> </w:t>
            </w:r>
          </w:p>
        </w:tc>
      </w:tr>
      <w:tr>
        <w:trPr/>
        <w:tc>
          <w:tcPr>
            <w:tcW w:w="3856"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Product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3,941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4,584</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13,933</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14,707</w:t>
            </w:r>
          </w:p>
        </w:tc>
        <w:tc>
          <w:tcPr>
            <w:tcW w:w="666" w:type="dxa"/>
            <w:tcBorders/>
            <w:shd w:fill="auto" w:val="clear"/>
            <w:vAlign w:val="center"/>
          </w:tcPr>
          <w:p>
            <w:pPr>
              <w:pStyle w:val="TableContents"/>
              <w:spacing w:before="0" w:after="0"/>
              <w:ind w:left="0" w:right="0" w:firstLine="245"/>
              <w:jc w:val="left"/>
              <w:rPr/>
            </w:pPr>
            <w:r>
              <w:rPr/>
              <w:t> </w:t>
            </w:r>
          </w:p>
        </w:tc>
      </w:tr>
      <w:tr>
        <w:trPr/>
        <w:tc>
          <w:tcPr>
            <w:tcW w:w="3856"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Service and other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12,187</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11,031</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35,135</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31,514</w:t>
            </w:r>
          </w:p>
        </w:tc>
        <w:tc>
          <w:tcPr>
            <w:tcW w:w="666" w:type="dxa"/>
            <w:tcBorders/>
            <w:shd w:fill="auto" w:val="clear"/>
            <w:vAlign w:val="center"/>
          </w:tcPr>
          <w:p>
            <w:pPr>
              <w:pStyle w:val="TableContents"/>
              <w:spacing w:before="0" w:after="0"/>
              <w:ind w:left="0" w:right="0" w:hanging="0"/>
              <w:jc w:val="left"/>
              <w:rPr/>
            </w:pPr>
            <w:r>
              <w:rPr/>
              <w:t> </w:t>
            </w:r>
          </w:p>
        </w:tc>
      </w:tr>
      <w:tr>
        <w:trPr/>
        <w:tc>
          <w:tcPr>
            <w:tcW w:w="4904" w:type="dxa"/>
            <w:gridSpan w:val="4"/>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6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04" w:type="dxa"/>
            <w:gridSpan w:val="4"/>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666" w:type="dxa"/>
            <w:tcBorders/>
            <w:shd w:fill="auto" w:val="clear"/>
            <w:vAlign w:val="center"/>
          </w:tcPr>
          <w:p>
            <w:pPr>
              <w:pStyle w:val="TableContents"/>
              <w:spacing w:before="0" w:after="0"/>
              <w:ind w:left="0" w:right="0" w:firstLine="475"/>
              <w:jc w:val="left"/>
              <w:rPr/>
            </w:pPr>
            <w:r>
              <w:rPr/>
              <w:t> </w:t>
            </w:r>
          </w:p>
        </w:tc>
      </w:tr>
      <w:tr>
        <w:trPr/>
        <w:tc>
          <w:tcPr>
            <w:tcW w:w="3856" w:type="dxa"/>
            <w:tcBorders/>
            <w:shd w:fill="auto" w:val="clear"/>
            <w:vAlign w:val="center"/>
          </w:tcPr>
          <w:p>
            <w:pPr>
              <w:pStyle w:val="TableContents"/>
              <w:spacing w:before="0" w:after="0"/>
              <w:ind w:left="475" w:right="0" w:hanging="0"/>
              <w:jc w:val="left"/>
              <w:rPr>
                <w:rFonts w:ascii="Arial;sans-serif" w:hAnsi="Arial;sans-serif"/>
                <w:b w:val="false"/>
                <w:sz w:val="20"/>
              </w:rPr>
            </w:pPr>
            <w:r>
              <w:rPr>
                <w:rFonts w:ascii="Arial;sans-serif" w:hAnsi="Arial;sans-serif"/>
                <w:b w:val="false"/>
                <w:sz w:val="20"/>
              </w:rPr>
              <w:t>Total cost of revenue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16,128</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15,615</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49,068</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46,221</w:t>
            </w:r>
          </w:p>
        </w:tc>
        <w:tc>
          <w:tcPr>
            <w:tcW w:w="666" w:type="dxa"/>
            <w:tcBorders/>
            <w:shd w:fill="auto" w:val="clear"/>
            <w:vAlign w:val="center"/>
          </w:tcPr>
          <w:p>
            <w:pPr>
              <w:pStyle w:val="TableContents"/>
              <w:spacing w:before="0" w:after="0"/>
              <w:ind w:left="0" w:right="0" w:hanging="0"/>
              <w:jc w:val="left"/>
              <w:rPr/>
            </w:pPr>
            <w:r>
              <w:rPr/>
              <w:t> </w:t>
            </w:r>
          </w:p>
        </w:tc>
      </w:tr>
      <w:tr>
        <w:trPr/>
        <w:tc>
          <w:tcPr>
            <w:tcW w:w="4904" w:type="dxa"/>
            <w:gridSpan w:val="4"/>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6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04" w:type="dxa"/>
            <w:gridSpan w:val="4"/>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666" w:type="dxa"/>
            <w:tcBorders/>
            <w:shd w:fill="auto" w:val="clear"/>
            <w:vAlign w:val="center"/>
          </w:tcPr>
          <w:p>
            <w:pPr>
              <w:pStyle w:val="TableContents"/>
              <w:spacing w:before="0" w:after="0"/>
              <w:ind w:left="0" w:right="0" w:firstLine="475"/>
              <w:jc w:val="left"/>
              <w:rPr/>
            </w:pPr>
            <w:r>
              <w:rPr/>
              <w:t> </w:t>
            </w:r>
          </w:p>
        </w:tc>
      </w:tr>
      <w:tr>
        <w:trPr/>
        <w:tc>
          <w:tcPr>
            <w:tcW w:w="3856" w:type="dxa"/>
            <w:tcBorders/>
            <w:shd w:fill="auto" w:val="clear"/>
            <w:vAlign w:val="center"/>
          </w:tcPr>
          <w:p>
            <w:pPr>
              <w:pStyle w:val="TableContents"/>
              <w:spacing w:before="0" w:after="0"/>
              <w:ind w:left="475" w:right="0" w:hanging="0"/>
              <w:jc w:val="left"/>
              <w:rPr>
                <w:rFonts w:ascii="Arial;sans-serif" w:hAnsi="Arial;sans-serif"/>
                <w:b w:val="false"/>
                <w:sz w:val="20"/>
              </w:rPr>
            </w:pPr>
            <w:r>
              <w:rPr>
                <w:rFonts w:ascii="Arial;sans-serif" w:hAnsi="Arial;sans-serif"/>
                <w:b w:val="false"/>
                <w:sz w:val="20"/>
              </w:rPr>
              <w:t>Gross margin</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36,729</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33,745</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106,658</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100,184</w:t>
            </w:r>
          </w:p>
        </w:tc>
        <w:tc>
          <w:tcPr>
            <w:tcW w:w="666" w:type="dxa"/>
            <w:tcBorders/>
            <w:shd w:fill="auto" w:val="clear"/>
            <w:vAlign w:val="center"/>
          </w:tcPr>
          <w:p>
            <w:pPr>
              <w:pStyle w:val="TableContents"/>
              <w:spacing w:before="0" w:after="0"/>
              <w:ind w:left="0" w:right="0" w:hanging="0"/>
              <w:jc w:val="left"/>
              <w:rPr/>
            </w:pPr>
            <w:r>
              <w:rPr/>
              <w:t> </w:t>
            </w:r>
          </w:p>
        </w:tc>
      </w:tr>
      <w:tr>
        <w:trPr/>
        <w:tc>
          <w:tcPr>
            <w:tcW w:w="38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Research and development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6,984</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6,306</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20,456</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17,663</w:t>
            </w:r>
          </w:p>
        </w:tc>
        <w:tc>
          <w:tcPr>
            <w:tcW w:w="666" w:type="dxa"/>
            <w:tcBorders/>
            <w:shd w:fill="auto" w:val="clear"/>
            <w:vAlign w:val="center"/>
          </w:tcPr>
          <w:p>
            <w:pPr>
              <w:pStyle w:val="TableContents"/>
              <w:spacing w:before="0" w:after="0"/>
              <w:ind w:left="0" w:right="0" w:hanging="0"/>
              <w:jc w:val="left"/>
              <w:rPr/>
            </w:pPr>
            <w:r>
              <w:rPr/>
              <w:t> </w:t>
            </w:r>
          </w:p>
        </w:tc>
      </w:tr>
      <w:tr>
        <w:trPr/>
        <w:tc>
          <w:tcPr>
            <w:tcW w:w="38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Sales and marketing</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5,750</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5,595</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16,555</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15,521</w:t>
            </w:r>
          </w:p>
        </w:tc>
        <w:tc>
          <w:tcPr>
            <w:tcW w:w="666" w:type="dxa"/>
            <w:tcBorders/>
            <w:shd w:fill="auto" w:val="clear"/>
            <w:vAlign w:val="center"/>
          </w:tcPr>
          <w:p>
            <w:pPr>
              <w:pStyle w:val="TableContents"/>
              <w:spacing w:before="0" w:after="0"/>
              <w:ind w:left="0" w:right="0" w:hanging="0"/>
              <w:jc w:val="left"/>
              <w:rPr/>
            </w:pPr>
            <w:r>
              <w:rPr/>
              <w:t> </w:t>
            </w:r>
          </w:p>
        </w:tc>
      </w:tr>
      <w:tr>
        <w:trPr/>
        <w:tc>
          <w:tcPr>
            <w:tcW w:w="38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General and administrative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1,643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1,480</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5,378</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4,151</w:t>
            </w:r>
          </w:p>
        </w:tc>
        <w:tc>
          <w:tcPr>
            <w:tcW w:w="666" w:type="dxa"/>
            <w:tcBorders/>
            <w:shd w:fill="auto" w:val="clear"/>
            <w:vAlign w:val="center"/>
          </w:tcPr>
          <w:p>
            <w:pPr>
              <w:pStyle w:val="TableContents"/>
              <w:spacing w:before="0" w:after="0"/>
              <w:ind w:left="0" w:right="0" w:hanging="0"/>
              <w:jc w:val="left"/>
              <w:rPr/>
            </w:pPr>
            <w:r>
              <w:rPr/>
              <w:t> </w:t>
            </w:r>
          </w:p>
        </w:tc>
      </w:tr>
      <w:tr>
        <w:trPr/>
        <w:tc>
          <w:tcPr>
            <w:tcW w:w="4904" w:type="dxa"/>
            <w:gridSpan w:val="4"/>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6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04" w:type="dxa"/>
            <w:gridSpan w:val="4"/>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666" w:type="dxa"/>
            <w:tcBorders/>
            <w:shd w:fill="auto" w:val="clear"/>
            <w:vAlign w:val="center"/>
          </w:tcPr>
          <w:p>
            <w:pPr>
              <w:pStyle w:val="TableContents"/>
              <w:spacing w:before="0" w:after="0"/>
              <w:ind w:left="0" w:right="0" w:hanging="0"/>
              <w:jc w:val="left"/>
              <w:rPr/>
            </w:pPr>
            <w:r>
              <w:rPr/>
              <w:t> </w:t>
            </w:r>
          </w:p>
        </w:tc>
      </w:tr>
      <w:tr>
        <w:trPr/>
        <w:tc>
          <w:tcPr>
            <w:tcW w:w="38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Operating income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22,352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20,364</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64,269</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62,849</w:t>
            </w:r>
          </w:p>
        </w:tc>
        <w:tc>
          <w:tcPr>
            <w:tcW w:w="666" w:type="dxa"/>
            <w:tcBorders/>
            <w:shd w:fill="auto" w:val="clear"/>
            <w:vAlign w:val="center"/>
          </w:tcPr>
          <w:p>
            <w:pPr>
              <w:pStyle w:val="TableContents"/>
              <w:spacing w:before="0" w:after="0"/>
              <w:ind w:left="0" w:right="0" w:hanging="0"/>
              <w:jc w:val="left"/>
              <w:rPr/>
            </w:pPr>
            <w:r>
              <w:rPr/>
              <w:t> </w:t>
            </w:r>
          </w:p>
        </w:tc>
      </w:tr>
      <w:tr>
        <w:trPr/>
        <w:tc>
          <w:tcPr>
            <w:tcW w:w="38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Other income (expense), net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321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(174</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315</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380</w:t>
            </w:r>
          </w:p>
        </w:tc>
        <w:tc>
          <w:tcPr>
            <w:tcW w:w="666" w:type="dxa"/>
            <w:tcBorders/>
            <w:shd w:fill="auto" w:val="clear"/>
            <w:vAlign w:val="center"/>
          </w:tcPr>
          <w:p>
            <w:pPr>
              <w:pStyle w:val="TableContents"/>
              <w:spacing w:before="0" w:after="0"/>
              <w:ind w:left="0" w:right="0" w:hanging="0"/>
              <w:jc w:val="left"/>
              <w:rPr/>
            </w:pPr>
            <w:r>
              <w:rPr/>
              <w:t> </w:t>
            </w:r>
          </w:p>
        </w:tc>
      </w:tr>
      <w:tr>
        <w:trPr/>
        <w:tc>
          <w:tcPr>
            <w:tcW w:w="4904" w:type="dxa"/>
            <w:gridSpan w:val="4"/>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6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04" w:type="dxa"/>
            <w:gridSpan w:val="4"/>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666" w:type="dxa"/>
            <w:tcBorders/>
            <w:shd w:fill="auto" w:val="clear"/>
            <w:vAlign w:val="center"/>
          </w:tcPr>
          <w:p>
            <w:pPr>
              <w:pStyle w:val="TableContents"/>
              <w:spacing w:before="0" w:after="0"/>
              <w:ind w:left="0" w:right="0" w:hanging="0"/>
              <w:jc w:val="left"/>
              <w:rPr/>
            </w:pPr>
            <w:r>
              <w:rPr/>
              <w:t> </w:t>
            </w:r>
          </w:p>
        </w:tc>
      </w:tr>
      <w:tr>
        <w:trPr/>
        <w:tc>
          <w:tcPr>
            <w:tcW w:w="38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Income before income taxes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22,673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20,190</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64,584</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63,229</w:t>
            </w:r>
          </w:p>
        </w:tc>
        <w:tc>
          <w:tcPr>
            <w:tcW w:w="666" w:type="dxa"/>
            <w:tcBorders/>
            <w:shd w:fill="auto" w:val="clear"/>
            <w:vAlign w:val="center"/>
          </w:tcPr>
          <w:p>
            <w:pPr>
              <w:pStyle w:val="TableContents"/>
              <w:spacing w:before="0" w:after="0"/>
              <w:ind w:left="0" w:right="0" w:hanging="0"/>
              <w:jc w:val="left"/>
              <w:rPr/>
            </w:pPr>
            <w:r>
              <w:rPr/>
              <w:t> </w:t>
            </w:r>
          </w:p>
        </w:tc>
      </w:tr>
      <w:tr>
        <w:trPr/>
        <w:tc>
          <w:tcPr>
            <w:tcW w:w="38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Provision for income taxes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4,374</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3,462</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12,304</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7,231</w:t>
            </w:r>
          </w:p>
        </w:tc>
        <w:tc>
          <w:tcPr>
            <w:tcW w:w="666" w:type="dxa"/>
            <w:tcBorders/>
            <w:shd w:fill="auto" w:val="clear"/>
            <w:vAlign w:val="center"/>
          </w:tcPr>
          <w:p>
            <w:pPr>
              <w:pStyle w:val="TableContents"/>
              <w:spacing w:before="0" w:after="0"/>
              <w:ind w:left="0" w:right="0" w:hanging="0"/>
              <w:jc w:val="left"/>
              <w:rPr/>
            </w:pPr>
            <w:r>
              <w:rPr/>
              <w:t> </w:t>
            </w:r>
          </w:p>
        </w:tc>
      </w:tr>
      <w:tr>
        <w:trPr/>
        <w:tc>
          <w:tcPr>
            <w:tcW w:w="4904" w:type="dxa"/>
            <w:gridSpan w:val="4"/>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6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04" w:type="dxa"/>
            <w:gridSpan w:val="4"/>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666" w:type="dxa"/>
            <w:tcBorders/>
            <w:shd w:fill="auto" w:val="clear"/>
            <w:vAlign w:val="center"/>
          </w:tcPr>
          <w:p>
            <w:pPr>
              <w:pStyle w:val="TableContents"/>
              <w:spacing w:before="0" w:after="0"/>
              <w:ind w:left="0" w:right="0" w:hanging="0"/>
              <w:jc w:val="left"/>
              <w:rPr/>
            </w:pPr>
            <w:r>
              <w:rPr/>
              <w:t> </w:t>
            </w:r>
          </w:p>
        </w:tc>
      </w:tr>
      <w:tr>
        <w:trPr/>
        <w:tc>
          <w:tcPr>
            <w:tcW w:w="38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income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18,299</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16,728</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52,280</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55,998</w:t>
            </w:r>
          </w:p>
        </w:tc>
        <w:tc>
          <w:tcPr>
            <w:tcW w:w="666" w:type="dxa"/>
            <w:tcBorders/>
            <w:shd w:fill="auto" w:val="clear"/>
            <w:vAlign w:val="center"/>
          </w:tcPr>
          <w:p>
            <w:pPr>
              <w:pStyle w:val="TableContents"/>
              <w:spacing w:before="0" w:after="0"/>
              <w:ind w:left="0" w:right="0" w:hanging="0"/>
              <w:jc w:val="left"/>
              <w:rPr/>
            </w:pPr>
            <w:r>
              <w:rPr/>
              <w:t> </w:t>
            </w:r>
          </w:p>
        </w:tc>
      </w:tr>
      <w:tr>
        <w:trPr/>
        <w:tc>
          <w:tcPr>
            <w:tcW w:w="385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6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85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666" w:type="dxa"/>
            <w:tcBorders/>
            <w:shd w:fill="auto" w:val="clear"/>
            <w:vAlign w:val="center"/>
          </w:tcPr>
          <w:p>
            <w:pPr>
              <w:pStyle w:val="TableContents"/>
              <w:spacing w:before="0" w:after="0"/>
              <w:ind w:left="0" w:right="0" w:hanging="0"/>
              <w:jc w:val="left"/>
              <w:rPr/>
            </w:pPr>
            <w:r>
              <w:rPr/>
              <w:t> </w:t>
            </w:r>
          </w:p>
        </w:tc>
      </w:tr>
      <w:tr>
        <w:trPr/>
        <w:tc>
          <w:tcPr>
            <w:tcW w:w="38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Earnings per share: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666" w:type="dxa"/>
            <w:tcBorders/>
            <w:shd w:fill="auto" w:val="clear"/>
            <w:vAlign w:val="center"/>
          </w:tcPr>
          <w:p>
            <w:pPr>
              <w:pStyle w:val="TableContents"/>
              <w:spacing w:before="0" w:after="0"/>
              <w:ind w:left="0" w:right="0" w:firstLine="245"/>
              <w:jc w:val="left"/>
              <w:rPr/>
            </w:pPr>
            <w:r>
              <w:rPr/>
              <w:t> </w:t>
            </w:r>
          </w:p>
        </w:tc>
      </w:tr>
      <w:tr>
        <w:trPr/>
        <w:tc>
          <w:tcPr>
            <w:tcW w:w="3856"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Basic</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2.46</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2.23</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7.02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7.46</w:t>
            </w:r>
          </w:p>
        </w:tc>
        <w:tc>
          <w:tcPr>
            <w:tcW w:w="666" w:type="dxa"/>
            <w:tcBorders/>
            <w:shd w:fill="auto" w:val="clear"/>
            <w:vAlign w:val="center"/>
          </w:tcPr>
          <w:p>
            <w:pPr>
              <w:pStyle w:val="TableContents"/>
              <w:spacing w:before="0" w:after="0"/>
              <w:ind w:left="0" w:right="0" w:firstLine="245"/>
              <w:jc w:val="left"/>
              <w:rPr/>
            </w:pPr>
            <w:r>
              <w:rPr/>
              <w:t> </w:t>
            </w:r>
          </w:p>
        </w:tc>
      </w:tr>
      <w:tr>
        <w:trPr/>
        <w:tc>
          <w:tcPr>
            <w:tcW w:w="3856"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Diluted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2.45</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2.22</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6.99</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7.41</w:t>
            </w:r>
          </w:p>
        </w:tc>
        <w:tc>
          <w:tcPr>
            <w:tcW w:w="666" w:type="dxa"/>
            <w:tcBorders/>
            <w:shd w:fill="auto" w:val="clear"/>
            <w:vAlign w:val="center"/>
          </w:tcPr>
          <w:p>
            <w:pPr>
              <w:pStyle w:val="TableContents"/>
              <w:spacing w:before="0" w:after="0"/>
              <w:ind w:left="0" w:right="0" w:hanging="0"/>
              <w:jc w:val="left"/>
              <w:rPr/>
            </w:pPr>
            <w:r>
              <w:rPr/>
              <w:t> </w:t>
            </w:r>
          </w:p>
        </w:tc>
      </w:tr>
      <w:tr>
        <w:trPr/>
        <w:tc>
          <w:tcPr>
            <w:tcW w:w="385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666" w:type="dxa"/>
            <w:tcBorders/>
            <w:shd w:fill="auto" w:val="clear"/>
            <w:vAlign w:val="center"/>
          </w:tcPr>
          <w:p>
            <w:pPr>
              <w:pStyle w:val="TableContents"/>
              <w:spacing w:before="0" w:after="0"/>
              <w:ind w:left="0" w:right="0" w:hanging="0"/>
              <w:jc w:val="left"/>
              <w:rPr/>
            </w:pPr>
            <w:r>
              <w:rPr/>
              <w:t> </w:t>
            </w:r>
          </w:p>
        </w:tc>
      </w:tr>
      <w:tr>
        <w:trPr/>
        <w:tc>
          <w:tcPr>
            <w:tcW w:w="38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Weighted average shares outstanding:</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666" w:type="dxa"/>
            <w:tcBorders/>
            <w:shd w:fill="auto" w:val="clear"/>
            <w:vAlign w:val="center"/>
          </w:tcPr>
          <w:p>
            <w:pPr>
              <w:pStyle w:val="TableContents"/>
              <w:spacing w:before="0" w:after="0"/>
              <w:ind w:left="0" w:right="0" w:firstLine="245"/>
              <w:jc w:val="left"/>
              <w:rPr/>
            </w:pPr>
            <w:r>
              <w:rPr/>
              <w:t> </w:t>
            </w:r>
          </w:p>
        </w:tc>
      </w:tr>
      <w:tr>
        <w:trPr/>
        <w:tc>
          <w:tcPr>
            <w:tcW w:w="3856"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Basic</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7,441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7,493</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7,450</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7,504</w:t>
            </w:r>
          </w:p>
        </w:tc>
        <w:tc>
          <w:tcPr>
            <w:tcW w:w="666" w:type="dxa"/>
            <w:tcBorders/>
            <w:shd w:fill="auto" w:val="clear"/>
            <w:vAlign w:val="center"/>
          </w:tcPr>
          <w:p>
            <w:pPr>
              <w:pStyle w:val="TableContents"/>
              <w:spacing w:before="0" w:after="0"/>
              <w:ind w:left="0" w:right="0" w:firstLine="245"/>
              <w:jc w:val="left"/>
              <w:rPr/>
            </w:pPr>
            <w:r>
              <w:rPr/>
              <w:t> </w:t>
            </w:r>
          </w:p>
        </w:tc>
      </w:tr>
      <w:tr>
        <w:trPr/>
        <w:tc>
          <w:tcPr>
            <w:tcW w:w="3856"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Diluted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7,464</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7,534</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7,474</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7,552</w:t>
            </w:r>
          </w:p>
        </w:tc>
        <w:tc>
          <w:tcPr>
            <w:tcW w:w="666" w:type="dxa"/>
            <w:tcBorders/>
            <w:shd w:fill="auto" w:val="clear"/>
            <w:vAlign w:val="center"/>
          </w:tcPr>
          <w:p>
            <w:pPr>
              <w:pStyle w:val="TableContents"/>
              <w:spacing w:before="0" w:after="0"/>
              <w:ind w:left="0" w:right="0" w:hanging="0"/>
              <w:jc w:val="left"/>
              <w:rPr/>
            </w:pPr>
            <w:r>
              <w:rPr/>
              <w:t> </w:t>
            </w:r>
          </w:p>
        </w:tc>
      </w:tr>
      <w:tr>
        <w:trPr/>
        <w:tc>
          <w:tcPr>
            <w:tcW w:w="385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6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Arial;sans-serif" w:hAnsi="Arial;sans-serif"/>
          <w:b w:val="false"/>
          <w:sz w:val="20"/>
        </w:rPr>
        <w:t>Refer to accompanying notes.</w:t>
      </w:r>
      <w:r>
        <w:rPr>
          <w:rFonts w:ascii="Times New Roman" w:hAnsi="Times New Roman"/>
          <w:sz w:val="20"/>
        </w:rPr>
        <w:t xml:space="preserve"> </w:t>
      </w:r>
    </w:p>
    <w:p>
      <w:pPr>
        <w:pStyle w:val="TextBody"/>
        <w:spacing w:before="240" w:after="0"/>
        <w:jc w:val="center"/>
        <w:rPr>
          <w:rFonts w:ascii="Arial;sans-serif" w:hAnsi="Arial;sans-serif"/>
          <w:b w:val="false"/>
          <w:sz w:val="16"/>
        </w:rPr>
      </w:pPr>
      <w:r>
        <w:rPr>
          <w:rFonts w:ascii="Arial;sans-serif" w:hAnsi="Arial;sans-serif"/>
          <w:b w:val="false"/>
          <w:sz w:val="16"/>
        </w:rPr>
        <w:t>3</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w:t>
      </w:r>
    </w:p>
    <w:p>
      <w:pPr>
        <w:pStyle w:val="TextBody"/>
        <w:spacing w:before="0" w:after="0"/>
        <w:jc w:val="center"/>
        <w:rPr>
          <w:rFonts w:ascii="Arial;sans-serif" w:hAnsi="Arial;sans-serif"/>
          <w:b w:val="false"/>
          <w:sz w:val="15"/>
        </w:rPr>
      </w:pPr>
      <w:r>
        <w:rPr>
          <w:rFonts w:ascii="Arial;sans-serif" w:hAnsi="Arial;sans-serif"/>
          <w:b w:val="false"/>
          <w:sz w:val="15"/>
        </w:rPr>
        <w:t>Item 1</w:t>
      </w:r>
    </w:p>
    <w:p>
      <w:pPr>
        <w:pStyle w:val="TextBody"/>
        <w:spacing w:before="0" w:after="0"/>
        <w:jc w:val="left"/>
        <w:rPr/>
      </w:pPr>
      <w:r>
        <w:rPr/>
        <w:t> </w:t>
      </w:r>
    </w:p>
    <w:p>
      <w:pPr>
        <w:pStyle w:val="TextBody"/>
        <w:spacing w:before="0" w:after="0"/>
        <w:jc w:val="center"/>
        <w:rPr>
          <w:rFonts w:ascii="Arial;sans-serif" w:hAnsi="Arial;sans-serif"/>
          <w:b/>
          <w:sz w:val="20"/>
        </w:rPr>
      </w:pPr>
      <w:bookmarkStart w:id="5" w:name="comprehensive_income_statements"/>
      <w:bookmarkEnd w:id="5"/>
      <w:r>
        <w:rPr>
          <w:rFonts w:ascii="Arial;sans-serif" w:hAnsi="Arial;sans-serif"/>
          <w:b/>
          <w:sz w:val="20"/>
        </w:rPr>
        <w:t>COMPREHENSIVE INCOME STATEMENTS</w:t>
      </w:r>
    </w:p>
    <w:p>
      <w:pPr>
        <w:pStyle w:val="TextBody"/>
        <w:spacing w:before="0" w:after="0"/>
        <w:jc w:val="left"/>
        <w:rPr/>
      </w:pPr>
      <w:r>
        <w:rPr/>
        <w:t> </w:t>
      </w:r>
    </w:p>
    <w:tbl>
      <w:tblPr>
        <w:tblW w:w="9148" w:type="dxa"/>
        <w:jc w:val="left"/>
        <w:tblInd w:w="0" w:type="dxa"/>
        <w:tblCellMar>
          <w:top w:w="28" w:type="dxa"/>
          <w:left w:w="28" w:type="dxa"/>
          <w:bottom w:w="28" w:type="dxa"/>
          <w:right w:w="28" w:type="dxa"/>
        </w:tblCellMar>
      </w:tblPr>
      <w:tblGrid>
        <w:gridCol w:w="4216"/>
        <w:gridCol w:w="146"/>
        <w:gridCol w:w="211"/>
        <w:gridCol w:w="691"/>
        <w:gridCol w:w="166"/>
        <w:gridCol w:w="211"/>
        <w:gridCol w:w="691"/>
        <w:gridCol w:w="166"/>
        <w:gridCol w:w="211"/>
        <w:gridCol w:w="691"/>
        <w:gridCol w:w="166"/>
        <w:gridCol w:w="211"/>
        <w:gridCol w:w="691"/>
        <w:gridCol w:w="680"/>
      </w:tblGrid>
      <w:tr>
        <w:trPr/>
        <w:tc>
          <w:tcPr>
            <w:tcW w:w="421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6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6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6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680" w:type="dxa"/>
            <w:tcBorders/>
            <w:shd w:fill="FFFFFF" w:val="clear"/>
            <w:vAlign w:val="center"/>
          </w:tcPr>
          <w:p>
            <w:pPr>
              <w:pStyle w:val="TableContents"/>
              <w:spacing w:before="0" w:after="283"/>
              <w:rPr>
                <w:sz w:val="4"/>
                <w:szCs w:val="4"/>
              </w:rPr>
            </w:pPr>
            <w:r>
              <w:rPr>
                <w:sz w:val="4"/>
                <w:szCs w:val="4"/>
              </w:rPr>
            </w:r>
          </w:p>
        </w:tc>
      </w:tr>
      <w:tr>
        <w:trPr/>
        <w:tc>
          <w:tcPr>
            <w:tcW w:w="4216"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(In millions) (Unaudited)</w:t>
            </w:r>
          </w:p>
        </w:tc>
        <w:tc>
          <w:tcPr>
            <w:tcW w:w="146" w:type="dxa"/>
            <w:tcBorders/>
            <w:shd w:fill="auto" w:val="clear"/>
            <w:vAlign w:val="center"/>
          </w:tcPr>
          <w:p>
            <w:pPr>
              <w:pStyle w:val="TableContents"/>
              <w:spacing w:before="0" w:after="0"/>
              <w:ind w:left="0" w:right="0" w:hanging="0"/>
              <w:jc w:val="left"/>
              <w:rPr/>
            </w:pPr>
            <w:r>
              <w:rPr/>
              <w:t> </w:t>
            </w:r>
          </w:p>
        </w:tc>
        <w:tc>
          <w:tcPr>
            <w:tcW w:w="1970" w:type="dxa"/>
            <w:gridSpan w:val="5"/>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Three Months Ended</w:t>
              <w:br/>
              <w:t>March 31,</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759" w:type="dxa"/>
            <w:gridSpan w:val="4"/>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Nine Months Ended</w:t>
              <w:br/>
              <w:t>March 31,</w:t>
            </w:r>
          </w:p>
        </w:tc>
        <w:tc>
          <w:tcPr>
            <w:tcW w:w="680" w:type="dxa"/>
            <w:tcBorders/>
            <w:shd w:fill="auto" w:val="clear"/>
            <w:vAlign w:val="center"/>
          </w:tcPr>
          <w:p>
            <w:pPr>
              <w:pStyle w:val="TableContents"/>
              <w:spacing w:before="0" w:after="0"/>
              <w:ind w:left="0" w:right="0" w:hanging="0"/>
              <w:jc w:val="left"/>
              <w:rPr/>
            </w:pPr>
            <w:r>
              <w:rPr/>
              <w:t> </w:t>
            </w:r>
          </w:p>
        </w:tc>
      </w:tr>
      <w:tr>
        <w:trPr/>
        <w:tc>
          <w:tcPr>
            <w:tcW w:w="421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70"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0"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21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970" w:type="dxa"/>
            <w:gridSpan w:val="5"/>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r>
      <w:tr>
        <w:trPr/>
        <w:tc>
          <w:tcPr>
            <w:tcW w:w="42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02"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902"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680" w:type="dxa"/>
            <w:tcBorders/>
            <w:shd w:fill="auto" w:val="clear"/>
            <w:vAlign w:val="center"/>
          </w:tcPr>
          <w:p>
            <w:pPr>
              <w:pStyle w:val="TableContents"/>
              <w:spacing w:before="0" w:after="0"/>
              <w:ind w:left="0" w:right="0" w:hanging="0"/>
              <w:jc w:val="left"/>
              <w:rPr/>
            </w:pPr>
            <w:r>
              <w:rPr/>
              <w:t> </w:t>
            </w:r>
          </w:p>
        </w:tc>
      </w:tr>
      <w:tr>
        <w:trPr/>
        <w:tc>
          <w:tcPr>
            <w:tcW w:w="4216" w:type="dxa"/>
            <w:tcBorders/>
            <w:shd w:fill="auto" w:val="clear"/>
            <w:vAlign w:val="center"/>
          </w:tcPr>
          <w:p>
            <w:pPr>
              <w:pStyle w:val="TableContents"/>
              <w:spacing w:before="0" w:after="283"/>
              <w:ind w:left="0" w:right="0" w:hanging="0"/>
              <w:rPr>
                <w:sz w:val="4"/>
                <w:szCs w:val="4"/>
              </w:rPr>
            </w:pPr>
            <w:r>
              <w:rPr>
                <w:sz w:val="4"/>
                <w:szCs w:val="4"/>
              </w:rPr>
            </w:r>
          </w:p>
        </w:tc>
        <w:tc>
          <w:tcPr>
            <w:tcW w:w="1214" w:type="dxa"/>
            <w:gridSpan w:val="4"/>
            <w:tcBorders/>
            <w:shd w:fill="auto" w:val="clear"/>
            <w:vAlign w:val="center"/>
          </w:tcPr>
          <w:p>
            <w:pPr>
              <w:pStyle w:val="TableContents"/>
              <w:spacing w:before="0" w:after="0"/>
              <w:ind w:left="0" w:right="0" w:hanging="0"/>
              <w:jc w:val="left"/>
              <w:rPr/>
            </w:pPr>
            <w:r>
              <w:rPr/>
              <w:t> </w:t>
            </w:r>
          </w:p>
        </w:tc>
        <w:tc>
          <w:tcPr>
            <w:tcW w:w="90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r>
      <w:tr>
        <w:trPr/>
        <w:tc>
          <w:tcPr>
            <w:tcW w:w="42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income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18,299</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16,728</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52,280</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55,998</w:t>
            </w:r>
          </w:p>
        </w:tc>
        <w:tc>
          <w:tcPr>
            <w:tcW w:w="680" w:type="dxa"/>
            <w:tcBorders/>
            <w:shd w:fill="auto" w:val="clear"/>
            <w:vAlign w:val="center"/>
          </w:tcPr>
          <w:p>
            <w:pPr>
              <w:pStyle w:val="TableContents"/>
              <w:spacing w:before="0" w:after="0"/>
              <w:ind w:left="0" w:right="0" w:hanging="0"/>
              <w:jc w:val="left"/>
              <w:rPr/>
            </w:pPr>
            <w:r>
              <w:rPr/>
              <w:t> </w:t>
            </w:r>
          </w:p>
        </w:tc>
      </w:tr>
      <w:tr>
        <w:trPr/>
        <w:tc>
          <w:tcPr>
            <w:tcW w:w="421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680"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21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680" w:type="dxa"/>
            <w:tcBorders/>
            <w:shd w:fill="auto" w:val="clear"/>
            <w:vAlign w:val="center"/>
          </w:tcPr>
          <w:p>
            <w:pPr>
              <w:pStyle w:val="TableContents"/>
              <w:spacing w:before="0" w:after="0"/>
              <w:ind w:left="0" w:right="0" w:hanging="0"/>
              <w:jc w:val="left"/>
              <w:rPr/>
            </w:pPr>
            <w:r>
              <w:rPr/>
              <w:t> </w:t>
            </w:r>
          </w:p>
        </w:tc>
      </w:tr>
      <w:tr>
        <w:trPr/>
        <w:tc>
          <w:tcPr>
            <w:tcW w:w="42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Other comprehensive income (loss), net of tax:</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680" w:type="dxa"/>
            <w:tcBorders/>
            <w:shd w:fill="auto" w:val="clear"/>
            <w:vAlign w:val="center"/>
          </w:tcPr>
          <w:p>
            <w:pPr>
              <w:pStyle w:val="TableContents"/>
              <w:spacing w:before="0" w:after="0"/>
              <w:ind w:left="0" w:right="0" w:firstLine="245"/>
              <w:jc w:val="left"/>
              <w:rPr/>
            </w:pPr>
            <w:r>
              <w:rPr/>
              <w:t> </w:t>
            </w:r>
          </w:p>
        </w:tc>
      </w:tr>
      <w:tr>
        <w:trPr/>
        <w:tc>
          <w:tcPr>
            <w:tcW w:w="4216"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Net change related to derivatives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(34</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w:t>
            </w:r>
          </w:p>
        </w:tc>
        <w:tc>
          <w:tcPr>
            <w:tcW w:w="680" w:type="dxa"/>
            <w:tcBorders/>
            <w:shd w:fill="auto" w:val="clear"/>
            <w:vAlign w:val="center"/>
          </w:tcPr>
          <w:p>
            <w:pPr>
              <w:pStyle w:val="TableContents"/>
              <w:spacing w:before="0" w:after="0"/>
              <w:ind w:left="0" w:right="0" w:firstLine="245"/>
              <w:jc w:val="left"/>
              <w:rPr/>
            </w:pPr>
            <w:r>
              <w:rPr/>
              <w:t> </w:t>
            </w:r>
          </w:p>
        </w:tc>
      </w:tr>
      <w:tr>
        <w:trPr/>
        <w:tc>
          <w:tcPr>
            <w:tcW w:w="4216"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Net change related to investments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753</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(2,882</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(796</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(4,047</w:t>
            </w:r>
          </w:p>
        </w:tc>
        <w:tc>
          <w:tcPr>
            <w:tcW w:w="680" w:type="dxa"/>
            <w:tcBorders/>
            <w:shd w:fill="auto" w:val="clear"/>
            <w:vAlign w:val="center"/>
          </w:tcPr>
          <w:p>
            <w:pPr>
              <w:pStyle w:val="TableContents"/>
              <w:spacing w:before="0" w:after="0"/>
              <w:ind w:left="0" w:right="0" w:firstLine="245"/>
              <w:jc w:val="left"/>
              <w:rPr>
                <w:rFonts w:ascii="Arial;sans-serif" w:hAnsi="Arial;sans-serif"/>
                <w:b w:val="false"/>
                <w:sz w:val="20"/>
              </w:rPr>
            </w:pPr>
            <w:r>
              <w:rPr>
                <w:rFonts w:ascii="Arial;sans-serif" w:hAnsi="Arial;sans-serif"/>
                <w:b w:val="false"/>
                <w:sz w:val="20"/>
              </w:rPr>
              <w:t>)</w:t>
            </w:r>
          </w:p>
        </w:tc>
      </w:tr>
      <w:tr>
        <w:trPr/>
        <w:tc>
          <w:tcPr>
            <w:tcW w:w="4216"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Translation adjustments and other</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69</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(37</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(136</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(259</w:t>
            </w:r>
          </w:p>
        </w:tc>
        <w:tc>
          <w:tcPr>
            <w:tcW w:w="680"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21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6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21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680" w:type="dxa"/>
            <w:tcBorders/>
            <w:shd w:fill="auto" w:val="clear"/>
            <w:vAlign w:val="center"/>
          </w:tcPr>
          <w:p>
            <w:pPr>
              <w:pStyle w:val="TableContents"/>
              <w:spacing w:before="0" w:after="0"/>
              <w:ind w:left="0" w:right="0" w:firstLine="489"/>
              <w:jc w:val="left"/>
              <w:rPr/>
            </w:pPr>
            <w:r>
              <w:rPr/>
              <w:t> </w:t>
            </w:r>
          </w:p>
        </w:tc>
      </w:tr>
      <w:tr>
        <w:trPr/>
        <w:tc>
          <w:tcPr>
            <w:tcW w:w="4216" w:type="dxa"/>
            <w:tcBorders/>
            <w:shd w:fill="auto" w:val="clear"/>
            <w:vAlign w:val="center"/>
          </w:tcPr>
          <w:p>
            <w:pPr>
              <w:pStyle w:val="TableContents"/>
              <w:spacing w:before="0" w:after="0"/>
              <w:ind w:left="489" w:right="0" w:hanging="0"/>
              <w:jc w:val="left"/>
              <w:rPr>
                <w:rFonts w:ascii="Arial;sans-serif" w:hAnsi="Arial;sans-serif"/>
                <w:b w:val="false"/>
                <w:sz w:val="20"/>
              </w:rPr>
            </w:pPr>
            <w:r>
              <w:rPr>
                <w:rFonts w:ascii="Arial;sans-serif" w:hAnsi="Arial;sans-serif"/>
                <w:b w:val="false"/>
                <w:sz w:val="20"/>
              </w:rPr>
              <w:t>Other comprehensive income (loss)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813</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(2,913</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(966</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(4,298</w:t>
            </w:r>
          </w:p>
        </w:tc>
        <w:tc>
          <w:tcPr>
            <w:tcW w:w="680"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21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6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21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680" w:type="dxa"/>
            <w:tcBorders/>
            <w:shd w:fill="auto" w:val="clear"/>
            <w:vAlign w:val="center"/>
          </w:tcPr>
          <w:p>
            <w:pPr>
              <w:pStyle w:val="TableContents"/>
              <w:spacing w:before="0" w:after="0"/>
              <w:ind w:left="0" w:right="0" w:hanging="0"/>
              <w:jc w:val="left"/>
              <w:rPr/>
            </w:pPr>
            <w:r>
              <w:rPr/>
              <w:t> </w:t>
            </w:r>
          </w:p>
        </w:tc>
      </w:tr>
      <w:tr>
        <w:trPr/>
        <w:tc>
          <w:tcPr>
            <w:tcW w:w="42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Comprehensive income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19,112</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13,815</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51,314</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51,700</w:t>
            </w:r>
          </w:p>
        </w:tc>
        <w:tc>
          <w:tcPr>
            <w:tcW w:w="680" w:type="dxa"/>
            <w:tcBorders/>
            <w:shd w:fill="auto" w:val="clear"/>
            <w:vAlign w:val="center"/>
          </w:tcPr>
          <w:p>
            <w:pPr>
              <w:pStyle w:val="TableContents"/>
              <w:spacing w:before="0" w:after="0"/>
              <w:ind w:left="0" w:right="0" w:hanging="0"/>
              <w:jc w:val="left"/>
              <w:rPr/>
            </w:pPr>
            <w:r>
              <w:rPr/>
              <w:t> </w:t>
            </w:r>
          </w:p>
        </w:tc>
      </w:tr>
      <w:tr>
        <w:trPr/>
        <w:tc>
          <w:tcPr>
            <w:tcW w:w="421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680"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both"/>
        <w:rPr>
          <w:rFonts w:ascii="Times New Roman" w:hAnsi="Times New Roman"/>
          <w:sz w:val="20"/>
        </w:rPr>
      </w:pPr>
      <w:r>
        <w:rPr>
          <w:rFonts w:ascii="Arial;sans-serif" w:hAnsi="Arial;sans-serif"/>
          <w:b w:val="false"/>
          <w:sz w:val="20"/>
        </w:rPr>
        <w:t>Refer to accompanying notes.</w:t>
      </w:r>
      <w:r>
        <w:rPr>
          <w:rFonts w:ascii="Times New Roman" w:hAnsi="Times New Roman"/>
          <w:sz w:val="20"/>
        </w:rPr>
        <w:t xml:space="preserve"> </w:t>
      </w:r>
    </w:p>
    <w:p>
      <w:pPr>
        <w:pStyle w:val="TextBody"/>
        <w:spacing w:before="240" w:after="0"/>
        <w:jc w:val="center"/>
        <w:rPr>
          <w:rFonts w:ascii="Arial;sans-serif" w:hAnsi="Arial;sans-serif"/>
          <w:b w:val="false"/>
          <w:sz w:val="16"/>
        </w:rPr>
      </w:pPr>
      <w:r>
        <w:rPr>
          <w:rFonts w:ascii="Arial;sans-serif" w:hAnsi="Arial;sans-serif"/>
          <w:b w:val="false"/>
          <w:sz w:val="16"/>
        </w:rPr>
        <w:t>4</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w:t>
      </w:r>
    </w:p>
    <w:p>
      <w:pPr>
        <w:pStyle w:val="TextBody"/>
        <w:spacing w:before="0" w:after="0"/>
        <w:jc w:val="center"/>
        <w:rPr>
          <w:rFonts w:ascii="Arial;sans-serif" w:hAnsi="Arial;sans-serif"/>
          <w:b w:val="false"/>
          <w:sz w:val="15"/>
        </w:rPr>
      </w:pPr>
      <w:r>
        <w:rPr>
          <w:rFonts w:ascii="Arial;sans-serif" w:hAnsi="Arial;sans-serif"/>
          <w:b w:val="false"/>
          <w:sz w:val="15"/>
        </w:rPr>
        <w:t>Item 1</w:t>
      </w:r>
    </w:p>
    <w:p>
      <w:pPr>
        <w:pStyle w:val="TextBody"/>
        <w:spacing w:before="0" w:after="0"/>
        <w:jc w:val="left"/>
        <w:rPr/>
      </w:pPr>
      <w:r>
        <w:rPr/>
        <w:t> </w:t>
      </w:r>
    </w:p>
    <w:p>
      <w:pPr>
        <w:pStyle w:val="TextBody"/>
        <w:spacing w:before="0" w:after="0"/>
        <w:jc w:val="center"/>
        <w:rPr>
          <w:rFonts w:ascii="Times New Roman" w:hAnsi="Times New Roman"/>
          <w:sz w:val="20"/>
        </w:rPr>
      </w:pPr>
      <w:bookmarkStart w:id="6" w:name="balance_sheets"/>
      <w:bookmarkEnd w:id="6"/>
      <w:r>
        <w:rPr>
          <w:rFonts w:ascii="Arial;sans-serif" w:hAnsi="Arial;sans-serif"/>
          <w:b/>
          <w:sz w:val="20"/>
        </w:rPr>
        <w:t>BALANCE SHEETS</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6577"/>
        <w:gridCol w:w="146"/>
        <w:gridCol w:w="211"/>
        <w:gridCol w:w="796"/>
        <w:gridCol w:w="166"/>
        <w:gridCol w:w="146"/>
        <w:gridCol w:w="211"/>
        <w:gridCol w:w="796"/>
        <w:gridCol w:w="1156"/>
      </w:tblGrid>
      <w:tr>
        <w:trPr/>
        <w:tc>
          <w:tcPr>
            <w:tcW w:w="6577"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96" w:type="dxa"/>
            <w:tcBorders/>
            <w:shd w:fill="FFFFFF" w:val="clear"/>
            <w:vAlign w:val="center"/>
          </w:tcPr>
          <w:p>
            <w:pPr>
              <w:pStyle w:val="TableContents"/>
              <w:spacing w:before="0" w:after="283"/>
              <w:rPr>
                <w:sz w:val="4"/>
                <w:szCs w:val="4"/>
              </w:rPr>
            </w:pPr>
            <w:r>
              <w:rPr>
                <w:sz w:val="4"/>
                <w:szCs w:val="4"/>
              </w:rPr>
            </w:r>
          </w:p>
        </w:tc>
        <w:tc>
          <w:tcPr>
            <w:tcW w:w="16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96" w:type="dxa"/>
            <w:tcBorders/>
            <w:shd w:fill="FFFFFF" w:val="clear"/>
            <w:vAlign w:val="center"/>
          </w:tcPr>
          <w:p>
            <w:pPr>
              <w:pStyle w:val="TableContents"/>
              <w:spacing w:before="0" w:after="283"/>
              <w:rPr>
                <w:sz w:val="4"/>
                <w:szCs w:val="4"/>
              </w:rPr>
            </w:pPr>
            <w:r>
              <w:rPr>
                <w:sz w:val="4"/>
                <w:szCs w:val="4"/>
              </w:rPr>
            </w:r>
          </w:p>
        </w:tc>
        <w:tc>
          <w:tcPr>
            <w:tcW w:w="1156" w:type="dxa"/>
            <w:tcBorders/>
            <w:shd w:fill="FFFFFF" w:val="clear"/>
            <w:vAlign w:val="center"/>
          </w:tcPr>
          <w:p>
            <w:pPr>
              <w:pStyle w:val="TableContents"/>
              <w:spacing w:before="0" w:after="283"/>
              <w:rPr>
                <w:sz w:val="4"/>
                <w:szCs w:val="4"/>
              </w:rPr>
            </w:pPr>
            <w:r>
              <w:rPr>
                <w:sz w:val="4"/>
                <w:szCs w:val="4"/>
              </w:rPr>
            </w:r>
          </w:p>
        </w:tc>
      </w:tr>
      <w:tr>
        <w:trPr/>
        <w:tc>
          <w:tcPr>
            <w:tcW w:w="6577"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(In millions) (Unaudited)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326" w:type="dxa"/>
            <w:gridSpan w:val="6"/>
            <w:tcBorders/>
            <w:shd w:fill="auto" w:val="clear"/>
            <w:vAlign w:val="center"/>
          </w:tcPr>
          <w:p>
            <w:pPr>
              <w:pStyle w:val="TableContents"/>
              <w:spacing w:before="0" w:after="283"/>
              <w:ind w:left="0" w:right="0" w:hanging="0"/>
              <w:rPr>
                <w:sz w:val="4"/>
                <w:szCs w:val="4"/>
              </w:rPr>
            </w:pPr>
            <w:r>
              <w:rPr>
                <w:sz w:val="4"/>
                <w:szCs w:val="4"/>
              </w:rPr>
            </w:r>
          </w:p>
        </w:tc>
        <w:tc>
          <w:tcPr>
            <w:tcW w:w="1156" w:type="dxa"/>
            <w:tcBorders/>
            <w:shd w:fill="auto" w:val="clear"/>
            <w:vAlign w:val="center"/>
          </w:tcPr>
          <w:p>
            <w:pPr>
              <w:pStyle w:val="TableContents"/>
              <w:spacing w:before="0" w:after="283"/>
              <w:ind w:left="0" w:right="0" w:hanging="0"/>
              <w:rPr>
                <w:sz w:val="4"/>
                <w:szCs w:val="4"/>
              </w:rPr>
            </w:pPr>
            <w:r>
              <w:rPr>
                <w:sz w:val="4"/>
                <w:szCs w:val="4"/>
              </w:rPr>
            </w:r>
          </w:p>
        </w:tc>
      </w:tr>
      <w:tr>
        <w:trPr/>
        <w:tc>
          <w:tcPr>
            <w:tcW w:w="9049" w:type="dxa"/>
            <w:gridSpan w:val="8"/>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1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577" w:type="dxa"/>
            <w:tcBorders/>
            <w:shd w:fill="auto" w:val="clear"/>
            <w:vAlign w:val="center"/>
          </w:tcPr>
          <w:p>
            <w:pPr>
              <w:pStyle w:val="TableContents"/>
              <w:spacing w:before="0" w:after="283"/>
              <w:ind w:left="0" w:right="0" w:hanging="0"/>
              <w:rPr>
                <w:sz w:val="4"/>
                <w:szCs w:val="4"/>
              </w:rPr>
            </w:pPr>
            <w:r>
              <w:rPr>
                <w:sz w:val="4"/>
                <w:szCs w:val="4"/>
              </w:rPr>
            </w:r>
          </w:p>
        </w:tc>
        <w:tc>
          <w:tcPr>
            <w:tcW w:w="1319" w:type="dxa"/>
            <w:gridSpan w:val="4"/>
            <w:tcBorders/>
            <w:shd w:fill="auto" w:val="clear"/>
            <w:vAlign w:val="center"/>
          </w:tcPr>
          <w:p>
            <w:pPr>
              <w:pStyle w:val="TableContents"/>
              <w:spacing w:before="0" w:after="0"/>
              <w:ind w:left="0" w:right="0" w:hanging="0"/>
              <w:jc w:val="left"/>
              <w:rPr/>
            </w:pPr>
            <w:r>
              <w:rPr/>
              <w:t> </w:t>
            </w:r>
          </w:p>
        </w:tc>
        <w:tc>
          <w:tcPr>
            <w:tcW w:w="2309" w:type="dxa"/>
            <w:gridSpan w:val="4"/>
            <w:tcBorders/>
            <w:shd w:fill="auto" w:val="clear"/>
            <w:vAlign w:val="center"/>
          </w:tcPr>
          <w:p>
            <w:pPr>
              <w:pStyle w:val="TableContents"/>
              <w:spacing w:before="0" w:after="0"/>
              <w:ind w:left="0" w:right="0" w:hanging="0"/>
              <w:jc w:val="left"/>
              <w:rPr/>
            </w:pPr>
            <w:r>
              <w:rPr/>
              <w:t> </w:t>
            </w:r>
          </w:p>
        </w:tc>
      </w:tr>
      <w:tr>
        <w:trPr/>
        <w:tc>
          <w:tcPr>
            <w:tcW w:w="657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07"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07"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June 30,</w:t>
              <w:br/>
              <w:t>2022</w:t>
            </w:r>
          </w:p>
        </w:tc>
        <w:tc>
          <w:tcPr>
            <w:tcW w:w="1156" w:type="dxa"/>
            <w:tcBorders/>
            <w:shd w:fill="auto" w:val="clear"/>
            <w:vAlign w:val="center"/>
          </w:tcPr>
          <w:p>
            <w:pPr>
              <w:pStyle w:val="TableContents"/>
              <w:spacing w:before="0" w:after="283"/>
              <w:ind w:left="0" w:right="0" w:hanging="0"/>
              <w:rPr>
                <w:sz w:val="4"/>
                <w:szCs w:val="4"/>
              </w:rPr>
            </w:pPr>
            <w:r>
              <w:rPr>
                <w:sz w:val="4"/>
                <w:szCs w:val="4"/>
              </w:rPr>
            </w:r>
          </w:p>
        </w:tc>
      </w:tr>
      <w:tr>
        <w:trPr/>
        <w:tc>
          <w:tcPr>
            <w:tcW w:w="6577"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156" w:type="dxa"/>
            <w:tcBorders/>
            <w:shd w:fill="auto" w:val="clear"/>
            <w:vAlign w:val="center"/>
          </w:tcPr>
          <w:p>
            <w:pPr>
              <w:pStyle w:val="TableContents"/>
              <w:spacing w:before="0" w:after="0"/>
              <w:ind w:left="0" w:right="0" w:hanging="0"/>
              <w:jc w:val="left"/>
              <w:rPr/>
            </w:pPr>
            <w:r>
              <w:rPr/>
              <w:t> </w:t>
            </w:r>
          </w:p>
        </w:tc>
      </w:tr>
      <w:tr>
        <w:trPr/>
        <w:tc>
          <w:tcPr>
            <w:tcW w:w="6577"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Assets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283"/>
              <w:ind w:left="0" w:right="0" w:hanging="0"/>
              <w:rPr>
                <w:sz w:val="4"/>
                <w:szCs w:val="4"/>
              </w:rPr>
            </w:pPr>
            <w:r>
              <w:rPr>
                <w:sz w:val="4"/>
                <w:szCs w:val="4"/>
              </w:rPr>
            </w:r>
          </w:p>
        </w:tc>
        <w:tc>
          <w:tcPr>
            <w:tcW w:w="1156" w:type="dxa"/>
            <w:tcBorders/>
            <w:shd w:fill="auto" w:val="clear"/>
            <w:vAlign w:val="center"/>
          </w:tcPr>
          <w:p>
            <w:pPr>
              <w:pStyle w:val="TableContents"/>
              <w:spacing w:before="0" w:after="283"/>
              <w:ind w:left="0" w:right="0" w:hanging="0"/>
              <w:rPr>
                <w:sz w:val="4"/>
                <w:szCs w:val="4"/>
              </w:rPr>
            </w:pPr>
            <w:r>
              <w:rPr>
                <w:sz w:val="4"/>
                <w:szCs w:val="4"/>
              </w:rPr>
            </w:r>
          </w:p>
        </w:tc>
      </w:tr>
      <w:tr>
        <w:trPr/>
        <w:tc>
          <w:tcPr>
            <w:tcW w:w="657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Current assets: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283"/>
              <w:ind w:left="0" w:right="0" w:hanging="0"/>
              <w:rPr>
                <w:sz w:val="4"/>
                <w:szCs w:val="4"/>
              </w:rPr>
            </w:pPr>
            <w:r>
              <w:rPr>
                <w:sz w:val="4"/>
                <w:szCs w:val="4"/>
              </w:rPr>
            </w:r>
          </w:p>
        </w:tc>
        <w:tc>
          <w:tcPr>
            <w:tcW w:w="1156" w:type="dxa"/>
            <w:tcBorders/>
            <w:shd w:fill="auto" w:val="clear"/>
            <w:vAlign w:val="center"/>
          </w:tcPr>
          <w:p>
            <w:pPr>
              <w:pStyle w:val="TableContents"/>
              <w:spacing w:before="0" w:after="283"/>
              <w:ind w:left="0" w:right="0" w:firstLine="245"/>
              <w:rPr>
                <w:sz w:val="4"/>
                <w:szCs w:val="4"/>
              </w:rPr>
            </w:pPr>
            <w:r>
              <w:rPr>
                <w:sz w:val="4"/>
                <w:szCs w:val="4"/>
              </w:rPr>
            </w:r>
          </w:p>
        </w:tc>
      </w:tr>
      <w:tr>
        <w:trPr/>
        <w:tc>
          <w:tcPr>
            <w:tcW w:w="6577"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Cash and cash equivalents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26,562</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13,931</w:t>
            </w:r>
          </w:p>
        </w:tc>
        <w:tc>
          <w:tcPr>
            <w:tcW w:w="1156" w:type="dxa"/>
            <w:tcBorders/>
            <w:shd w:fill="auto" w:val="clear"/>
            <w:vAlign w:val="center"/>
          </w:tcPr>
          <w:p>
            <w:pPr>
              <w:pStyle w:val="TableContents"/>
              <w:spacing w:before="0" w:after="283"/>
              <w:ind w:left="0" w:right="0" w:firstLine="245"/>
              <w:rPr>
                <w:sz w:val="4"/>
                <w:szCs w:val="4"/>
              </w:rPr>
            </w:pPr>
            <w:r>
              <w:rPr>
                <w:sz w:val="4"/>
                <w:szCs w:val="4"/>
              </w:rPr>
            </w:r>
          </w:p>
        </w:tc>
      </w:tr>
      <w:tr>
        <w:trPr/>
        <w:tc>
          <w:tcPr>
            <w:tcW w:w="6577"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Short-term investments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77,865</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90,826</w:t>
            </w:r>
          </w:p>
        </w:tc>
        <w:tc>
          <w:tcPr>
            <w:tcW w:w="1156" w:type="dxa"/>
            <w:tcBorders/>
            <w:shd w:fill="auto" w:val="clear"/>
            <w:vAlign w:val="center"/>
          </w:tcPr>
          <w:p>
            <w:pPr>
              <w:pStyle w:val="TableContents"/>
              <w:spacing w:before="0" w:after="283"/>
              <w:ind w:left="0" w:right="0" w:hanging="0"/>
              <w:rPr>
                <w:sz w:val="4"/>
                <w:szCs w:val="4"/>
              </w:rPr>
            </w:pPr>
            <w:r>
              <w:rPr>
                <w:sz w:val="4"/>
                <w:szCs w:val="4"/>
              </w:rPr>
            </w:r>
          </w:p>
        </w:tc>
      </w:tr>
      <w:tr>
        <w:trPr/>
        <w:tc>
          <w:tcPr>
            <w:tcW w:w="7730" w:type="dxa"/>
            <w:gridSpan w:val="4"/>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730" w:type="dxa"/>
            <w:gridSpan w:val="4"/>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283"/>
              <w:ind w:left="0" w:right="0" w:hanging="0"/>
              <w:rPr>
                <w:sz w:val="4"/>
                <w:szCs w:val="4"/>
              </w:rPr>
            </w:pPr>
            <w:r>
              <w:rPr>
                <w:sz w:val="4"/>
                <w:szCs w:val="4"/>
              </w:rPr>
            </w:r>
          </w:p>
        </w:tc>
        <w:tc>
          <w:tcPr>
            <w:tcW w:w="1156" w:type="dxa"/>
            <w:tcBorders/>
            <w:shd w:fill="auto" w:val="clear"/>
            <w:vAlign w:val="center"/>
          </w:tcPr>
          <w:p>
            <w:pPr>
              <w:pStyle w:val="TableContents"/>
              <w:spacing w:before="0" w:after="0"/>
              <w:ind w:left="0" w:right="0" w:firstLine="475"/>
              <w:jc w:val="left"/>
              <w:rPr/>
            </w:pPr>
            <w:r>
              <w:rPr/>
              <w:t> </w:t>
            </w:r>
          </w:p>
        </w:tc>
      </w:tr>
      <w:tr>
        <w:trPr/>
        <w:tc>
          <w:tcPr>
            <w:tcW w:w="6577" w:type="dxa"/>
            <w:tcBorders/>
            <w:shd w:fill="auto" w:val="clear"/>
            <w:vAlign w:val="center"/>
          </w:tcPr>
          <w:p>
            <w:pPr>
              <w:pStyle w:val="TableContents"/>
              <w:spacing w:before="0" w:after="0"/>
              <w:ind w:left="475" w:right="0" w:hanging="0"/>
              <w:jc w:val="left"/>
              <w:rPr>
                <w:rFonts w:ascii="Arial;sans-serif" w:hAnsi="Arial;sans-serif"/>
                <w:b w:val="false"/>
                <w:sz w:val="20"/>
              </w:rPr>
            </w:pPr>
            <w:r>
              <w:rPr>
                <w:rFonts w:ascii="Arial;sans-serif" w:hAnsi="Arial;sans-serif"/>
                <w:b w:val="false"/>
                <w:sz w:val="20"/>
              </w:rPr>
              <w:t>Total cash, cash equivalents, and short-term investments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104,427</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104,757</w:t>
            </w:r>
          </w:p>
        </w:tc>
        <w:tc>
          <w:tcPr>
            <w:tcW w:w="1156" w:type="dxa"/>
            <w:tcBorders/>
            <w:shd w:fill="auto" w:val="clear"/>
            <w:vAlign w:val="center"/>
          </w:tcPr>
          <w:p>
            <w:pPr>
              <w:pStyle w:val="TableContents"/>
              <w:spacing w:before="0" w:after="283"/>
              <w:ind w:left="0" w:right="0" w:firstLine="245"/>
              <w:rPr>
                <w:sz w:val="4"/>
                <w:szCs w:val="4"/>
              </w:rPr>
            </w:pPr>
            <w:r>
              <w:rPr>
                <w:sz w:val="4"/>
                <w:szCs w:val="4"/>
              </w:rPr>
            </w:r>
          </w:p>
        </w:tc>
      </w:tr>
      <w:tr>
        <w:trPr/>
        <w:tc>
          <w:tcPr>
            <w:tcW w:w="6577" w:type="dxa"/>
            <w:tcBorders/>
            <w:shd w:fill="auto" w:val="clear"/>
            <w:vAlign w:val="center"/>
          </w:tcPr>
          <w:p>
            <w:pPr>
              <w:pStyle w:val="TableContents"/>
              <w:spacing w:before="0" w:after="0"/>
              <w:ind w:left="245" w:right="0" w:hanging="0"/>
              <w:jc w:val="left"/>
              <w:rPr>
                <w:rFonts w:ascii="Times New Roman" w:hAnsi="Times New Roman"/>
                <w:sz w:val="20"/>
              </w:rPr>
            </w:pPr>
            <w:r>
              <w:rPr>
                <w:rFonts w:ascii="Arial;sans-serif" w:hAnsi="Arial;sans-serif"/>
                <w:b w:val="false"/>
                <w:sz w:val="20"/>
              </w:rPr>
              <w:t xml:space="preserve">Accounts receivable, net of allowance for doubtful accounts of </w:t>
            </w:r>
            <w:r>
              <w:rPr>
                <w:rFonts w:ascii="Arial;sans-serif" w:hAnsi="Arial;sans-serif"/>
                <w:b/>
                <w:sz w:val="20"/>
              </w:rPr>
              <w:t>$495</w:t>
            </w:r>
            <w:r>
              <w:rPr>
                <w:rFonts w:ascii="Times New Roman" w:hAnsi="Times New Roman"/>
                <w:sz w:val="20"/>
              </w:rPr>
              <w:t> </w:t>
            </w:r>
            <w:r>
              <w:rPr>
                <w:rFonts w:ascii="Arial;sans-serif" w:hAnsi="Arial;sans-serif"/>
                <w:b w:val="false"/>
                <w:sz w:val="20"/>
              </w:rPr>
              <w:t>and $633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37,420</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44,261</w:t>
            </w:r>
          </w:p>
        </w:tc>
        <w:tc>
          <w:tcPr>
            <w:tcW w:w="1156" w:type="dxa"/>
            <w:tcBorders/>
            <w:shd w:fill="auto" w:val="clear"/>
            <w:vAlign w:val="center"/>
          </w:tcPr>
          <w:p>
            <w:pPr>
              <w:pStyle w:val="TableContents"/>
              <w:spacing w:before="0" w:after="283"/>
              <w:ind w:left="0" w:right="0" w:firstLine="245"/>
              <w:rPr>
                <w:sz w:val="4"/>
                <w:szCs w:val="4"/>
              </w:rPr>
            </w:pPr>
            <w:r>
              <w:rPr>
                <w:sz w:val="4"/>
                <w:szCs w:val="4"/>
              </w:rPr>
            </w:r>
          </w:p>
        </w:tc>
      </w:tr>
      <w:tr>
        <w:trPr/>
        <w:tc>
          <w:tcPr>
            <w:tcW w:w="6577"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Inventories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2,877</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3,742</w:t>
            </w:r>
          </w:p>
        </w:tc>
        <w:tc>
          <w:tcPr>
            <w:tcW w:w="1156" w:type="dxa"/>
            <w:tcBorders/>
            <w:shd w:fill="auto" w:val="clear"/>
            <w:vAlign w:val="center"/>
          </w:tcPr>
          <w:p>
            <w:pPr>
              <w:pStyle w:val="TableContents"/>
              <w:spacing w:before="0" w:after="283"/>
              <w:ind w:left="0" w:right="0" w:firstLine="245"/>
              <w:rPr>
                <w:sz w:val="4"/>
                <w:szCs w:val="4"/>
              </w:rPr>
            </w:pPr>
            <w:r>
              <w:rPr>
                <w:sz w:val="4"/>
                <w:szCs w:val="4"/>
              </w:rPr>
            </w:r>
          </w:p>
        </w:tc>
      </w:tr>
      <w:tr>
        <w:trPr/>
        <w:tc>
          <w:tcPr>
            <w:tcW w:w="6577"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Other current assets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19,165</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16,924</w:t>
            </w:r>
          </w:p>
        </w:tc>
        <w:tc>
          <w:tcPr>
            <w:tcW w:w="1156" w:type="dxa"/>
            <w:tcBorders/>
            <w:shd w:fill="auto" w:val="clear"/>
            <w:vAlign w:val="center"/>
          </w:tcPr>
          <w:p>
            <w:pPr>
              <w:pStyle w:val="TableContents"/>
              <w:spacing w:before="0" w:after="283"/>
              <w:ind w:left="0" w:right="0" w:hanging="0"/>
              <w:rPr>
                <w:sz w:val="4"/>
                <w:szCs w:val="4"/>
              </w:rPr>
            </w:pPr>
            <w:r>
              <w:rPr>
                <w:sz w:val="4"/>
                <w:szCs w:val="4"/>
              </w:rPr>
            </w:r>
          </w:p>
        </w:tc>
      </w:tr>
      <w:tr>
        <w:trPr/>
        <w:tc>
          <w:tcPr>
            <w:tcW w:w="7730" w:type="dxa"/>
            <w:gridSpan w:val="4"/>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730" w:type="dxa"/>
            <w:gridSpan w:val="4"/>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283"/>
              <w:ind w:left="0" w:right="0" w:hanging="0"/>
              <w:rPr>
                <w:sz w:val="4"/>
                <w:szCs w:val="4"/>
              </w:rPr>
            </w:pPr>
            <w:r>
              <w:rPr>
                <w:sz w:val="4"/>
                <w:szCs w:val="4"/>
              </w:rPr>
            </w:r>
          </w:p>
        </w:tc>
        <w:tc>
          <w:tcPr>
            <w:tcW w:w="1156" w:type="dxa"/>
            <w:tcBorders/>
            <w:shd w:fill="auto" w:val="clear"/>
            <w:vAlign w:val="center"/>
          </w:tcPr>
          <w:p>
            <w:pPr>
              <w:pStyle w:val="TableContents"/>
              <w:spacing w:before="0" w:after="0"/>
              <w:ind w:left="0" w:right="0" w:firstLine="475"/>
              <w:jc w:val="left"/>
              <w:rPr/>
            </w:pPr>
            <w:r>
              <w:rPr/>
              <w:t> </w:t>
            </w:r>
          </w:p>
        </w:tc>
      </w:tr>
      <w:tr>
        <w:trPr/>
        <w:tc>
          <w:tcPr>
            <w:tcW w:w="6577" w:type="dxa"/>
            <w:tcBorders/>
            <w:shd w:fill="auto" w:val="clear"/>
            <w:vAlign w:val="center"/>
          </w:tcPr>
          <w:p>
            <w:pPr>
              <w:pStyle w:val="TableContents"/>
              <w:spacing w:before="0" w:after="0"/>
              <w:ind w:left="475" w:right="0" w:hanging="0"/>
              <w:jc w:val="left"/>
              <w:rPr>
                <w:rFonts w:ascii="Arial;sans-serif" w:hAnsi="Arial;sans-serif"/>
                <w:b w:val="false"/>
                <w:sz w:val="20"/>
              </w:rPr>
            </w:pPr>
            <w:r>
              <w:rPr>
                <w:rFonts w:ascii="Arial;sans-serif" w:hAnsi="Arial;sans-serif"/>
                <w:b w:val="false"/>
                <w:sz w:val="20"/>
              </w:rPr>
              <w:t>Total current assets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163,889</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169,684</w:t>
            </w:r>
          </w:p>
        </w:tc>
        <w:tc>
          <w:tcPr>
            <w:tcW w:w="1156" w:type="dxa"/>
            <w:tcBorders/>
            <w:shd w:fill="auto" w:val="clear"/>
            <w:vAlign w:val="center"/>
          </w:tcPr>
          <w:p>
            <w:pPr>
              <w:pStyle w:val="TableContents"/>
              <w:spacing w:before="0" w:after="283"/>
              <w:ind w:left="0" w:right="0" w:hanging="0"/>
              <w:rPr>
                <w:sz w:val="4"/>
                <w:szCs w:val="4"/>
              </w:rPr>
            </w:pPr>
            <w:r>
              <w:rPr>
                <w:sz w:val="4"/>
                <w:szCs w:val="4"/>
              </w:rPr>
            </w:r>
          </w:p>
        </w:tc>
      </w:tr>
      <w:tr>
        <w:trPr/>
        <w:tc>
          <w:tcPr>
            <w:tcW w:w="6577"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 xml:space="preserve">Property and equipment, net of accumulated depreciation of </w:t>
            </w:r>
            <w:r>
              <w:rPr>
                <w:rFonts w:ascii="Arial;sans-serif" w:hAnsi="Arial;sans-serif"/>
                <w:b/>
                <w:sz w:val="20"/>
              </w:rPr>
              <w:t>$65,998</w:t>
            </w:r>
            <w:r>
              <w:rPr>
                <w:rFonts w:ascii="Times New Roman" w:hAnsi="Times New Roman"/>
                <w:sz w:val="20"/>
              </w:rPr>
              <w:t> </w:t>
            </w:r>
            <w:r>
              <w:rPr>
                <w:rFonts w:ascii="Arial;sans-serif" w:hAnsi="Arial;sans-serif"/>
                <w:b w:val="false"/>
                <w:sz w:val="20"/>
              </w:rPr>
              <w:t>and</w:t>
            </w:r>
            <w:r>
              <w:rPr>
                <w:rFonts w:ascii="Times New Roman" w:hAnsi="Times New Roman"/>
                <w:sz w:val="20"/>
              </w:rPr>
              <w:t xml:space="preserve"> </w:t>
            </w:r>
            <w:r>
              <w:rPr>
                <w:rFonts w:ascii="Arial;sans-serif" w:hAnsi="Arial;sans-serif"/>
                <w:b w:val="false"/>
                <w:sz w:val="20"/>
              </w:rPr>
              <w:t>$59,660</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88,132</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74,398</w:t>
            </w:r>
          </w:p>
        </w:tc>
        <w:tc>
          <w:tcPr>
            <w:tcW w:w="1156" w:type="dxa"/>
            <w:tcBorders/>
            <w:shd w:fill="auto" w:val="clear"/>
            <w:vAlign w:val="center"/>
          </w:tcPr>
          <w:p>
            <w:pPr>
              <w:pStyle w:val="TableContents"/>
              <w:spacing w:before="0" w:after="283"/>
              <w:ind w:left="0" w:right="0" w:hanging="0"/>
              <w:rPr>
                <w:sz w:val="4"/>
                <w:szCs w:val="4"/>
              </w:rPr>
            </w:pPr>
            <w:r>
              <w:rPr>
                <w:sz w:val="4"/>
                <w:szCs w:val="4"/>
              </w:rPr>
            </w:r>
          </w:p>
        </w:tc>
      </w:tr>
      <w:tr>
        <w:trPr/>
        <w:tc>
          <w:tcPr>
            <w:tcW w:w="657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Operating lease right-of-use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13,879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13,148</w:t>
            </w:r>
          </w:p>
        </w:tc>
        <w:tc>
          <w:tcPr>
            <w:tcW w:w="1156" w:type="dxa"/>
            <w:tcBorders/>
            <w:shd w:fill="auto" w:val="clear"/>
            <w:vAlign w:val="center"/>
          </w:tcPr>
          <w:p>
            <w:pPr>
              <w:pStyle w:val="TableContents"/>
              <w:spacing w:before="0" w:after="0"/>
              <w:ind w:left="0" w:right="0" w:hanging="0"/>
              <w:jc w:val="left"/>
              <w:rPr/>
            </w:pPr>
            <w:r>
              <w:rPr/>
              <w:t> </w:t>
            </w:r>
          </w:p>
        </w:tc>
      </w:tr>
      <w:tr>
        <w:trPr/>
        <w:tc>
          <w:tcPr>
            <w:tcW w:w="657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Equity investments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9,415</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6,891</w:t>
            </w:r>
          </w:p>
        </w:tc>
        <w:tc>
          <w:tcPr>
            <w:tcW w:w="1156" w:type="dxa"/>
            <w:tcBorders/>
            <w:shd w:fill="auto" w:val="clear"/>
            <w:vAlign w:val="center"/>
          </w:tcPr>
          <w:p>
            <w:pPr>
              <w:pStyle w:val="TableContents"/>
              <w:spacing w:before="0" w:after="283"/>
              <w:ind w:left="0" w:right="0" w:hanging="0"/>
              <w:rPr>
                <w:sz w:val="4"/>
                <w:szCs w:val="4"/>
              </w:rPr>
            </w:pPr>
            <w:r>
              <w:rPr>
                <w:sz w:val="4"/>
                <w:szCs w:val="4"/>
              </w:rPr>
            </w:r>
          </w:p>
        </w:tc>
      </w:tr>
      <w:tr>
        <w:trPr/>
        <w:tc>
          <w:tcPr>
            <w:tcW w:w="657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Goodwill</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67,940</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67,524</w:t>
            </w:r>
          </w:p>
        </w:tc>
        <w:tc>
          <w:tcPr>
            <w:tcW w:w="1156" w:type="dxa"/>
            <w:tcBorders/>
            <w:shd w:fill="auto" w:val="clear"/>
            <w:vAlign w:val="center"/>
          </w:tcPr>
          <w:p>
            <w:pPr>
              <w:pStyle w:val="TableContents"/>
              <w:spacing w:before="0" w:after="283"/>
              <w:ind w:left="0" w:right="0" w:hanging="0"/>
              <w:rPr>
                <w:sz w:val="4"/>
                <w:szCs w:val="4"/>
              </w:rPr>
            </w:pPr>
            <w:r>
              <w:rPr>
                <w:sz w:val="4"/>
                <w:szCs w:val="4"/>
              </w:rPr>
            </w:r>
          </w:p>
        </w:tc>
      </w:tr>
      <w:tr>
        <w:trPr/>
        <w:tc>
          <w:tcPr>
            <w:tcW w:w="657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Intangible assets, net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9,879</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11,298</w:t>
            </w:r>
          </w:p>
        </w:tc>
        <w:tc>
          <w:tcPr>
            <w:tcW w:w="1156" w:type="dxa"/>
            <w:tcBorders/>
            <w:shd w:fill="auto" w:val="clear"/>
            <w:vAlign w:val="center"/>
          </w:tcPr>
          <w:p>
            <w:pPr>
              <w:pStyle w:val="TableContents"/>
              <w:spacing w:before="0" w:after="283"/>
              <w:ind w:left="0" w:right="0" w:hanging="0"/>
              <w:rPr>
                <w:sz w:val="4"/>
                <w:szCs w:val="4"/>
              </w:rPr>
            </w:pPr>
            <w:r>
              <w:rPr>
                <w:sz w:val="4"/>
                <w:szCs w:val="4"/>
              </w:rPr>
            </w:r>
          </w:p>
        </w:tc>
      </w:tr>
      <w:tr>
        <w:trPr/>
        <w:tc>
          <w:tcPr>
            <w:tcW w:w="657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Other long-term assets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26,954</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21,897</w:t>
            </w:r>
          </w:p>
        </w:tc>
        <w:tc>
          <w:tcPr>
            <w:tcW w:w="1156" w:type="dxa"/>
            <w:tcBorders/>
            <w:shd w:fill="auto" w:val="clear"/>
            <w:vAlign w:val="center"/>
          </w:tcPr>
          <w:p>
            <w:pPr>
              <w:pStyle w:val="TableContents"/>
              <w:spacing w:before="0" w:after="283"/>
              <w:ind w:left="0" w:right="0" w:hanging="0"/>
              <w:rPr>
                <w:sz w:val="4"/>
                <w:szCs w:val="4"/>
              </w:rPr>
            </w:pPr>
            <w:r>
              <w:rPr>
                <w:sz w:val="4"/>
                <w:szCs w:val="4"/>
              </w:rPr>
            </w:r>
          </w:p>
        </w:tc>
      </w:tr>
      <w:tr>
        <w:trPr/>
        <w:tc>
          <w:tcPr>
            <w:tcW w:w="7730" w:type="dxa"/>
            <w:gridSpan w:val="4"/>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730" w:type="dxa"/>
            <w:gridSpan w:val="4"/>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283"/>
              <w:ind w:left="0" w:right="0" w:hanging="0"/>
              <w:rPr>
                <w:sz w:val="4"/>
                <w:szCs w:val="4"/>
              </w:rPr>
            </w:pPr>
            <w:r>
              <w:rPr>
                <w:sz w:val="4"/>
                <w:szCs w:val="4"/>
              </w:rPr>
            </w:r>
          </w:p>
        </w:tc>
        <w:tc>
          <w:tcPr>
            <w:tcW w:w="1156" w:type="dxa"/>
            <w:tcBorders/>
            <w:shd w:fill="auto" w:val="clear"/>
            <w:vAlign w:val="center"/>
          </w:tcPr>
          <w:p>
            <w:pPr>
              <w:pStyle w:val="TableContents"/>
              <w:spacing w:before="0" w:after="0"/>
              <w:ind w:left="0" w:right="0" w:firstLine="965"/>
              <w:jc w:val="left"/>
              <w:rPr/>
            </w:pPr>
            <w:r>
              <w:rPr/>
              <w:t> </w:t>
            </w:r>
          </w:p>
        </w:tc>
      </w:tr>
      <w:tr>
        <w:trPr/>
        <w:tc>
          <w:tcPr>
            <w:tcW w:w="6577" w:type="dxa"/>
            <w:tcBorders/>
            <w:shd w:fill="auto" w:val="clear"/>
            <w:vAlign w:val="center"/>
          </w:tcPr>
          <w:p>
            <w:pPr>
              <w:pStyle w:val="TableContents"/>
              <w:spacing w:before="0" w:after="0"/>
              <w:ind w:left="965" w:right="0" w:hanging="0"/>
              <w:jc w:val="left"/>
              <w:rPr>
                <w:rFonts w:ascii="Arial;sans-serif" w:hAnsi="Arial;sans-serif"/>
                <w:b w:val="false"/>
                <w:sz w:val="20"/>
              </w:rPr>
            </w:pPr>
            <w:r>
              <w:rPr>
                <w:rFonts w:ascii="Arial;sans-serif" w:hAnsi="Arial;sans-serif"/>
                <w:b w:val="false"/>
                <w:sz w:val="20"/>
              </w:rPr>
              <w:t>Total assets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380,088</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364,840</w:t>
            </w:r>
          </w:p>
        </w:tc>
        <w:tc>
          <w:tcPr>
            <w:tcW w:w="1156" w:type="dxa"/>
            <w:tcBorders/>
            <w:shd w:fill="auto" w:val="clear"/>
            <w:vAlign w:val="center"/>
          </w:tcPr>
          <w:p>
            <w:pPr>
              <w:pStyle w:val="TableContents"/>
              <w:spacing w:before="0" w:after="283"/>
              <w:ind w:left="0" w:right="0" w:hanging="0"/>
              <w:rPr>
                <w:sz w:val="4"/>
                <w:szCs w:val="4"/>
              </w:rPr>
            </w:pPr>
            <w:r>
              <w:rPr>
                <w:sz w:val="4"/>
                <w:szCs w:val="4"/>
              </w:rPr>
            </w:r>
          </w:p>
        </w:tc>
      </w:tr>
      <w:tr>
        <w:trPr/>
        <w:tc>
          <w:tcPr>
            <w:tcW w:w="6577"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577"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283"/>
              <w:ind w:left="0" w:right="0" w:hanging="0"/>
              <w:rPr>
                <w:sz w:val="4"/>
                <w:szCs w:val="4"/>
              </w:rPr>
            </w:pPr>
            <w:r>
              <w:rPr>
                <w:sz w:val="4"/>
                <w:szCs w:val="4"/>
              </w:rPr>
            </w:r>
          </w:p>
        </w:tc>
        <w:tc>
          <w:tcPr>
            <w:tcW w:w="1156" w:type="dxa"/>
            <w:tcBorders/>
            <w:shd w:fill="auto" w:val="clear"/>
            <w:vAlign w:val="center"/>
          </w:tcPr>
          <w:p>
            <w:pPr>
              <w:pStyle w:val="TableContents"/>
              <w:spacing w:before="0" w:after="0"/>
              <w:ind w:left="0" w:right="0" w:hanging="0"/>
              <w:jc w:val="left"/>
              <w:rPr/>
            </w:pPr>
            <w:r>
              <w:rPr/>
              <w:t> </w:t>
            </w:r>
          </w:p>
        </w:tc>
      </w:tr>
      <w:tr>
        <w:trPr/>
        <w:tc>
          <w:tcPr>
            <w:tcW w:w="6577"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Liabilities and stockholders’ equity</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283"/>
              <w:ind w:left="0" w:right="0" w:hanging="0"/>
              <w:rPr>
                <w:sz w:val="4"/>
                <w:szCs w:val="4"/>
              </w:rPr>
            </w:pPr>
            <w:r>
              <w:rPr>
                <w:sz w:val="4"/>
                <w:szCs w:val="4"/>
              </w:rPr>
            </w:r>
          </w:p>
        </w:tc>
        <w:tc>
          <w:tcPr>
            <w:tcW w:w="1156" w:type="dxa"/>
            <w:tcBorders/>
            <w:shd w:fill="auto" w:val="clear"/>
            <w:vAlign w:val="center"/>
          </w:tcPr>
          <w:p>
            <w:pPr>
              <w:pStyle w:val="TableContents"/>
              <w:spacing w:before="0" w:after="283"/>
              <w:ind w:left="0" w:right="0" w:hanging="0"/>
              <w:rPr>
                <w:sz w:val="4"/>
                <w:szCs w:val="4"/>
              </w:rPr>
            </w:pPr>
            <w:r>
              <w:rPr>
                <w:sz w:val="4"/>
                <w:szCs w:val="4"/>
              </w:rPr>
            </w:r>
          </w:p>
        </w:tc>
      </w:tr>
      <w:tr>
        <w:trPr/>
        <w:tc>
          <w:tcPr>
            <w:tcW w:w="657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Current liabilities: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283"/>
              <w:ind w:left="0" w:right="0" w:hanging="0"/>
              <w:rPr>
                <w:sz w:val="4"/>
                <w:szCs w:val="4"/>
              </w:rPr>
            </w:pPr>
            <w:r>
              <w:rPr>
                <w:sz w:val="4"/>
                <w:szCs w:val="4"/>
              </w:rPr>
            </w:r>
          </w:p>
        </w:tc>
        <w:tc>
          <w:tcPr>
            <w:tcW w:w="1156" w:type="dxa"/>
            <w:tcBorders/>
            <w:shd w:fill="auto" w:val="clear"/>
            <w:vAlign w:val="center"/>
          </w:tcPr>
          <w:p>
            <w:pPr>
              <w:pStyle w:val="TableContents"/>
              <w:spacing w:before="0" w:after="283"/>
              <w:ind w:left="0" w:right="0" w:firstLine="245"/>
              <w:rPr>
                <w:sz w:val="4"/>
                <w:szCs w:val="4"/>
              </w:rPr>
            </w:pPr>
            <w:r>
              <w:rPr>
                <w:sz w:val="4"/>
                <w:szCs w:val="4"/>
              </w:rPr>
            </w:r>
          </w:p>
        </w:tc>
      </w:tr>
      <w:tr>
        <w:trPr/>
        <w:tc>
          <w:tcPr>
            <w:tcW w:w="6577"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Accounts payable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15,305</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19,000</w:t>
            </w:r>
          </w:p>
        </w:tc>
        <w:tc>
          <w:tcPr>
            <w:tcW w:w="1156" w:type="dxa"/>
            <w:tcBorders/>
            <w:shd w:fill="auto" w:val="clear"/>
            <w:vAlign w:val="center"/>
          </w:tcPr>
          <w:p>
            <w:pPr>
              <w:pStyle w:val="TableContents"/>
              <w:spacing w:before="0" w:after="283"/>
              <w:ind w:left="0" w:right="0" w:firstLine="245"/>
              <w:rPr>
                <w:sz w:val="4"/>
                <w:szCs w:val="4"/>
              </w:rPr>
            </w:pPr>
            <w:r>
              <w:rPr>
                <w:sz w:val="4"/>
                <w:szCs w:val="4"/>
              </w:rPr>
            </w:r>
          </w:p>
        </w:tc>
      </w:tr>
      <w:tr>
        <w:trPr/>
        <w:tc>
          <w:tcPr>
            <w:tcW w:w="6577"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Current portion of long-term debt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6,245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2,749</w:t>
            </w:r>
          </w:p>
        </w:tc>
        <w:tc>
          <w:tcPr>
            <w:tcW w:w="1156" w:type="dxa"/>
            <w:tcBorders/>
            <w:shd w:fill="auto" w:val="clear"/>
            <w:vAlign w:val="center"/>
          </w:tcPr>
          <w:p>
            <w:pPr>
              <w:pStyle w:val="TableContents"/>
              <w:spacing w:before="0" w:after="0"/>
              <w:ind w:left="0" w:right="0" w:firstLine="245"/>
              <w:jc w:val="left"/>
              <w:rPr/>
            </w:pPr>
            <w:r>
              <w:rPr/>
              <w:t> </w:t>
            </w:r>
          </w:p>
        </w:tc>
      </w:tr>
      <w:tr>
        <w:trPr/>
        <w:tc>
          <w:tcPr>
            <w:tcW w:w="6577"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Accrued compensation</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10,411</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10,661</w:t>
            </w:r>
          </w:p>
        </w:tc>
        <w:tc>
          <w:tcPr>
            <w:tcW w:w="1156" w:type="dxa"/>
            <w:tcBorders/>
            <w:shd w:fill="auto" w:val="clear"/>
            <w:vAlign w:val="center"/>
          </w:tcPr>
          <w:p>
            <w:pPr>
              <w:pStyle w:val="TableContents"/>
              <w:spacing w:before="0" w:after="283"/>
              <w:ind w:left="0" w:right="0" w:firstLine="245"/>
              <w:rPr>
                <w:sz w:val="4"/>
                <w:szCs w:val="4"/>
              </w:rPr>
            </w:pPr>
            <w:r>
              <w:rPr>
                <w:sz w:val="4"/>
                <w:szCs w:val="4"/>
              </w:rPr>
            </w:r>
          </w:p>
        </w:tc>
      </w:tr>
      <w:tr>
        <w:trPr/>
        <w:tc>
          <w:tcPr>
            <w:tcW w:w="6577"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Short-term income taxes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4,163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4,067</w:t>
            </w:r>
          </w:p>
        </w:tc>
        <w:tc>
          <w:tcPr>
            <w:tcW w:w="1156" w:type="dxa"/>
            <w:tcBorders/>
            <w:shd w:fill="auto" w:val="clear"/>
            <w:vAlign w:val="center"/>
          </w:tcPr>
          <w:p>
            <w:pPr>
              <w:pStyle w:val="TableContents"/>
              <w:spacing w:before="0" w:after="283"/>
              <w:ind w:left="0" w:right="0" w:firstLine="245"/>
              <w:rPr>
                <w:sz w:val="4"/>
                <w:szCs w:val="4"/>
              </w:rPr>
            </w:pPr>
            <w:r>
              <w:rPr>
                <w:sz w:val="4"/>
                <w:szCs w:val="4"/>
              </w:rPr>
            </w:r>
          </w:p>
        </w:tc>
      </w:tr>
      <w:tr>
        <w:trPr/>
        <w:tc>
          <w:tcPr>
            <w:tcW w:w="6577"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Short-term unearned revenue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36,903</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45,538</w:t>
            </w:r>
          </w:p>
        </w:tc>
        <w:tc>
          <w:tcPr>
            <w:tcW w:w="1156" w:type="dxa"/>
            <w:tcBorders/>
            <w:shd w:fill="auto" w:val="clear"/>
            <w:vAlign w:val="center"/>
          </w:tcPr>
          <w:p>
            <w:pPr>
              <w:pStyle w:val="TableContents"/>
              <w:spacing w:before="0" w:after="283"/>
              <w:ind w:left="0" w:right="0" w:firstLine="245"/>
              <w:rPr>
                <w:sz w:val="4"/>
                <w:szCs w:val="4"/>
              </w:rPr>
            </w:pPr>
            <w:r>
              <w:rPr>
                <w:sz w:val="4"/>
                <w:szCs w:val="4"/>
              </w:rPr>
            </w:r>
          </w:p>
        </w:tc>
      </w:tr>
      <w:tr>
        <w:trPr/>
        <w:tc>
          <w:tcPr>
            <w:tcW w:w="6577"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Other current liabilities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12,664</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13,067</w:t>
            </w:r>
          </w:p>
        </w:tc>
        <w:tc>
          <w:tcPr>
            <w:tcW w:w="1156" w:type="dxa"/>
            <w:tcBorders/>
            <w:shd w:fill="auto" w:val="clear"/>
            <w:vAlign w:val="center"/>
          </w:tcPr>
          <w:p>
            <w:pPr>
              <w:pStyle w:val="TableContents"/>
              <w:spacing w:before="0" w:after="283"/>
              <w:ind w:left="0" w:right="0" w:hanging="0"/>
              <w:rPr>
                <w:sz w:val="4"/>
                <w:szCs w:val="4"/>
              </w:rPr>
            </w:pPr>
            <w:r>
              <w:rPr>
                <w:sz w:val="4"/>
                <w:szCs w:val="4"/>
              </w:rPr>
            </w:r>
          </w:p>
        </w:tc>
      </w:tr>
      <w:tr>
        <w:trPr/>
        <w:tc>
          <w:tcPr>
            <w:tcW w:w="7730" w:type="dxa"/>
            <w:gridSpan w:val="4"/>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730" w:type="dxa"/>
            <w:gridSpan w:val="4"/>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283"/>
              <w:ind w:left="0" w:right="0" w:hanging="0"/>
              <w:rPr>
                <w:sz w:val="4"/>
                <w:szCs w:val="4"/>
              </w:rPr>
            </w:pPr>
            <w:r>
              <w:rPr>
                <w:sz w:val="4"/>
                <w:szCs w:val="4"/>
              </w:rPr>
            </w:r>
          </w:p>
        </w:tc>
        <w:tc>
          <w:tcPr>
            <w:tcW w:w="1156" w:type="dxa"/>
            <w:tcBorders/>
            <w:shd w:fill="auto" w:val="clear"/>
            <w:vAlign w:val="center"/>
          </w:tcPr>
          <w:p>
            <w:pPr>
              <w:pStyle w:val="TableContents"/>
              <w:spacing w:before="0" w:after="0"/>
              <w:ind w:left="0" w:right="0" w:firstLine="475"/>
              <w:jc w:val="left"/>
              <w:rPr/>
            </w:pPr>
            <w:r>
              <w:rPr/>
              <w:t> </w:t>
            </w:r>
          </w:p>
        </w:tc>
      </w:tr>
      <w:tr>
        <w:trPr/>
        <w:tc>
          <w:tcPr>
            <w:tcW w:w="6577" w:type="dxa"/>
            <w:tcBorders/>
            <w:shd w:fill="auto" w:val="clear"/>
            <w:vAlign w:val="center"/>
          </w:tcPr>
          <w:p>
            <w:pPr>
              <w:pStyle w:val="TableContents"/>
              <w:spacing w:before="0" w:after="0"/>
              <w:ind w:left="475" w:right="0" w:hanging="0"/>
              <w:jc w:val="left"/>
              <w:rPr>
                <w:rFonts w:ascii="Arial;sans-serif" w:hAnsi="Arial;sans-serif"/>
                <w:b w:val="false"/>
                <w:sz w:val="20"/>
              </w:rPr>
            </w:pPr>
            <w:r>
              <w:rPr>
                <w:rFonts w:ascii="Arial;sans-serif" w:hAnsi="Arial;sans-serif"/>
                <w:b w:val="false"/>
                <w:sz w:val="20"/>
              </w:rPr>
              <w:t>Total current liabilities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85,691</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95,082</w:t>
            </w:r>
          </w:p>
        </w:tc>
        <w:tc>
          <w:tcPr>
            <w:tcW w:w="1156" w:type="dxa"/>
            <w:tcBorders/>
            <w:shd w:fill="auto" w:val="clear"/>
            <w:vAlign w:val="center"/>
          </w:tcPr>
          <w:p>
            <w:pPr>
              <w:pStyle w:val="TableContents"/>
              <w:spacing w:before="0" w:after="283"/>
              <w:ind w:left="0" w:right="0" w:hanging="0"/>
              <w:rPr>
                <w:sz w:val="4"/>
                <w:szCs w:val="4"/>
              </w:rPr>
            </w:pPr>
            <w:r>
              <w:rPr>
                <w:sz w:val="4"/>
                <w:szCs w:val="4"/>
              </w:rPr>
            </w:r>
          </w:p>
        </w:tc>
      </w:tr>
      <w:tr>
        <w:trPr/>
        <w:tc>
          <w:tcPr>
            <w:tcW w:w="657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Long-term debt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41,965</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47,032</w:t>
            </w:r>
          </w:p>
        </w:tc>
        <w:tc>
          <w:tcPr>
            <w:tcW w:w="1156" w:type="dxa"/>
            <w:tcBorders/>
            <w:shd w:fill="auto" w:val="clear"/>
            <w:vAlign w:val="center"/>
          </w:tcPr>
          <w:p>
            <w:pPr>
              <w:pStyle w:val="TableContents"/>
              <w:spacing w:before="0" w:after="283"/>
              <w:ind w:left="0" w:right="0" w:hanging="0"/>
              <w:rPr>
                <w:sz w:val="4"/>
                <w:szCs w:val="4"/>
              </w:rPr>
            </w:pPr>
            <w:r>
              <w:rPr>
                <w:sz w:val="4"/>
                <w:szCs w:val="4"/>
              </w:rPr>
            </w:r>
          </w:p>
        </w:tc>
      </w:tr>
      <w:tr>
        <w:trPr/>
        <w:tc>
          <w:tcPr>
            <w:tcW w:w="657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Long-term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25,000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26,069</w:t>
            </w:r>
          </w:p>
        </w:tc>
        <w:tc>
          <w:tcPr>
            <w:tcW w:w="1156" w:type="dxa"/>
            <w:tcBorders/>
            <w:shd w:fill="auto" w:val="clear"/>
            <w:vAlign w:val="center"/>
          </w:tcPr>
          <w:p>
            <w:pPr>
              <w:pStyle w:val="TableContents"/>
              <w:spacing w:before="0" w:after="0"/>
              <w:ind w:left="0" w:right="0" w:hanging="0"/>
              <w:jc w:val="left"/>
              <w:rPr/>
            </w:pPr>
            <w:r>
              <w:rPr/>
              <w:t> </w:t>
            </w:r>
          </w:p>
        </w:tc>
      </w:tr>
      <w:tr>
        <w:trPr/>
        <w:tc>
          <w:tcPr>
            <w:tcW w:w="657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Long-term unearned revenue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2,698</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2,870</w:t>
            </w:r>
          </w:p>
        </w:tc>
        <w:tc>
          <w:tcPr>
            <w:tcW w:w="1156" w:type="dxa"/>
            <w:tcBorders/>
            <w:shd w:fill="auto" w:val="clear"/>
            <w:vAlign w:val="center"/>
          </w:tcPr>
          <w:p>
            <w:pPr>
              <w:pStyle w:val="TableContents"/>
              <w:spacing w:before="0" w:after="283"/>
              <w:ind w:left="0" w:right="0" w:hanging="0"/>
              <w:rPr>
                <w:sz w:val="4"/>
                <w:szCs w:val="4"/>
              </w:rPr>
            </w:pPr>
            <w:r>
              <w:rPr>
                <w:sz w:val="4"/>
                <w:szCs w:val="4"/>
              </w:rPr>
            </w:r>
          </w:p>
        </w:tc>
      </w:tr>
      <w:tr>
        <w:trPr/>
        <w:tc>
          <w:tcPr>
            <w:tcW w:w="657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Deferred income taxes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302</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230</w:t>
            </w:r>
          </w:p>
        </w:tc>
        <w:tc>
          <w:tcPr>
            <w:tcW w:w="1156" w:type="dxa"/>
            <w:tcBorders/>
            <w:shd w:fill="auto" w:val="clear"/>
            <w:vAlign w:val="center"/>
          </w:tcPr>
          <w:p>
            <w:pPr>
              <w:pStyle w:val="TableContents"/>
              <w:spacing w:before="0" w:after="283"/>
              <w:ind w:left="0" w:right="0" w:hanging="0"/>
              <w:rPr>
                <w:sz w:val="4"/>
                <w:szCs w:val="4"/>
              </w:rPr>
            </w:pPr>
            <w:r>
              <w:rPr>
                <w:sz w:val="4"/>
                <w:szCs w:val="4"/>
              </w:rPr>
            </w:r>
          </w:p>
        </w:tc>
      </w:tr>
      <w:tr>
        <w:trPr/>
        <w:tc>
          <w:tcPr>
            <w:tcW w:w="657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12,312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11,489</w:t>
            </w:r>
          </w:p>
        </w:tc>
        <w:tc>
          <w:tcPr>
            <w:tcW w:w="1156" w:type="dxa"/>
            <w:tcBorders/>
            <w:shd w:fill="auto" w:val="clear"/>
            <w:vAlign w:val="center"/>
          </w:tcPr>
          <w:p>
            <w:pPr>
              <w:pStyle w:val="TableContents"/>
              <w:spacing w:before="0" w:after="0"/>
              <w:ind w:left="0" w:right="0" w:hanging="0"/>
              <w:jc w:val="left"/>
              <w:rPr/>
            </w:pPr>
            <w:r>
              <w:rPr/>
              <w:t> </w:t>
            </w:r>
          </w:p>
        </w:tc>
      </w:tr>
      <w:tr>
        <w:trPr/>
        <w:tc>
          <w:tcPr>
            <w:tcW w:w="657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Other long-term liabilities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17,437</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15,526</w:t>
            </w:r>
          </w:p>
        </w:tc>
        <w:tc>
          <w:tcPr>
            <w:tcW w:w="1156" w:type="dxa"/>
            <w:tcBorders/>
            <w:shd w:fill="auto" w:val="clear"/>
            <w:vAlign w:val="center"/>
          </w:tcPr>
          <w:p>
            <w:pPr>
              <w:pStyle w:val="TableContents"/>
              <w:spacing w:before="0" w:after="283"/>
              <w:ind w:left="0" w:right="0" w:hanging="0"/>
              <w:rPr>
                <w:sz w:val="4"/>
                <w:szCs w:val="4"/>
              </w:rPr>
            </w:pPr>
            <w:r>
              <w:rPr>
                <w:sz w:val="4"/>
                <w:szCs w:val="4"/>
              </w:rPr>
            </w:r>
          </w:p>
        </w:tc>
      </w:tr>
      <w:tr>
        <w:trPr/>
        <w:tc>
          <w:tcPr>
            <w:tcW w:w="7730" w:type="dxa"/>
            <w:gridSpan w:val="4"/>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730" w:type="dxa"/>
            <w:gridSpan w:val="4"/>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283"/>
              <w:ind w:left="0" w:right="0" w:hanging="0"/>
              <w:rPr>
                <w:sz w:val="4"/>
                <w:szCs w:val="4"/>
              </w:rPr>
            </w:pPr>
            <w:r>
              <w:rPr>
                <w:sz w:val="4"/>
                <w:szCs w:val="4"/>
              </w:rPr>
            </w:r>
          </w:p>
        </w:tc>
        <w:tc>
          <w:tcPr>
            <w:tcW w:w="1156" w:type="dxa"/>
            <w:tcBorders/>
            <w:shd w:fill="auto" w:val="clear"/>
            <w:vAlign w:val="center"/>
          </w:tcPr>
          <w:p>
            <w:pPr>
              <w:pStyle w:val="TableContents"/>
              <w:spacing w:before="0" w:after="0"/>
              <w:ind w:left="0" w:right="0" w:firstLine="720"/>
              <w:jc w:val="left"/>
              <w:rPr/>
            </w:pPr>
            <w:r>
              <w:rPr/>
              <w:t> </w:t>
            </w:r>
          </w:p>
        </w:tc>
      </w:tr>
      <w:tr>
        <w:trPr/>
        <w:tc>
          <w:tcPr>
            <w:tcW w:w="6577" w:type="dxa"/>
            <w:tcBorders/>
            <w:shd w:fill="auto" w:val="clear"/>
            <w:vAlign w:val="center"/>
          </w:tcPr>
          <w:p>
            <w:pPr>
              <w:pStyle w:val="TableContents"/>
              <w:spacing w:before="0" w:after="0"/>
              <w:ind w:left="720" w:right="0" w:hanging="0"/>
              <w:jc w:val="left"/>
              <w:rPr>
                <w:rFonts w:ascii="Arial;sans-serif" w:hAnsi="Arial;sans-serif"/>
                <w:b w:val="false"/>
                <w:sz w:val="20"/>
              </w:rPr>
            </w:pPr>
            <w:r>
              <w:rPr>
                <w:rFonts w:ascii="Arial;sans-serif" w:hAnsi="Arial;sans-serif"/>
                <w:b w:val="false"/>
                <w:sz w:val="20"/>
              </w:rPr>
              <w:t>Total liabilities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185,405</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198,298</w:t>
            </w:r>
          </w:p>
        </w:tc>
        <w:tc>
          <w:tcPr>
            <w:tcW w:w="1156" w:type="dxa"/>
            <w:tcBorders/>
            <w:shd w:fill="auto" w:val="clear"/>
            <w:vAlign w:val="center"/>
          </w:tcPr>
          <w:p>
            <w:pPr>
              <w:pStyle w:val="TableContents"/>
              <w:spacing w:before="0" w:after="283"/>
              <w:ind w:left="0" w:right="0" w:hanging="0"/>
              <w:rPr>
                <w:sz w:val="4"/>
                <w:szCs w:val="4"/>
              </w:rPr>
            </w:pPr>
            <w:r>
              <w:rPr>
                <w:sz w:val="4"/>
                <w:szCs w:val="4"/>
              </w:rPr>
            </w:r>
          </w:p>
        </w:tc>
      </w:tr>
      <w:tr>
        <w:trPr/>
        <w:tc>
          <w:tcPr>
            <w:tcW w:w="6577"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577"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156" w:type="dxa"/>
            <w:tcBorders/>
            <w:shd w:fill="auto" w:val="clear"/>
            <w:vAlign w:val="center"/>
          </w:tcPr>
          <w:p>
            <w:pPr>
              <w:pStyle w:val="TableContents"/>
              <w:spacing w:before="0" w:after="0"/>
              <w:ind w:left="0" w:right="0" w:hanging="0"/>
              <w:jc w:val="left"/>
              <w:rPr/>
            </w:pPr>
            <w:r>
              <w:rPr/>
              <w:t> </w:t>
            </w:r>
          </w:p>
        </w:tc>
      </w:tr>
      <w:tr>
        <w:trPr/>
        <w:tc>
          <w:tcPr>
            <w:tcW w:w="657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Commitments and contingencies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283"/>
              <w:ind w:left="0" w:right="0" w:hanging="0"/>
              <w:rPr>
                <w:sz w:val="4"/>
                <w:szCs w:val="4"/>
              </w:rPr>
            </w:pPr>
            <w:r>
              <w:rPr>
                <w:sz w:val="4"/>
                <w:szCs w:val="4"/>
              </w:rPr>
            </w:r>
          </w:p>
        </w:tc>
        <w:tc>
          <w:tcPr>
            <w:tcW w:w="1156" w:type="dxa"/>
            <w:tcBorders/>
            <w:shd w:fill="auto" w:val="clear"/>
            <w:vAlign w:val="center"/>
          </w:tcPr>
          <w:p>
            <w:pPr>
              <w:pStyle w:val="TableContents"/>
              <w:spacing w:before="0" w:after="283"/>
              <w:ind w:left="0" w:right="0" w:hanging="0"/>
              <w:rPr>
                <w:sz w:val="4"/>
                <w:szCs w:val="4"/>
              </w:rPr>
            </w:pPr>
            <w:r>
              <w:rPr>
                <w:sz w:val="4"/>
                <w:szCs w:val="4"/>
              </w:rPr>
            </w:r>
          </w:p>
        </w:tc>
      </w:tr>
      <w:tr>
        <w:trPr/>
        <w:tc>
          <w:tcPr>
            <w:tcW w:w="657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Stockholders’ equity:</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283"/>
              <w:ind w:left="0" w:right="0" w:hanging="0"/>
              <w:rPr>
                <w:sz w:val="4"/>
                <w:szCs w:val="4"/>
              </w:rPr>
            </w:pPr>
            <w:r>
              <w:rPr>
                <w:sz w:val="4"/>
                <w:szCs w:val="4"/>
              </w:rPr>
            </w:r>
          </w:p>
        </w:tc>
        <w:tc>
          <w:tcPr>
            <w:tcW w:w="1156" w:type="dxa"/>
            <w:tcBorders/>
            <w:shd w:fill="auto" w:val="clear"/>
            <w:vAlign w:val="center"/>
          </w:tcPr>
          <w:p>
            <w:pPr>
              <w:pStyle w:val="TableContents"/>
              <w:spacing w:before="0" w:after="283"/>
              <w:ind w:left="0" w:right="0" w:firstLine="245"/>
              <w:rPr>
                <w:sz w:val="4"/>
                <w:szCs w:val="4"/>
              </w:rPr>
            </w:pPr>
            <w:r>
              <w:rPr>
                <w:sz w:val="4"/>
                <w:szCs w:val="4"/>
              </w:rPr>
            </w:r>
          </w:p>
        </w:tc>
      </w:tr>
      <w:tr>
        <w:trPr/>
        <w:tc>
          <w:tcPr>
            <w:tcW w:w="6577" w:type="dxa"/>
            <w:tcBorders/>
            <w:shd w:fill="auto" w:val="clear"/>
            <w:vAlign w:val="center"/>
          </w:tcPr>
          <w:p>
            <w:pPr>
              <w:pStyle w:val="TableContents"/>
              <w:spacing w:before="0" w:after="0"/>
              <w:ind w:left="245" w:right="0" w:hanging="0"/>
              <w:jc w:val="left"/>
              <w:rPr>
                <w:rFonts w:ascii="Times New Roman" w:hAnsi="Times New Roman"/>
                <w:sz w:val="20"/>
              </w:rPr>
            </w:pPr>
            <w:r>
              <w:rPr>
                <w:rFonts w:ascii="Arial;sans-serif" w:hAnsi="Arial;sans-serif"/>
                <w:b w:val="false"/>
                <w:sz w:val="20"/>
              </w:rPr>
              <w:t xml:space="preserve">Common stock and paid-in capital – shares authorized 24,000; outstanding </w:t>
            </w:r>
            <w:r>
              <w:rPr>
                <w:rFonts w:ascii="Arial;sans-serif" w:hAnsi="Arial;sans-serif"/>
                <w:b/>
                <w:sz w:val="20"/>
              </w:rPr>
              <w:t>7,437</w:t>
            </w:r>
            <w:r>
              <w:rPr>
                <w:rFonts w:ascii="Times New Roman" w:hAnsi="Times New Roman"/>
                <w:sz w:val="20"/>
              </w:rPr>
              <w:t> </w:t>
            </w:r>
            <w:r>
              <w:rPr>
                <w:rFonts w:ascii="Arial;sans-serif" w:hAnsi="Arial;sans-serif"/>
                <w:b w:val="false"/>
                <w:sz w:val="20"/>
              </w:rPr>
              <w:t>and 7,464</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92,093</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86,939</w:t>
            </w:r>
          </w:p>
        </w:tc>
        <w:tc>
          <w:tcPr>
            <w:tcW w:w="1156" w:type="dxa"/>
            <w:tcBorders/>
            <w:shd w:fill="auto" w:val="clear"/>
            <w:vAlign w:val="center"/>
          </w:tcPr>
          <w:p>
            <w:pPr>
              <w:pStyle w:val="TableContents"/>
              <w:spacing w:before="0" w:after="283"/>
              <w:ind w:left="0" w:right="0" w:firstLine="245"/>
              <w:rPr>
                <w:sz w:val="4"/>
                <w:szCs w:val="4"/>
              </w:rPr>
            </w:pPr>
            <w:r>
              <w:rPr>
                <w:sz w:val="4"/>
                <w:szCs w:val="4"/>
              </w:rPr>
            </w:r>
          </w:p>
        </w:tc>
      </w:tr>
      <w:tr>
        <w:trPr/>
        <w:tc>
          <w:tcPr>
            <w:tcW w:w="6577"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Retained earnings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108,234</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84,281</w:t>
            </w:r>
          </w:p>
        </w:tc>
        <w:tc>
          <w:tcPr>
            <w:tcW w:w="1156" w:type="dxa"/>
            <w:tcBorders/>
            <w:shd w:fill="auto" w:val="clear"/>
            <w:vAlign w:val="center"/>
          </w:tcPr>
          <w:p>
            <w:pPr>
              <w:pStyle w:val="TableContents"/>
              <w:spacing w:before="0" w:after="283"/>
              <w:ind w:left="0" w:right="0" w:firstLine="245"/>
              <w:rPr>
                <w:sz w:val="4"/>
                <w:szCs w:val="4"/>
              </w:rPr>
            </w:pPr>
            <w:r>
              <w:rPr>
                <w:sz w:val="4"/>
                <w:szCs w:val="4"/>
              </w:rPr>
            </w:r>
          </w:p>
        </w:tc>
      </w:tr>
      <w:tr>
        <w:trPr/>
        <w:tc>
          <w:tcPr>
            <w:tcW w:w="6577"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Accumulated other comprehensive loss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(5,644</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(4,678</w:t>
            </w:r>
          </w:p>
        </w:tc>
        <w:tc>
          <w:tcPr>
            <w:tcW w:w="11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7730" w:type="dxa"/>
            <w:gridSpan w:val="4"/>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730" w:type="dxa"/>
            <w:gridSpan w:val="4"/>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283"/>
              <w:ind w:left="0" w:right="0" w:hanging="0"/>
              <w:rPr>
                <w:sz w:val="4"/>
                <w:szCs w:val="4"/>
              </w:rPr>
            </w:pPr>
            <w:r>
              <w:rPr>
                <w:sz w:val="4"/>
                <w:szCs w:val="4"/>
              </w:rPr>
            </w:r>
          </w:p>
        </w:tc>
        <w:tc>
          <w:tcPr>
            <w:tcW w:w="1156" w:type="dxa"/>
            <w:tcBorders/>
            <w:shd w:fill="auto" w:val="clear"/>
            <w:vAlign w:val="center"/>
          </w:tcPr>
          <w:p>
            <w:pPr>
              <w:pStyle w:val="TableContents"/>
              <w:spacing w:before="0" w:after="0"/>
              <w:ind w:left="0" w:right="0" w:firstLine="720"/>
              <w:jc w:val="left"/>
              <w:rPr/>
            </w:pPr>
            <w:r>
              <w:rPr/>
              <w:t> </w:t>
            </w:r>
          </w:p>
        </w:tc>
      </w:tr>
      <w:tr>
        <w:trPr/>
        <w:tc>
          <w:tcPr>
            <w:tcW w:w="6577" w:type="dxa"/>
            <w:tcBorders/>
            <w:shd w:fill="auto" w:val="clear"/>
            <w:vAlign w:val="center"/>
          </w:tcPr>
          <w:p>
            <w:pPr>
              <w:pStyle w:val="TableContents"/>
              <w:spacing w:before="0" w:after="0"/>
              <w:ind w:left="720" w:right="0" w:hanging="0"/>
              <w:jc w:val="left"/>
              <w:rPr>
                <w:rFonts w:ascii="Arial;sans-serif" w:hAnsi="Arial;sans-serif"/>
                <w:b w:val="false"/>
                <w:sz w:val="20"/>
              </w:rPr>
            </w:pPr>
            <w:r>
              <w:rPr>
                <w:rFonts w:ascii="Arial;sans-serif" w:hAnsi="Arial;sans-serif"/>
                <w:b w:val="false"/>
                <w:sz w:val="20"/>
              </w:rPr>
              <w:t>Total stockholders’ equity</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194,683</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166,542</w:t>
            </w:r>
          </w:p>
        </w:tc>
        <w:tc>
          <w:tcPr>
            <w:tcW w:w="1156" w:type="dxa"/>
            <w:tcBorders/>
            <w:shd w:fill="auto" w:val="clear"/>
            <w:vAlign w:val="center"/>
          </w:tcPr>
          <w:p>
            <w:pPr>
              <w:pStyle w:val="TableContents"/>
              <w:spacing w:before="0" w:after="283"/>
              <w:ind w:left="0" w:right="0" w:hanging="0"/>
              <w:rPr>
                <w:sz w:val="4"/>
                <w:szCs w:val="4"/>
              </w:rPr>
            </w:pPr>
            <w:r>
              <w:rPr>
                <w:sz w:val="4"/>
                <w:szCs w:val="4"/>
              </w:rPr>
            </w:r>
          </w:p>
        </w:tc>
      </w:tr>
      <w:tr>
        <w:trPr/>
        <w:tc>
          <w:tcPr>
            <w:tcW w:w="6577"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577"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156" w:type="dxa"/>
            <w:tcBorders/>
            <w:shd w:fill="auto" w:val="clear"/>
            <w:vAlign w:val="center"/>
          </w:tcPr>
          <w:p>
            <w:pPr>
              <w:pStyle w:val="TableContents"/>
              <w:spacing w:before="0" w:after="0"/>
              <w:ind w:left="0" w:right="0" w:firstLine="965"/>
              <w:jc w:val="left"/>
              <w:rPr/>
            </w:pPr>
            <w:r>
              <w:rPr/>
              <w:t> </w:t>
            </w:r>
          </w:p>
        </w:tc>
      </w:tr>
      <w:tr>
        <w:trPr/>
        <w:tc>
          <w:tcPr>
            <w:tcW w:w="6577" w:type="dxa"/>
            <w:tcBorders/>
            <w:shd w:fill="auto" w:val="clear"/>
            <w:vAlign w:val="center"/>
          </w:tcPr>
          <w:p>
            <w:pPr>
              <w:pStyle w:val="TableContents"/>
              <w:spacing w:before="0" w:after="0"/>
              <w:ind w:left="965" w:right="0" w:hanging="0"/>
              <w:jc w:val="left"/>
              <w:rPr>
                <w:rFonts w:ascii="Arial;sans-serif" w:hAnsi="Arial;sans-serif"/>
                <w:b w:val="false"/>
                <w:sz w:val="20"/>
              </w:rPr>
            </w:pPr>
            <w:r>
              <w:rPr>
                <w:rFonts w:ascii="Arial;sans-serif" w:hAnsi="Arial;sans-serif"/>
                <w:b w:val="false"/>
                <w:sz w:val="20"/>
              </w:rPr>
              <w:t>Total liabilities and stockholders’ equity</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380,088</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364,840</w:t>
            </w:r>
          </w:p>
        </w:tc>
        <w:tc>
          <w:tcPr>
            <w:tcW w:w="1156" w:type="dxa"/>
            <w:tcBorders/>
            <w:shd w:fill="auto" w:val="clear"/>
            <w:vAlign w:val="center"/>
          </w:tcPr>
          <w:p>
            <w:pPr>
              <w:pStyle w:val="TableContents"/>
              <w:spacing w:before="0" w:after="283"/>
              <w:ind w:left="0" w:right="0" w:hanging="0"/>
              <w:rPr>
                <w:sz w:val="4"/>
                <w:szCs w:val="4"/>
              </w:rPr>
            </w:pPr>
            <w:r>
              <w:rPr>
                <w:sz w:val="4"/>
                <w:szCs w:val="4"/>
              </w:rPr>
            </w:r>
          </w:p>
        </w:tc>
      </w:tr>
      <w:tr>
        <w:trPr/>
        <w:tc>
          <w:tcPr>
            <w:tcW w:w="6577"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796"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796"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15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both"/>
        <w:rPr>
          <w:rFonts w:ascii="Arial;sans-serif" w:hAnsi="Arial;sans-serif"/>
          <w:b w:val="false"/>
          <w:sz w:val="20"/>
        </w:rPr>
      </w:pPr>
      <w:r>
        <w:rPr>
          <w:rFonts w:ascii="Arial;sans-serif" w:hAnsi="Arial;sans-serif"/>
          <w:b w:val="false"/>
          <w:sz w:val="20"/>
        </w:rPr>
        <w:t>Refer to accompanying notes.</w:t>
      </w:r>
    </w:p>
    <w:p>
      <w:pPr>
        <w:pStyle w:val="TextBody"/>
        <w:spacing w:before="240" w:after="0"/>
        <w:jc w:val="center"/>
        <w:rPr>
          <w:rFonts w:ascii="Arial;sans-serif" w:hAnsi="Arial;sans-serif"/>
          <w:b w:val="false"/>
          <w:sz w:val="16"/>
        </w:rPr>
      </w:pPr>
      <w:r>
        <w:rPr>
          <w:rFonts w:ascii="Arial;sans-serif" w:hAnsi="Arial;sans-serif"/>
          <w:b w:val="false"/>
          <w:sz w:val="16"/>
        </w:rPr>
        <w:t>5</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w:t>
      </w:r>
    </w:p>
    <w:p>
      <w:pPr>
        <w:pStyle w:val="TextBody"/>
        <w:spacing w:before="0" w:after="0"/>
        <w:jc w:val="center"/>
        <w:rPr>
          <w:rFonts w:ascii="Arial;sans-serif" w:hAnsi="Arial;sans-serif"/>
          <w:b w:val="false"/>
          <w:sz w:val="15"/>
        </w:rPr>
      </w:pPr>
      <w:r>
        <w:rPr>
          <w:rFonts w:ascii="Arial;sans-serif" w:hAnsi="Arial;sans-serif"/>
          <w:b w:val="false"/>
          <w:sz w:val="15"/>
        </w:rPr>
        <w:t>Item 1</w:t>
      </w:r>
    </w:p>
    <w:p>
      <w:pPr>
        <w:pStyle w:val="TextBody"/>
        <w:spacing w:before="0" w:after="0"/>
        <w:jc w:val="left"/>
        <w:rPr/>
      </w:pPr>
      <w:r>
        <w:rPr/>
        <w:t> </w:t>
      </w:r>
    </w:p>
    <w:p>
      <w:pPr>
        <w:pStyle w:val="TextBody"/>
        <w:spacing w:before="0" w:after="0"/>
        <w:jc w:val="center"/>
        <w:rPr>
          <w:rFonts w:ascii="Times New Roman" w:hAnsi="Times New Roman"/>
          <w:sz w:val="20"/>
        </w:rPr>
      </w:pPr>
      <w:bookmarkStart w:id="7" w:name="cash_flows_statements"/>
      <w:bookmarkEnd w:id="7"/>
      <w:r>
        <w:rPr>
          <w:rFonts w:ascii="Arial;sans-serif" w:hAnsi="Arial;sans-serif"/>
          <w:b/>
          <w:sz w:val="20"/>
        </w:rPr>
        <w:t>CASH FLOWS STATEMENTS</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4364"/>
        <w:gridCol w:w="146"/>
        <w:gridCol w:w="211"/>
        <w:gridCol w:w="751"/>
        <w:gridCol w:w="166"/>
        <w:gridCol w:w="146"/>
        <w:gridCol w:w="211"/>
        <w:gridCol w:w="751"/>
        <w:gridCol w:w="166"/>
        <w:gridCol w:w="146"/>
        <w:gridCol w:w="211"/>
        <w:gridCol w:w="751"/>
        <w:gridCol w:w="166"/>
        <w:gridCol w:w="146"/>
        <w:gridCol w:w="211"/>
        <w:gridCol w:w="751"/>
        <w:gridCol w:w="911"/>
      </w:tblGrid>
      <w:tr>
        <w:trPr/>
        <w:tc>
          <w:tcPr>
            <w:tcW w:w="4364"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51" w:type="dxa"/>
            <w:tcBorders/>
            <w:shd w:fill="FFFFFF" w:val="clear"/>
            <w:vAlign w:val="center"/>
          </w:tcPr>
          <w:p>
            <w:pPr>
              <w:pStyle w:val="TableContents"/>
              <w:spacing w:before="0" w:after="283"/>
              <w:rPr>
                <w:sz w:val="4"/>
                <w:szCs w:val="4"/>
              </w:rPr>
            </w:pPr>
            <w:r>
              <w:rPr>
                <w:sz w:val="4"/>
                <w:szCs w:val="4"/>
              </w:rPr>
            </w:r>
          </w:p>
        </w:tc>
        <w:tc>
          <w:tcPr>
            <w:tcW w:w="16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51" w:type="dxa"/>
            <w:tcBorders/>
            <w:shd w:fill="FFFFFF" w:val="clear"/>
            <w:vAlign w:val="center"/>
          </w:tcPr>
          <w:p>
            <w:pPr>
              <w:pStyle w:val="TableContents"/>
              <w:spacing w:before="0" w:after="283"/>
              <w:rPr>
                <w:sz w:val="4"/>
                <w:szCs w:val="4"/>
              </w:rPr>
            </w:pPr>
            <w:r>
              <w:rPr>
                <w:sz w:val="4"/>
                <w:szCs w:val="4"/>
              </w:rPr>
            </w:r>
          </w:p>
        </w:tc>
        <w:tc>
          <w:tcPr>
            <w:tcW w:w="16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51" w:type="dxa"/>
            <w:tcBorders/>
            <w:shd w:fill="FFFFFF" w:val="clear"/>
            <w:vAlign w:val="center"/>
          </w:tcPr>
          <w:p>
            <w:pPr>
              <w:pStyle w:val="TableContents"/>
              <w:spacing w:before="0" w:after="283"/>
              <w:rPr>
                <w:sz w:val="4"/>
                <w:szCs w:val="4"/>
              </w:rPr>
            </w:pPr>
            <w:r>
              <w:rPr>
                <w:sz w:val="4"/>
                <w:szCs w:val="4"/>
              </w:rPr>
            </w:r>
          </w:p>
        </w:tc>
        <w:tc>
          <w:tcPr>
            <w:tcW w:w="16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51" w:type="dxa"/>
            <w:tcBorders/>
            <w:shd w:fill="FFFFFF" w:val="clear"/>
            <w:vAlign w:val="center"/>
          </w:tcPr>
          <w:p>
            <w:pPr>
              <w:pStyle w:val="TableContents"/>
              <w:spacing w:before="0" w:after="283"/>
              <w:rPr>
                <w:sz w:val="4"/>
                <w:szCs w:val="4"/>
              </w:rPr>
            </w:pPr>
            <w:r>
              <w:rPr>
                <w:sz w:val="4"/>
                <w:szCs w:val="4"/>
              </w:rPr>
            </w:r>
          </w:p>
        </w:tc>
        <w:tc>
          <w:tcPr>
            <w:tcW w:w="911" w:type="dxa"/>
            <w:tcBorders/>
            <w:shd w:fill="FFFFFF" w:val="clear"/>
            <w:vAlign w:val="center"/>
          </w:tcPr>
          <w:p>
            <w:pPr>
              <w:pStyle w:val="TableContents"/>
              <w:spacing w:before="0" w:after="283"/>
              <w:rPr>
                <w:sz w:val="4"/>
                <w:szCs w:val="4"/>
              </w:rPr>
            </w:pPr>
            <w:r>
              <w:rPr>
                <w:sz w:val="4"/>
                <w:szCs w:val="4"/>
              </w:rPr>
            </w:r>
          </w:p>
        </w:tc>
      </w:tr>
      <w:tr>
        <w:trPr/>
        <w:tc>
          <w:tcPr>
            <w:tcW w:w="4364"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(In millions) (Unaudited)</w:t>
            </w:r>
          </w:p>
        </w:tc>
        <w:tc>
          <w:tcPr>
            <w:tcW w:w="146" w:type="dxa"/>
            <w:tcBorders/>
            <w:shd w:fill="auto" w:val="clear"/>
            <w:vAlign w:val="center"/>
          </w:tcPr>
          <w:p>
            <w:pPr>
              <w:pStyle w:val="TableContents"/>
              <w:spacing w:before="0" w:after="0"/>
              <w:ind w:left="0" w:right="0" w:hanging="0"/>
              <w:jc w:val="left"/>
              <w:rPr/>
            </w:pPr>
            <w:r>
              <w:rPr/>
              <w:t> </w:t>
            </w:r>
          </w:p>
        </w:tc>
        <w:tc>
          <w:tcPr>
            <w:tcW w:w="2236" w:type="dxa"/>
            <w:gridSpan w:val="6"/>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Three Months Ended</w:t>
            </w:r>
          </w:p>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2025" w:type="dxa"/>
            <w:gridSpan w:val="5"/>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Nine Months Ended</w:t>
            </w:r>
          </w:p>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tc>
        <w:tc>
          <w:tcPr>
            <w:tcW w:w="911" w:type="dxa"/>
            <w:tcBorders/>
            <w:shd w:fill="auto" w:val="clear"/>
            <w:vAlign w:val="center"/>
          </w:tcPr>
          <w:p>
            <w:pPr>
              <w:pStyle w:val="TableContents"/>
              <w:spacing w:before="0" w:after="0"/>
              <w:ind w:left="0" w:right="0" w:hanging="0"/>
              <w:jc w:val="left"/>
              <w:rPr/>
            </w:pPr>
            <w:r>
              <w:rPr/>
              <w:t> </w:t>
            </w:r>
          </w:p>
        </w:tc>
      </w:tr>
      <w:tr>
        <w:trPr/>
        <w:tc>
          <w:tcPr>
            <w:tcW w:w="4364"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3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364"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236" w:type="dxa"/>
            <w:gridSpan w:val="6"/>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left"/>
              <w:rPr/>
            </w:pPr>
            <w:r>
              <w:rPr/>
              <w:t> </w:t>
            </w:r>
          </w:p>
        </w:tc>
      </w:tr>
      <w:tr>
        <w:trPr/>
        <w:tc>
          <w:tcPr>
            <w:tcW w:w="4364"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62" w:type="dxa"/>
            <w:gridSpan w:val="2"/>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62" w:type="dxa"/>
            <w:gridSpan w:val="2"/>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62"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911" w:type="dxa"/>
            <w:tcBorders/>
            <w:shd w:fill="auto" w:val="clear"/>
            <w:vAlign w:val="center"/>
          </w:tcPr>
          <w:p>
            <w:pPr>
              <w:pStyle w:val="TableContents"/>
              <w:spacing w:before="0" w:after="0"/>
              <w:ind w:left="0" w:right="0" w:hanging="0"/>
              <w:jc w:val="left"/>
              <w:rPr/>
            </w:pPr>
            <w:r>
              <w:rPr/>
              <w:t> </w:t>
            </w:r>
          </w:p>
        </w:tc>
      </w:tr>
      <w:tr>
        <w:trPr/>
        <w:tc>
          <w:tcPr>
            <w:tcW w:w="4364" w:type="dxa"/>
            <w:tcBorders/>
            <w:shd w:fill="auto" w:val="clear"/>
            <w:vAlign w:val="center"/>
          </w:tcPr>
          <w:p>
            <w:pPr>
              <w:pStyle w:val="TableContents"/>
              <w:spacing w:before="0" w:after="283"/>
              <w:ind w:left="0" w:right="0" w:hanging="0"/>
              <w:rPr>
                <w:sz w:val="4"/>
                <w:szCs w:val="4"/>
              </w:rPr>
            </w:pPr>
            <w:r>
              <w:rPr>
                <w:sz w:val="4"/>
                <w:szCs w:val="4"/>
              </w:rPr>
            </w:r>
          </w:p>
        </w:tc>
        <w:tc>
          <w:tcPr>
            <w:tcW w:w="1274" w:type="dxa"/>
            <w:gridSpan w:val="4"/>
            <w:tcBorders/>
            <w:shd w:fill="auto" w:val="clear"/>
            <w:vAlign w:val="center"/>
          </w:tcPr>
          <w:p>
            <w:pPr>
              <w:pStyle w:val="TableContents"/>
              <w:spacing w:before="0" w:after="0"/>
              <w:ind w:left="0" w:right="0" w:hanging="0"/>
              <w:jc w:val="left"/>
              <w:rPr/>
            </w:pPr>
            <w:r>
              <w:rPr/>
              <w:t> </w:t>
            </w:r>
          </w:p>
        </w:tc>
        <w:tc>
          <w:tcPr>
            <w:tcW w:w="1274" w:type="dxa"/>
            <w:gridSpan w:val="4"/>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left"/>
              <w:rPr/>
            </w:pPr>
            <w:r>
              <w:rPr/>
              <w:t> </w:t>
            </w:r>
          </w:p>
        </w:tc>
      </w:tr>
      <w:tr>
        <w:trPr/>
        <w:tc>
          <w:tcPr>
            <w:tcW w:w="4364"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Operations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left"/>
              <w:rPr/>
            </w:pPr>
            <w:r>
              <w:rPr/>
              <w:t> </w:t>
            </w:r>
          </w:p>
        </w:tc>
      </w:tr>
      <w:tr>
        <w:trPr/>
        <w:tc>
          <w:tcPr>
            <w:tcW w:w="436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income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18,299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16,728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52,280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55,998</w:t>
            </w:r>
          </w:p>
        </w:tc>
        <w:tc>
          <w:tcPr>
            <w:tcW w:w="911" w:type="dxa"/>
            <w:tcBorders/>
            <w:shd w:fill="auto" w:val="clear"/>
            <w:vAlign w:val="center"/>
          </w:tcPr>
          <w:p>
            <w:pPr>
              <w:pStyle w:val="TableContents"/>
              <w:spacing w:before="0" w:after="0"/>
              <w:ind w:left="0" w:right="0" w:hanging="0"/>
              <w:jc w:val="left"/>
              <w:rPr/>
            </w:pPr>
            <w:r>
              <w:rPr/>
              <w:t> </w:t>
            </w:r>
          </w:p>
        </w:tc>
      </w:tr>
      <w:tr>
        <w:trPr/>
        <w:tc>
          <w:tcPr>
            <w:tcW w:w="436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Adjustments to reconcile net income to net cash from operations: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283"/>
              <w:ind w:left="0" w:right="0" w:hanging="0"/>
              <w:rPr>
                <w:sz w:val="4"/>
                <w:szCs w:val="4"/>
              </w:rPr>
            </w:pPr>
            <w:r>
              <w:rPr>
                <w:sz w:val="4"/>
                <w:szCs w:val="4"/>
              </w:rPr>
            </w:r>
          </w:p>
        </w:tc>
        <w:tc>
          <w:tcPr>
            <w:tcW w:w="911" w:type="dxa"/>
            <w:tcBorders/>
            <w:shd w:fill="auto" w:val="clear"/>
            <w:vAlign w:val="center"/>
          </w:tcPr>
          <w:p>
            <w:pPr>
              <w:pStyle w:val="TableContents"/>
              <w:spacing w:before="0" w:after="0"/>
              <w:ind w:left="0" w:right="0" w:firstLine="245"/>
              <w:jc w:val="left"/>
              <w:rPr/>
            </w:pPr>
            <w:r>
              <w:rPr/>
              <w:t> </w:t>
            </w:r>
          </w:p>
        </w:tc>
      </w:tr>
      <w:tr>
        <w:trPr/>
        <w:tc>
          <w:tcPr>
            <w:tcW w:w="4364"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Depreciation, amortization, and other</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3,549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3,773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9,987</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10,481</w:t>
            </w:r>
          </w:p>
        </w:tc>
        <w:tc>
          <w:tcPr>
            <w:tcW w:w="911" w:type="dxa"/>
            <w:tcBorders/>
            <w:shd w:fill="auto" w:val="clear"/>
            <w:vAlign w:val="center"/>
          </w:tcPr>
          <w:p>
            <w:pPr>
              <w:pStyle w:val="TableContents"/>
              <w:spacing w:before="0" w:after="283"/>
              <w:ind w:left="0" w:right="0" w:firstLine="245"/>
              <w:rPr>
                <w:sz w:val="4"/>
                <w:szCs w:val="4"/>
              </w:rPr>
            </w:pPr>
            <w:r>
              <w:rPr>
                <w:sz w:val="4"/>
                <w:szCs w:val="4"/>
              </w:rPr>
            </w:r>
          </w:p>
        </w:tc>
      </w:tr>
      <w:tr>
        <w:trPr/>
        <w:tc>
          <w:tcPr>
            <w:tcW w:w="4364"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Stock-based compensation expense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2,465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1,906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7,195</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5,505</w:t>
            </w:r>
          </w:p>
        </w:tc>
        <w:tc>
          <w:tcPr>
            <w:tcW w:w="911" w:type="dxa"/>
            <w:tcBorders/>
            <w:shd w:fill="auto" w:val="clear"/>
            <w:vAlign w:val="center"/>
          </w:tcPr>
          <w:p>
            <w:pPr>
              <w:pStyle w:val="TableContents"/>
              <w:spacing w:before="0" w:after="283"/>
              <w:ind w:left="0" w:right="0" w:firstLine="245"/>
              <w:rPr>
                <w:sz w:val="4"/>
                <w:szCs w:val="4"/>
              </w:rPr>
            </w:pPr>
            <w:r>
              <w:rPr>
                <w:sz w:val="4"/>
                <w:szCs w:val="4"/>
              </w:rPr>
            </w:r>
          </w:p>
        </w:tc>
      </w:tr>
      <w:tr>
        <w:trPr/>
        <w:tc>
          <w:tcPr>
            <w:tcW w:w="4364"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Net recognized losses (gains) on investments and derivatives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(40</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152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(566</w:t>
            </w:r>
          </w:p>
        </w:tc>
        <w:tc>
          <w:tcPr>
            <w:tcW w:w="911" w:type="dxa"/>
            <w:tcBorders/>
            <w:shd w:fill="auto" w:val="clear"/>
            <w:vAlign w:val="center"/>
          </w:tcPr>
          <w:p>
            <w:pPr>
              <w:pStyle w:val="TableContents"/>
              <w:spacing w:before="0" w:after="0"/>
              <w:ind w:left="0" w:right="0" w:firstLine="245"/>
              <w:jc w:val="left"/>
              <w:rPr>
                <w:rFonts w:ascii="Arial;sans-serif" w:hAnsi="Arial;sans-serif"/>
                <w:b w:val="false"/>
                <w:sz w:val="20"/>
              </w:rPr>
            </w:pPr>
            <w:r>
              <w:rPr>
                <w:rFonts w:ascii="Arial;sans-serif" w:hAnsi="Arial;sans-serif"/>
                <w:b w:val="false"/>
                <w:sz w:val="20"/>
              </w:rPr>
              <w:t>)</w:t>
            </w:r>
          </w:p>
        </w:tc>
      </w:tr>
      <w:tr>
        <w:trPr/>
        <w:tc>
          <w:tcPr>
            <w:tcW w:w="4364"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Deferred income taxes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(1,675</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(198</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(4,171</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(5,985</w:t>
            </w:r>
          </w:p>
        </w:tc>
        <w:tc>
          <w:tcPr>
            <w:tcW w:w="911" w:type="dxa"/>
            <w:tcBorders/>
            <w:shd w:fill="auto" w:val="clear"/>
            <w:vAlign w:val="center"/>
          </w:tcPr>
          <w:p>
            <w:pPr>
              <w:pStyle w:val="TableContents"/>
              <w:spacing w:before="0" w:after="0"/>
              <w:ind w:left="0" w:right="0" w:firstLine="245"/>
              <w:jc w:val="left"/>
              <w:rPr>
                <w:rFonts w:ascii="Arial;sans-serif" w:hAnsi="Arial;sans-serif"/>
                <w:b w:val="false"/>
                <w:sz w:val="20"/>
              </w:rPr>
            </w:pPr>
            <w:r>
              <w:rPr>
                <w:rFonts w:ascii="Arial;sans-serif" w:hAnsi="Arial;sans-serif"/>
                <w:b w:val="false"/>
                <w:sz w:val="20"/>
              </w:rPr>
              <w:t>)</w:t>
            </w:r>
          </w:p>
        </w:tc>
      </w:tr>
      <w:tr>
        <w:trPr/>
        <w:tc>
          <w:tcPr>
            <w:tcW w:w="4364"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Changes in operating assets and liabilities: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283"/>
              <w:ind w:left="0" w:right="0" w:hanging="0"/>
              <w:rPr>
                <w:sz w:val="4"/>
                <w:szCs w:val="4"/>
              </w:rPr>
            </w:pPr>
            <w:r>
              <w:rPr>
                <w:sz w:val="4"/>
                <w:szCs w:val="4"/>
              </w:rPr>
            </w:r>
          </w:p>
        </w:tc>
        <w:tc>
          <w:tcPr>
            <w:tcW w:w="911" w:type="dxa"/>
            <w:tcBorders/>
            <w:shd w:fill="auto" w:val="clear"/>
            <w:vAlign w:val="center"/>
          </w:tcPr>
          <w:p>
            <w:pPr>
              <w:pStyle w:val="TableContents"/>
              <w:spacing w:before="0" w:after="0"/>
              <w:ind w:left="0" w:right="0" w:firstLine="475"/>
              <w:jc w:val="left"/>
              <w:rPr/>
            </w:pPr>
            <w:r>
              <w:rPr/>
              <w:t> </w:t>
            </w:r>
          </w:p>
        </w:tc>
      </w:tr>
      <w:tr>
        <w:trPr/>
        <w:tc>
          <w:tcPr>
            <w:tcW w:w="4364" w:type="dxa"/>
            <w:tcBorders/>
            <w:shd w:fill="auto" w:val="clear"/>
            <w:vAlign w:val="center"/>
          </w:tcPr>
          <w:p>
            <w:pPr>
              <w:pStyle w:val="TableContents"/>
              <w:spacing w:before="0" w:after="0"/>
              <w:ind w:left="475" w:right="0" w:hanging="0"/>
              <w:jc w:val="left"/>
              <w:rPr>
                <w:rFonts w:ascii="Arial;sans-serif" w:hAnsi="Arial;sans-serif"/>
                <w:b w:val="false"/>
                <w:sz w:val="20"/>
              </w:rPr>
            </w:pPr>
            <w:r>
              <w:rPr>
                <w:rFonts w:ascii="Arial;sans-serif" w:hAnsi="Arial;sans-serif"/>
                <w:b w:val="false"/>
                <w:sz w:val="20"/>
              </w:rPr>
              <w:t>Accounts receivable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(1,408</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857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7,157</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5,800</w:t>
            </w:r>
          </w:p>
        </w:tc>
        <w:tc>
          <w:tcPr>
            <w:tcW w:w="911" w:type="dxa"/>
            <w:tcBorders/>
            <w:shd w:fill="auto" w:val="clear"/>
            <w:vAlign w:val="center"/>
          </w:tcPr>
          <w:p>
            <w:pPr>
              <w:pStyle w:val="TableContents"/>
              <w:spacing w:before="0" w:after="283"/>
              <w:ind w:left="0" w:right="0" w:firstLine="475"/>
              <w:rPr>
                <w:sz w:val="4"/>
                <w:szCs w:val="4"/>
              </w:rPr>
            </w:pPr>
            <w:r>
              <w:rPr>
                <w:sz w:val="4"/>
                <w:szCs w:val="4"/>
              </w:rPr>
            </w:r>
          </w:p>
        </w:tc>
      </w:tr>
      <w:tr>
        <w:trPr/>
        <w:tc>
          <w:tcPr>
            <w:tcW w:w="4364" w:type="dxa"/>
            <w:tcBorders/>
            <w:shd w:fill="auto" w:val="clear"/>
            <w:vAlign w:val="center"/>
          </w:tcPr>
          <w:p>
            <w:pPr>
              <w:pStyle w:val="TableContents"/>
              <w:spacing w:before="0" w:after="0"/>
              <w:ind w:left="475" w:right="0" w:hanging="0"/>
              <w:jc w:val="left"/>
              <w:rPr>
                <w:rFonts w:ascii="Arial;sans-serif" w:hAnsi="Arial;sans-serif"/>
                <w:b w:val="false"/>
                <w:sz w:val="20"/>
              </w:rPr>
            </w:pPr>
            <w:r>
              <w:rPr>
                <w:rFonts w:ascii="Arial;sans-serif" w:hAnsi="Arial;sans-serif"/>
                <w:b w:val="false"/>
                <w:sz w:val="20"/>
              </w:rPr>
              <w:t>Inventories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106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(279</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868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(662</w:t>
            </w:r>
          </w:p>
        </w:tc>
        <w:tc>
          <w:tcPr>
            <w:tcW w:w="911" w:type="dxa"/>
            <w:tcBorders/>
            <w:shd w:fill="auto" w:val="clear"/>
            <w:vAlign w:val="center"/>
          </w:tcPr>
          <w:p>
            <w:pPr>
              <w:pStyle w:val="TableContents"/>
              <w:spacing w:before="0" w:after="0"/>
              <w:ind w:left="0" w:right="0" w:firstLine="475"/>
              <w:jc w:val="left"/>
              <w:rPr>
                <w:rFonts w:ascii="Arial;sans-serif" w:hAnsi="Arial;sans-serif"/>
                <w:b w:val="false"/>
                <w:sz w:val="20"/>
              </w:rPr>
            </w:pPr>
            <w:r>
              <w:rPr>
                <w:rFonts w:ascii="Arial;sans-serif" w:hAnsi="Arial;sans-serif"/>
                <w:b w:val="false"/>
                <w:sz w:val="20"/>
              </w:rPr>
              <w:t>)</w:t>
            </w:r>
          </w:p>
        </w:tc>
      </w:tr>
      <w:tr>
        <w:trPr/>
        <w:tc>
          <w:tcPr>
            <w:tcW w:w="4364" w:type="dxa"/>
            <w:tcBorders/>
            <w:shd w:fill="auto" w:val="clear"/>
            <w:vAlign w:val="center"/>
          </w:tcPr>
          <w:p>
            <w:pPr>
              <w:pStyle w:val="TableContents"/>
              <w:spacing w:before="0" w:after="0"/>
              <w:ind w:left="475" w:right="0" w:hanging="0"/>
              <w:jc w:val="left"/>
              <w:rPr>
                <w:rFonts w:ascii="Arial;sans-serif" w:hAnsi="Arial;sans-serif"/>
                <w:b w:val="false"/>
                <w:sz w:val="20"/>
              </w:rPr>
            </w:pPr>
            <w:r>
              <w:rPr>
                <w:rFonts w:ascii="Arial;sans-serif" w:hAnsi="Arial;sans-serif"/>
                <w:b w:val="false"/>
                <w:sz w:val="20"/>
              </w:rPr>
              <w:t>Other current assets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1,152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428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1,861</w:t>
            </w:r>
          </w:p>
        </w:tc>
        <w:tc>
          <w:tcPr>
            <w:tcW w:w="911" w:type="dxa"/>
            <w:tcBorders/>
            <w:shd w:fill="auto" w:val="clear"/>
            <w:vAlign w:val="center"/>
          </w:tcPr>
          <w:p>
            <w:pPr>
              <w:pStyle w:val="TableContents"/>
              <w:spacing w:before="0" w:after="0"/>
              <w:ind w:left="0" w:right="0" w:firstLine="475"/>
              <w:jc w:val="left"/>
              <w:rPr/>
            </w:pPr>
            <w:r>
              <w:rPr/>
              <w:t> </w:t>
            </w:r>
          </w:p>
        </w:tc>
      </w:tr>
      <w:tr>
        <w:trPr/>
        <w:tc>
          <w:tcPr>
            <w:tcW w:w="4364" w:type="dxa"/>
            <w:tcBorders/>
            <w:shd w:fill="auto" w:val="clear"/>
            <w:vAlign w:val="center"/>
          </w:tcPr>
          <w:p>
            <w:pPr>
              <w:pStyle w:val="TableContents"/>
              <w:spacing w:before="0" w:after="0"/>
              <w:ind w:left="475" w:right="0" w:hanging="0"/>
              <w:jc w:val="left"/>
              <w:rPr>
                <w:rFonts w:ascii="Arial;sans-serif" w:hAnsi="Arial;sans-serif"/>
                <w:b w:val="false"/>
                <w:sz w:val="20"/>
              </w:rPr>
            </w:pPr>
            <w:r>
              <w:rPr>
                <w:rFonts w:ascii="Arial;sans-serif" w:hAnsi="Arial;sans-serif"/>
                <w:b w:val="false"/>
                <w:sz w:val="20"/>
              </w:rPr>
              <w:t>Other long-term assets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(554</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(724</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(1,285</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(2,230</w:t>
            </w:r>
          </w:p>
        </w:tc>
        <w:tc>
          <w:tcPr>
            <w:tcW w:w="911" w:type="dxa"/>
            <w:tcBorders/>
            <w:shd w:fill="auto" w:val="clear"/>
            <w:vAlign w:val="center"/>
          </w:tcPr>
          <w:p>
            <w:pPr>
              <w:pStyle w:val="TableContents"/>
              <w:spacing w:before="0" w:after="0"/>
              <w:ind w:left="0" w:right="0" w:firstLine="475"/>
              <w:jc w:val="left"/>
              <w:rPr>
                <w:rFonts w:ascii="Arial;sans-serif" w:hAnsi="Arial;sans-serif"/>
                <w:b w:val="false"/>
                <w:sz w:val="20"/>
              </w:rPr>
            </w:pPr>
            <w:r>
              <w:rPr>
                <w:rFonts w:ascii="Arial;sans-serif" w:hAnsi="Arial;sans-serif"/>
                <w:b w:val="false"/>
                <w:sz w:val="20"/>
              </w:rPr>
              <w:t>)</w:t>
            </w:r>
          </w:p>
        </w:tc>
      </w:tr>
      <w:tr>
        <w:trPr/>
        <w:tc>
          <w:tcPr>
            <w:tcW w:w="4364" w:type="dxa"/>
            <w:tcBorders/>
            <w:shd w:fill="auto" w:val="clear"/>
            <w:vAlign w:val="center"/>
          </w:tcPr>
          <w:p>
            <w:pPr>
              <w:pStyle w:val="TableContents"/>
              <w:spacing w:before="0" w:after="0"/>
              <w:ind w:left="475" w:right="0" w:hanging="0"/>
              <w:jc w:val="left"/>
              <w:rPr>
                <w:rFonts w:ascii="Arial;sans-serif" w:hAnsi="Arial;sans-serif"/>
                <w:b w:val="false"/>
                <w:sz w:val="20"/>
              </w:rPr>
            </w:pPr>
            <w:r>
              <w:rPr>
                <w:rFonts w:ascii="Arial;sans-serif" w:hAnsi="Arial;sans-serif"/>
                <w:b w:val="false"/>
                <w:sz w:val="20"/>
              </w:rPr>
              <w:t>Accounts payable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(407</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520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(4,032</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284</w:t>
            </w:r>
          </w:p>
        </w:tc>
        <w:tc>
          <w:tcPr>
            <w:tcW w:w="911" w:type="dxa"/>
            <w:tcBorders/>
            <w:shd w:fill="auto" w:val="clear"/>
            <w:vAlign w:val="center"/>
          </w:tcPr>
          <w:p>
            <w:pPr>
              <w:pStyle w:val="TableContents"/>
              <w:spacing w:before="0" w:after="0"/>
              <w:ind w:left="0" w:right="0" w:firstLine="475"/>
              <w:jc w:val="left"/>
              <w:rPr/>
            </w:pPr>
            <w:r>
              <w:rPr/>
              <w:t> </w:t>
            </w:r>
          </w:p>
        </w:tc>
      </w:tr>
      <w:tr>
        <w:trPr/>
        <w:tc>
          <w:tcPr>
            <w:tcW w:w="4364" w:type="dxa"/>
            <w:tcBorders/>
            <w:shd w:fill="auto" w:val="clear"/>
            <w:vAlign w:val="center"/>
          </w:tcPr>
          <w:p>
            <w:pPr>
              <w:pStyle w:val="TableContents"/>
              <w:spacing w:before="0" w:after="0"/>
              <w:ind w:left="475" w:right="0" w:hanging="0"/>
              <w:jc w:val="left"/>
              <w:rPr>
                <w:rFonts w:ascii="Arial;sans-serif" w:hAnsi="Arial;sans-serif"/>
                <w:b w:val="false"/>
                <w:sz w:val="20"/>
              </w:rPr>
            </w:pPr>
            <w:r>
              <w:rPr>
                <w:rFonts w:ascii="Arial;sans-serif" w:hAnsi="Arial;sans-serif"/>
                <w:b w:val="false"/>
                <w:sz w:val="20"/>
              </w:rPr>
              <w:t>Unearned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(181</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(209</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(8,689</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(7,437</w:t>
            </w:r>
          </w:p>
        </w:tc>
        <w:tc>
          <w:tcPr>
            <w:tcW w:w="911" w:type="dxa"/>
            <w:tcBorders/>
            <w:shd w:fill="auto" w:val="clear"/>
            <w:vAlign w:val="center"/>
          </w:tcPr>
          <w:p>
            <w:pPr>
              <w:pStyle w:val="TableContents"/>
              <w:spacing w:before="0" w:after="0"/>
              <w:ind w:left="0" w:right="0" w:firstLine="475"/>
              <w:jc w:val="left"/>
              <w:rPr>
                <w:rFonts w:ascii="Arial;sans-serif" w:hAnsi="Arial;sans-serif"/>
                <w:b w:val="false"/>
                <w:sz w:val="20"/>
              </w:rPr>
            </w:pPr>
            <w:r>
              <w:rPr>
                <w:rFonts w:ascii="Arial;sans-serif" w:hAnsi="Arial;sans-serif"/>
                <w:b w:val="false"/>
                <w:sz w:val="20"/>
              </w:rPr>
              <w:t>)</w:t>
            </w:r>
          </w:p>
        </w:tc>
      </w:tr>
      <w:tr>
        <w:trPr/>
        <w:tc>
          <w:tcPr>
            <w:tcW w:w="4364" w:type="dxa"/>
            <w:tcBorders/>
            <w:shd w:fill="auto" w:val="clear"/>
            <w:vAlign w:val="center"/>
          </w:tcPr>
          <w:p>
            <w:pPr>
              <w:pStyle w:val="TableContents"/>
              <w:spacing w:before="0" w:after="0"/>
              <w:ind w:left="475" w:right="0" w:hanging="0"/>
              <w:jc w:val="left"/>
              <w:rPr>
                <w:rFonts w:ascii="Arial;sans-serif" w:hAnsi="Arial;sans-serif"/>
                <w:b w:val="false"/>
                <w:sz w:val="20"/>
              </w:rPr>
            </w:pPr>
            <w:r>
              <w:rPr>
                <w:rFonts w:ascii="Arial;sans-serif" w:hAnsi="Arial;sans-serif"/>
                <w:b w:val="false"/>
                <w:sz w:val="20"/>
              </w:rPr>
              <w:t>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1,414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1,091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(1,039</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1,687</w:t>
            </w:r>
          </w:p>
        </w:tc>
        <w:tc>
          <w:tcPr>
            <w:tcW w:w="911" w:type="dxa"/>
            <w:tcBorders/>
            <w:shd w:fill="auto" w:val="clear"/>
            <w:vAlign w:val="center"/>
          </w:tcPr>
          <w:p>
            <w:pPr>
              <w:pStyle w:val="TableContents"/>
              <w:spacing w:before="0" w:after="0"/>
              <w:ind w:left="0" w:right="0" w:firstLine="475"/>
              <w:jc w:val="left"/>
              <w:rPr/>
            </w:pPr>
            <w:r>
              <w:rPr/>
              <w:t> </w:t>
            </w:r>
          </w:p>
        </w:tc>
      </w:tr>
      <w:tr>
        <w:trPr/>
        <w:tc>
          <w:tcPr>
            <w:tcW w:w="4364" w:type="dxa"/>
            <w:tcBorders/>
            <w:shd w:fill="auto" w:val="clear"/>
            <w:vAlign w:val="center"/>
          </w:tcPr>
          <w:p>
            <w:pPr>
              <w:pStyle w:val="TableContents"/>
              <w:spacing w:before="0" w:after="0"/>
              <w:ind w:left="475" w:right="0" w:hanging="0"/>
              <w:jc w:val="left"/>
              <w:rPr>
                <w:rFonts w:ascii="Arial;sans-serif" w:hAnsi="Arial;sans-serif"/>
                <w:b w:val="false"/>
                <w:sz w:val="20"/>
              </w:rPr>
            </w:pPr>
            <w:r>
              <w:rPr>
                <w:rFonts w:ascii="Arial;sans-serif" w:hAnsi="Arial;sans-serif"/>
                <w:b w:val="false"/>
                <w:sz w:val="20"/>
              </w:rPr>
              <w:t>Other current liabilities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1,715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1,287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(490</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(1,111</w:t>
            </w:r>
          </w:p>
        </w:tc>
        <w:tc>
          <w:tcPr>
            <w:tcW w:w="911" w:type="dxa"/>
            <w:tcBorders/>
            <w:shd w:fill="auto" w:val="clear"/>
            <w:vAlign w:val="center"/>
          </w:tcPr>
          <w:p>
            <w:pPr>
              <w:pStyle w:val="TableContents"/>
              <w:spacing w:before="0" w:after="0"/>
              <w:ind w:left="0" w:right="0" w:firstLine="475"/>
              <w:jc w:val="left"/>
              <w:rPr>
                <w:rFonts w:ascii="Arial;sans-serif" w:hAnsi="Arial;sans-serif"/>
                <w:b w:val="false"/>
                <w:sz w:val="20"/>
              </w:rPr>
            </w:pPr>
            <w:r>
              <w:rPr>
                <w:rFonts w:ascii="Arial;sans-serif" w:hAnsi="Arial;sans-serif"/>
                <w:b w:val="false"/>
                <w:sz w:val="20"/>
              </w:rPr>
              <w:t>)</w:t>
            </w:r>
          </w:p>
        </w:tc>
      </w:tr>
      <w:tr>
        <w:trPr/>
        <w:tc>
          <w:tcPr>
            <w:tcW w:w="4364" w:type="dxa"/>
            <w:tcBorders/>
            <w:shd w:fill="auto" w:val="clear"/>
            <w:vAlign w:val="center"/>
          </w:tcPr>
          <w:p>
            <w:pPr>
              <w:pStyle w:val="TableContents"/>
              <w:spacing w:before="0" w:after="0"/>
              <w:ind w:left="475" w:right="0" w:hanging="0"/>
              <w:jc w:val="left"/>
              <w:rPr>
                <w:rFonts w:ascii="Arial;sans-serif" w:hAnsi="Arial;sans-serif"/>
                <w:b w:val="false"/>
                <w:sz w:val="20"/>
              </w:rPr>
            </w:pPr>
            <w:r>
              <w:rPr>
                <w:rFonts w:ascii="Arial;sans-serif" w:hAnsi="Arial;sans-serif"/>
                <w:b w:val="false"/>
                <w:sz w:val="20"/>
              </w:rPr>
              <w:t>Other long-term liabilities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438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451</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781</w:t>
            </w:r>
          </w:p>
        </w:tc>
        <w:tc>
          <w:tcPr>
            <w:tcW w:w="911" w:type="dxa"/>
            <w:tcBorders/>
            <w:shd w:fill="auto" w:val="clear"/>
            <w:vAlign w:val="center"/>
          </w:tcPr>
          <w:p>
            <w:pPr>
              <w:pStyle w:val="TableContents"/>
              <w:spacing w:before="0" w:after="283"/>
              <w:ind w:left="0" w:right="0" w:hanging="0"/>
              <w:rPr>
                <w:sz w:val="4"/>
                <w:szCs w:val="4"/>
              </w:rPr>
            </w:pPr>
            <w:r>
              <w:rPr>
                <w:sz w:val="4"/>
                <w:szCs w:val="4"/>
              </w:rPr>
            </w:r>
          </w:p>
        </w:tc>
      </w:tr>
      <w:tr>
        <w:trPr/>
        <w:tc>
          <w:tcPr>
            <w:tcW w:w="4364"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9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364"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 </w:t>
            </w:r>
          </w:p>
        </w:tc>
        <w:tc>
          <w:tcPr>
            <w:tcW w:w="911" w:type="dxa"/>
            <w:tcBorders/>
            <w:shd w:fill="auto" w:val="clear"/>
            <w:vAlign w:val="center"/>
          </w:tcPr>
          <w:p>
            <w:pPr>
              <w:pStyle w:val="TableContents"/>
              <w:spacing w:before="0" w:after="0"/>
              <w:ind w:left="0" w:right="0" w:firstLine="720"/>
              <w:jc w:val="left"/>
              <w:rPr/>
            </w:pPr>
            <w:r>
              <w:rPr/>
              <w:t> </w:t>
            </w:r>
          </w:p>
        </w:tc>
      </w:tr>
      <w:tr>
        <w:trPr/>
        <w:tc>
          <w:tcPr>
            <w:tcW w:w="4364" w:type="dxa"/>
            <w:tcBorders/>
            <w:shd w:fill="auto" w:val="clear"/>
            <w:vAlign w:val="center"/>
          </w:tcPr>
          <w:p>
            <w:pPr>
              <w:pStyle w:val="TableContents"/>
              <w:spacing w:before="0" w:after="0"/>
              <w:ind w:left="720" w:right="0" w:hanging="0"/>
              <w:jc w:val="left"/>
              <w:rPr>
                <w:rFonts w:ascii="Arial;sans-serif" w:hAnsi="Arial;sans-serif"/>
                <w:b w:val="false"/>
                <w:sz w:val="20"/>
              </w:rPr>
            </w:pPr>
            <w:r>
              <w:rPr>
                <w:rFonts w:ascii="Arial;sans-serif" w:hAnsi="Arial;sans-serif"/>
                <w:b w:val="false"/>
                <w:sz w:val="20"/>
              </w:rPr>
              <w:t>Net cash from operations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24,441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25,386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58,812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64,406</w:t>
            </w:r>
          </w:p>
        </w:tc>
        <w:tc>
          <w:tcPr>
            <w:tcW w:w="911" w:type="dxa"/>
            <w:tcBorders/>
            <w:shd w:fill="auto" w:val="clear"/>
            <w:vAlign w:val="center"/>
          </w:tcPr>
          <w:p>
            <w:pPr>
              <w:pStyle w:val="TableContents"/>
              <w:spacing w:before="0" w:after="0"/>
              <w:ind w:left="0" w:right="0" w:hanging="0"/>
              <w:jc w:val="left"/>
              <w:rPr/>
            </w:pPr>
            <w:r>
              <w:rPr/>
              <w:t> </w:t>
            </w:r>
          </w:p>
        </w:tc>
      </w:tr>
      <w:tr>
        <w:trPr/>
        <w:tc>
          <w:tcPr>
            <w:tcW w:w="4364"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9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364"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 </w:t>
            </w:r>
          </w:p>
        </w:tc>
        <w:tc>
          <w:tcPr>
            <w:tcW w:w="911" w:type="dxa"/>
            <w:tcBorders/>
            <w:shd w:fill="auto" w:val="clear"/>
            <w:vAlign w:val="center"/>
          </w:tcPr>
          <w:p>
            <w:pPr>
              <w:pStyle w:val="TableContents"/>
              <w:spacing w:before="0" w:after="0"/>
              <w:ind w:left="0" w:right="0" w:hanging="0"/>
              <w:jc w:val="left"/>
              <w:rPr/>
            </w:pPr>
            <w:r>
              <w:rPr/>
              <w:t> </w:t>
            </w:r>
          </w:p>
        </w:tc>
      </w:tr>
      <w:tr>
        <w:trPr/>
        <w:tc>
          <w:tcPr>
            <w:tcW w:w="4364"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Financing</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283"/>
              <w:ind w:left="0" w:right="0" w:hanging="0"/>
              <w:rPr>
                <w:sz w:val="4"/>
                <w:szCs w:val="4"/>
              </w:rPr>
            </w:pPr>
            <w:r>
              <w:rPr>
                <w:sz w:val="4"/>
                <w:szCs w:val="4"/>
              </w:rPr>
            </w:r>
          </w:p>
        </w:tc>
        <w:tc>
          <w:tcPr>
            <w:tcW w:w="911" w:type="dxa"/>
            <w:tcBorders/>
            <w:shd w:fill="auto" w:val="clear"/>
            <w:vAlign w:val="center"/>
          </w:tcPr>
          <w:p>
            <w:pPr>
              <w:pStyle w:val="TableContents"/>
              <w:spacing w:before="0" w:after="0"/>
              <w:ind w:left="0" w:right="0" w:hanging="0"/>
              <w:jc w:val="left"/>
              <w:rPr/>
            </w:pPr>
            <w:r>
              <w:rPr/>
              <w:t> </w:t>
            </w:r>
          </w:p>
        </w:tc>
      </w:tr>
      <w:tr>
        <w:trPr/>
        <w:tc>
          <w:tcPr>
            <w:tcW w:w="436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Repayments of debt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(4,197</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(1,750</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(9,023</w:t>
            </w:r>
          </w:p>
        </w:tc>
        <w:tc>
          <w:tcPr>
            <w:tcW w:w="9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36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Common stock issued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536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477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1,354</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1,380</w:t>
            </w:r>
          </w:p>
        </w:tc>
        <w:tc>
          <w:tcPr>
            <w:tcW w:w="911" w:type="dxa"/>
            <w:tcBorders/>
            <w:shd w:fill="auto" w:val="clear"/>
            <w:vAlign w:val="center"/>
          </w:tcPr>
          <w:p>
            <w:pPr>
              <w:pStyle w:val="TableContents"/>
              <w:spacing w:before="0" w:after="283"/>
              <w:ind w:left="0" w:right="0" w:hanging="0"/>
              <w:rPr>
                <w:sz w:val="4"/>
                <w:szCs w:val="4"/>
              </w:rPr>
            </w:pPr>
            <w:r>
              <w:rPr>
                <w:sz w:val="4"/>
                <w:szCs w:val="4"/>
              </w:rPr>
            </w:r>
          </w:p>
        </w:tc>
      </w:tr>
      <w:tr>
        <w:trPr/>
        <w:tc>
          <w:tcPr>
            <w:tcW w:w="436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Common stock repurchased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(5,509</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(8,822</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(16,541</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(23,939</w:t>
            </w:r>
          </w:p>
        </w:tc>
        <w:tc>
          <w:tcPr>
            <w:tcW w:w="9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36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Common stock cash dividends paid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(5,059</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(4,645</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(14,746</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(13,503</w:t>
            </w:r>
          </w:p>
        </w:tc>
        <w:tc>
          <w:tcPr>
            <w:tcW w:w="9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36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Other, net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(258</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(158</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(839</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(522</w:t>
            </w:r>
          </w:p>
        </w:tc>
        <w:tc>
          <w:tcPr>
            <w:tcW w:w="9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364"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9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364"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 </w:t>
            </w:r>
          </w:p>
        </w:tc>
        <w:tc>
          <w:tcPr>
            <w:tcW w:w="911" w:type="dxa"/>
            <w:tcBorders/>
            <w:shd w:fill="auto" w:val="clear"/>
            <w:vAlign w:val="center"/>
          </w:tcPr>
          <w:p>
            <w:pPr>
              <w:pStyle w:val="TableContents"/>
              <w:spacing w:before="0" w:after="0"/>
              <w:ind w:left="0" w:right="0" w:firstLine="720"/>
              <w:jc w:val="left"/>
              <w:rPr/>
            </w:pPr>
            <w:r>
              <w:rPr/>
              <w:t> </w:t>
            </w:r>
          </w:p>
        </w:tc>
      </w:tr>
      <w:tr>
        <w:trPr/>
        <w:tc>
          <w:tcPr>
            <w:tcW w:w="4364" w:type="dxa"/>
            <w:tcBorders/>
            <w:shd w:fill="auto" w:val="clear"/>
            <w:vAlign w:val="center"/>
          </w:tcPr>
          <w:p>
            <w:pPr>
              <w:pStyle w:val="TableContents"/>
              <w:spacing w:before="0" w:after="0"/>
              <w:ind w:left="720" w:right="0" w:hanging="0"/>
              <w:jc w:val="left"/>
              <w:rPr>
                <w:rFonts w:ascii="Arial;sans-serif" w:hAnsi="Arial;sans-serif"/>
                <w:b w:val="false"/>
                <w:sz w:val="20"/>
              </w:rPr>
            </w:pPr>
            <w:r>
              <w:rPr>
                <w:rFonts w:ascii="Arial;sans-serif" w:hAnsi="Arial;sans-serif"/>
                <w:b w:val="false"/>
                <w:sz w:val="20"/>
              </w:rPr>
              <w:t>Net cash used in financing</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(10,290</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(17,345</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(32,522</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(45,607</w:t>
            </w:r>
          </w:p>
        </w:tc>
        <w:tc>
          <w:tcPr>
            <w:tcW w:w="9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364"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9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364"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 </w:t>
            </w:r>
          </w:p>
        </w:tc>
        <w:tc>
          <w:tcPr>
            <w:tcW w:w="911" w:type="dxa"/>
            <w:tcBorders/>
            <w:shd w:fill="auto" w:val="clear"/>
            <w:vAlign w:val="center"/>
          </w:tcPr>
          <w:p>
            <w:pPr>
              <w:pStyle w:val="TableContents"/>
              <w:spacing w:before="0" w:after="0"/>
              <w:ind w:left="0" w:right="0" w:hanging="0"/>
              <w:jc w:val="left"/>
              <w:rPr/>
            </w:pPr>
            <w:r>
              <w:rPr/>
              <w:t> </w:t>
            </w:r>
          </w:p>
        </w:tc>
      </w:tr>
      <w:tr>
        <w:trPr/>
        <w:tc>
          <w:tcPr>
            <w:tcW w:w="4364"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Investing</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283"/>
              <w:ind w:left="0" w:right="0" w:hanging="0"/>
              <w:rPr>
                <w:sz w:val="4"/>
                <w:szCs w:val="4"/>
              </w:rPr>
            </w:pPr>
            <w:r>
              <w:rPr>
                <w:sz w:val="4"/>
                <w:szCs w:val="4"/>
              </w:rPr>
            </w:r>
          </w:p>
        </w:tc>
        <w:tc>
          <w:tcPr>
            <w:tcW w:w="911" w:type="dxa"/>
            <w:tcBorders/>
            <w:shd w:fill="auto" w:val="clear"/>
            <w:vAlign w:val="center"/>
          </w:tcPr>
          <w:p>
            <w:pPr>
              <w:pStyle w:val="TableContents"/>
              <w:spacing w:before="0" w:after="0"/>
              <w:ind w:left="0" w:right="0" w:hanging="0"/>
              <w:jc w:val="left"/>
              <w:rPr/>
            </w:pPr>
            <w:r>
              <w:rPr/>
              <w:t> </w:t>
            </w:r>
          </w:p>
        </w:tc>
      </w:tr>
      <w:tr>
        <w:trPr/>
        <w:tc>
          <w:tcPr>
            <w:tcW w:w="436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Additions to property and equipment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(6,607</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(5,340</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(19,164</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(17,015</w:t>
            </w:r>
          </w:p>
        </w:tc>
        <w:tc>
          <w:tcPr>
            <w:tcW w:w="9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36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Acquisition of companies, net of cash acquired, and purchases of intangible and other assets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(301</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(18,719</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(1,329</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(20,775</w:t>
            </w:r>
          </w:p>
        </w:tc>
        <w:tc>
          <w:tcPr>
            <w:tcW w:w="9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36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Purchases of investments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(9,063</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(8,723</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(25,675</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(21,537</w:t>
            </w:r>
          </w:p>
        </w:tc>
        <w:tc>
          <w:tcPr>
            <w:tcW w:w="9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36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Maturities of investments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13,154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1,099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26,744</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15,214</w:t>
            </w:r>
          </w:p>
        </w:tc>
        <w:tc>
          <w:tcPr>
            <w:tcW w:w="911" w:type="dxa"/>
            <w:tcBorders/>
            <w:shd w:fill="auto" w:val="clear"/>
            <w:vAlign w:val="center"/>
          </w:tcPr>
          <w:p>
            <w:pPr>
              <w:pStyle w:val="TableContents"/>
              <w:spacing w:before="0" w:after="283"/>
              <w:ind w:left="0" w:right="0" w:hanging="0"/>
              <w:rPr>
                <w:sz w:val="4"/>
                <w:szCs w:val="4"/>
              </w:rPr>
            </w:pPr>
            <w:r>
              <w:rPr>
                <w:sz w:val="4"/>
                <w:szCs w:val="4"/>
              </w:rPr>
            </w:r>
          </w:p>
        </w:tc>
      </w:tr>
      <w:tr>
        <w:trPr/>
        <w:tc>
          <w:tcPr>
            <w:tcW w:w="436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Sales of investments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1,239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16,693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8,725</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25,218</w:t>
            </w:r>
          </w:p>
        </w:tc>
        <w:tc>
          <w:tcPr>
            <w:tcW w:w="911" w:type="dxa"/>
            <w:tcBorders/>
            <w:shd w:fill="auto" w:val="clear"/>
            <w:vAlign w:val="center"/>
          </w:tcPr>
          <w:p>
            <w:pPr>
              <w:pStyle w:val="TableContents"/>
              <w:spacing w:before="0" w:after="283"/>
              <w:ind w:left="0" w:right="0" w:hanging="0"/>
              <w:rPr>
                <w:sz w:val="4"/>
                <w:szCs w:val="4"/>
              </w:rPr>
            </w:pPr>
            <w:r>
              <w:rPr>
                <w:sz w:val="4"/>
                <w:szCs w:val="4"/>
              </w:rPr>
            </w:r>
          </w:p>
        </w:tc>
      </w:tr>
      <w:tr>
        <w:trPr/>
        <w:tc>
          <w:tcPr>
            <w:tcW w:w="436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Other,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(1,686</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(1,181</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(2,847</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(1,687</w:t>
            </w:r>
          </w:p>
        </w:tc>
        <w:tc>
          <w:tcPr>
            <w:tcW w:w="9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364"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9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364"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 </w:t>
            </w:r>
          </w:p>
        </w:tc>
        <w:tc>
          <w:tcPr>
            <w:tcW w:w="911" w:type="dxa"/>
            <w:tcBorders/>
            <w:shd w:fill="auto" w:val="clear"/>
            <w:vAlign w:val="center"/>
          </w:tcPr>
          <w:p>
            <w:pPr>
              <w:pStyle w:val="TableContents"/>
              <w:spacing w:before="0" w:after="0"/>
              <w:ind w:left="0" w:right="0" w:firstLine="720"/>
              <w:jc w:val="left"/>
              <w:rPr/>
            </w:pPr>
            <w:r>
              <w:rPr/>
              <w:t> </w:t>
            </w:r>
          </w:p>
        </w:tc>
      </w:tr>
      <w:tr>
        <w:trPr/>
        <w:tc>
          <w:tcPr>
            <w:tcW w:w="4364" w:type="dxa"/>
            <w:tcBorders/>
            <w:shd w:fill="auto" w:val="clear"/>
            <w:vAlign w:val="center"/>
          </w:tcPr>
          <w:p>
            <w:pPr>
              <w:pStyle w:val="TableContents"/>
              <w:spacing w:before="0" w:after="0"/>
              <w:ind w:left="720" w:right="0" w:hanging="0"/>
              <w:jc w:val="left"/>
              <w:rPr>
                <w:rFonts w:ascii="Arial;sans-serif" w:hAnsi="Arial;sans-serif"/>
                <w:b w:val="false"/>
                <w:sz w:val="20"/>
              </w:rPr>
            </w:pPr>
            <w:r>
              <w:rPr>
                <w:rFonts w:ascii="Arial;sans-serif" w:hAnsi="Arial;sans-serif"/>
                <w:b w:val="false"/>
                <w:sz w:val="20"/>
              </w:rPr>
              <w:t>Net cash used in investing</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(3,264</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(16,171</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(13,546</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(20,582</w:t>
            </w:r>
          </w:p>
        </w:tc>
        <w:tc>
          <w:tcPr>
            <w:tcW w:w="9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364"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9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364"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 </w:t>
            </w:r>
          </w:p>
        </w:tc>
        <w:tc>
          <w:tcPr>
            <w:tcW w:w="911" w:type="dxa"/>
            <w:tcBorders/>
            <w:shd w:fill="auto" w:val="clear"/>
            <w:vAlign w:val="center"/>
          </w:tcPr>
          <w:p>
            <w:pPr>
              <w:pStyle w:val="TableContents"/>
              <w:spacing w:before="0" w:after="0"/>
              <w:ind w:left="0" w:right="0" w:hanging="0"/>
              <w:jc w:val="left"/>
              <w:rPr/>
            </w:pPr>
            <w:r>
              <w:rPr/>
              <w:t> </w:t>
            </w:r>
          </w:p>
        </w:tc>
      </w:tr>
      <w:tr>
        <w:trPr/>
        <w:tc>
          <w:tcPr>
            <w:tcW w:w="436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Effect of foreign exchange rates on cash and cash equivalents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(113</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57</w:t>
            </w:r>
          </w:p>
        </w:tc>
        <w:tc>
          <w:tcPr>
            <w:tcW w:w="911" w:type="dxa"/>
            <w:tcBorders/>
            <w:shd w:fill="auto" w:val="clear"/>
            <w:vAlign w:val="center"/>
          </w:tcPr>
          <w:p>
            <w:pPr>
              <w:pStyle w:val="TableContents"/>
              <w:spacing w:before="0" w:after="0"/>
              <w:ind w:left="0" w:right="0" w:hanging="0"/>
              <w:jc w:val="left"/>
              <w:rPr/>
            </w:pPr>
            <w:r>
              <w:rPr/>
              <w:t> </w:t>
            </w:r>
          </w:p>
        </w:tc>
      </w:tr>
      <w:tr>
        <w:trPr/>
        <w:tc>
          <w:tcPr>
            <w:tcW w:w="4364"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9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364"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 </w:t>
            </w:r>
          </w:p>
        </w:tc>
        <w:tc>
          <w:tcPr>
            <w:tcW w:w="911" w:type="dxa"/>
            <w:tcBorders/>
            <w:shd w:fill="auto" w:val="clear"/>
            <w:vAlign w:val="center"/>
          </w:tcPr>
          <w:p>
            <w:pPr>
              <w:pStyle w:val="TableContents"/>
              <w:spacing w:before="0" w:after="0"/>
              <w:ind w:left="0" w:right="0" w:hanging="0"/>
              <w:jc w:val="left"/>
              <w:rPr/>
            </w:pPr>
            <w:r>
              <w:rPr/>
              <w:t> </w:t>
            </w:r>
          </w:p>
        </w:tc>
      </w:tr>
      <w:tr>
        <w:trPr/>
        <w:tc>
          <w:tcPr>
            <w:tcW w:w="436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change in cash and cash equivalents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10,916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(8,106</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12,631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(1,726</w:t>
            </w:r>
          </w:p>
        </w:tc>
        <w:tc>
          <w:tcPr>
            <w:tcW w:w="9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36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Cash and cash equivalents, beginning of period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15,646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20,604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13,931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14,224</w:t>
            </w:r>
          </w:p>
        </w:tc>
        <w:tc>
          <w:tcPr>
            <w:tcW w:w="911" w:type="dxa"/>
            <w:tcBorders/>
            <w:shd w:fill="auto" w:val="clear"/>
            <w:vAlign w:val="center"/>
          </w:tcPr>
          <w:p>
            <w:pPr>
              <w:pStyle w:val="TableContents"/>
              <w:spacing w:before="0" w:after="0"/>
              <w:ind w:left="0" w:right="0" w:hanging="0"/>
              <w:jc w:val="left"/>
              <w:rPr/>
            </w:pPr>
            <w:r>
              <w:rPr/>
              <w:t> </w:t>
            </w:r>
          </w:p>
        </w:tc>
      </w:tr>
      <w:tr>
        <w:trPr/>
        <w:tc>
          <w:tcPr>
            <w:tcW w:w="4364"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9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364"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 </w:t>
            </w:r>
          </w:p>
        </w:tc>
        <w:tc>
          <w:tcPr>
            <w:tcW w:w="911" w:type="dxa"/>
            <w:tcBorders/>
            <w:shd w:fill="auto" w:val="clear"/>
            <w:vAlign w:val="center"/>
          </w:tcPr>
          <w:p>
            <w:pPr>
              <w:pStyle w:val="TableContents"/>
              <w:spacing w:before="0" w:after="0"/>
              <w:ind w:left="0" w:right="0" w:hanging="0"/>
              <w:jc w:val="left"/>
              <w:rPr/>
            </w:pPr>
            <w:r>
              <w:rPr/>
              <w:t> </w:t>
            </w:r>
          </w:p>
        </w:tc>
      </w:tr>
      <w:tr>
        <w:trPr/>
        <w:tc>
          <w:tcPr>
            <w:tcW w:w="436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Cash and cash equivalents, end of period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26,562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12,498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26,562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12,498</w:t>
            </w:r>
          </w:p>
        </w:tc>
        <w:tc>
          <w:tcPr>
            <w:tcW w:w="911" w:type="dxa"/>
            <w:tcBorders/>
            <w:shd w:fill="auto" w:val="clear"/>
            <w:vAlign w:val="center"/>
          </w:tcPr>
          <w:p>
            <w:pPr>
              <w:pStyle w:val="TableContents"/>
              <w:spacing w:before="0" w:after="0"/>
              <w:ind w:left="0" w:right="0" w:hanging="0"/>
              <w:jc w:val="left"/>
              <w:rPr/>
            </w:pPr>
            <w:r>
              <w:rPr/>
              <w:t> </w:t>
            </w:r>
          </w:p>
        </w:tc>
      </w:tr>
      <w:tr>
        <w:trPr/>
        <w:tc>
          <w:tcPr>
            <w:tcW w:w="4364"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Arial;sans-serif" w:hAnsi="Arial;sans-serif"/>
          <w:b w:val="false"/>
          <w:sz w:val="20"/>
        </w:rPr>
      </w:pPr>
      <w:r>
        <w:rPr>
          <w:rFonts w:ascii="Arial;sans-serif" w:hAnsi="Arial;sans-serif"/>
          <w:b w:val="false"/>
          <w:sz w:val="20"/>
        </w:rPr>
        <w:t>Refer to accompanying notes.</w:t>
      </w:r>
    </w:p>
    <w:p>
      <w:pPr>
        <w:pStyle w:val="TextBody"/>
        <w:spacing w:before="240" w:after="0"/>
        <w:jc w:val="center"/>
        <w:rPr>
          <w:rFonts w:ascii="Arial;sans-serif" w:hAnsi="Arial;sans-serif"/>
          <w:b w:val="false"/>
          <w:sz w:val="16"/>
        </w:rPr>
      </w:pPr>
      <w:r>
        <w:rPr>
          <w:rFonts w:ascii="Arial;sans-serif" w:hAnsi="Arial;sans-serif"/>
          <w:b w:val="false"/>
          <w:sz w:val="16"/>
        </w:rPr>
        <w:t>6</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w:t>
      </w:r>
    </w:p>
    <w:p>
      <w:pPr>
        <w:pStyle w:val="TextBody"/>
        <w:spacing w:before="0" w:after="0"/>
        <w:jc w:val="center"/>
        <w:rPr>
          <w:rFonts w:ascii="Arial;sans-serif" w:hAnsi="Arial;sans-serif"/>
          <w:b w:val="false"/>
          <w:sz w:val="15"/>
        </w:rPr>
      </w:pPr>
      <w:r>
        <w:rPr>
          <w:rFonts w:ascii="Arial;sans-serif" w:hAnsi="Arial;sans-serif"/>
          <w:b w:val="false"/>
          <w:sz w:val="15"/>
        </w:rPr>
        <w:t>Item 1</w:t>
      </w:r>
    </w:p>
    <w:p>
      <w:pPr>
        <w:pStyle w:val="TextBody"/>
        <w:spacing w:before="0" w:after="0"/>
        <w:jc w:val="left"/>
        <w:rPr/>
      </w:pPr>
      <w:r>
        <w:rPr/>
        <w:t> </w:t>
      </w:r>
    </w:p>
    <w:p>
      <w:pPr>
        <w:pStyle w:val="TextBody"/>
        <w:spacing w:before="0" w:after="0"/>
        <w:jc w:val="center"/>
        <w:rPr>
          <w:rFonts w:ascii="Times New Roman" w:hAnsi="Times New Roman"/>
          <w:sz w:val="20"/>
        </w:rPr>
      </w:pPr>
      <w:bookmarkStart w:id="8" w:name="stockholders_equity_statements"/>
      <w:bookmarkEnd w:id="8"/>
      <w:r>
        <w:rPr>
          <w:rFonts w:ascii="Arial;sans-serif" w:hAnsi="Arial;sans-serif"/>
          <w:b/>
          <w:sz w:val="20"/>
        </w:rPr>
        <w:t>STOCKHOLDERS’ EQUITY STATEMENTS</w:t>
      </w:r>
      <w:r>
        <w:rPr>
          <w:rFonts w:ascii="Times New Roman" w:hAnsi="Times New Roman"/>
          <w:sz w:val="20"/>
        </w:rPr>
        <w:t xml:space="preserve"> </w:t>
      </w:r>
    </w:p>
    <w:p>
      <w:pPr>
        <w:pStyle w:val="TextBody"/>
        <w:spacing w:before="0" w:after="0"/>
        <w:jc w:val="left"/>
        <w:rPr/>
      </w:pPr>
      <w:r>
        <w:rPr/>
        <w:t> </w:t>
      </w:r>
    </w:p>
    <w:tbl>
      <w:tblPr>
        <w:tblW w:w="9477" w:type="dxa"/>
        <w:jc w:val="left"/>
        <w:tblInd w:w="0" w:type="dxa"/>
        <w:tblCellMar>
          <w:top w:w="28" w:type="dxa"/>
          <w:left w:w="28" w:type="dxa"/>
          <w:bottom w:w="28" w:type="dxa"/>
          <w:right w:w="28" w:type="dxa"/>
        </w:tblCellMar>
      </w:tblPr>
      <w:tblGrid>
        <w:gridCol w:w="3931"/>
        <w:gridCol w:w="146"/>
        <w:gridCol w:w="211"/>
        <w:gridCol w:w="796"/>
        <w:gridCol w:w="166"/>
        <w:gridCol w:w="146"/>
        <w:gridCol w:w="211"/>
        <w:gridCol w:w="796"/>
        <w:gridCol w:w="166"/>
        <w:gridCol w:w="146"/>
        <w:gridCol w:w="211"/>
        <w:gridCol w:w="796"/>
        <w:gridCol w:w="166"/>
        <w:gridCol w:w="146"/>
        <w:gridCol w:w="211"/>
        <w:gridCol w:w="796"/>
        <w:gridCol w:w="436"/>
      </w:tblGrid>
      <w:tr>
        <w:trPr/>
        <w:tc>
          <w:tcPr>
            <w:tcW w:w="393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96" w:type="dxa"/>
            <w:tcBorders/>
            <w:shd w:fill="FFFFFF" w:val="clear"/>
            <w:vAlign w:val="center"/>
          </w:tcPr>
          <w:p>
            <w:pPr>
              <w:pStyle w:val="TableContents"/>
              <w:spacing w:before="0" w:after="283"/>
              <w:rPr>
                <w:sz w:val="4"/>
                <w:szCs w:val="4"/>
              </w:rPr>
            </w:pPr>
            <w:r>
              <w:rPr>
                <w:sz w:val="4"/>
                <w:szCs w:val="4"/>
              </w:rPr>
            </w:r>
          </w:p>
        </w:tc>
        <w:tc>
          <w:tcPr>
            <w:tcW w:w="16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96" w:type="dxa"/>
            <w:tcBorders/>
            <w:shd w:fill="FFFFFF" w:val="clear"/>
            <w:vAlign w:val="center"/>
          </w:tcPr>
          <w:p>
            <w:pPr>
              <w:pStyle w:val="TableContents"/>
              <w:spacing w:before="0" w:after="283"/>
              <w:rPr>
                <w:sz w:val="4"/>
                <w:szCs w:val="4"/>
              </w:rPr>
            </w:pPr>
            <w:r>
              <w:rPr>
                <w:sz w:val="4"/>
                <w:szCs w:val="4"/>
              </w:rPr>
            </w:r>
          </w:p>
        </w:tc>
        <w:tc>
          <w:tcPr>
            <w:tcW w:w="16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96" w:type="dxa"/>
            <w:tcBorders/>
            <w:shd w:fill="FFFFFF" w:val="clear"/>
            <w:vAlign w:val="center"/>
          </w:tcPr>
          <w:p>
            <w:pPr>
              <w:pStyle w:val="TableContents"/>
              <w:spacing w:before="0" w:after="283"/>
              <w:rPr>
                <w:sz w:val="4"/>
                <w:szCs w:val="4"/>
              </w:rPr>
            </w:pPr>
            <w:r>
              <w:rPr>
                <w:sz w:val="4"/>
                <w:szCs w:val="4"/>
              </w:rPr>
            </w:r>
          </w:p>
        </w:tc>
        <w:tc>
          <w:tcPr>
            <w:tcW w:w="16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96" w:type="dxa"/>
            <w:tcBorders/>
            <w:shd w:fill="FFFFFF" w:val="clear"/>
            <w:vAlign w:val="center"/>
          </w:tcPr>
          <w:p>
            <w:pPr>
              <w:pStyle w:val="TableContents"/>
              <w:spacing w:before="0" w:after="283"/>
              <w:rPr>
                <w:sz w:val="4"/>
                <w:szCs w:val="4"/>
              </w:rPr>
            </w:pPr>
            <w:r>
              <w:rPr>
                <w:sz w:val="4"/>
                <w:szCs w:val="4"/>
              </w:rPr>
            </w:r>
          </w:p>
        </w:tc>
        <w:tc>
          <w:tcPr>
            <w:tcW w:w="436" w:type="dxa"/>
            <w:tcBorders/>
            <w:shd w:fill="FFFFFF" w:val="clear"/>
            <w:vAlign w:val="center"/>
          </w:tcPr>
          <w:p>
            <w:pPr>
              <w:pStyle w:val="TableContents"/>
              <w:spacing w:before="0" w:after="283"/>
              <w:rPr>
                <w:sz w:val="4"/>
                <w:szCs w:val="4"/>
              </w:rPr>
            </w:pPr>
            <w:r>
              <w:rPr>
                <w:sz w:val="4"/>
                <w:szCs w:val="4"/>
              </w:rPr>
            </w:r>
          </w:p>
        </w:tc>
      </w:tr>
      <w:tr>
        <w:trPr/>
        <w:tc>
          <w:tcPr>
            <w:tcW w:w="3931"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(In millions, except per share amounts) (Unaudited)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326" w:type="dxa"/>
            <w:gridSpan w:val="6"/>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Three Months Ended</w:t>
            </w:r>
          </w:p>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2115" w:type="dxa"/>
            <w:gridSpan w:val="5"/>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Nine Months Ended</w:t>
            </w:r>
          </w:p>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tc>
        <w:tc>
          <w:tcPr>
            <w:tcW w:w="436" w:type="dxa"/>
            <w:tcBorders/>
            <w:shd w:fill="auto" w:val="clear"/>
            <w:vAlign w:val="center"/>
          </w:tcPr>
          <w:p>
            <w:pPr>
              <w:pStyle w:val="TableContents"/>
              <w:spacing w:before="0" w:after="0"/>
              <w:ind w:left="0" w:right="0" w:hanging="0"/>
              <w:jc w:val="right"/>
              <w:rPr/>
            </w:pPr>
            <w:r>
              <w:rPr/>
              <w:t> </w:t>
            </w:r>
          </w:p>
        </w:tc>
      </w:tr>
      <w:tr>
        <w:trPr/>
        <w:tc>
          <w:tcPr>
            <w:tcW w:w="393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2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9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00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39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07"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07"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436" w:type="dxa"/>
            <w:tcBorders/>
            <w:shd w:fill="auto" w:val="clear"/>
            <w:vAlign w:val="center"/>
          </w:tcPr>
          <w:p>
            <w:pPr>
              <w:pStyle w:val="TableContents"/>
              <w:spacing w:before="0" w:after="0"/>
              <w:ind w:left="0" w:right="0" w:hanging="0"/>
              <w:jc w:val="left"/>
              <w:rPr/>
            </w:pPr>
            <w:r>
              <w:rPr/>
              <w:t> </w:t>
            </w:r>
          </w:p>
        </w:tc>
      </w:tr>
      <w:tr>
        <w:trPr/>
        <w:tc>
          <w:tcPr>
            <w:tcW w:w="3931" w:type="dxa"/>
            <w:tcBorders/>
            <w:shd w:fill="auto" w:val="clear"/>
            <w:vAlign w:val="center"/>
          </w:tcPr>
          <w:p>
            <w:pPr>
              <w:pStyle w:val="TableContents"/>
              <w:spacing w:before="0" w:after="283"/>
              <w:ind w:left="0" w:right="0" w:hanging="0"/>
              <w:rPr>
                <w:sz w:val="4"/>
                <w:szCs w:val="4"/>
              </w:rPr>
            </w:pPr>
            <w:r>
              <w:rPr>
                <w:sz w:val="4"/>
                <w:szCs w:val="4"/>
              </w:rPr>
            </w:r>
          </w:p>
        </w:tc>
        <w:tc>
          <w:tcPr>
            <w:tcW w:w="1319" w:type="dxa"/>
            <w:gridSpan w:val="4"/>
            <w:tcBorders/>
            <w:shd w:fill="auto" w:val="clear"/>
            <w:vAlign w:val="center"/>
          </w:tcPr>
          <w:p>
            <w:pPr>
              <w:pStyle w:val="TableContents"/>
              <w:spacing w:before="0" w:after="0"/>
              <w:ind w:left="0" w:right="0" w:hanging="0"/>
              <w:jc w:val="left"/>
              <w:rPr/>
            </w:pPr>
            <w:r>
              <w:rPr/>
              <w:t> </w:t>
            </w:r>
          </w:p>
        </w:tc>
        <w:tc>
          <w:tcPr>
            <w:tcW w:w="1153" w:type="dxa"/>
            <w:gridSpan w:val="3"/>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393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Common stock and paid-in capital</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436" w:type="dxa"/>
            <w:tcBorders/>
            <w:shd w:fill="auto" w:val="clear"/>
            <w:vAlign w:val="center"/>
          </w:tcPr>
          <w:p>
            <w:pPr>
              <w:pStyle w:val="TableContents"/>
              <w:spacing w:before="0" w:after="0"/>
              <w:ind w:left="0" w:right="0" w:hanging="0"/>
              <w:jc w:val="right"/>
              <w:rPr/>
            </w:pPr>
            <w:r>
              <w:rPr/>
              <w:t> </w:t>
            </w:r>
          </w:p>
        </w:tc>
      </w:tr>
      <w:tr>
        <w:trPr/>
        <w:tc>
          <w:tcPr>
            <w:tcW w:w="39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Balance, beginning of period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90,225</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84,528</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86,939</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83,111</w:t>
            </w:r>
          </w:p>
        </w:tc>
        <w:tc>
          <w:tcPr>
            <w:tcW w:w="436" w:type="dxa"/>
            <w:tcBorders/>
            <w:shd w:fill="auto" w:val="clear"/>
            <w:vAlign w:val="center"/>
          </w:tcPr>
          <w:p>
            <w:pPr>
              <w:pStyle w:val="TableContents"/>
              <w:spacing w:before="0" w:after="0"/>
              <w:ind w:left="0" w:right="0" w:hanging="0"/>
              <w:jc w:val="left"/>
              <w:rPr/>
            </w:pPr>
            <w:r>
              <w:rPr/>
              <w:t> </w:t>
            </w:r>
          </w:p>
        </w:tc>
      </w:tr>
      <w:tr>
        <w:trPr/>
        <w:tc>
          <w:tcPr>
            <w:tcW w:w="39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Common stock issued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536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477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1,354</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1,380</w:t>
            </w:r>
          </w:p>
        </w:tc>
        <w:tc>
          <w:tcPr>
            <w:tcW w:w="436" w:type="dxa"/>
            <w:tcBorders/>
            <w:shd w:fill="auto" w:val="clear"/>
            <w:vAlign w:val="center"/>
          </w:tcPr>
          <w:p>
            <w:pPr>
              <w:pStyle w:val="TableContents"/>
              <w:spacing w:before="0" w:after="0"/>
              <w:ind w:left="0" w:right="0" w:hanging="0"/>
              <w:jc w:val="left"/>
              <w:rPr/>
            </w:pPr>
            <w:r>
              <w:rPr/>
              <w:t> </w:t>
            </w:r>
          </w:p>
        </w:tc>
      </w:tr>
      <w:tr>
        <w:trPr/>
        <w:tc>
          <w:tcPr>
            <w:tcW w:w="39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Common stock repurchased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(1,133</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(1,313</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(3,394</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(4,401</w:t>
            </w:r>
          </w:p>
        </w:tc>
        <w:tc>
          <w:tcPr>
            <w:tcW w:w="4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9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Stock-based compensation expense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2,465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1,906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7,195</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5,505</w:t>
            </w:r>
          </w:p>
        </w:tc>
        <w:tc>
          <w:tcPr>
            <w:tcW w:w="436" w:type="dxa"/>
            <w:tcBorders/>
            <w:shd w:fill="auto" w:val="clear"/>
            <w:vAlign w:val="center"/>
          </w:tcPr>
          <w:p>
            <w:pPr>
              <w:pStyle w:val="TableContents"/>
              <w:spacing w:before="0" w:after="0"/>
              <w:ind w:left="0" w:right="0" w:hanging="0"/>
              <w:jc w:val="left"/>
              <w:rPr/>
            </w:pPr>
            <w:r>
              <w:rPr/>
              <w:t> </w:t>
            </w:r>
          </w:p>
        </w:tc>
      </w:tr>
      <w:tr>
        <w:trPr/>
        <w:tc>
          <w:tcPr>
            <w:tcW w:w="39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Other, net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172</w:t>
            </w:r>
          </w:p>
        </w:tc>
        <w:tc>
          <w:tcPr>
            <w:tcW w:w="436" w:type="dxa"/>
            <w:tcBorders/>
            <w:shd w:fill="auto" w:val="clear"/>
            <w:vAlign w:val="center"/>
          </w:tcPr>
          <w:p>
            <w:pPr>
              <w:pStyle w:val="TableContents"/>
              <w:spacing w:before="0" w:after="0"/>
              <w:ind w:left="0" w:right="0" w:hanging="0"/>
              <w:jc w:val="left"/>
              <w:rPr/>
            </w:pPr>
            <w:r>
              <w:rPr/>
              <w:t> </w:t>
            </w:r>
          </w:p>
        </w:tc>
      </w:tr>
      <w:tr>
        <w:trPr/>
        <w:tc>
          <w:tcPr>
            <w:tcW w:w="393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9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firstLine="245"/>
              <w:jc w:val="left"/>
              <w:rPr/>
            </w:pPr>
            <w:r>
              <w:rPr/>
              <w:t> </w:t>
            </w:r>
          </w:p>
        </w:tc>
      </w:tr>
      <w:tr>
        <w:trPr/>
        <w:tc>
          <w:tcPr>
            <w:tcW w:w="3931"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Balance, end of period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92,093</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85,767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92,093</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85,767</w:t>
            </w:r>
          </w:p>
        </w:tc>
        <w:tc>
          <w:tcPr>
            <w:tcW w:w="436" w:type="dxa"/>
            <w:tcBorders/>
            <w:shd w:fill="auto" w:val="clear"/>
            <w:vAlign w:val="center"/>
          </w:tcPr>
          <w:p>
            <w:pPr>
              <w:pStyle w:val="TableContents"/>
              <w:spacing w:before="0" w:after="0"/>
              <w:ind w:left="0" w:right="0" w:hanging="0"/>
              <w:jc w:val="left"/>
              <w:rPr/>
            </w:pPr>
            <w:r>
              <w:rPr/>
              <w:t> </w:t>
            </w:r>
          </w:p>
        </w:tc>
      </w:tr>
      <w:tr>
        <w:trPr/>
        <w:tc>
          <w:tcPr>
            <w:tcW w:w="393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9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393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Retained earnings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39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Balance, beginning of period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99,368</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75,045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84,281</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57,055</w:t>
            </w:r>
          </w:p>
        </w:tc>
        <w:tc>
          <w:tcPr>
            <w:tcW w:w="436" w:type="dxa"/>
            <w:tcBorders/>
            <w:shd w:fill="auto" w:val="clear"/>
            <w:vAlign w:val="center"/>
          </w:tcPr>
          <w:p>
            <w:pPr>
              <w:pStyle w:val="TableContents"/>
              <w:spacing w:before="0" w:after="0"/>
              <w:ind w:left="0" w:right="0" w:hanging="0"/>
              <w:jc w:val="left"/>
              <w:rPr/>
            </w:pPr>
            <w:r>
              <w:rPr/>
              <w:t> </w:t>
            </w:r>
          </w:p>
        </w:tc>
      </w:tr>
      <w:tr>
        <w:trPr/>
        <w:tc>
          <w:tcPr>
            <w:tcW w:w="39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income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18,299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16,728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52,280</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55,998</w:t>
            </w:r>
          </w:p>
        </w:tc>
        <w:tc>
          <w:tcPr>
            <w:tcW w:w="436" w:type="dxa"/>
            <w:tcBorders/>
            <w:shd w:fill="auto" w:val="clear"/>
            <w:vAlign w:val="center"/>
          </w:tcPr>
          <w:p>
            <w:pPr>
              <w:pStyle w:val="TableContents"/>
              <w:spacing w:before="0" w:after="0"/>
              <w:ind w:left="0" w:right="0" w:hanging="0"/>
              <w:jc w:val="left"/>
              <w:rPr/>
            </w:pPr>
            <w:r>
              <w:rPr/>
              <w:t> </w:t>
            </w:r>
          </w:p>
        </w:tc>
      </w:tr>
      <w:tr>
        <w:trPr/>
        <w:tc>
          <w:tcPr>
            <w:tcW w:w="39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Common stock cash dividends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(5,053</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(4,634</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(15,176</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(13,931</w:t>
            </w:r>
          </w:p>
        </w:tc>
        <w:tc>
          <w:tcPr>
            <w:tcW w:w="4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9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Common stock repurchased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(4,380</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(7,506</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(13,151</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(19,489</w:t>
            </w:r>
          </w:p>
        </w:tc>
        <w:tc>
          <w:tcPr>
            <w:tcW w:w="4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93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9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firstLine="245"/>
              <w:jc w:val="left"/>
              <w:rPr/>
            </w:pPr>
            <w:r>
              <w:rPr/>
              <w:t> </w:t>
            </w:r>
          </w:p>
        </w:tc>
      </w:tr>
      <w:tr>
        <w:trPr/>
        <w:tc>
          <w:tcPr>
            <w:tcW w:w="3931"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Balance, end of period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108,234</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righ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79,633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108,234</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79,633</w:t>
            </w:r>
          </w:p>
        </w:tc>
        <w:tc>
          <w:tcPr>
            <w:tcW w:w="436" w:type="dxa"/>
            <w:tcBorders/>
            <w:shd w:fill="auto" w:val="clear"/>
            <w:vAlign w:val="center"/>
          </w:tcPr>
          <w:p>
            <w:pPr>
              <w:pStyle w:val="TableContents"/>
              <w:spacing w:before="0" w:after="0"/>
              <w:ind w:left="0" w:right="0" w:hanging="0"/>
              <w:jc w:val="left"/>
              <w:rPr/>
            </w:pPr>
            <w:r>
              <w:rPr/>
              <w:t> </w:t>
            </w:r>
          </w:p>
        </w:tc>
      </w:tr>
      <w:tr>
        <w:trPr/>
        <w:tc>
          <w:tcPr>
            <w:tcW w:w="393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9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393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Accumulated other comprehensive loss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39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Balance, beginning of period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(6,457</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437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(4,678</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1,822</w:t>
            </w:r>
          </w:p>
        </w:tc>
        <w:tc>
          <w:tcPr>
            <w:tcW w:w="436" w:type="dxa"/>
            <w:tcBorders/>
            <w:shd w:fill="auto" w:val="clear"/>
            <w:vAlign w:val="center"/>
          </w:tcPr>
          <w:p>
            <w:pPr>
              <w:pStyle w:val="TableContents"/>
              <w:spacing w:before="0" w:after="0"/>
              <w:ind w:left="0" w:right="0" w:hanging="0"/>
              <w:jc w:val="left"/>
              <w:rPr/>
            </w:pPr>
            <w:r>
              <w:rPr/>
              <w:t> </w:t>
            </w:r>
          </w:p>
        </w:tc>
      </w:tr>
      <w:tr>
        <w:trPr/>
        <w:tc>
          <w:tcPr>
            <w:tcW w:w="39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Other comprehensive income (loss)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813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(2,913</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(966</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(4,298</w:t>
            </w:r>
          </w:p>
        </w:tc>
        <w:tc>
          <w:tcPr>
            <w:tcW w:w="4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93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9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firstLine="245"/>
              <w:jc w:val="left"/>
              <w:rPr/>
            </w:pPr>
            <w:r>
              <w:rPr/>
              <w:t> </w:t>
            </w:r>
          </w:p>
        </w:tc>
      </w:tr>
      <w:tr>
        <w:trPr/>
        <w:tc>
          <w:tcPr>
            <w:tcW w:w="3931"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Balance, end of period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(5,644</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(2,476</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(5,644</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(2,476</w:t>
            </w:r>
          </w:p>
        </w:tc>
        <w:tc>
          <w:tcPr>
            <w:tcW w:w="4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93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9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39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Total stockholders’ equity</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194,683</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162,924</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194,683</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162,924</w:t>
            </w:r>
          </w:p>
        </w:tc>
        <w:tc>
          <w:tcPr>
            <w:tcW w:w="436" w:type="dxa"/>
            <w:tcBorders/>
            <w:shd w:fill="auto" w:val="clear"/>
            <w:vAlign w:val="center"/>
          </w:tcPr>
          <w:p>
            <w:pPr>
              <w:pStyle w:val="TableContents"/>
              <w:spacing w:before="0" w:after="0"/>
              <w:ind w:left="0" w:right="0" w:hanging="0"/>
              <w:jc w:val="left"/>
              <w:rPr/>
            </w:pPr>
            <w:r>
              <w:rPr/>
              <w:t> </w:t>
            </w:r>
          </w:p>
        </w:tc>
      </w:tr>
      <w:tr>
        <w:trPr/>
        <w:tc>
          <w:tcPr>
            <w:tcW w:w="39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9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39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Cash dividends declared per common share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0.68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0.62</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2.04</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1.86</w:t>
            </w:r>
          </w:p>
        </w:tc>
        <w:tc>
          <w:tcPr>
            <w:tcW w:w="436" w:type="dxa"/>
            <w:tcBorders/>
            <w:shd w:fill="auto" w:val="clear"/>
            <w:vAlign w:val="center"/>
          </w:tcPr>
          <w:p>
            <w:pPr>
              <w:pStyle w:val="TableContents"/>
              <w:spacing w:before="0" w:after="0"/>
              <w:ind w:left="0" w:right="0" w:hanging="0"/>
              <w:jc w:val="left"/>
              <w:rPr/>
            </w:pPr>
            <w:r>
              <w:rPr/>
              <w:t> </w:t>
            </w:r>
          </w:p>
        </w:tc>
      </w:tr>
      <w:tr>
        <w:trPr/>
        <w:tc>
          <w:tcPr>
            <w:tcW w:w="393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Arial;sans-serif" w:hAnsi="Arial;sans-serif"/>
          <w:b w:val="false"/>
          <w:sz w:val="20"/>
        </w:rPr>
      </w:pPr>
      <w:r>
        <w:rPr>
          <w:rFonts w:ascii="Arial;sans-serif" w:hAnsi="Arial;sans-serif"/>
          <w:b w:val="false"/>
          <w:sz w:val="20"/>
        </w:rPr>
        <w:t>Refer to accompanying notes.</w:t>
      </w:r>
    </w:p>
    <w:p>
      <w:pPr>
        <w:pStyle w:val="TextBody"/>
        <w:spacing w:before="240" w:after="0"/>
        <w:jc w:val="center"/>
        <w:rPr>
          <w:rFonts w:ascii="Arial;sans-serif" w:hAnsi="Arial;sans-serif"/>
          <w:b w:val="false"/>
          <w:sz w:val="16"/>
        </w:rPr>
      </w:pPr>
      <w:r>
        <w:rPr>
          <w:rFonts w:ascii="Arial;sans-serif" w:hAnsi="Arial;sans-serif"/>
          <w:b w:val="false"/>
          <w:sz w:val="16"/>
        </w:rPr>
        <w:t>7</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w:t>
      </w:r>
    </w:p>
    <w:p>
      <w:pPr>
        <w:pStyle w:val="TextBody"/>
        <w:spacing w:before="0" w:after="0"/>
        <w:jc w:val="center"/>
        <w:rPr>
          <w:rFonts w:ascii="Arial;sans-serif" w:hAnsi="Arial;sans-serif"/>
          <w:b w:val="false"/>
          <w:sz w:val="15"/>
        </w:rPr>
      </w:pPr>
      <w:r>
        <w:rPr>
          <w:rFonts w:ascii="Arial;sans-serif" w:hAnsi="Arial;sans-serif"/>
          <w:b w:val="false"/>
          <w:sz w:val="15"/>
        </w:rPr>
        <w:t>Item 1</w:t>
      </w:r>
    </w:p>
    <w:p>
      <w:pPr>
        <w:pStyle w:val="TextBody"/>
        <w:spacing w:before="0" w:after="0"/>
        <w:jc w:val="left"/>
        <w:rPr/>
      </w:pPr>
      <w:r>
        <w:rPr/>
        <w:t> </w:t>
      </w:r>
    </w:p>
    <w:p>
      <w:pPr>
        <w:pStyle w:val="TextBody"/>
        <w:spacing w:before="0" w:after="0"/>
        <w:jc w:val="center"/>
        <w:rPr>
          <w:rFonts w:ascii="Times New Roman" w:hAnsi="Times New Roman"/>
          <w:sz w:val="20"/>
        </w:rPr>
      </w:pPr>
      <w:bookmarkStart w:id="9" w:name="notes_to_financial_statements"/>
      <w:bookmarkEnd w:id="9"/>
      <w:r>
        <w:rPr>
          <w:rFonts w:ascii="Arial;sans-serif" w:hAnsi="Arial;sans-serif"/>
          <w:b/>
          <w:sz w:val="20"/>
        </w:rPr>
        <w:t>NOTES TO FINANCIAL STATEMENTS</w:t>
      </w:r>
      <w:r>
        <w:rPr>
          <w:rFonts w:ascii="Times New Roman" w:hAnsi="Times New Roman"/>
          <w:sz w:val="20"/>
        </w:rPr>
        <w:t xml:space="preserve"> </w:t>
      </w:r>
    </w:p>
    <w:p>
      <w:pPr>
        <w:pStyle w:val="TextBody"/>
        <w:spacing w:before="90" w:after="0"/>
        <w:jc w:val="center"/>
        <w:rPr>
          <w:rFonts w:ascii="Times New Roman" w:hAnsi="Times New Roman"/>
          <w:sz w:val="20"/>
        </w:rPr>
      </w:pPr>
      <w:r>
        <w:rPr>
          <w:rFonts w:ascii="Arial;sans-serif" w:hAnsi="Arial;sans-serif"/>
          <w:b/>
          <w:i/>
          <w:sz w:val="20"/>
        </w:rPr>
        <w:t>(Unaudited)</w:t>
      </w:r>
      <w:r>
        <w:rPr>
          <w:rFonts w:ascii="Times New Roman" w:hAnsi="Times New Roman"/>
          <w:sz w:val="20"/>
        </w:rPr>
        <w:t xml:space="preserve"> </w:t>
      </w:r>
    </w:p>
    <w:p>
      <w:pPr>
        <w:pStyle w:val="TextBody"/>
        <w:spacing w:before="0" w:after="0"/>
        <w:jc w:val="center"/>
        <w:rPr/>
      </w:pPr>
      <w:r>
        <w:rPr/>
        <w:t> </w:t>
      </w:r>
    </w:p>
    <w:p>
      <w:pPr>
        <w:pStyle w:val="TextBody"/>
        <w:spacing w:before="90" w:after="0"/>
        <w:jc w:val="center"/>
        <w:rPr>
          <w:rFonts w:ascii="Arial;sans-serif" w:hAnsi="Arial;sans-serif"/>
          <w:b w:val="false"/>
          <w:sz w:val="20"/>
          <w:u w:val="single"/>
        </w:rPr>
      </w:pPr>
      <w:r>
        <w:rPr>
          <w:rFonts w:ascii="Arial;sans-serif" w:hAnsi="Arial;sans-serif"/>
          <w:b w:val="false"/>
          <w:sz w:val="20"/>
          <w:u w:val="single"/>
        </w:rPr>
        <w:t>NOTE 1 — ACCOUNTING POLICIES</w:t>
      </w:r>
    </w:p>
    <w:p>
      <w:pPr>
        <w:pStyle w:val="TextBody"/>
        <w:spacing w:before="180" w:after="0"/>
        <w:jc w:val="both"/>
        <w:rPr>
          <w:rFonts w:ascii="Times New Roman" w:hAnsi="Times New Roman"/>
          <w:sz w:val="20"/>
        </w:rPr>
      </w:pPr>
      <w:r>
        <w:rPr>
          <w:rFonts w:ascii="Arial;sans-serif" w:hAnsi="Arial;sans-serif"/>
          <w:b/>
          <w:sz w:val="20"/>
        </w:rPr>
        <w:t>Accounting Principles</w:t>
      </w:r>
      <w:r>
        <w:rPr>
          <w:rFonts w:ascii="Times New Roman" w:hAnsi="Times New Roman"/>
          <w:sz w:val="20"/>
        </w:rPr>
        <w:t xml:space="preserve"> </w:t>
      </w:r>
    </w:p>
    <w:p>
      <w:pPr>
        <w:pStyle w:val="TextBody"/>
        <w:spacing w:before="180" w:after="0"/>
        <w:jc w:val="both"/>
        <w:rPr>
          <w:rFonts w:ascii="Arial;sans-serif" w:hAnsi="Arial;sans-serif"/>
          <w:b w:val="false"/>
          <w:sz w:val="20"/>
        </w:rPr>
      </w:pPr>
      <w:r>
        <w:rPr>
          <w:rFonts w:ascii="Arial;sans-serif" w:hAnsi="Arial;sans-serif"/>
          <w:b w:val="false"/>
          <w:sz w:val="20"/>
        </w:rPr>
        <w:t>Our unaudited interim consolidated financial statements and accompanying notes are prepared in accordance with accounting principles generally accepted in the United States of America (“GAAP”). In the opinion of management, the unaudited interim consolidated financial statements reflect all adjustments of a normal recurring nature that are necessary for a fair presentation of the results for the interim periods presented. Interim results are not necessarily indicative of results for a full year. The information included in this Form 10-Q should be read in conjunction with information included in the Microsoft Corporation fiscal year 2022 Form 10-K filed with the U.S. Securities and Exchange Commission on July 28, 2022.</w:t>
      </w:r>
    </w:p>
    <w:p>
      <w:pPr>
        <w:pStyle w:val="TextBody"/>
        <w:spacing w:before="270" w:after="0"/>
        <w:jc w:val="both"/>
        <w:rPr>
          <w:rFonts w:ascii="Times New Roman" w:hAnsi="Times New Roman"/>
          <w:sz w:val="20"/>
        </w:rPr>
      </w:pPr>
      <w:r>
        <w:rPr>
          <w:rFonts w:ascii="Arial;sans-serif" w:hAnsi="Arial;sans-serif"/>
          <w:b/>
          <w:sz w:val="20"/>
        </w:rPr>
        <w:t>Principles of Consolidation</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The consolidated financial statements include the accounts of Microsoft Corporation and its subsidiaries. Intercompany transactions and balances have been eliminated.</w:t>
      </w:r>
      <w:r>
        <w:rPr>
          <w:rFonts w:ascii="Times New Roman" w:hAnsi="Times New Roman"/>
          <w:sz w:val="20"/>
        </w:rPr>
        <w:t xml:space="preserve"> </w:t>
      </w:r>
    </w:p>
    <w:p>
      <w:pPr>
        <w:pStyle w:val="TextBody"/>
        <w:spacing w:before="270" w:after="0"/>
        <w:jc w:val="both"/>
        <w:rPr>
          <w:rFonts w:ascii="Times New Roman" w:hAnsi="Times New Roman"/>
          <w:sz w:val="20"/>
        </w:rPr>
      </w:pPr>
      <w:r>
        <w:rPr>
          <w:rFonts w:ascii="Arial;sans-serif" w:hAnsi="Arial;sans-serif"/>
          <w:b/>
          <w:sz w:val="20"/>
        </w:rPr>
        <w:t>Estimates and Assumptions</w:t>
      </w:r>
      <w:r>
        <w:rPr>
          <w:rFonts w:ascii="Times New Roman" w:hAnsi="Times New Roman"/>
          <w:sz w:val="20"/>
        </w:rPr>
        <w:t xml:space="preserve"> </w:t>
      </w:r>
    </w:p>
    <w:p>
      <w:pPr>
        <w:pStyle w:val="TextBody"/>
        <w:spacing w:before="180" w:after="0"/>
        <w:jc w:val="both"/>
        <w:rPr>
          <w:rFonts w:ascii="Arial;sans-serif" w:hAnsi="Arial;sans-serif"/>
          <w:b w:val="false"/>
          <w:sz w:val="20"/>
        </w:rPr>
      </w:pPr>
      <w:r>
        <w:rPr>
          <w:rFonts w:ascii="Arial;sans-serif" w:hAnsi="Arial;sans-serif"/>
          <w:b w:val="false"/>
          <w:sz w:val="20"/>
        </w:rPr>
        <w:t>Preparing financial statements requires management to make estimates and assumptions that affect the reported amounts of assets, liabilities, revenue, and expenses. Examples of estimates and assumptions include: for revenue recognition, determining the nature and timing of satisfaction of performance obligations, and determining the standalone selling price (“SSP”) of performance obligations, variable consideration, and other obligations such as product returns and refunds; loss contingencies; product warranties; the fair value of and/or potential impairment of goodwill and intangible assets for our reporting units; product life cycles; useful lives of our tangible and intangible assets; allowances for doubtful accounts; the market value of, and demand for, our inventory; stock-based compensation forfeiture rates; when technological feasibility is achieved for our products; the potential outcome of uncertain tax positions that have been recognized in our consolidated financial statements or tax returns; and determining the timing and amount of impairments for investments. Actual results and outcomes may differ from management’s estimates and assumptions due to risks and uncertainties.</w:t>
      </w:r>
    </w:p>
    <w:p>
      <w:pPr>
        <w:pStyle w:val="TextBody"/>
        <w:spacing w:before="180" w:after="0"/>
        <w:jc w:val="both"/>
        <w:rPr>
          <w:rFonts w:ascii="Times New Roman" w:hAnsi="Times New Roman"/>
          <w:sz w:val="20"/>
        </w:rPr>
      </w:pPr>
      <w:r>
        <w:rPr>
          <w:rFonts w:ascii="Arial;sans-serif" w:hAnsi="Arial;sans-serif"/>
          <w:b w:val="false"/>
          <w:sz w:val="20"/>
        </w:rPr>
        <w:t>In July 2022, we completed an assessment of the useful lives of our server and network equipment. Due to investments in software that increased efficiencies in how we operate our server and network equipment, as well as advances in technology, we determined we should increase the estimated useful lives of both server and network equipment from four years</w:t>
      </w:r>
      <w:r>
        <w:rPr>
          <w:rFonts w:ascii="Times New Roman" w:hAnsi="Times New Roman"/>
          <w:sz w:val="20"/>
        </w:rPr>
        <w:t xml:space="preserve"> </w:t>
      </w:r>
      <w:r>
        <w:rPr>
          <w:rFonts w:ascii="Arial;sans-serif" w:hAnsi="Arial;sans-serif"/>
          <w:b w:val="false"/>
          <w:sz w:val="20"/>
        </w:rPr>
        <w:t>to six years. This change in accounting estimate was effective beginning fiscal year 2023. Based on the carrying amount of server and network equipment included in property and equipment, net as of June 30, 2022, the effect of this change in estimate for the three months ended March 31, 2023 was an increase in operating income of $885</w:t>
      </w:r>
      <w:r>
        <w:rPr>
          <w:rFonts w:ascii="Times New Roman" w:hAnsi="Times New Roman"/>
          <w:sz w:val="20"/>
        </w:rPr>
        <w:t xml:space="preserve"> </w:t>
      </w:r>
      <w:r>
        <w:rPr>
          <w:rFonts w:ascii="Arial;sans-serif" w:hAnsi="Arial;sans-serif"/>
          <w:b w:val="false"/>
          <w:sz w:val="20"/>
        </w:rPr>
        <w:t>million and net income of $720</w:t>
      </w:r>
      <w:r>
        <w:rPr>
          <w:rFonts w:ascii="Times New Roman" w:hAnsi="Times New Roman"/>
          <w:sz w:val="20"/>
        </w:rPr>
        <w:t xml:space="preserve"> </w:t>
      </w:r>
      <w:r>
        <w:rPr>
          <w:rFonts w:ascii="Arial;sans-serif" w:hAnsi="Arial;sans-serif"/>
          <w:b w:val="false"/>
          <w:sz w:val="20"/>
        </w:rPr>
        <w:t>million, or $0.10</w:t>
      </w:r>
      <w:r>
        <w:rPr>
          <w:rFonts w:ascii="Times New Roman" w:hAnsi="Times New Roman"/>
          <w:sz w:val="20"/>
        </w:rPr>
        <w:t xml:space="preserve"> </w:t>
      </w:r>
      <w:r>
        <w:rPr>
          <w:rFonts w:ascii="Arial;sans-serif" w:hAnsi="Arial;sans-serif"/>
          <w:b w:val="false"/>
          <w:sz w:val="20"/>
        </w:rPr>
        <w:t>per both basic and diluted share. The effect of this change for the nine months ended March 31, 2023 was an increase in operating income of $2.9</w:t>
      </w:r>
      <w:r>
        <w:rPr>
          <w:rFonts w:ascii="Times New Roman" w:hAnsi="Times New Roman"/>
          <w:sz w:val="20"/>
        </w:rPr>
        <w:t xml:space="preserve"> </w:t>
      </w:r>
      <w:r>
        <w:rPr>
          <w:rFonts w:ascii="Arial;sans-serif" w:hAnsi="Arial;sans-serif"/>
          <w:b w:val="false"/>
          <w:sz w:val="20"/>
        </w:rPr>
        <w:t>billion and net income of $2.3</w:t>
      </w:r>
      <w:r>
        <w:rPr>
          <w:rFonts w:ascii="Times New Roman" w:hAnsi="Times New Roman"/>
          <w:sz w:val="20"/>
        </w:rPr>
        <w:t xml:space="preserve"> </w:t>
      </w:r>
      <w:r>
        <w:rPr>
          <w:rFonts w:ascii="Arial;sans-serif" w:hAnsi="Arial;sans-serif"/>
          <w:b w:val="false"/>
          <w:sz w:val="20"/>
        </w:rPr>
        <w:t>billion, or $0.32</w:t>
      </w:r>
      <w:r>
        <w:rPr>
          <w:rFonts w:ascii="Times New Roman" w:hAnsi="Times New Roman"/>
          <w:sz w:val="20"/>
        </w:rPr>
        <w:t xml:space="preserve"> </w:t>
      </w:r>
      <w:r>
        <w:rPr>
          <w:rFonts w:ascii="Arial;sans-serif" w:hAnsi="Arial;sans-serif"/>
          <w:b w:val="false"/>
          <w:sz w:val="20"/>
        </w:rPr>
        <w:t>and $0.31</w:t>
      </w:r>
      <w:r>
        <w:rPr>
          <w:rFonts w:ascii="Times New Roman" w:hAnsi="Times New Roman"/>
          <w:sz w:val="20"/>
        </w:rPr>
        <w:t xml:space="preserve"> </w:t>
      </w:r>
      <w:r>
        <w:rPr>
          <w:rFonts w:ascii="Arial;sans-serif" w:hAnsi="Arial;sans-serif"/>
          <w:b w:val="false"/>
          <w:sz w:val="20"/>
        </w:rPr>
        <w:t>per basic and diluted share, respectively.</w:t>
      </w:r>
    </w:p>
    <w:p>
      <w:pPr>
        <w:pStyle w:val="TextBody"/>
        <w:spacing w:before="270" w:after="0"/>
        <w:jc w:val="both"/>
        <w:rPr>
          <w:rFonts w:ascii="Arial;sans-serif" w:hAnsi="Arial;sans-serif"/>
          <w:b/>
          <w:sz w:val="20"/>
        </w:rPr>
      </w:pPr>
      <w:r>
        <w:rPr>
          <w:rFonts w:ascii="Arial;sans-serif" w:hAnsi="Arial;sans-serif"/>
          <w:b/>
          <w:sz w:val="20"/>
        </w:rPr>
        <w:t>Financial Instruments</w:t>
      </w:r>
    </w:p>
    <w:p>
      <w:pPr>
        <w:pStyle w:val="TextBody"/>
        <w:spacing w:before="180" w:after="0"/>
        <w:jc w:val="both"/>
        <w:rPr>
          <w:rFonts w:ascii="Arial;sans-serif" w:hAnsi="Arial;sans-serif"/>
          <w:b/>
          <w:i/>
          <w:sz w:val="20"/>
        </w:rPr>
      </w:pPr>
      <w:r>
        <w:rPr>
          <w:rFonts w:ascii="Arial;sans-serif" w:hAnsi="Arial;sans-serif"/>
          <w:b/>
          <w:i/>
          <w:sz w:val="20"/>
        </w:rPr>
        <w:t>Investments</w:t>
      </w:r>
    </w:p>
    <w:p>
      <w:pPr>
        <w:pStyle w:val="TextBody"/>
        <w:spacing w:before="180" w:after="0"/>
        <w:jc w:val="both"/>
        <w:rPr>
          <w:rFonts w:ascii="Arial;sans-serif" w:hAnsi="Arial;sans-serif"/>
          <w:b w:val="false"/>
          <w:sz w:val="20"/>
        </w:rPr>
      </w:pPr>
      <w:r>
        <w:rPr>
          <w:rFonts w:ascii="Arial;sans-serif" w:hAnsi="Arial;sans-serif"/>
          <w:b w:val="false"/>
          <w:sz w:val="20"/>
        </w:rPr>
        <w:t>We consider all highly liquid interest-earning investments with a maturity of three months or less at the date of purchase to be cash equivalents. The fair values of these investments approximate their carrying values. In general, investments with original maturities of greater than three months and remaining maturities of less than one year are classified as short-term investments. Investments with maturities beyond one year may be classified as short-term based on their highly liquid nature and because such marketable securities represent the investment of cash that is available for current operations.</w:t>
      </w:r>
    </w:p>
    <w:p>
      <w:pPr>
        <w:pStyle w:val="TextBody"/>
        <w:spacing w:before="240" w:after="0"/>
        <w:jc w:val="center"/>
        <w:rPr>
          <w:rFonts w:ascii="Arial;sans-serif" w:hAnsi="Arial;sans-serif"/>
          <w:b w:val="false"/>
          <w:sz w:val="16"/>
        </w:rPr>
      </w:pPr>
      <w:r>
        <w:rPr>
          <w:rFonts w:ascii="Arial;sans-serif" w:hAnsi="Arial;sans-serif"/>
          <w:b w:val="false"/>
          <w:sz w:val="16"/>
        </w:rPr>
        <w:t>8</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w:t>
      </w:r>
    </w:p>
    <w:p>
      <w:pPr>
        <w:pStyle w:val="TextBody"/>
        <w:spacing w:before="0" w:after="0"/>
        <w:jc w:val="center"/>
        <w:rPr>
          <w:rFonts w:ascii="Arial;sans-serif" w:hAnsi="Arial;sans-serif"/>
          <w:b w:val="false"/>
          <w:sz w:val="15"/>
        </w:rPr>
      </w:pPr>
      <w:r>
        <w:rPr>
          <w:rFonts w:ascii="Arial;sans-serif" w:hAnsi="Arial;sans-serif"/>
          <w:b w:val="false"/>
          <w:sz w:val="15"/>
        </w:rPr>
        <w:t>Item 1</w:t>
      </w:r>
    </w:p>
    <w:p>
      <w:pPr>
        <w:pStyle w:val="TextBody"/>
        <w:spacing w:before="0" w:after="0"/>
        <w:jc w:val="left"/>
        <w:rPr/>
      </w:pPr>
      <w:r>
        <w:rPr/>
        <w:t> </w:t>
      </w:r>
    </w:p>
    <w:p>
      <w:pPr>
        <w:pStyle w:val="TextBody"/>
        <w:spacing w:before="180" w:after="0"/>
        <w:jc w:val="both"/>
        <w:rPr>
          <w:rFonts w:ascii="Arial;sans-serif" w:hAnsi="Arial;sans-serif"/>
          <w:b w:val="false"/>
          <w:sz w:val="20"/>
        </w:rPr>
      </w:pPr>
      <w:r>
        <w:rPr>
          <w:rFonts w:ascii="Arial;sans-serif" w:hAnsi="Arial;sans-serif"/>
          <w:b w:val="false"/>
          <w:sz w:val="20"/>
        </w:rPr>
        <w:t>Debt investments are classified as available-for-sale and realized gains and losses are recorded using the specific identification method. Changes in fair value, excluding credit losses and impairments, are recorded in other comprehensive income. Fair value is calculated based on publicly available market information or other estimates determined by management. If the cost of an investment exceeds its fair value, we evaluate, among other factors, general market conditions, credit quality of debt instrument issuers, and the extent to which the fair value is less than cost. To determine credit losses, we employ a systematic methodology that considers available quantitative and qualitative evidence. In addition, we consider specific adverse conditions related to the financial health of, and business outlook for, the investee. If we have plans to sell the security or it is more likely than not that we will be required to sell the security before recovery, then a decline in fair value below cost is recorded as an impairment charge in other income (expense), net and a new cost basis in the investment is established. If market, industry, and/or investee conditions deteriorate, we may incur future impairments.</w:t>
      </w:r>
    </w:p>
    <w:p>
      <w:pPr>
        <w:pStyle w:val="TextBody"/>
        <w:spacing w:before="180" w:after="0"/>
        <w:jc w:val="both"/>
        <w:rPr>
          <w:rFonts w:ascii="Arial;sans-serif" w:hAnsi="Arial;sans-serif"/>
          <w:b w:val="false"/>
          <w:sz w:val="20"/>
        </w:rPr>
      </w:pPr>
      <w:r>
        <w:rPr>
          <w:rFonts w:ascii="Arial;sans-serif" w:hAnsi="Arial;sans-serif"/>
          <w:b w:val="false"/>
          <w:sz w:val="20"/>
        </w:rPr>
        <w:t>Equity investments with readily determinable fair values are measured at fair value. Equity investments without readily determinable fair values are measured using the equity method or measured at cost with adjustments for observable changes in price or impairments (referred to as the measurement alternative). We perform a qualitative assessment on a periodic basis and recognize an impairment if there are sufficient indicators that the fair value of the investment is less than carrying value. Changes in value are recorded in other income (expense), net.</w:t>
      </w:r>
    </w:p>
    <w:p>
      <w:pPr>
        <w:pStyle w:val="TextBody"/>
        <w:spacing w:before="270" w:after="0"/>
        <w:jc w:val="both"/>
        <w:rPr>
          <w:rFonts w:ascii="Arial;sans-serif" w:hAnsi="Arial;sans-serif"/>
          <w:b/>
          <w:i/>
          <w:sz w:val="20"/>
        </w:rPr>
      </w:pPr>
      <w:r>
        <w:rPr>
          <w:rFonts w:ascii="Arial;sans-serif" w:hAnsi="Arial;sans-serif"/>
          <w:b/>
          <w:i/>
          <w:sz w:val="20"/>
        </w:rPr>
        <w:t>Derivatives</w:t>
      </w:r>
    </w:p>
    <w:p>
      <w:pPr>
        <w:pStyle w:val="TextBody"/>
        <w:spacing w:before="180" w:after="0"/>
        <w:jc w:val="both"/>
        <w:rPr>
          <w:rFonts w:ascii="Arial;sans-serif" w:hAnsi="Arial;sans-serif"/>
          <w:b w:val="false"/>
          <w:sz w:val="20"/>
        </w:rPr>
      </w:pPr>
      <w:r>
        <w:rPr>
          <w:rFonts w:ascii="Arial;sans-serif" w:hAnsi="Arial;sans-serif"/>
          <w:b w:val="false"/>
          <w:sz w:val="20"/>
        </w:rPr>
        <w:t>Derivative instruments are recognized as either assets or liabilities and measured at fair value. The accounting for changes in the fair value of a derivative depends on the intended use of the derivative and the resulting designation.</w:t>
      </w:r>
    </w:p>
    <w:p>
      <w:pPr>
        <w:pStyle w:val="TextBody"/>
        <w:spacing w:before="180" w:after="0"/>
        <w:jc w:val="both"/>
        <w:rPr>
          <w:rFonts w:ascii="Arial;sans-serif" w:hAnsi="Arial;sans-serif"/>
          <w:b w:val="false"/>
          <w:sz w:val="20"/>
        </w:rPr>
      </w:pPr>
      <w:r>
        <w:rPr>
          <w:rFonts w:ascii="Arial;sans-serif" w:hAnsi="Arial;sans-serif"/>
          <w:b w:val="false"/>
          <w:sz w:val="20"/>
        </w:rPr>
        <w:t>For derivative instruments designated as fair value hedges, gains and losses are recognized in other income (expense), net with offsetting gains and losses on the hedged items. Gains and losses representing hedge components excluded from the assessment of effectiveness are recognized in other income (expense), net.</w:t>
      </w:r>
    </w:p>
    <w:p>
      <w:pPr>
        <w:pStyle w:val="TextBody"/>
        <w:spacing w:before="180" w:after="0"/>
        <w:jc w:val="both"/>
        <w:rPr>
          <w:rFonts w:ascii="Arial;sans-serif" w:hAnsi="Arial;sans-serif"/>
          <w:b w:val="false"/>
          <w:sz w:val="20"/>
        </w:rPr>
      </w:pPr>
      <w:r>
        <w:rPr>
          <w:rFonts w:ascii="Arial;sans-serif" w:hAnsi="Arial;sans-serif"/>
          <w:b w:val="false"/>
          <w:sz w:val="20"/>
        </w:rPr>
        <w:t>For derivative instruments designated as cash flow hedges, gains and losses are initially reported as a component of other comprehensive income and subsequently recognized in other income (expense), net with the corresponding hedged item. Gains and losses representing hedge components excluded from the assessment of effectiveness are recognized in other income (expense), net.</w:t>
      </w:r>
    </w:p>
    <w:p>
      <w:pPr>
        <w:pStyle w:val="TextBody"/>
        <w:spacing w:before="180" w:after="0"/>
        <w:jc w:val="both"/>
        <w:rPr>
          <w:rFonts w:ascii="Arial;sans-serif" w:hAnsi="Arial;sans-serif"/>
          <w:b w:val="false"/>
          <w:sz w:val="20"/>
        </w:rPr>
      </w:pPr>
      <w:r>
        <w:rPr>
          <w:rFonts w:ascii="Arial;sans-serif" w:hAnsi="Arial;sans-serif"/>
          <w:b w:val="false"/>
          <w:sz w:val="20"/>
        </w:rPr>
        <w:t>For derivative instruments that are not designated as hedges, gains and losses from changes in fair values are primarily recognized in other income (expense), net.</w:t>
      </w:r>
    </w:p>
    <w:p>
      <w:pPr>
        <w:pStyle w:val="TextBody"/>
        <w:spacing w:before="270" w:after="0"/>
        <w:jc w:val="both"/>
        <w:rPr>
          <w:rFonts w:ascii="Arial;sans-serif" w:hAnsi="Arial;sans-serif"/>
          <w:b/>
          <w:sz w:val="20"/>
        </w:rPr>
      </w:pPr>
      <w:r>
        <w:rPr>
          <w:rFonts w:ascii="Arial;sans-serif" w:hAnsi="Arial;sans-serif"/>
          <w:b/>
          <w:sz w:val="20"/>
        </w:rPr>
        <w:t>Fair Value Measurements</w:t>
      </w:r>
    </w:p>
    <w:p>
      <w:pPr>
        <w:pStyle w:val="TextBody"/>
        <w:spacing w:before="180" w:after="0"/>
        <w:jc w:val="both"/>
        <w:rPr>
          <w:rFonts w:ascii="Arial;sans-serif" w:hAnsi="Arial;sans-serif"/>
          <w:b w:val="false"/>
          <w:sz w:val="20"/>
        </w:rPr>
      </w:pPr>
      <w:r>
        <w:rPr>
          <w:rFonts w:ascii="Arial;sans-serif" w:hAnsi="Arial;sans-serif"/>
          <w:b w:val="false"/>
          <w:sz w:val="20"/>
        </w:rPr>
        <w:t>We account for certain assets and liabilities at fair value. The hierarchy below lists three levels of fair value based on the extent to which inputs used in measuring fair value are observable in the market. We categorize each of our fair value measurements in one of these three levels based on the lowest level input that is significant to the fair value measurement in its entirety. These levels are:</w:t>
      </w:r>
    </w:p>
    <w:p>
      <w:pPr>
        <w:pStyle w:val="TextBody"/>
        <w:spacing w:before="90" w:after="0"/>
        <w:jc w:val="both"/>
        <w:rPr/>
      </w:pPr>
      <w:r>
        <w:rPr/>
        <w:t>•</w:t>
      </w:r>
    </w:p>
    <w:p>
      <w:pPr>
        <w:pStyle w:val="TextBody"/>
        <w:spacing w:before="90" w:after="283"/>
        <w:jc w:val="both"/>
        <w:rPr>
          <w:rFonts w:ascii="Arial;sans-serif" w:hAnsi="Arial;sans-serif"/>
          <w:sz w:val="20"/>
        </w:rPr>
      </w:pPr>
      <w:r>
        <w:rPr>
          <w:rFonts w:ascii="Arial;sans-serif" w:hAnsi="Arial;sans-serif"/>
          <w:b w:val="false"/>
          <w:i/>
          <w:sz w:val="20"/>
        </w:rPr>
        <w:t>Level 1</w:t>
      </w:r>
      <w:r>
        <w:rPr>
          <w:rFonts w:ascii="Arial;sans-serif" w:hAnsi="Arial;sans-serif"/>
          <w:sz w:val="20"/>
        </w:rPr>
        <w:t xml:space="preserve"> – </w:t>
      </w:r>
      <w:r>
        <w:rPr>
          <w:rFonts w:ascii="Arial;sans-serif" w:hAnsi="Arial;sans-serif"/>
          <w:b w:val="false"/>
          <w:sz w:val="20"/>
        </w:rPr>
        <w:t>inputs are based upon unadjusted quoted prices for identical instruments in active markets. Our Level 1 investments include U.S. government securities, common and preferred stock, and mutual funds. Our Level 1 derivative assets and liabilities include those actively traded on exchanges.</w:t>
      </w:r>
    </w:p>
    <w:p>
      <w:pPr>
        <w:pStyle w:val="TextBody"/>
        <w:spacing w:before="240" w:after="0"/>
        <w:jc w:val="center"/>
        <w:rPr>
          <w:rFonts w:ascii="Arial;sans-serif" w:hAnsi="Arial;sans-serif"/>
          <w:b w:val="false"/>
          <w:sz w:val="16"/>
        </w:rPr>
      </w:pPr>
      <w:r>
        <w:rPr>
          <w:rFonts w:ascii="Arial;sans-serif" w:hAnsi="Arial;sans-serif"/>
          <w:b w:val="false"/>
          <w:sz w:val="16"/>
        </w:rPr>
        <w:t>9</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w:t>
      </w:r>
    </w:p>
    <w:p>
      <w:pPr>
        <w:pStyle w:val="TextBody"/>
        <w:spacing w:before="0" w:after="0"/>
        <w:jc w:val="center"/>
        <w:rPr>
          <w:rFonts w:ascii="Arial;sans-serif" w:hAnsi="Arial;sans-serif"/>
          <w:b w:val="false"/>
          <w:sz w:val="15"/>
        </w:rPr>
      </w:pPr>
      <w:r>
        <w:rPr>
          <w:rFonts w:ascii="Arial;sans-serif" w:hAnsi="Arial;sans-serif"/>
          <w:b w:val="false"/>
          <w:sz w:val="15"/>
        </w:rPr>
        <w:t>Item 1</w:t>
      </w:r>
    </w:p>
    <w:p>
      <w:pPr>
        <w:pStyle w:val="TextBody"/>
        <w:spacing w:before="0" w:after="0"/>
        <w:jc w:val="left"/>
        <w:rPr/>
      </w:pPr>
      <w:r>
        <w:rPr/>
        <w:t> </w:t>
      </w:r>
    </w:p>
    <w:p>
      <w:pPr>
        <w:pStyle w:val="TextBody"/>
        <w:spacing w:before="90" w:after="0"/>
        <w:jc w:val="both"/>
        <w:rPr/>
      </w:pPr>
      <w:r>
        <w:rPr/>
        <w:t>•</w:t>
      </w:r>
    </w:p>
    <w:p>
      <w:pPr>
        <w:pStyle w:val="TextBody"/>
        <w:spacing w:before="90" w:after="0"/>
        <w:jc w:val="both"/>
        <w:rPr>
          <w:rFonts w:ascii="Arial;sans-serif" w:hAnsi="Arial;sans-serif"/>
          <w:sz w:val="20"/>
        </w:rPr>
      </w:pPr>
      <w:r>
        <w:rPr>
          <w:rFonts w:ascii="Arial;sans-serif" w:hAnsi="Arial;sans-serif"/>
          <w:b w:val="false"/>
          <w:i/>
          <w:sz w:val="20"/>
        </w:rPr>
        <w:t>Level 2</w:t>
      </w:r>
      <w:r>
        <w:rPr>
          <w:rFonts w:ascii="Arial;sans-serif" w:hAnsi="Arial;sans-serif"/>
          <w:sz w:val="20"/>
        </w:rPr>
        <w:t xml:space="preserve"> – </w:t>
      </w:r>
      <w:r>
        <w:rPr>
          <w:rFonts w:ascii="Arial;sans-serif" w:hAnsi="Arial;sans-serif"/>
          <w:b w:val="false"/>
          <w:sz w:val="20"/>
        </w:rPr>
        <w:t>inputs are based upon quoted prices for similar instruments in active markets, quoted prices for identical or similar instruments in markets that are not active, and model-based valuation techniques (e.g. the Black-Scholes model) for which all significant inputs are observable in the market or can be corroborated by observable market data for substantially the full term of the assets or liabilities. Where applicable, these models project future cash flows and discount the future amounts to a present value using market-based observable inputs including interest rate curves, credit spreads, foreign exchange rates, and forward and spot prices for currencies. Our Level 2 investments include commercial paper, certificates of deposit, U.S. agency securities, foreign government bonds, mortgage- and asset-backed securities, corporate notes and bonds, and municipal securities. Our Level 2 derivative assets and liabilities include certain cleared swap contracts and over-the-counter forward, option, and swap contracts.</w:t>
      </w:r>
    </w:p>
    <w:p>
      <w:pPr>
        <w:pStyle w:val="TextBody"/>
        <w:spacing w:before="90" w:after="0"/>
        <w:jc w:val="both"/>
        <w:rPr/>
      </w:pPr>
      <w:r>
        <w:rPr/>
        <w:t>•</w:t>
      </w:r>
    </w:p>
    <w:p>
      <w:pPr>
        <w:pStyle w:val="TextBody"/>
        <w:spacing w:before="90" w:after="283"/>
        <w:jc w:val="both"/>
        <w:rPr>
          <w:rFonts w:ascii="Arial;sans-serif" w:hAnsi="Arial;sans-serif"/>
          <w:sz w:val="20"/>
        </w:rPr>
      </w:pPr>
      <w:r>
        <w:rPr>
          <w:rFonts w:ascii="Arial;sans-serif" w:hAnsi="Arial;sans-serif"/>
          <w:b w:val="false"/>
          <w:i/>
          <w:sz w:val="20"/>
        </w:rPr>
        <w:t>Level 3</w:t>
      </w:r>
      <w:r>
        <w:rPr>
          <w:rFonts w:ascii="Arial;sans-serif" w:hAnsi="Arial;sans-serif"/>
          <w:sz w:val="20"/>
        </w:rPr>
        <w:t xml:space="preserve"> – </w:t>
      </w:r>
      <w:r>
        <w:rPr>
          <w:rFonts w:ascii="Arial;sans-serif" w:hAnsi="Arial;sans-serif"/>
          <w:b w:val="false"/>
          <w:sz w:val="20"/>
        </w:rPr>
        <w:t>inputs are generally unobservable and typically reflect management’s estimates of assumptions that market participants would use in pricing the asset or liability. The fair values are therefore determined using model-based techniques, including option pricing models and discounted cash flow models. Our Level 3 assets and liabilities include investments in corporate notes and bonds, municipal securities, and goodwill and intangible assets, when they are recorded at fair value due to an impairment charge. Unobservable inputs used in the models are significant to the fair values of the assets and liabilities.</w:t>
      </w:r>
    </w:p>
    <w:p>
      <w:pPr>
        <w:pStyle w:val="TextBody"/>
        <w:spacing w:before="180" w:after="0"/>
        <w:jc w:val="both"/>
        <w:rPr>
          <w:rFonts w:ascii="Arial;sans-serif" w:hAnsi="Arial;sans-serif"/>
          <w:b w:val="false"/>
          <w:sz w:val="20"/>
        </w:rPr>
      </w:pPr>
      <w:r>
        <w:rPr>
          <w:rFonts w:ascii="Arial;sans-serif" w:hAnsi="Arial;sans-serif"/>
          <w:b w:val="false"/>
          <w:sz w:val="20"/>
        </w:rPr>
        <w:t>We measure equity investments without readily determinable fair values on a nonrecurring basis. The fair values of these investments are determined based on valuation techniques using the best information available, and may include quoted market prices, market comparables, and discounted cash flow projections.</w:t>
      </w:r>
    </w:p>
    <w:p>
      <w:pPr>
        <w:pStyle w:val="TextBody"/>
        <w:spacing w:before="180" w:after="0"/>
        <w:jc w:val="both"/>
        <w:rPr>
          <w:rFonts w:ascii="Arial;sans-serif" w:hAnsi="Arial;sans-serif"/>
          <w:b w:val="false"/>
          <w:sz w:val="20"/>
        </w:rPr>
      </w:pPr>
      <w:r>
        <w:rPr>
          <w:rFonts w:ascii="Arial;sans-serif" w:hAnsi="Arial;sans-serif"/>
          <w:b w:val="false"/>
          <w:sz w:val="20"/>
        </w:rPr>
        <w:t>Our other current financial assets and current financial liabilities have fair values that approximate their carrying values.</w:t>
      </w:r>
    </w:p>
    <w:p>
      <w:pPr>
        <w:pStyle w:val="TextBody"/>
        <w:spacing w:before="270" w:after="0"/>
        <w:jc w:val="both"/>
        <w:rPr>
          <w:rFonts w:ascii="Times New Roman" w:hAnsi="Times New Roman"/>
          <w:sz w:val="20"/>
        </w:rPr>
      </w:pPr>
      <w:r>
        <w:rPr>
          <w:rFonts w:ascii="Arial;sans-serif" w:hAnsi="Arial;sans-serif"/>
          <w:b/>
          <w:sz w:val="20"/>
        </w:rPr>
        <w:t>Contract Balances and Other Receivables</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As of March 31, 2023 and June 30, 2022, other receivables due from suppliers were $717</w:t>
      </w:r>
      <w:r>
        <w:rPr>
          <w:rFonts w:ascii="Times New Roman" w:hAnsi="Times New Roman"/>
          <w:sz w:val="20"/>
        </w:rPr>
        <w:t xml:space="preserve"> </w:t>
      </w:r>
      <w:r>
        <w:rPr>
          <w:rFonts w:ascii="Arial;sans-serif" w:hAnsi="Arial;sans-serif"/>
          <w:b w:val="false"/>
          <w:sz w:val="20"/>
        </w:rPr>
        <w:t>million and $1.0</w:t>
      </w:r>
      <w:r>
        <w:rPr>
          <w:rFonts w:ascii="Times New Roman" w:hAnsi="Times New Roman"/>
          <w:sz w:val="20"/>
        </w:rPr>
        <w:t xml:space="preserve"> </w:t>
      </w:r>
      <w:r>
        <w:rPr>
          <w:rFonts w:ascii="Arial;sans-serif" w:hAnsi="Arial;sans-serif"/>
          <w:b w:val="false"/>
          <w:sz w:val="20"/>
        </w:rPr>
        <w:t>billion, respectively, and are included in accounts receivable, net in our consolidated balance sheets.</w:t>
      </w:r>
    </w:p>
    <w:p>
      <w:pPr>
        <w:pStyle w:val="TextBody"/>
        <w:spacing w:before="180" w:after="0"/>
        <w:jc w:val="both"/>
        <w:rPr>
          <w:rFonts w:ascii="Times New Roman" w:hAnsi="Times New Roman"/>
          <w:sz w:val="20"/>
        </w:rPr>
      </w:pPr>
      <w:r>
        <w:rPr>
          <w:rFonts w:ascii="Arial;sans-serif" w:hAnsi="Arial;sans-serif"/>
          <w:b w:val="false"/>
          <w:sz w:val="20"/>
        </w:rPr>
        <w:t>As of March 31, 2023 and June 30, 2022, long-term accounts receivable, net of allowance for doubtful accounts, was $4.3</w:t>
      </w:r>
      <w:r>
        <w:rPr>
          <w:rFonts w:ascii="Times New Roman" w:hAnsi="Times New Roman"/>
          <w:sz w:val="20"/>
        </w:rPr>
        <w:t xml:space="preserve"> </w:t>
      </w:r>
      <w:r>
        <w:rPr>
          <w:rFonts w:ascii="Arial;sans-serif" w:hAnsi="Arial;sans-serif"/>
          <w:b w:val="false"/>
          <w:sz w:val="20"/>
        </w:rPr>
        <w:t>billion and $3.8</w:t>
      </w:r>
      <w:r>
        <w:rPr>
          <w:rFonts w:ascii="Times New Roman" w:hAnsi="Times New Roman"/>
          <w:sz w:val="20"/>
        </w:rPr>
        <w:t xml:space="preserve"> </w:t>
      </w:r>
      <w:r>
        <w:rPr>
          <w:rFonts w:ascii="Arial;sans-serif" w:hAnsi="Arial;sans-serif"/>
          <w:b w:val="false"/>
          <w:sz w:val="20"/>
        </w:rPr>
        <w:t>billion, respectively, and is included in other long-term assets in our consolidated balance sheets.</w:t>
      </w:r>
    </w:p>
    <w:p>
      <w:pPr>
        <w:pStyle w:val="TextBody"/>
        <w:spacing w:before="180" w:after="0"/>
        <w:jc w:val="both"/>
        <w:rPr>
          <w:rFonts w:ascii="Times New Roman" w:hAnsi="Times New Roman"/>
          <w:sz w:val="20"/>
        </w:rPr>
      </w:pPr>
      <w:r>
        <w:rPr>
          <w:rFonts w:ascii="Arial;sans-serif" w:hAnsi="Arial;sans-serif"/>
          <w:b w:val="false"/>
          <w:sz w:val="20"/>
        </w:rPr>
        <w:t>We record financing receivables when we offer certain of our customers the option to acquire our software products and services offerings through a financing program in a limited number of countries. As of March 31, 2023 and June 30, 2022, our financing receivables, net were $2.7</w:t>
      </w:r>
      <w:r>
        <w:rPr>
          <w:rFonts w:ascii="Times New Roman" w:hAnsi="Times New Roman"/>
          <w:sz w:val="20"/>
        </w:rPr>
        <w:t xml:space="preserve"> </w:t>
      </w:r>
      <w:r>
        <w:rPr>
          <w:rFonts w:ascii="Arial;sans-serif" w:hAnsi="Arial;sans-serif"/>
          <w:b w:val="false"/>
          <w:sz w:val="20"/>
        </w:rPr>
        <w:t>billion and $4.1</w:t>
      </w:r>
      <w:r>
        <w:rPr>
          <w:rFonts w:ascii="Times New Roman" w:hAnsi="Times New Roman"/>
          <w:sz w:val="20"/>
        </w:rPr>
        <w:t xml:space="preserve"> </w:t>
      </w:r>
      <w:r>
        <w:rPr>
          <w:rFonts w:ascii="Arial;sans-serif" w:hAnsi="Arial;sans-serif"/>
          <w:b w:val="false"/>
          <w:sz w:val="20"/>
        </w:rPr>
        <w:t>billion, respectively, for short-term and long-term financing receivables, which are included in other current assets and other long-term assets in our consolidated balance sheets. We record an allowance to cover expected losses based on troubled accounts, historical experience, and other currently available evidence.</w:t>
      </w:r>
    </w:p>
    <w:p>
      <w:pPr>
        <w:pStyle w:val="TextBody"/>
        <w:spacing w:before="270" w:after="0"/>
        <w:jc w:val="both"/>
        <w:rPr>
          <w:rFonts w:ascii="Arial;sans-serif" w:hAnsi="Arial;sans-serif"/>
          <w:b/>
          <w:sz w:val="20"/>
        </w:rPr>
      </w:pPr>
      <w:r>
        <w:rPr>
          <w:rFonts w:ascii="Arial;sans-serif" w:hAnsi="Arial;sans-serif"/>
          <w:b/>
          <w:sz w:val="20"/>
        </w:rPr>
        <w:t>Employee Severance</w:t>
      </w:r>
    </w:p>
    <w:p>
      <w:pPr>
        <w:pStyle w:val="TextBody"/>
        <w:spacing w:before="180" w:after="0"/>
        <w:jc w:val="both"/>
        <w:rPr>
          <w:rFonts w:ascii="Times New Roman" w:hAnsi="Times New Roman"/>
          <w:sz w:val="20"/>
        </w:rPr>
      </w:pPr>
      <w:r>
        <w:rPr>
          <w:rFonts w:ascii="Arial;sans-serif" w:hAnsi="Arial;sans-serif"/>
          <w:b w:val="false"/>
          <w:sz w:val="20"/>
        </w:rPr>
        <w:t>On January 18, 2023, we announced a decision to reduce our overall workforce by approximately 10,000</w:t>
      </w:r>
      <w:r>
        <w:rPr>
          <w:rFonts w:ascii="Times New Roman" w:hAnsi="Times New Roman"/>
          <w:sz w:val="20"/>
        </w:rPr>
        <w:t xml:space="preserve"> </w:t>
      </w:r>
      <w:r>
        <w:rPr>
          <w:rFonts w:ascii="Arial;sans-serif" w:hAnsi="Arial;sans-serif"/>
          <w:b w:val="false"/>
          <w:sz w:val="20"/>
        </w:rPr>
        <w:t>jobs through the third quarter of fiscal year 2023. During the three months ended December 31, 2022, we recorded $800</w:t>
      </w:r>
      <w:r>
        <w:rPr>
          <w:rFonts w:ascii="Times New Roman" w:hAnsi="Times New Roman"/>
          <w:sz w:val="20"/>
        </w:rPr>
        <w:t xml:space="preserve"> </w:t>
      </w:r>
      <w:r>
        <w:rPr>
          <w:rFonts w:ascii="Arial;sans-serif" w:hAnsi="Arial;sans-serif"/>
          <w:b w:val="false"/>
          <w:sz w:val="20"/>
        </w:rPr>
        <w:t>million of employee severance expenses related to these job eliminations as part of an ongoing employee benefit plan. These employee severance expenses were included in general and administrative expenses in our consolidated income statements and allocated to our segments based on relative gross margin. Refer to Note 17 – Segment Information and Geographic Data for further information.</w:t>
      </w:r>
    </w:p>
    <w:p>
      <w:pPr>
        <w:pStyle w:val="TextBody"/>
        <w:spacing w:before="240" w:after="0"/>
        <w:jc w:val="center"/>
        <w:rPr>
          <w:rFonts w:ascii="Arial;sans-serif" w:hAnsi="Arial;sans-serif"/>
          <w:b w:val="false"/>
          <w:sz w:val="16"/>
        </w:rPr>
      </w:pPr>
      <w:r>
        <w:rPr>
          <w:rFonts w:ascii="Arial;sans-serif" w:hAnsi="Arial;sans-serif"/>
          <w:b w:val="false"/>
          <w:sz w:val="16"/>
        </w:rPr>
        <w:t>10</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w:t>
      </w:r>
    </w:p>
    <w:p>
      <w:pPr>
        <w:pStyle w:val="TextBody"/>
        <w:spacing w:before="0" w:after="0"/>
        <w:jc w:val="center"/>
        <w:rPr>
          <w:rFonts w:ascii="Arial;sans-serif" w:hAnsi="Arial;sans-serif"/>
          <w:b w:val="false"/>
          <w:sz w:val="15"/>
        </w:rPr>
      </w:pPr>
      <w:r>
        <w:rPr>
          <w:rFonts w:ascii="Arial;sans-serif" w:hAnsi="Arial;sans-serif"/>
          <w:b w:val="false"/>
          <w:sz w:val="15"/>
        </w:rPr>
        <w:t>Item 1</w:t>
      </w:r>
    </w:p>
    <w:p>
      <w:pPr>
        <w:pStyle w:val="TextBody"/>
        <w:spacing w:before="0" w:after="0"/>
        <w:jc w:val="left"/>
        <w:rPr/>
      </w:pPr>
      <w:r>
        <w:rPr/>
        <w:t> </w:t>
      </w:r>
    </w:p>
    <w:p>
      <w:pPr>
        <w:pStyle w:val="TextBody"/>
        <w:spacing w:before="270" w:after="0"/>
        <w:jc w:val="center"/>
        <w:rPr>
          <w:rFonts w:ascii="Arial;sans-serif" w:hAnsi="Arial;sans-serif"/>
          <w:b w:val="false"/>
          <w:sz w:val="20"/>
          <w:u w:val="single"/>
        </w:rPr>
      </w:pPr>
      <w:r>
        <w:rPr>
          <w:rFonts w:ascii="Arial;sans-serif" w:hAnsi="Arial;sans-serif"/>
          <w:b w:val="false"/>
          <w:sz w:val="20"/>
          <w:u w:val="single"/>
        </w:rPr>
        <w:t>NOTE 2 — EARNINGS PER SHARE</w:t>
      </w:r>
    </w:p>
    <w:p>
      <w:pPr>
        <w:pStyle w:val="TextBody"/>
        <w:spacing w:before="180" w:after="0"/>
        <w:jc w:val="both"/>
        <w:rPr>
          <w:rFonts w:ascii="Times New Roman" w:hAnsi="Times New Roman"/>
          <w:sz w:val="20"/>
        </w:rPr>
      </w:pPr>
      <w:r>
        <w:rPr>
          <w:rFonts w:ascii="Arial;sans-serif" w:hAnsi="Arial;sans-serif"/>
          <w:b w:val="false"/>
          <w:sz w:val="20"/>
        </w:rPr>
        <w:t>Basic earnings per share (“EPS”) is computed based on the weighted average number of shares of common stock outstanding during the period. Diluted EPS is computed based on the weighted average number of shares of common stock plus the effect of dilutive potential common shares outstanding during the period using the treasury stock method. Dilutive potential common shares include outstanding stock options and stock awards.</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The components of basic and diluted EPS were as follows:</w:t>
      </w:r>
      <w:r>
        <w:rPr>
          <w:rFonts w:ascii="Times New Roman" w:hAnsi="Times New Roman"/>
          <w:sz w:val="20"/>
        </w:rPr>
        <w:t xml:space="preserve"> </w:t>
      </w:r>
    </w:p>
    <w:p>
      <w:pPr>
        <w:pStyle w:val="TextBody"/>
        <w:spacing w:before="0" w:after="0"/>
        <w:jc w:val="both"/>
        <w:rPr/>
      </w:pPr>
      <w:r>
        <w:rPr/>
        <w:t> </w:t>
      </w:r>
    </w:p>
    <w:tbl>
      <w:tblPr>
        <w:tblW w:w="10102" w:type="dxa"/>
        <w:jc w:val="left"/>
        <w:tblInd w:w="0" w:type="dxa"/>
        <w:tblCellMar>
          <w:top w:w="28" w:type="dxa"/>
          <w:left w:w="28" w:type="dxa"/>
          <w:bottom w:w="28" w:type="dxa"/>
          <w:right w:w="28" w:type="dxa"/>
        </w:tblCellMar>
      </w:tblPr>
      <w:tblGrid>
        <w:gridCol w:w="5281"/>
        <w:gridCol w:w="146"/>
        <w:gridCol w:w="211"/>
        <w:gridCol w:w="691"/>
        <w:gridCol w:w="146"/>
        <w:gridCol w:w="146"/>
        <w:gridCol w:w="211"/>
        <w:gridCol w:w="691"/>
        <w:gridCol w:w="146"/>
        <w:gridCol w:w="146"/>
        <w:gridCol w:w="211"/>
        <w:gridCol w:w="691"/>
        <w:gridCol w:w="146"/>
        <w:gridCol w:w="146"/>
        <w:gridCol w:w="211"/>
        <w:gridCol w:w="691"/>
        <w:gridCol w:w="191"/>
      </w:tblGrid>
      <w:tr>
        <w:trPr/>
        <w:tc>
          <w:tcPr>
            <w:tcW w:w="52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5281"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(In millions, except earnings per share)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096" w:type="dxa"/>
            <w:gridSpan w:val="6"/>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Three Months Ended</w:t>
            </w:r>
          </w:p>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1885" w:type="dxa"/>
            <w:gridSpan w:val="5"/>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Nine Months Ended</w:t>
            </w:r>
          </w:p>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528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28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9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52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02"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02"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5281" w:type="dxa"/>
            <w:tcBorders/>
            <w:shd w:fill="auto" w:val="clear"/>
            <w:vAlign w:val="center"/>
          </w:tcPr>
          <w:p>
            <w:pPr>
              <w:pStyle w:val="TableContents"/>
              <w:spacing w:before="0" w:after="283"/>
              <w:ind w:left="0" w:right="0" w:hanging="0"/>
              <w:rPr>
                <w:sz w:val="4"/>
                <w:szCs w:val="4"/>
              </w:rPr>
            </w:pPr>
            <w:r>
              <w:rPr>
                <w:sz w:val="4"/>
                <w:szCs w:val="4"/>
              </w:rPr>
            </w:r>
          </w:p>
        </w:tc>
        <w:tc>
          <w:tcPr>
            <w:tcW w:w="1194" w:type="dxa"/>
            <w:gridSpan w:val="4"/>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82" w:type="dxa"/>
            <w:gridSpan w:val="2"/>
            <w:tcBorders/>
            <w:shd w:fill="auto" w:val="clear"/>
            <w:vAlign w:val="center"/>
          </w:tcPr>
          <w:p>
            <w:pPr>
              <w:pStyle w:val="TableContents"/>
              <w:spacing w:before="0" w:after="0"/>
              <w:ind w:left="0" w:right="0" w:hanging="0"/>
              <w:jc w:val="left"/>
              <w:rPr/>
            </w:pPr>
            <w:r>
              <w:rPr/>
              <w:t> </w:t>
            </w:r>
          </w:p>
        </w:tc>
      </w:tr>
      <w:tr>
        <w:trPr/>
        <w:tc>
          <w:tcPr>
            <w:tcW w:w="528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income available for common shareholders (A)</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18,299</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16,728</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52,280</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55,998</w:t>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528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28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528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Weighted average outstanding shares of common stock (B)</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7,441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7,493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7,450</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7,504</w:t>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528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Dilutive effect of stock-based awards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24</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48</w:t>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528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28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528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Common stock and common stock equivalents (C)</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7,464</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7,534</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7,474</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7,552</w:t>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528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28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5281"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Earnings Per Share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528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528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Basic (A/B)</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2.46</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2.23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7.02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7.46</w:t>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528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Diluted (A/C)</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2.45</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2.22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6.99</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7.41</w:t>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528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Arial;sans-serif" w:hAnsi="Arial;sans-serif"/>
          <w:b w:val="false"/>
          <w:sz w:val="20"/>
        </w:rPr>
      </w:pPr>
      <w:r>
        <w:rPr>
          <w:rFonts w:ascii="Arial;sans-serif" w:hAnsi="Arial;sans-serif"/>
          <w:b w:val="false"/>
          <w:sz w:val="20"/>
        </w:rPr>
        <w:t>Anti-dilutive stock-based awards excluded from the calculations of diluted EPS were immaterial during the periods presented.</w:t>
      </w:r>
    </w:p>
    <w:p>
      <w:pPr>
        <w:pStyle w:val="TextBody"/>
        <w:spacing w:before="270" w:after="0"/>
        <w:jc w:val="center"/>
        <w:rPr>
          <w:rFonts w:ascii="Times New Roman" w:hAnsi="Times New Roman"/>
          <w:sz w:val="20"/>
        </w:rPr>
      </w:pPr>
      <w:r>
        <w:rPr>
          <w:rFonts w:ascii="Arial;sans-serif" w:hAnsi="Arial;sans-serif"/>
          <w:b w:val="false"/>
          <w:sz w:val="20"/>
          <w:u w:val="single"/>
        </w:rPr>
        <w:t>NOTE 3 — OTHER INCOME (EXPENSE), NET</w:t>
      </w:r>
      <w:r>
        <w:rPr>
          <w:rFonts w:ascii="Times New Roman" w:hAnsi="Times New Roman"/>
          <w:sz w:val="20"/>
        </w:rPr>
        <w:t xml:space="preserve"> </w:t>
      </w:r>
    </w:p>
    <w:p>
      <w:pPr>
        <w:pStyle w:val="TextBody"/>
        <w:spacing w:before="180" w:after="0"/>
        <w:jc w:val="both"/>
        <w:rPr>
          <w:rFonts w:ascii="Arial;sans-serif" w:hAnsi="Arial;sans-serif"/>
          <w:b w:val="false"/>
          <w:sz w:val="20"/>
        </w:rPr>
      </w:pPr>
      <w:r>
        <w:rPr>
          <w:rFonts w:ascii="Arial;sans-serif" w:hAnsi="Arial;sans-serif"/>
          <w:b w:val="false"/>
          <w:sz w:val="20"/>
        </w:rPr>
        <w:t>The components of other income (expense), net were as follows:</w:t>
      </w:r>
    </w:p>
    <w:p>
      <w:pPr>
        <w:pStyle w:val="TextBody"/>
        <w:spacing w:before="0" w:after="0"/>
        <w:jc w:val="both"/>
        <w:rPr/>
      </w:pPr>
      <w:r>
        <w:rPr/>
        <w:t> </w:t>
      </w:r>
    </w:p>
    <w:tbl>
      <w:tblPr>
        <w:tblW w:w="9552" w:type="dxa"/>
        <w:jc w:val="left"/>
        <w:tblInd w:w="0" w:type="dxa"/>
        <w:tblCellMar>
          <w:top w:w="28" w:type="dxa"/>
          <w:left w:w="28" w:type="dxa"/>
          <w:bottom w:w="28" w:type="dxa"/>
          <w:right w:w="28" w:type="dxa"/>
        </w:tblCellMar>
      </w:tblPr>
      <w:tblGrid>
        <w:gridCol w:w="4936"/>
        <w:gridCol w:w="146"/>
        <w:gridCol w:w="211"/>
        <w:gridCol w:w="481"/>
        <w:gridCol w:w="166"/>
        <w:gridCol w:w="146"/>
        <w:gridCol w:w="211"/>
        <w:gridCol w:w="481"/>
        <w:gridCol w:w="166"/>
        <w:gridCol w:w="146"/>
        <w:gridCol w:w="211"/>
        <w:gridCol w:w="646"/>
        <w:gridCol w:w="166"/>
        <w:gridCol w:w="146"/>
        <w:gridCol w:w="211"/>
        <w:gridCol w:w="646"/>
        <w:gridCol w:w="436"/>
      </w:tblGrid>
      <w:tr>
        <w:trPr/>
        <w:tc>
          <w:tcPr>
            <w:tcW w:w="49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r>
      <w:tr>
        <w:trPr/>
        <w:tc>
          <w:tcPr>
            <w:tcW w:w="4936"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(In millions)</w:t>
            </w:r>
          </w:p>
        </w:tc>
        <w:tc>
          <w:tcPr>
            <w:tcW w:w="146" w:type="dxa"/>
            <w:tcBorders/>
            <w:shd w:fill="auto" w:val="clear"/>
            <w:vAlign w:val="center"/>
          </w:tcPr>
          <w:p>
            <w:pPr>
              <w:pStyle w:val="TableContents"/>
              <w:spacing w:before="0" w:after="0"/>
              <w:ind w:left="0" w:right="0" w:hanging="0"/>
              <w:jc w:val="left"/>
              <w:rPr/>
            </w:pPr>
            <w:r>
              <w:rPr/>
              <w:t> </w:t>
            </w:r>
          </w:p>
        </w:tc>
        <w:tc>
          <w:tcPr>
            <w:tcW w:w="1696" w:type="dxa"/>
            <w:gridSpan w:val="6"/>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Three Months Ended</w:t>
            </w:r>
          </w:p>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6" w:type="dxa"/>
            <w:gridSpan w:val="6"/>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Nine Months Ended</w:t>
            </w:r>
          </w:p>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tc>
        <w:tc>
          <w:tcPr>
            <w:tcW w:w="436" w:type="dxa"/>
            <w:tcBorders/>
            <w:shd w:fill="auto" w:val="clear"/>
            <w:vAlign w:val="center"/>
          </w:tcPr>
          <w:p>
            <w:pPr>
              <w:pStyle w:val="TableContents"/>
              <w:spacing w:before="0" w:after="0"/>
              <w:ind w:left="0" w:right="0" w:hanging="0"/>
              <w:jc w:val="right"/>
              <w:rPr/>
            </w:pPr>
            <w:r>
              <w:rPr/>
              <w:t> </w:t>
            </w:r>
          </w:p>
        </w:tc>
      </w:tr>
      <w:tr>
        <w:trPr/>
        <w:tc>
          <w:tcPr>
            <w:tcW w:w="493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3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49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2"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2"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7"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7"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436" w:type="dxa"/>
            <w:tcBorders/>
            <w:shd w:fill="auto" w:val="clear"/>
            <w:vAlign w:val="center"/>
          </w:tcPr>
          <w:p>
            <w:pPr>
              <w:pStyle w:val="TableContents"/>
              <w:spacing w:before="0" w:after="0"/>
              <w:ind w:left="0" w:right="0" w:hanging="0"/>
              <w:jc w:val="right"/>
              <w:rPr/>
            </w:pPr>
            <w:r>
              <w:rPr/>
              <w:t> </w:t>
            </w:r>
          </w:p>
        </w:tc>
      </w:tr>
      <w:tr>
        <w:trPr/>
        <w:tc>
          <w:tcPr>
            <w:tcW w:w="493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69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7" w:type="dxa"/>
            <w:gridSpan w:val="2"/>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49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Interest and dividends income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48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748</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8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519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4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2,089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1,542</w:t>
            </w:r>
          </w:p>
        </w:tc>
        <w:tc>
          <w:tcPr>
            <w:tcW w:w="436" w:type="dxa"/>
            <w:tcBorders/>
            <w:shd w:fill="auto" w:val="clear"/>
            <w:vAlign w:val="center"/>
          </w:tcPr>
          <w:p>
            <w:pPr>
              <w:pStyle w:val="TableContents"/>
              <w:spacing w:before="0" w:after="0"/>
              <w:ind w:left="0" w:right="0" w:hanging="0"/>
              <w:jc w:val="left"/>
              <w:rPr/>
            </w:pPr>
            <w:r>
              <w:rPr/>
              <w:t> </w:t>
            </w:r>
          </w:p>
        </w:tc>
      </w:tr>
      <w:tr>
        <w:trPr/>
        <w:tc>
          <w:tcPr>
            <w:tcW w:w="49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Interest expense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48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(496</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48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(503</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(1,486</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(1,567</w:t>
            </w:r>
          </w:p>
        </w:tc>
        <w:tc>
          <w:tcPr>
            <w:tcW w:w="4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9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recognized gains (losses) on investments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48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105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48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(76</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103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595</w:t>
            </w:r>
          </w:p>
        </w:tc>
        <w:tc>
          <w:tcPr>
            <w:tcW w:w="436" w:type="dxa"/>
            <w:tcBorders/>
            <w:shd w:fill="auto" w:val="clear"/>
            <w:vAlign w:val="center"/>
          </w:tcPr>
          <w:p>
            <w:pPr>
              <w:pStyle w:val="TableContents"/>
              <w:spacing w:before="0" w:after="0"/>
              <w:ind w:left="0" w:right="0" w:hanging="0"/>
              <w:jc w:val="left"/>
              <w:rPr/>
            </w:pPr>
            <w:r>
              <w:rPr/>
              <w:t> </w:t>
            </w:r>
          </w:p>
        </w:tc>
      </w:tr>
      <w:tr>
        <w:trPr/>
        <w:tc>
          <w:tcPr>
            <w:tcW w:w="49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losses on derivatives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48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(65</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48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(29</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(255</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(29</w:t>
            </w:r>
          </w:p>
        </w:tc>
        <w:tc>
          <w:tcPr>
            <w:tcW w:w="4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9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gains (losses) on foreign currency remeasurements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48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122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48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(74</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(152</w:t>
            </w:r>
          </w:p>
        </w:tc>
        <w:tc>
          <w:tcPr>
            <w:tcW w:w="4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9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Other, net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48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(93</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48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(162</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w:t>
            </w:r>
          </w:p>
        </w:tc>
        <w:tc>
          <w:tcPr>
            <w:tcW w:w="4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93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3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3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436" w:type="dxa"/>
            <w:tcBorders/>
            <w:shd w:fill="auto" w:val="clear"/>
            <w:vAlign w:val="center"/>
          </w:tcPr>
          <w:p>
            <w:pPr>
              <w:pStyle w:val="TableContents"/>
              <w:spacing w:before="0" w:after="0"/>
              <w:ind w:left="0" w:right="0" w:firstLine="245"/>
              <w:jc w:val="left"/>
              <w:rPr/>
            </w:pPr>
            <w:r>
              <w:rPr/>
              <w:t> </w:t>
            </w:r>
          </w:p>
        </w:tc>
      </w:tr>
      <w:tr>
        <w:trPr/>
        <w:tc>
          <w:tcPr>
            <w:tcW w:w="4936"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Total</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48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321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8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(174</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4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315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380</w:t>
            </w:r>
          </w:p>
        </w:tc>
        <w:tc>
          <w:tcPr>
            <w:tcW w:w="436" w:type="dxa"/>
            <w:tcBorders/>
            <w:shd w:fill="auto" w:val="clear"/>
            <w:vAlign w:val="center"/>
          </w:tcPr>
          <w:p>
            <w:pPr>
              <w:pStyle w:val="TableContents"/>
              <w:spacing w:before="0" w:after="0"/>
              <w:ind w:left="0" w:right="0" w:hanging="0"/>
              <w:jc w:val="left"/>
              <w:rPr/>
            </w:pPr>
            <w:r>
              <w:rPr/>
              <w:t> </w:t>
            </w:r>
          </w:p>
        </w:tc>
      </w:tr>
      <w:tr>
        <w:trPr/>
        <w:tc>
          <w:tcPr>
            <w:tcW w:w="493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90" w:after="0"/>
        <w:jc w:val="both"/>
        <w:rPr>
          <w:rFonts w:ascii="Times New Roman" w:hAnsi="Times New Roman"/>
          <w:sz w:val="20"/>
        </w:rPr>
      </w:pPr>
      <w:r>
        <w:rPr>
          <w:rFonts w:ascii="Arial;sans-serif" w:hAnsi="Arial;sans-serif"/>
          <w:b/>
          <w:sz w:val="20"/>
        </w:rPr>
        <w:t>Net Recognized Gains (Losses) on Investments</w:t>
      </w:r>
      <w:r>
        <w:rPr>
          <w:rFonts w:ascii="Times New Roman" w:hAnsi="Times New Roman"/>
          <w:sz w:val="20"/>
        </w:rPr>
        <w:t xml:space="preserve"> </w:t>
      </w:r>
    </w:p>
    <w:p>
      <w:pPr>
        <w:pStyle w:val="TextBody"/>
        <w:spacing w:before="180" w:after="0"/>
        <w:jc w:val="both"/>
        <w:rPr>
          <w:rFonts w:ascii="Arial;sans-serif" w:hAnsi="Arial;sans-serif"/>
          <w:b w:val="false"/>
          <w:sz w:val="20"/>
        </w:rPr>
      </w:pPr>
      <w:r>
        <w:rPr>
          <w:rFonts w:ascii="Arial;sans-serif" w:hAnsi="Arial;sans-serif"/>
          <w:b w:val="false"/>
          <w:sz w:val="20"/>
        </w:rPr>
        <w:t>Net recognized gains (losses) on debt investments were as follows:</w:t>
      </w:r>
    </w:p>
    <w:p>
      <w:pPr>
        <w:pStyle w:val="TextBody"/>
        <w:spacing w:before="0" w:after="0"/>
        <w:jc w:val="both"/>
        <w:rPr/>
      </w:pPr>
      <w:r>
        <w:rPr/>
        <w:t> </w:t>
      </w:r>
    </w:p>
    <w:tbl>
      <w:tblPr>
        <w:tblW w:w="9564" w:type="dxa"/>
        <w:jc w:val="left"/>
        <w:tblInd w:w="0" w:type="dxa"/>
        <w:tblCellMar>
          <w:top w:w="28" w:type="dxa"/>
          <w:left w:w="28" w:type="dxa"/>
          <w:bottom w:w="28" w:type="dxa"/>
          <w:right w:w="28" w:type="dxa"/>
        </w:tblCellMar>
      </w:tblPr>
      <w:tblGrid>
        <w:gridCol w:w="5131"/>
        <w:gridCol w:w="146"/>
        <w:gridCol w:w="211"/>
        <w:gridCol w:w="457"/>
        <w:gridCol w:w="201"/>
        <w:gridCol w:w="177"/>
        <w:gridCol w:w="256"/>
        <w:gridCol w:w="512"/>
        <w:gridCol w:w="166"/>
        <w:gridCol w:w="146"/>
        <w:gridCol w:w="211"/>
        <w:gridCol w:w="413"/>
        <w:gridCol w:w="182"/>
        <w:gridCol w:w="160"/>
        <w:gridCol w:w="231"/>
        <w:gridCol w:w="528"/>
        <w:gridCol w:w="436"/>
      </w:tblGrid>
      <w:tr>
        <w:trPr/>
        <w:tc>
          <w:tcPr>
            <w:tcW w:w="51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r>
      <w:tr>
        <w:trPr/>
        <w:tc>
          <w:tcPr>
            <w:tcW w:w="5131"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(In millions)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603" w:type="dxa"/>
            <w:gridSpan w:val="5"/>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Three Months Ended</w:t>
            </w:r>
          </w:p>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1514" w:type="dxa"/>
            <w:gridSpan w:val="5"/>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Nine Months Ended</w:t>
            </w:r>
          </w:p>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tc>
        <w:tc>
          <w:tcPr>
            <w:tcW w:w="436" w:type="dxa"/>
            <w:tcBorders/>
            <w:shd w:fill="auto" w:val="clear"/>
            <w:vAlign w:val="center"/>
          </w:tcPr>
          <w:p>
            <w:pPr>
              <w:pStyle w:val="TableContents"/>
              <w:spacing w:before="0" w:after="0"/>
              <w:ind w:left="0" w:right="0" w:hanging="0"/>
              <w:jc w:val="left"/>
              <w:rPr/>
            </w:pPr>
            <w:r>
              <w:rPr/>
              <w:t> </w:t>
            </w:r>
          </w:p>
        </w:tc>
      </w:tr>
      <w:tr>
        <w:trPr/>
        <w:tc>
          <w:tcPr>
            <w:tcW w:w="513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1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57" w:type="dxa"/>
            <w:tcBorders/>
            <w:shd w:fill="auto" w:val="clear"/>
            <w:vAlign w:val="center"/>
          </w:tcPr>
          <w:p>
            <w:pPr>
              <w:pStyle w:val="TableContents"/>
              <w:spacing w:before="0" w:after="0"/>
              <w:ind w:left="0" w:right="0" w:hanging="0"/>
              <w:jc w:val="lef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512"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13"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528"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51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8"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201"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768"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24"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82"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759"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436" w:type="dxa"/>
            <w:tcBorders/>
            <w:shd w:fill="auto" w:val="clear"/>
            <w:vAlign w:val="center"/>
          </w:tcPr>
          <w:p>
            <w:pPr>
              <w:pStyle w:val="TableContents"/>
              <w:spacing w:before="0" w:after="0"/>
              <w:ind w:left="0" w:right="0" w:hanging="0"/>
              <w:jc w:val="left"/>
              <w:rPr/>
            </w:pPr>
            <w:r>
              <w:rPr/>
              <w:t> </w:t>
            </w:r>
          </w:p>
        </w:tc>
      </w:tr>
      <w:tr>
        <w:trPr/>
        <w:tc>
          <w:tcPr>
            <w:tcW w:w="51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457" w:type="dxa"/>
            <w:tcBorders/>
            <w:shd w:fill="auto" w:val="clear"/>
            <w:vAlign w:val="center"/>
          </w:tcPr>
          <w:p>
            <w:pPr>
              <w:pStyle w:val="TableContents"/>
              <w:spacing w:before="0" w:after="0"/>
              <w:ind w:left="0" w:right="0" w:hanging="0"/>
              <w:jc w:val="righ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right"/>
              <w:rPr/>
            </w:pPr>
            <w:r>
              <w:rPr/>
              <w:t> </w:t>
            </w:r>
          </w:p>
        </w:tc>
        <w:tc>
          <w:tcPr>
            <w:tcW w:w="512"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413" w:type="dxa"/>
            <w:tcBorders/>
            <w:shd w:fill="auto" w:val="clear"/>
            <w:vAlign w:val="center"/>
          </w:tcPr>
          <w:p>
            <w:pPr>
              <w:pStyle w:val="TableContents"/>
              <w:spacing w:before="0" w:after="0"/>
              <w:ind w:left="0" w:right="0" w:hanging="0"/>
              <w:jc w:val="righ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right"/>
              <w:rPr/>
            </w:pPr>
            <w:r>
              <w:rPr/>
              <w:t> </w:t>
            </w:r>
          </w:p>
        </w:tc>
        <w:tc>
          <w:tcPr>
            <w:tcW w:w="528" w:type="dxa"/>
            <w:tcBorders/>
            <w:shd w:fill="auto" w:val="clear"/>
            <w:vAlign w:val="center"/>
          </w:tcPr>
          <w:p>
            <w:pPr>
              <w:pStyle w:val="TableContents"/>
              <w:spacing w:before="0" w:after="0"/>
              <w:ind w:left="0" w:right="0" w:hanging="0"/>
              <w:jc w:val="righ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51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Realized gains from sales of available-for-sale securities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457"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w:t>
            </w:r>
          </w:p>
        </w:tc>
        <w:tc>
          <w:tcPr>
            <w:tcW w:w="201"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283"/>
              <w:ind w:left="0" w:right="0" w:hanging="0"/>
              <w:rPr>
                <w:sz w:val="4"/>
                <w:szCs w:val="4"/>
              </w:rPr>
            </w:pPr>
            <w:r>
              <w:rPr>
                <w:sz w:val="4"/>
                <w:szCs w:val="4"/>
              </w:rPr>
            </w:r>
          </w:p>
        </w:tc>
        <w:tc>
          <w:tcPr>
            <w:tcW w:w="2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1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413"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19</w:t>
            </w:r>
          </w:p>
        </w:tc>
        <w:tc>
          <w:tcPr>
            <w:tcW w:w="182"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2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150</w:t>
            </w:r>
          </w:p>
        </w:tc>
        <w:tc>
          <w:tcPr>
            <w:tcW w:w="436" w:type="dxa"/>
            <w:tcBorders/>
            <w:shd w:fill="auto" w:val="clear"/>
            <w:vAlign w:val="center"/>
          </w:tcPr>
          <w:p>
            <w:pPr>
              <w:pStyle w:val="TableContents"/>
              <w:spacing w:before="0" w:after="0"/>
              <w:ind w:left="0" w:right="0" w:hanging="0"/>
              <w:jc w:val="left"/>
              <w:rPr/>
            </w:pPr>
            <w:r>
              <w:rPr/>
              <w:t> </w:t>
            </w:r>
          </w:p>
        </w:tc>
      </w:tr>
      <w:tr>
        <w:trPr/>
        <w:tc>
          <w:tcPr>
            <w:tcW w:w="51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Realized losses from sales of available-for-sale securities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457"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(30</w:t>
            </w:r>
          </w:p>
        </w:tc>
        <w:tc>
          <w:tcPr>
            <w:tcW w:w="20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77" w:type="dxa"/>
            <w:tcBorders/>
            <w:shd w:fill="auto" w:val="clear"/>
            <w:vAlign w:val="center"/>
          </w:tcPr>
          <w:p>
            <w:pPr>
              <w:pStyle w:val="TableContents"/>
              <w:spacing w:before="0" w:after="283"/>
              <w:ind w:left="0" w:right="0" w:hanging="0"/>
              <w:rPr>
                <w:sz w:val="4"/>
                <w:szCs w:val="4"/>
              </w:rPr>
            </w:pPr>
            <w:r>
              <w:rPr>
                <w:sz w:val="4"/>
                <w:szCs w:val="4"/>
              </w:rPr>
            </w:r>
          </w:p>
        </w:tc>
        <w:tc>
          <w:tcPr>
            <w:tcW w:w="256" w:type="dxa"/>
            <w:tcBorders/>
            <w:shd w:fill="auto" w:val="clear"/>
            <w:vAlign w:val="center"/>
          </w:tcPr>
          <w:p>
            <w:pPr>
              <w:pStyle w:val="TableContents"/>
              <w:spacing w:before="0" w:after="283"/>
              <w:ind w:left="0" w:right="0" w:hanging="0"/>
              <w:rPr>
                <w:sz w:val="4"/>
                <w:szCs w:val="4"/>
              </w:rPr>
            </w:pPr>
            <w:r>
              <w:rPr>
                <w:sz w:val="4"/>
                <w:szCs w:val="4"/>
              </w:rPr>
            </w:r>
          </w:p>
        </w:tc>
        <w:tc>
          <w:tcPr>
            <w:tcW w:w="51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(89</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413"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(73</w:t>
            </w:r>
          </w:p>
        </w:tc>
        <w:tc>
          <w:tcPr>
            <w:tcW w:w="182"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right"/>
              <w:rPr/>
            </w:pPr>
            <w:r>
              <w:rPr/>
              <w:t> </w:t>
            </w:r>
          </w:p>
        </w:tc>
        <w:tc>
          <w:tcPr>
            <w:tcW w:w="52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(102</w:t>
            </w:r>
          </w:p>
        </w:tc>
        <w:tc>
          <w:tcPr>
            <w:tcW w:w="4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1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Impairments and allowance for credit losses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457"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201"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283"/>
              <w:ind w:left="0" w:right="0" w:hanging="0"/>
              <w:rPr>
                <w:sz w:val="4"/>
                <w:szCs w:val="4"/>
              </w:rPr>
            </w:pPr>
            <w:r>
              <w:rPr>
                <w:sz w:val="4"/>
                <w:szCs w:val="4"/>
              </w:rPr>
            </w:r>
          </w:p>
        </w:tc>
        <w:tc>
          <w:tcPr>
            <w:tcW w:w="256" w:type="dxa"/>
            <w:tcBorders/>
            <w:shd w:fill="auto" w:val="clear"/>
            <w:vAlign w:val="center"/>
          </w:tcPr>
          <w:p>
            <w:pPr>
              <w:pStyle w:val="TableContents"/>
              <w:spacing w:before="0" w:after="283"/>
              <w:ind w:left="0" w:right="0" w:hanging="0"/>
              <w:rPr>
                <w:sz w:val="4"/>
                <w:szCs w:val="4"/>
              </w:rPr>
            </w:pPr>
            <w:r>
              <w:rPr>
                <w:sz w:val="4"/>
                <w:szCs w:val="4"/>
              </w:rPr>
            </w:r>
          </w:p>
        </w:tc>
        <w:tc>
          <w:tcPr>
            <w:tcW w:w="51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(45</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413"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(13</w:t>
            </w:r>
          </w:p>
        </w:tc>
        <w:tc>
          <w:tcPr>
            <w:tcW w:w="182"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right"/>
              <w:rPr/>
            </w:pPr>
            <w:r>
              <w:rPr/>
              <w:t> </w:t>
            </w:r>
          </w:p>
        </w:tc>
        <w:tc>
          <w:tcPr>
            <w:tcW w:w="52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(53</w:t>
            </w:r>
          </w:p>
        </w:tc>
        <w:tc>
          <w:tcPr>
            <w:tcW w:w="4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13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1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57" w:type="dxa"/>
            <w:tcBorders/>
            <w:shd w:fill="auto" w:val="clear"/>
            <w:vAlign w:val="center"/>
          </w:tcPr>
          <w:p>
            <w:pPr>
              <w:pStyle w:val="TableContents"/>
              <w:spacing w:before="0" w:after="0"/>
              <w:ind w:left="0" w:right="0" w:hanging="0"/>
              <w:jc w:val="righ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right"/>
              <w:rPr/>
            </w:pPr>
            <w:r>
              <w:rPr/>
              <w:t> </w:t>
            </w:r>
          </w:p>
        </w:tc>
        <w:tc>
          <w:tcPr>
            <w:tcW w:w="512"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413" w:type="dxa"/>
            <w:tcBorders/>
            <w:shd w:fill="auto" w:val="clear"/>
            <w:vAlign w:val="center"/>
          </w:tcPr>
          <w:p>
            <w:pPr>
              <w:pStyle w:val="TableContents"/>
              <w:spacing w:before="0" w:after="0"/>
              <w:ind w:left="0" w:right="0" w:hanging="0"/>
              <w:jc w:val="righ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right"/>
              <w:rPr/>
            </w:pPr>
            <w:r>
              <w:rPr/>
              <w:t> </w:t>
            </w:r>
          </w:p>
        </w:tc>
        <w:tc>
          <w:tcPr>
            <w:tcW w:w="528" w:type="dxa"/>
            <w:tcBorders/>
            <w:shd w:fill="auto" w:val="clear"/>
            <w:vAlign w:val="center"/>
          </w:tcPr>
          <w:p>
            <w:pPr>
              <w:pStyle w:val="TableContents"/>
              <w:spacing w:before="0" w:after="0"/>
              <w:ind w:left="0" w:right="0" w:hanging="0"/>
              <w:jc w:val="right"/>
              <w:rPr/>
            </w:pPr>
            <w:r>
              <w:rPr/>
              <w:t> </w:t>
            </w:r>
          </w:p>
        </w:tc>
        <w:tc>
          <w:tcPr>
            <w:tcW w:w="436" w:type="dxa"/>
            <w:tcBorders/>
            <w:shd w:fill="auto" w:val="clear"/>
            <w:vAlign w:val="center"/>
          </w:tcPr>
          <w:p>
            <w:pPr>
              <w:pStyle w:val="TableContents"/>
              <w:spacing w:before="0" w:after="0"/>
              <w:ind w:left="0" w:right="0" w:firstLine="245"/>
              <w:jc w:val="left"/>
              <w:rPr/>
            </w:pPr>
            <w:r>
              <w:rPr/>
              <w:t> </w:t>
            </w:r>
          </w:p>
        </w:tc>
      </w:tr>
      <w:tr>
        <w:trPr/>
        <w:tc>
          <w:tcPr>
            <w:tcW w:w="5131"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Total</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457"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(26</w:t>
            </w:r>
          </w:p>
        </w:tc>
        <w:tc>
          <w:tcPr>
            <w:tcW w:w="20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77" w:type="dxa"/>
            <w:tcBorders/>
            <w:shd w:fill="auto" w:val="clear"/>
            <w:vAlign w:val="center"/>
          </w:tcPr>
          <w:p>
            <w:pPr>
              <w:pStyle w:val="TableContents"/>
              <w:spacing w:before="0" w:after="283"/>
              <w:ind w:left="0" w:right="0" w:hanging="0"/>
              <w:rPr>
                <w:sz w:val="4"/>
                <w:szCs w:val="4"/>
              </w:rPr>
            </w:pPr>
            <w:r>
              <w:rPr>
                <w:sz w:val="4"/>
                <w:szCs w:val="4"/>
              </w:rPr>
            </w:r>
          </w:p>
        </w:tc>
        <w:tc>
          <w:tcPr>
            <w:tcW w:w="2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1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413"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(67</w:t>
            </w:r>
          </w:p>
        </w:tc>
        <w:tc>
          <w:tcPr>
            <w:tcW w:w="182"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2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w:t>
            </w:r>
          </w:p>
        </w:tc>
        <w:tc>
          <w:tcPr>
            <w:tcW w:w="4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1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57"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25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2"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13"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2"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8"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240" w:after="0"/>
        <w:jc w:val="center"/>
        <w:rPr>
          <w:rFonts w:ascii="Arial;sans-serif" w:hAnsi="Arial;sans-serif"/>
          <w:b w:val="false"/>
          <w:sz w:val="16"/>
        </w:rPr>
      </w:pPr>
      <w:r>
        <w:rPr>
          <w:rFonts w:ascii="Arial;sans-serif" w:hAnsi="Arial;sans-serif"/>
          <w:b w:val="false"/>
          <w:sz w:val="16"/>
        </w:rPr>
        <w:t>11</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w:t>
      </w:r>
    </w:p>
    <w:p>
      <w:pPr>
        <w:pStyle w:val="TextBody"/>
        <w:spacing w:before="0" w:after="0"/>
        <w:jc w:val="center"/>
        <w:rPr>
          <w:rFonts w:ascii="Arial;sans-serif" w:hAnsi="Arial;sans-serif"/>
          <w:b w:val="false"/>
          <w:sz w:val="15"/>
        </w:rPr>
      </w:pPr>
      <w:r>
        <w:rPr>
          <w:rFonts w:ascii="Arial;sans-serif" w:hAnsi="Arial;sans-serif"/>
          <w:b w:val="false"/>
          <w:sz w:val="15"/>
        </w:rPr>
        <w:t>Item 1</w:t>
      </w:r>
    </w:p>
    <w:p>
      <w:pPr>
        <w:pStyle w:val="TextBody"/>
        <w:spacing w:before="0" w:after="0"/>
        <w:jc w:val="left"/>
        <w:rPr/>
      </w:pPr>
      <w:r>
        <w:rPr/>
        <w:t> </w:t>
      </w:r>
    </w:p>
    <w:p>
      <w:pPr>
        <w:pStyle w:val="TextBody"/>
        <w:spacing w:before="0" w:after="0"/>
        <w:jc w:val="both"/>
        <w:rPr>
          <w:rFonts w:ascii="Arial;sans-serif" w:hAnsi="Arial;sans-serif"/>
          <w:b w:val="false"/>
          <w:sz w:val="20"/>
        </w:rPr>
      </w:pPr>
      <w:r>
        <w:rPr>
          <w:rFonts w:ascii="Arial;sans-serif" w:hAnsi="Arial;sans-serif"/>
          <w:b w:val="false"/>
          <w:sz w:val="20"/>
        </w:rPr>
        <w:t>Net recognized gains (losses) on equity investments were as follows:</w:t>
      </w:r>
    </w:p>
    <w:p>
      <w:pPr>
        <w:pStyle w:val="TextBody"/>
        <w:spacing w:before="0" w:after="0"/>
        <w:jc w:val="left"/>
        <w:rPr/>
      </w:pPr>
      <w:r>
        <w:rPr/>
        <w:t> </w:t>
      </w:r>
    </w:p>
    <w:tbl>
      <w:tblPr>
        <w:tblW w:w="8890" w:type="dxa"/>
        <w:jc w:val="left"/>
        <w:tblInd w:w="0" w:type="dxa"/>
        <w:tblCellMar>
          <w:top w:w="28" w:type="dxa"/>
          <w:left w:w="28" w:type="dxa"/>
          <w:bottom w:w="28" w:type="dxa"/>
          <w:right w:w="28" w:type="dxa"/>
        </w:tblCellMar>
      </w:tblPr>
      <w:tblGrid>
        <w:gridCol w:w="4816"/>
        <w:gridCol w:w="146"/>
        <w:gridCol w:w="221"/>
        <w:gridCol w:w="441"/>
        <w:gridCol w:w="174"/>
        <w:gridCol w:w="153"/>
        <w:gridCol w:w="221"/>
        <w:gridCol w:w="394"/>
        <w:gridCol w:w="166"/>
        <w:gridCol w:w="146"/>
        <w:gridCol w:w="211"/>
        <w:gridCol w:w="421"/>
        <w:gridCol w:w="166"/>
        <w:gridCol w:w="146"/>
        <w:gridCol w:w="211"/>
        <w:gridCol w:w="421"/>
        <w:gridCol w:w="436"/>
      </w:tblGrid>
      <w:tr>
        <w:trPr/>
        <w:tc>
          <w:tcPr>
            <w:tcW w:w="48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r>
      <w:tr>
        <w:trPr/>
        <w:tc>
          <w:tcPr>
            <w:tcW w:w="4816"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(In millions)</w:t>
            </w:r>
          </w:p>
        </w:tc>
        <w:tc>
          <w:tcPr>
            <w:tcW w:w="146" w:type="dxa"/>
            <w:tcBorders/>
            <w:shd w:fill="auto" w:val="clear"/>
            <w:vAlign w:val="center"/>
          </w:tcPr>
          <w:p>
            <w:pPr>
              <w:pStyle w:val="TableContents"/>
              <w:spacing w:before="0" w:after="0"/>
              <w:ind w:left="0" w:right="0" w:hanging="0"/>
              <w:jc w:val="left"/>
              <w:rPr/>
            </w:pPr>
            <w:r>
              <w:rPr/>
              <w:t> </w:t>
            </w:r>
          </w:p>
        </w:tc>
        <w:tc>
          <w:tcPr>
            <w:tcW w:w="1604" w:type="dxa"/>
            <w:gridSpan w:val="6"/>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Three Months Ended</w:t>
            </w:r>
          </w:p>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76" w:type="dxa"/>
            <w:gridSpan w:val="6"/>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Nine Months Ended</w:t>
            </w:r>
          </w:p>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tc>
        <w:tc>
          <w:tcPr>
            <w:tcW w:w="436" w:type="dxa"/>
            <w:tcBorders/>
            <w:shd w:fill="auto" w:val="clear"/>
            <w:vAlign w:val="center"/>
          </w:tcPr>
          <w:p>
            <w:pPr>
              <w:pStyle w:val="TableContents"/>
              <w:spacing w:before="0" w:after="0"/>
              <w:ind w:left="0" w:right="0" w:hanging="0"/>
              <w:jc w:val="left"/>
              <w:rPr/>
            </w:pPr>
            <w:r>
              <w:rPr/>
              <w:t> </w:t>
            </w:r>
          </w:p>
        </w:tc>
      </w:tr>
      <w:tr>
        <w:trPr/>
        <w:tc>
          <w:tcPr>
            <w:tcW w:w="481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81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153" w:type="dxa"/>
            <w:tcBorders/>
            <w:shd w:fill="auto" w:val="clear"/>
            <w:vAlign w:val="center"/>
          </w:tcPr>
          <w:p>
            <w:pPr>
              <w:pStyle w:val="TableContents"/>
              <w:spacing w:before="0" w:after="0"/>
              <w:ind w:left="0" w:right="0" w:hanging="0"/>
              <w:jc w:val="left"/>
              <w:rPr/>
            </w:pPr>
            <w:r>
              <w:rPr/>
              <w:t> </w:t>
            </w:r>
          </w:p>
        </w:tc>
        <w:tc>
          <w:tcPr>
            <w:tcW w:w="615"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48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74" w:type="dxa"/>
            <w:tcBorders/>
            <w:shd w:fill="auto" w:val="clear"/>
            <w:vAlign w:val="center"/>
          </w:tcPr>
          <w:p>
            <w:pPr>
              <w:pStyle w:val="TableContents"/>
              <w:spacing w:before="0" w:after="0"/>
              <w:ind w:left="0" w:right="0" w:hanging="0"/>
              <w:jc w:val="right"/>
              <w:rPr/>
            </w:pPr>
            <w:r>
              <w:rPr/>
              <w:t> </w:t>
            </w:r>
          </w:p>
        </w:tc>
        <w:tc>
          <w:tcPr>
            <w:tcW w:w="153" w:type="dxa"/>
            <w:tcBorders/>
            <w:shd w:fill="auto" w:val="clear"/>
            <w:vAlign w:val="center"/>
          </w:tcPr>
          <w:p>
            <w:pPr>
              <w:pStyle w:val="TableContents"/>
              <w:spacing w:before="0" w:after="0"/>
              <w:ind w:left="0" w:right="0" w:hanging="0"/>
              <w:jc w:val="right"/>
              <w:rPr/>
            </w:pPr>
            <w:r>
              <w:rPr/>
              <w:t> </w:t>
            </w:r>
          </w:p>
        </w:tc>
        <w:tc>
          <w:tcPr>
            <w:tcW w:w="615"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32"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32"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436" w:type="dxa"/>
            <w:tcBorders/>
            <w:shd w:fill="auto" w:val="clear"/>
            <w:vAlign w:val="center"/>
          </w:tcPr>
          <w:p>
            <w:pPr>
              <w:pStyle w:val="TableContents"/>
              <w:spacing w:before="0" w:after="0"/>
              <w:ind w:left="0" w:right="0" w:hanging="0"/>
              <w:jc w:val="left"/>
              <w:rPr/>
            </w:pPr>
            <w:r>
              <w:rPr/>
              <w:t> </w:t>
            </w:r>
          </w:p>
        </w:tc>
      </w:tr>
      <w:tr>
        <w:trPr/>
        <w:tc>
          <w:tcPr>
            <w:tcW w:w="481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441" w:type="dxa"/>
            <w:tcBorders/>
            <w:shd w:fill="auto" w:val="clear"/>
            <w:vAlign w:val="center"/>
          </w:tcPr>
          <w:p>
            <w:pPr>
              <w:pStyle w:val="TableContents"/>
              <w:spacing w:before="0" w:after="0"/>
              <w:ind w:left="0" w:right="0" w:hanging="0"/>
              <w:jc w:val="lef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153"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48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realized gains (losses) on investments sold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2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44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(13</w:t>
            </w:r>
          </w:p>
        </w:tc>
        <w:tc>
          <w:tcPr>
            <w:tcW w:w="174"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53" w:type="dxa"/>
            <w:tcBorders/>
            <w:shd w:fill="auto" w:val="clear"/>
            <w:vAlign w:val="center"/>
          </w:tcPr>
          <w:p>
            <w:pPr>
              <w:pStyle w:val="TableContents"/>
              <w:spacing w:before="0" w:after="283"/>
              <w:ind w:left="0" w:right="0" w:hanging="0"/>
              <w:rPr>
                <w:sz w:val="4"/>
                <w:szCs w:val="4"/>
              </w:rPr>
            </w:pPr>
            <w:r>
              <w:rPr>
                <w:sz w:val="4"/>
                <w:szCs w:val="4"/>
              </w:rPr>
            </w:r>
          </w:p>
        </w:tc>
        <w:tc>
          <w:tcPr>
            <w:tcW w:w="22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39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(22</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42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46</w:t>
            </w:r>
          </w:p>
        </w:tc>
        <w:tc>
          <w:tcPr>
            <w:tcW w:w="436" w:type="dxa"/>
            <w:tcBorders/>
            <w:shd w:fill="auto" w:val="clear"/>
            <w:vAlign w:val="center"/>
          </w:tcPr>
          <w:p>
            <w:pPr>
              <w:pStyle w:val="TableContents"/>
              <w:spacing w:before="0" w:after="0"/>
              <w:ind w:left="0" w:right="0" w:hanging="0"/>
              <w:jc w:val="left"/>
              <w:rPr/>
            </w:pPr>
            <w:r>
              <w:rPr/>
              <w:t> </w:t>
            </w:r>
          </w:p>
        </w:tc>
      </w:tr>
      <w:tr>
        <w:trPr/>
        <w:tc>
          <w:tcPr>
            <w:tcW w:w="48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unrealized gains (losses) on investments still held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21" w:type="dxa"/>
            <w:tcBorders/>
            <w:shd w:fill="auto" w:val="clear"/>
            <w:vAlign w:val="center"/>
          </w:tcPr>
          <w:p>
            <w:pPr>
              <w:pStyle w:val="TableContents"/>
              <w:spacing w:before="0" w:after="283"/>
              <w:ind w:left="0" w:right="0" w:hanging="0"/>
              <w:rPr>
                <w:sz w:val="4"/>
                <w:szCs w:val="4"/>
              </w:rPr>
            </w:pPr>
            <w:r>
              <w:rPr>
                <w:sz w:val="4"/>
                <w:szCs w:val="4"/>
              </w:rPr>
            </w:r>
          </w:p>
        </w:tc>
        <w:tc>
          <w:tcPr>
            <w:tcW w:w="44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144</w:t>
            </w:r>
          </w:p>
        </w:tc>
        <w:tc>
          <w:tcPr>
            <w:tcW w:w="174" w:type="dxa"/>
            <w:tcBorders/>
            <w:shd w:fill="auto" w:val="clear"/>
            <w:vAlign w:val="center"/>
          </w:tcPr>
          <w:p>
            <w:pPr>
              <w:pStyle w:val="TableContents"/>
              <w:spacing w:before="0" w:after="0"/>
              <w:ind w:left="0" w:right="0" w:hanging="0"/>
              <w:jc w:val="left"/>
              <w:rPr/>
            </w:pPr>
            <w:r>
              <w:rPr/>
              <w:t> </w:t>
            </w:r>
          </w:p>
        </w:tc>
        <w:tc>
          <w:tcPr>
            <w:tcW w:w="153" w:type="dxa"/>
            <w:tcBorders/>
            <w:shd w:fill="auto" w:val="clear"/>
            <w:vAlign w:val="center"/>
          </w:tcPr>
          <w:p>
            <w:pPr>
              <w:pStyle w:val="TableContents"/>
              <w:spacing w:before="0" w:after="283"/>
              <w:ind w:left="0" w:right="0" w:hanging="0"/>
              <w:rPr>
                <w:sz w:val="4"/>
                <w:szCs w:val="4"/>
              </w:rPr>
            </w:pPr>
            <w:r>
              <w:rPr>
                <w:sz w:val="4"/>
                <w:szCs w:val="4"/>
              </w:rPr>
            </w:r>
          </w:p>
        </w:tc>
        <w:tc>
          <w:tcPr>
            <w:tcW w:w="221" w:type="dxa"/>
            <w:tcBorders/>
            <w:shd w:fill="auto" w:val="clear"/>
            <w:vAlign w:val="center"/>
          </w:tcPr>
          <w:p>
            <w:pPr>
              <w:pStyle w:val="TableContents"/>
              <w:spacing w:before="0" w:after="283"/>
              <w:ind w:left="0" w:right="0" w:hanging="0"/>
              <w:rPr>
                <w:sz w:val="4"/>
                <w:szCs w:val="4"/>
              </w:rPr>
            </w:pPr>
            <w:r>
              <w:rPr>
                <w:sz w:val="4"/>
                <w:szCs w:val="4"/>
              </w:rPr>
            </w:r>
          </w:p>
        </w:tc>
        <w:tc>
          <w:tcPr>
            <w:tcW w:w="39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(34</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109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559</w:t>
            </w:r>
          </w:p>
        </w:tc>
        <w:tc>
          <w:tcPr>
            <w:tcW w:w="436" w:type="dxa"/>
            <w:tcBorders/>
            <w:shd w:fill="auto" w:val="clear"/>
            <w:vAlign w:val="center"/>
          </w:tcPr>
          <w:p>
            <w:pPr>
              <w:pStyle w:val="TableContents"/>
              <w:spacing w:before="0" w:after="0"/>
              <w:ind w:left="0" w:right="0" w:hanging="0"/>
              <w:jc w:val="left"/>
              <w:rPr/>
            </w:pPr>
            <w:r>
              <w:rPr/>
              <w:t> </w:t>
            </w:r>
          </w:p>
        </w:tc>
      </w:tr>
      <w:tr>
        <w:trPr/>
        <w:tc>
          <w:tcPr>
            <w:tcW w:w="48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Impairments of investments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21" w:type="dxa"/>
            <w:tcBorders/>
            <w:shd w:fill="auto" w:val="clear"/>
            <w:vAlign w:val="center"/>
          </w:tcPr>
          <w:p>
            <w:pPr>
              <w:pStyle w:val="TableContents"/>
              <w:spacing w:before="0" w:after="283"/>
              <w:ind w:left="0" w:right="0" w:hanging="0"/>
              <w:rPr>
                <w:sz w:val="4"/>
                <w:szCs w:val="4"/>
              </w:rPr>
            </w:pPr>
            <w:r>
              <w:rPr>
                <w:sz w:val="4"/>
                <w:szCs w:val="4"/>
              </w:rPr>
            </w:r>
          </w:p>
        </w:tc>
        <w:tc>
          <w:tcPr>
            <w:tcW w:w="44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174" w:type="dxa"/>
            <w:tcBorders/>
            <w:shd w:fill="auto" w:val="clear"/>
            <w:vAlign w:val="center"/>
          </w:tcPr>
          <w:p>
            <w:pPr>
              <w:pStyle w:val="TableContents"/>
              <w:spacing w:before="0" w:after="0"/>
              <w:ind w:left="0" w:right="0" w:hanging="0"/>
              <w:jc w:val="left"/>
              <w:rPr/>
            </w:pPr>
            <w:r>
              <w:rPr/>
              <w:t> </w:t>
            </w:r>
          </w:p>
        </w:tc>
        <w:tc>
          <w:tcPr>
            <w:tcW w:w="153" w:type="dxa"/>
            <w:tcBorders/>
            <w:shd w:fill="auto" w:val="clear"/>
            <w:vAlign w:val="center"/>
          </w:tcPr>
          <w:p>
            <w:pPr>
              <w:pStyle w:val="TableContents"/>
              <w:spacing w:before="0" w:after="283"/>
              <w:ind w:left="0" w:right="0" w:hanging="0"/>
              <w:rPr>
                <w:sz w:val="4"/>
                <w:szCs w:val="4"/>
              </w:rPr>
            </w:pPr>
            <w:r>
              <w:rPr>
                <w:sz w:val="4"/>
                <w:szCs w:val="4"/>
              </w:rPr>
            </w:r>
          </w:p>
        </w:tc>
        <w:tc>
          <w:tcPr>
            <w:tcW w:w="221" w:type="dxa"/>
            <w:tcBorders/>
            <w:shd w:fill="auto" w:val="clear"/>
            <w:vAlign w:val="center"/>
          </w:tcPr>
          <w:p>
            <w:pPr>
              <w:pStyle w:val="TableContents"/>
              <w:spacing w:before="0" w:after="283"/>
              <w:ind w:left="0" w:right="0" w:hanging="0"/>
              <w:rPr>
                <w:sz w:val="4"/>
                <w:szCs w:val="4"/>
              </w:rPr>
            </w:pPr>
            <w:r>
              <w:rPr>
                <w:sz w:val="4"/>
                <w:szCs w:val="4"/>
              </w:rPr>
            </w:r>
          </w:p>
        </w:tc>
        <w:tc>
          <w:tcPr>
            <w:tcW w:w="39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(16</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w:t>
            </w:r>
          </w:p>
        </w:tc>
        <w:tc>
          <w:tcPr>
            <w:tcW w:w="4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624" w:type="dxa"/>
            <w:gridSpan w:val="4"/>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3" w:type="dxa"/>
            <w:tcBorders/>
            <w:shd w:fill="auto" w:val="clear"/>
            <w:vAlign w:val="center"/>
          </w:tcPr>
          <w:p>
            <w:pPr>
              <w:pStyle w:val="TableContents"/>
              <w:spacing w:before="0" w:after="0"/>
              <w:ind w:left="0" w:right="0" w:hanging="0"/>
              <w:jc w:val="left"/>
              <w:rPr/>
            </w:pPr>
            <w:r>
              <w:rPr/>
              <w:t> </w:t>
            </w:r>
          </w:p>
        </w:tc>
        <w:tc>
          <w:tcPr>
            <w:tcW w:w="2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624" w:type="dxa"/>
            <w:gridSpan w:val="4"/>
            <w:tcBorders/>
            <w:shd w:fill="auto" w:val="clear"/>
            <w:vAlign w:val="center"/>
          </w:tcPr>
          <w:p>
            <w:pPr>
              <w:pStyle w:val="TableContents"/>
              <w:spacing w:before="0" w:after="283"/>
              <w:ind w:left="0" w:right="0" w:hanging="0"/>
              <w:rPr>
                <w:sz w:val="4"/>
                <w:szCs w:val="4"/>
              </w:rPr>
            </w:pPr>
            <w:r>
              <w:rPr>
                <w:sz w:val="4"/>
                <w:szCs w:val="4"/>
              </w:rPr>
            </w:r>
          </w:p>
        </w:tc>
        <w:tc>
          <w:tcPr>
            <w:tcW w:w="174" w:type="dxa"/>
            <w:tcBorders/>
            <w:shd w:fill="auto" w:val="clear"/>
            <w:vAlign w:val="center"/>
          </w:tcPr>
          <w:p>
            <w:pPr>
              <w:pStyle w:val="TableContents"/>
              <w:spacing w:before="0" w:after="0"/>
              <w:ind w:left="0" w:right="0" w:hanging="0"/>
              <w:jc w:val="left"/>
              <w:rPr/>
            </w:pPr>
            <w:r>
              <w:rPr/>
              <w:t> </w:t>
            </w:r>
          </w:p>
        </w:tc>
        <w:tc>
          <w:tcPr>
            <w:tcW w:w="153" w:type="dxa"/>
            <w:tcBorders/>
            <w:shd w:fill="auto" w:val="clear"/>
            <w:vAlign w:val="center"/>
          </w:tcPr>
          <w:p>
            <w:pPr>
              <w:pStyle w:val="TableContents"/>
              <w:spacing w:before="0" w:after="283"/>
              <w:ind w:left="0" w:right="0" w:hanging="0"/>
              <w:rPr>
                <w:sz w:val="4"/>
                <w:szCs w:val="4"/>
              </w:rPr>
            </w:pPr>
            <w:r>
              <w:rPr>
                <w:sz w:val="4"/>
                <w:szCs w:val="4"/>
              </w:rPr>
            </w:r>
          </w:p>
        </w:tc>
        <w:tc>
          <w:tcPr>
            <w:tcW w:w="221" w:type="dxa"/>
            <w:tcBorders/>
            <w:shd w:fill="auto" w:val="clear"/>
            <w:vAlign w:val="center"/>
          </w:tcPr>
          <w:p>
            <w:pPr>
              <w:pStyle w:val="TableContents"/>
              <w:spacing w:before="0" w:after="283"/>
              <w:ind w:left="0" w:right="0" w:hanging="0"/>
              <w:rPr>
                <w:sz w:val="4"/>
                <w:szCs w:val="4"/>
              </w:rPr>
            </w:pPr>
            <w:r>
              <w:rPr>
                <w:sz w:val="4"/>
                <w:szCs w:val="4"/>
              </w:rPr>
            </w:r>
          </w:p>
        </w:tc>
        <w:tc>
          <w:tcPr>
            <w:tcW w:w="394" w:type="dxa"/>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 </w:t>
            </w:r>
          </w:p>
        </w:tc>
        <w:tc>
          <w:tcPr>
            <w:tcW w:w="436" w:type="dxa"/>
            <w:tcBorders/>
            <w:shd w:fill="auto" w:val="clear"/>
            <w:vAlign w:val="center"/>
          </w:tcPr>
          <w:p>
            <w:pPr>
              <w:pStyle w:val="TableContents"/>
              <w:spacing w:before="0" w:after="0"/>
              <w:ind w:left="0" w:right="0" w:firstLine="245"/>
              <w:jc w:val="left"/>
              <w:rPr/>
            </w:pPr>
            <w:r>
              <w:rPr/>
              <w:t> </w:t>
            </w:r>
          </w:p>
        </w:tc>
      </w:tr>
      <w:tr>
        <w:trPr/>
        <w:tc>
          <w:tcPr>
            <w:tcW w:w="4816"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Total</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2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44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131</w:t>
            </w:r>
          </w:p>
        </w:tc>
        <w:tc>
          <w:tcPr>
            <w:tcW w:w="174" w:type="dxa"/>
            <w:tcBorders/>
            <w:shd w:fill="auto" w:val="clear"/>
            <w:vAlign w:val="center"/>
          </w:tcPr>
          <w:p>
            <w:pPr>
              <w:pStyle w:val="TableContents"/>
              <w:spacing w:before="0" w:after="0"/>
              <w:ind w:left="0" w:right="0" w:hanging="0"/>
              <w:jc w:val="left"/>
              <w:rPr/>
            </w:pPr>
            <w:r>
              <w:rPr/>
              <w:t> </w:t>
            </w:r>
          </w:p>
        </w:tc>
        <w:tc>
          <w:tcPr>
            <w:tcW w:w="153" w:type="dxa"/>
            <w:tcBorders/>
            <w:shd w:fill="auto" w:val="clear"/>
            <w:vAlign w:val="center"/>
          </w:tcPr>
          <w:p>
            <w:pPr>
              <w:pStyle w:val="TableContents"/>
              <w:spacing w:before="0" w:after="283"/>
              <w:ind w:left="0" w:right="0" w:hanging="0"/>
              <w:rPr>
                <w:sz w:val="4"/>
                <w:szCs w:val="4"/>
              </w:rPr>
            </w:pPr>
            <w:r>
              <w:rPr>
                <w:sz w:val="4"/>
                <w:szCs w:val="4"/>
              </w:rPr>
            </w:r>
          </w:p>
        </w:tc>
        <w:tc>
          <w:tcPr>
            <w:tcW w:w="22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39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(61</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42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170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600</w:t>
            </w:r>
          </w:p>
        </w:tc>
        <w:tc>
          <w:tcPr>
            <w:tcW w:w="436" w:type="dxa"/>
            <w:tcBorders/>
            <w:shd w:fill="auto" w:val="clear"/>
            <w:vAlign w:val="center"/>
          </w:tcPr>
          <w:p>
            <w:pPr>
              <w:pStyle w:val="TableContents"/>
              <w:spacing w:before="0" w:after="0"/>
              <w:ind w:left="0" w:right="0" w:hanging="0"/>
              <w:jc w:val="left"/>
              <w:rPr/>
            </w:pPr>
            <w:r>
              <w:rPr/>
              <w:t> </w:t>
            </w:r>
          </w:p>
        </w:tc>
      </w:tr>
      <w:tr>
        <w:trPr/>
        <w:tc>
          <w:tcPr>
            <w:tcW w:w="481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2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44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74"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3" w:type="dxa"/>
            <w:tcBorders/>
            <w:shd w:fill="auto" w:val="clear"/>
            <w:vAlign w:val="center"/>
          </w:tcPr>
          <w:p>
            <w:pPr>
              <w:pStyle w:val="TableContents"/>
              <w:spacing w:before="0" w:after="283"/>
              <w:ind w:left="0" w:right="0" w:hanging="0"/>
              <w:rPr>
                <w:sz w:val="4"/>
                <w:szCs w:val="4"/>
              </w:rPr>
            </w:pPr>
            <w:r>
              <w:rPr>
                <w:sz w:val="4"/>
                <w:szCs w:val="4"/>
              </w:rPr>
            </w:r>
          </w:p>
        </w:tc>
        <w:tc>
          <w:tcPr>
            <w:tcW w:w="22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394"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240" w:after="0"/>
        <w:jc w:val="center"/>
        <w:rPr>
          <w:rFonts w:ascii="Arial;sans-serif" w:hAnsi="Arial;sans-serif"/>
          <w:b w:val="false"/>
          <w:sz w:val="16"/>
        </w:rPr>
      </w:pPr>
      <w:r>
        <w:rPr>
          <w:rFonts w:ascii="Arial;sans-serif" w:hAnsi="Arial;sans-serif"/>
          <w:b w:val="false"/>
          <w:sz w:val="16"/>
        </w:rPr>
        <w:t>12</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w:t>
      </w:r>
    </w:p>
    <w:p>
      <w:pPr>
        <w:pStyle w:val="TextBody"/>
        <w:spacing w:before="0" w:after="0"/>
        <w:jc w:val="center"/>
        <w:rPr>
          <w:rFonts w:ascii="Arial;sans-serif" w:hAnsi="Arial;sans-serif"/>
          <w:b w:val="false"/>
          <w:sz w:val="15"/>
        </w:rPr>
      </w:pPr>
      <w:r>
        <w:rPr>
          <w:rFonts w:ascii="Arial;sans-serif" w:hAnsi="Arial;sans-serif"/>
          <w:b w:val="false"/>
          <w:sz w:val="15"/>
        </w:rPr>
        <w:t>Item 1</w:t>
      </w:r>
    </w:p>
    <w:p>
      <w:pPr>
        <w:pStyle w:val="TextBody"/>
        <w:spacing w:before="0" w:after="0"/>
        <w:jc w:val="left"/>
        <w:rPr/>
      </w:pPr>
      <w:r>
        <w:rPr/>
        <w:t> </w:t>
      </w:r>
    </w:p>
    <w:p>
      <w:pPr>
        <w:pStyle w:val="TextBody"/>
        <w:spacing w:before="90" w:after="0"/>
        <w:jc w:val="center"/>
        <w:rPr>
          <w:rFonts w:ascii="Arial;sans-serif" w:hAnsi="Arial;sans-serif"/>
          <w:b w:val="false"/>
          <w:sz w:val="20"/>
          <w:u w:val="single"/>
        </w:rPr>
      </w:pPr>
      <w:r>
        <w:rPr>
          <w:rFonts w:ascii="Arial;sans-serif" w:hAnsi="Arial;sans-serif"/>
          <w:b w:val="false"/>
          <w:sz w:val="20"/>
          <w:u w:val="single"/>
        </w:rPr>
        <w:t>NOTE 4 — INVESTMENTS</w:t>
      </w:r>
    </w:p>
    <w:p>
      <w:pPr>
        <w:pStyle w:val="TextBody"/>
        <w:spacing w:before="180" w:after="0"/>
        <w:jc w:val="both"/>
        <w:rPr>
          <w:rFonts w:ascii="Arial;sans-serif" w:hAnsi="Arial;sans-serif"/>
          <w:b/>
          <w:sz w:val="20"/>
        </w:rPr>
      </w:pPr>
      <w:r>
        <w:rPr>
          <w:rFonts w:ascii="Arial;sans-serif" w:hAnsi="Arial;sans-serif"/>
          <w:b/>
          <w:sz w:val="20"/>
        </w:rPr>
        <w:t>Investment Components</w:t>
      </w:r>
    </w:p>
    <w:p>
      <w:pPr>
        <w:pStyle w:val="TextBody"/>
        <w:spacing w:before="180" w:after="0"/>
        <w:jc w:val="both"/>
        <w:rPr>
          <w:rFonts w:ascii="Arial;sans-serif" w:hAnsi="Arial;sans-serif"/>
          <w:b w:val="false"/>
          <w:sz w:val="20"/>
        </w:rPr>
      </w:pPr>
      <w:r>
        <w:rPr>
          <w:rFonts w:ascii="Arial;sans-serif" w:hAnsi="Arial;sans-serif"/>
          <w:b w:val="false"/>
          <w:sz w:val="20"/>
        </w:rPr>
        <w:t>The components of investments were as follows:</w:t>
      </w:r>
    </w:p>
    <w:p>
      <w:pPr>
        <w:pStyle w:val="TextBody"/>
        <w:spacing w:before="0" w:after="0"/>
        <w:jc w:val="both"/>
        <w:rPr/>
      </w:pPr>
      <w:r>
        <w:rPr/>
        <w:t> </w:t>
      </w:r>
    </w:p>
    <w:tbl>
      <w:tblPr>
        <w:tblW w:w="10316" w:type="dxa"/>
        <w:jc w:val="left"/>
        <w:tblInd w:w="0" w:type="dxa"/>
        <w:tblCellMar>
          <w:top w:w="28" w:type="dxa"/>
          <w:left w:w="28" w:type="dxa"/>
          <w:bottom w:w="28" w:type="dxa"/>
          <w:right w:w="28" w:type="dxa"/>
        </w:tblCellMar>
      </w:tblPr>
      <w:tblGrid>
        <w:gridCol w:w="1291"/>
        <w:gridCol w:w="146"/>
        <w:gridCol w:w="586"/>
        <w:gridCol w:w="146"/>
        <w:gridCol w:w="211"/>
        <w:gridCol w:w="691"/>
        <w:gridCol w:w="146"/>
        <w:gridCol w:w="354"/>
        <w:gridCol w:w="532"/>
        <w:gridCol w:w="146"/>
        <w:gridCol w:w="218"/>
        <w:gridCol w:w="668"/>
        <w:gridCol w:w="166"/>
        <w:gridCol w:w="146"/>
        <w:gridCol w:w="211"/>
        <w:gridCol w:w="796"/>
        <w:gridCol w:w="146"/>
        <w:gridCol w:w="228"/>
        <w:gridCol w:w="748"/>
        <w:gridCol w:w="146"/>
        <w:gridCol w:w="235"/>
        <w:gridCol w:w="771"/>
        <w:gridCol w:w="146"/>
        <w:gridCol w:w="266"/>
        <w:gridCol w:w="740"/>
        <w:gridCol w:w="436"/>
      </w:tblGrid>
      <w:tr>
        <w:trPr/>
        <w:tc>
          <w:tcPr>
            <w:tcW w:w="12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r>
      <w:tr>
        <w:trPr/>
        <w:tc>
          <w:tcPr>
            <w:tcW w:w="1291"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(In millions)</w:t>
            </w:r>
          </w:p>
        </w:tc>
        <w:tc>
          <w:tcPr>
            <w:tcW w:w="146" w:type="dxa"/>
            <w:tcBorders/>
            <w:shd w:fill="auto" w:val="clear"/>
            <w:vAlign w:val="center"/>
          </w:tcPr>
          <w:p>
            <w:pPr>
              <w:pStyle w:val="TableContents"/>
              <w:spacing w:before="0" w:after="0"/>
              <w:ind w:left="0" w:right="0" w:hanging="0"/>
              <w:jc w:val="right"/>
              <w:rPr/>
            </w:pPr>
            <w:r>
              <w:rPr/>
              <w:t> </w:t>
            </w:r>
          </w:p>
        </w:tc>
        <w:tc>
          <w:tcPr>
            <w:tcW w:w="586" w:type="dxa"/>
            <w:tcBorders/>
            <w:shd w:fill="auto" w:val="clear"/>
            <w:vAlign w:val="center"/>
          </w:tcPr>
          <w:p>
            <w:pPr>
              <w:pStyle w:val="TableContents"/>
              <w:spacing w:before="0" w:after="0"/>
              <w:ind w:left="0" w:right="0" w:hanging="0"/>
              <w:jc w:val="center"/>
              <w:rPr>
                <w:rFonts w:ascii="Arial;sans-serif" w:hAnsi="Arial;sans-serif"/>
                <w:b/>
                <w:sz w:val="15"/>
              </w:rPr>
            </w:pPr>
            <w:r>
              <w:rPr>
                <w:rFonts w:ascii="Arial;sans-serif" w:hAnsi="Arial;sans-serif"/>
                <w:b/>
                <w:sz w:val="15"/>
              </w:rPr>
              <w:t>Fair</w:t>
            </w:r>
          </w:p>
          <w:p>
            <w:pPr>
              <w:pStyle w:val="TableContents"/>
              <w:spacing w:before="0" w:after="0"/>
              <w:ind w:left="0" w:right="0" w:hanging="0"/>
              <w:jc w:val="center"/>
              <w:rPr>
                <w:rFonts w:ascii="Arial;sans-serif" w:hAnsi="Arial;sans-serif"/>
                <w:b/>
                <w:sz w:val="15"/>
              </w:rPr>
            </w:pPr>
            <w:r>
              <w:rPr>
                <w:rFonts w:ascii="Arial;sans-serif" w:hAnsi="Arial;sans-serif"/>
                <w:b/>
                <w:sz w:val="15"/>
              </w:rPr>
              <w:t>Value</w:t>
            </w:r>
          </w:p>
          <w:p>
            <w:pPr>
              <w:pStyle w:val="TableContents"/>
              <w:spacing w:before="0" w:after="0"/>
              <w:ind w:left="0" w:right="0" w:hanging="0"/>
              <w:jc w:val="center"/>
              <w:rPr>
                <w:rFonts w:ascii="Arial;sans-serif" w:hAnsi="Arial;sans-serif"/>
                <w:b/>
                <w:sz w:val="15"/>
              </w:rPr>
            </w:pPr>
            <w:r>
              <w:rPr>
                <w:rFonts w:ascii="Arial;sans-serif" w:hAnsi="Arial;sans-serif"/>
                <w:b/>
                <w:sz w:val="15"/>
              </w:rPr>
              <w:t>Level</w:t>
            </w:r>
          </w:p>
        </w:tc>
        <w:tc>
          <w:tcPr>
            <w:tcW w:w="146" w:type="dxa"/>
            <w:tcBorders/>
            <w:shd w:fill="auto" w:val="clear"/>
            <w:vAlign w:val="center"/>
          </w:tcPr>
          <w:p>
            <w:pPr>
              <w:pStyle w:val="TableContents"/>
              <w:spacing w:before="0" w:after="0"/>
              <w:ind w:left="0" w:right="0" w:hanging="0"/>
              <w:jc w:val="right"/>
              <w:rPr/>
            </w:pPr>
            <w:r>
              <w:rPr/>
              <w:t> </w:t>
            </w:r>
          </w:p>
        </w:tc>
        <w:tc>
          <w:tcPr>
            <w:tcW w:w="902"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Adjusted</w:t>
            </w:r>
          </w:p>
          <w:p>
            <w:pPr>
              <w:pStyle w:val="TableContents"/>
              <w:spacing w:before="0" w:after="0"/>
              <w:ind w:left="0" w:right="0" w:hanging="0"/>
              <w:jc w:val="right"/>
              <w:rPr>
                <w:rFonts w:ascii="Arial;sans-serif" w:hAnsi="Arial;sans-serif"/>
                <w:b/>
                <w:sz w:val="15"/>
              </w:rPr>
            </w:pPr>
            <w:r>
              <w:rPr>
                <w:rFonts w:ascii="Arial;sans-serif" w:hAnsi="Arial;sans-serif"/>
                <w:b/>
                <w:sz w:val="15"/>
              </w:rPr>
              <w:t>Cost</w:t>
            </w:r>
          </w:p>
          <w:p>
            <w:pPr>
              <w:pStyle w:val="TableContents"/>
              <w:spacing w:before="0" w:after="0"/>
              <w:ind w:left="0" w:right="0" w:hanging="0"/>
              <w:jc w:val="right"/>
              <w:rPr>
                <w:rFonts w:ascii="Arial;sans-serif" w:hAnsi="Arial;sans-serif"/>
                <w:b/>
                <w:sz w:val="15"/>
              </w:rPr>
            </w:pPr>
            <w:r>
              <w:rPr>
                <w:rFonts w:ascii="Arial;sans-serif" w:hAnsi="Arial;sans-serif"/>
                <w:b/>
                <w:sz w:val="15"/>
              </w:rPr>
              <w:t>Basis</w:t>
            </w:r>
          </w:p>
        </w:tc>
        <w:tc>
          <w:tcPr>
            <w:tcW w:w="146" w:type="dxa"/>
            <w:tcBorders/>
            <w:shd w:fill="auto" w:val="clear"/>
            <w:vAlign w:val="center"/>
          </w:tcPr>
          <w:p>
            <w:pPr>
              <w:pStyle w:val="TableContents"/>
              <w:spacing w:before="0" w:after="0"/>
              <w:ind w:left="0" w:right="0" w:hanging="0"/>
              <w:jc w:val="right"/>
              <w:rPr/>
            </w:pPr>
            <w:r>
              <w:rPr/>
              <w:t> </w:t>
            </w:r>
          </w:p>
        </w:tc>
        <w:tc>
          <w:tcPr>
            <w:tcW w:w="886"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Unrealized</w:t>
            </w:r>
          </w:p>
          <w:p>
            <w:pPr>
              <w:pStyle w:val="TableContents"/>
              <w:spacing w:before="0" w:after="0"/>
              <w:ind w:left="0" w:right="0" w:hanging="0"/>
              <w:jc w:val="right"/>
              <w:rPr>
                <w:rFonts w:ascii="Arial;sans-serif" w:hAnsi="Arial;sans-serif"/>
                <w:b/>
                <w:sz w:val="15"/>
              </w:rPr>
            </w:pPr>
            <w:r>
              <w:rPr>
                <w:rFonts w:ascii="Arial;sans-serif" w:hAnsi="Arial;sans-serif"/>
                <w:b/>
                <w:sz w:val="15"/>
              </w:rPr>
              <w:t>Gains</w:t>
            </w:r>
          </w:p>
        </w:tc>
        <w:tc>
          <w:tcPr>
            <w:tcW w:w="146" w:type="dxa"/>
            <w:tcBorders/>
            <w:shd w:fill="auto" w:val="clear"/>
            <w:vAlign w:val="center"/>
          </w:tcPr>
          <w:p>
            <w:pPr>
              <w:pStyle w:val="TableContents"/>
              <w:spacing w:before="0" w:after="0"/>
              <w:ind w:left="0" w:right="0" w:hanging="0"/>
              <w:jc w:val="right"/>
              <w:rPr/>
            </w:pPr>
            <w:r>
              <w:rPr/>
              <w:t> </w:t>
            </w:r>
          </w:p>
        </w:tc>
        <w:tc>
          <w:tcPr>
            <w:tcW w:w="886"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Unrealized</w:t>
            </w:r>
          </w:p>
          <w:p>
            <w:pPr>
              <w:pStyle w:val="TableContents"/>
              <w:spacing w:before="0" w:after="0"/>
              <w:ind w:left="0" w:right="0" w:hanging="0"/>
              <w:jc w:val="right"/>
              <w:rPr>
                <w:rFonts w:ascii="Arial;sans-serif" w:hAnsi="Arial;sans-serif"/>
                <w:b/>
                <w:sz w:val="15"/>
              </w:rPr>
            </w:pPr>
            <w:r>
              <w:rPr>
                <w:rFonts w:ascii="Arial;sans-serif" w:hAnsi="Arial;sans-serif"/>
                <w:b/>
                <w:sz w:val="15"/>
              </w:rPr>
              <w:t>Losses</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07"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Recorded</w:t>
            </w:r>
          </w:p>
          <w:p>
            <w:pPr>
              <w:pStyle w:val="TableContents"/>
              <w:spacing w:before="0" w:after="0"/>
              <w:ind w:left="0" w:right="0" w:hanging="0"/>
              <w:jc w:val="right"/>
              <w:rPr>
                <w:rFonts w:ascii="Arial;sans-serif" w:hAnsi="Arial;sans-serif"/>
                <w:b/>
                <w:sz w:val="15"/>
              </w:rPr>
            </w:pPr>
            <w:r>
              <w:rPr>
                <w:rFonts w:ascii="Arial;sans-serif" w:hAnsi="Arial;sans-serif"/>
                <w:b/>
                <w:sz w:val="15"/>
              </w:rPr>
              <w:t>Basis</w:t>
            </w:r>
          </w:p>
        </w:tc>
        <w:tc>
          <w:tcPr>
            <w:tcW w:w="146" w:type="dxa"/>
            <w:tcBorders/>
            <w:shd w:fill="auto" w:val="clear"/>
            <w:vAlign w:val="center"/>
          </w:tcPr>
          <w:p>
            <w:pPr>
              <w:pStyle w:val="TableContents"/>
              <w:spacing w:before="0" w:after="0"/>
              <w:ind w:left="0" w:right="0" w:hanging="0"/>
              <w:jc w:val="right"/>
              <w:rPr/>
            </w:pPr>
            <w:r>
              <w:rPr/>
              <w:t> </w:t>
            </w:r>
          </w:p>
        </w:tc>
        <w:tc>
          <w:tcPr>
            <w:tcW w:w="976"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Cash</w:t>
            </w:r>
          </w:p>
          <w:p>
            <w:pPr>
              <w:pStyle w:val="TableContents"/>
              <w:spacing w:before="0" w:after="0"/>
              <w:ind w:left="0" w:right="0" w:hanging="0"/>
              <w:jc w:val="right"/>
              <w:rPr/>
            </w:pPr>
            <w:r>
              <w:rPr/>
              <w:t> </w:t>
            </w:r>
            <w:r>
              <w:rPr>
                <w:rFonts w:ascii="Arial;sans-serif" w:hAnsi="Arial;sans-serif"/>
                <w:b/>
                <w:sz w:val="15"/>
              </w:rPr>
              <w:t>and Cash</w:t>
            </w:r>
          </w:p>
          <w:p>
            <w:pPr>
              <w:pStyle w:val="TableContents"/>
              <w:spacing w:before="0" w:after="0"/>
              <w:ind w:left="0" w:right="0" w:hanging="0"/>
              <w:jc w:val="right"/>
              <w:rPr>
                <w:rFonts w:ascii="Arial;sans-serif" w:hAnsi="Arial;sans-serif"/>
                <w:b/>
                <w:sz w:val="15"/>
              </w:rPr>
            </w:pPr>
            <w:r>
              <w:rPr>
                <w:rFonts w:ascii="Arial;sans-serif" w:hAnsi="Arial;sans-serif"/>
                <w:b/>
                <w:sz w:val="15"/>
              </w:rPr>
              <w:t>Equivalents</w:t>
            </w:r>
          </w:p>
        </w:tc>
        <w:tc>
          <w:tcPr>
            <w:tcW w:w="146" w:type="dxa"/>
            <w:tcBorders/>
            <w:shd w:fill="auto" w:val="clear"/>
            <w:vAlign w:val="center"/>
          </w:tcPr>
          <w:p>
            <w:pPr>
              <w:pStyle w:val="TableContents"/>
              <w:spacing w:before="0" w:after="0"/>
              <w:ind w:left="0" w:right="0" w:hanging="0"/>
              <w:jc w:val="right"/>
              <w:rPr/>
            </w:pPr>
            <w:r>
              <w:rPr/>
              <w:t> </w:t>
            </w:r>
          </w:p>
        </w:tc>
        <w:tc>
          <w:tcPr>
            <w:tcW w:w="1006"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Short-term</w:t>
            </w:r>
          </w:p>
          <w:p>
            <w:pPr>
              <w:pStyle w:val="TableContents"/>
              <w:spacing w:before="0" w:after="0"/>
              <w:ind w:left="0" w:right="0" w:hanging="0"/>
              <w:jc w:val="right"/>
              <w:rPr>
                <w:rFonts w:ascii="Arial;sans-serif" w:hAnsi="Arial;sans-serif"/>
                <w:b/>
                <w:sz w:val="15"/>
              </w:rPr>
            </w:pPr>
            <w:r>
              <w:rPr>
                <w:rFonts w:ascii="Arial;sans-serif" w:hAnsi="Arial;sans-serif"/>
                <w:b/>
                <w:sz w:val="15"/>
              </w:rPr>
              <w:t>Investments</w:t>
            </w:r>
          </w:p>
        </w:tc>
        <w:tc>
          <w:tcPr>
            <w:tcW w:w="146" w:type="dxa"/>
            <w:tcBorders/>
            <w:shd w:fill="auto" w:val="clear"/>
            <w:vAlign w:val="center"/>
          </w:tcPr>
          <w:p>
            <w:pPr>
              <w:pStyle w:val="TableContents"/>
              <w:spacing w:before="0" w:after="0"/>
              <w:ind w:left="0" w:right="0" w:hanging="0"/>
              <w:jc w:val="right"/>
              <w:rPr/>
            </w:pPr>
            <w:r>
              <w:rPr/>
              <w:t> </w:t>
            </w:r>
          </w:p>
        </w:tc>
        <w:tc>
          <w:tcPr>
            <w:tcW w:w="1006"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Equity</w:t>
            </w:r>
          </w:p>
          <w:p>
            <w:pPr>
              <w:pStyle w:val="TableContents"/>
              <w:spacing w:before="0" w:after="0"/>
              <w:ind w:left="0" w:right="0" w:hanging="0"/>
              <w:jc w:val="right"/>
              <w:rPr>
                <w:rFonts w:ascii="Arial;sans-serif" w:hAnsi="Arial;sans-serif"/>
                <w:b/>
                <w:sz w:val="15"/>
              </w:rPr>
            </w:pPr>
            <w:r>
              <w:rPr>
                <w:rFonts w:ascii="Arial;sans-serif" w:hAnsi="Arial;sans-serif"/>
                <w:b/>
                <w:sz w:val="15"/>
              </w:rPr>
              <w:t>Investments</w:t>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129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1291" w:type="dxa"/>
            <w:tcBorders>
              <w:top w:val="single" w:sz="4"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58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21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69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354"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532"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218"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668"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6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21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79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228"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748"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235"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77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26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740"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43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March 31, 2023</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Changes in Fair Value Recorded in Other Comprehensive Income</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Commercial paper</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Level 2</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9,853</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532"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68"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9,853</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48"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9,207</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7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646</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4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12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Certificates of deposit</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Level 2</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2,229</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2,229</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2,185</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44</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12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U.S. government securities</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Level 1</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66,318</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(3,169</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63,150</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1,550</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61,600</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12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U.S. agency securities</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Level 2</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7,469</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7,468</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4,127</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3,341</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12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Foreign government bonds</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Level 2</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512</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(23</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490</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485</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436" w:type="dxa"/>
            <w:tcBorders/>
            <w:shd w:fill="auto" w:val="cle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Mortgage- and asset-backed securities</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Level 2</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767</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(36</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732</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732</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436" w:type="dxa"/>
            <w:tcBorders/>
            <w:shd w:fill="auto" w:val="cle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Corporate notes and bonds</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Level 2</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10,963</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18</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(552</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10,429</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10,429</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436" w:type="dxa"/>
            <w:tcBorders/>
            <w:shd w:fill="auto" w:val="cle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Corporate notes and bonds</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Level 3</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118</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118</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118</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436" w:type="dxa"/>
            <w:tcBorders/>
            <w:shd w:fill="auto" w:val="cle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Municipal securities</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Level 2</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367</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13</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(15</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365</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365</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436" w:type="dxa"/>
            <w:tcBorders/>
            <w:shd w:fill="auto" w:val="cle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Municipal securities</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Level 3</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104</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97</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97</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436" w:type="dxa"/>
            <w:tcBorders/>
            <w:shd w:fill="auto" w:val="cle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1291" w:type="dxa"/>
            <w:tcBorders>
              <w:top w:val="single" w:sz="4"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58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21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69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354"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532"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218"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668"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16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79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228"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748"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235"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77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26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740"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43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firstLine="245"/>
              <w:jc w:val="left"/>
              <w:rPr/>
            </w:pPr>
            <w:r>
              <w:rPr/>
              <w:t> </w:t>
            </w:r>
          </w:p>
        </w:tc>
      </w:tr>
      <w:tr>
        <w:trPr/>
        <w:tc>
          <w:tcPr>
            <w:tcW w:w="1291"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Total debt investments</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98,700</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532"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35</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68"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(3,804</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94,931</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48"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17,074</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7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77,857</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4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436" w:type="dxa"/>
            <w:tcBorders/>
            <w:shd w:fill="auto" w:val="cle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top w:val="single" w:sz="12"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532" w:type="dxa"/>
            <w:tcBorders>
              <w:top w:val="single" w:sz="12"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146" w:type="dxa"/>
            <w:tcBorders>
              <w:top w:val="single" w:sz="12"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218" w:type="dxa"/>
            <w:tcBorders>
              <w:top w:val="single" w:sz="12"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668" w:type="dxa"/>
            <w:tcBorders>
              <w:top w:val="single" w:sz="12"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66" w:type="dxa"/>
            <w:tcBorders>
              <w:top w:val="single" w:sz="12"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12"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796" w:type="dxa"/>
            <w:tcBorders>
              <w:top w:val="single" w:sz="12"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12"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228" w:type="dxa"/>
            <w:tcBorders>
              <w:top w:val="single" w:sz="12"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748" w:type="dxa"/>
            <w:tcBorders>
              <w:top w:val="single" w:sz="12"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146" w:type="dxa"/>
            <w:tcBorders>
              <w:top w:val="single" w:sz="12"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235" w:type="dxa"/>
            <w:tcBorders>
              <w:top w:val="single" w:sz="12"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771" w:type="dxa"/>
            <w:tcBorders>
              <w:top w:val="single" w:sz="12"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146" w:type="dxa"/>
            <w:tcBorders>
              <w:top w:val="single" w:sz="12"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266" w:type="dxa"/>
            <w:tcBorders>
              <w:top w:val="single" w:sz="12"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740" w:type="dxa"/>
            <w:tcBorders>
              <w:top w:val="single" w:sz="12"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436" w:type="dxa"/>
            <w:tcBorders>
              <w:top w:val="single" w:sz="12"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Changes in Fair Value Recorded in Net Income</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Equity investments</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Level 1</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3,475</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48"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979</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7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4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2,496</w:t>
            </w:r>
          </w:p>
        </w:tc>
        <w:tc>
          <w:tcPr>
            <w:tcW w:w="436" w:type="dxa"/>
            <w:tcBorders/>
            <w:shd w:fill="auto" w:val="cle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Equity investments</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Other</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6,919</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6,919</w:t>
            </w:r>
          </w:p>
        </w:tc>
        <w:tc>
          <w:tcPr>
            <w:tcW w:w="436" w:type="dxa"/>
            <w:tcBorders/>
            <w:shd w:fill="auto" w:val="clear"/>
            <w:vAlign w:val="center"/>
          </w:tcPr>
          <w:p>
            <w:pPr>
              <w:pStyle w:val="TableContents"/>
              <w:spacing w:before="0" w:after="0"/>
              <w:ind w:left="0" w:right="0" w:hanging="0"/>
              <w:jc w:val="left"/>
              <w:rPr/>
            </w:pPr>
            <w:r>
              <w:rPr/>
              <w:t> </w:t>
            </w:r>
          </w:p>
        </w:tc>
      </w:tr>
      <w:tr>
        <w:trPr/>
        <w:tc>
          <w:tcPr>
            <w:tcW w:w="129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135" w:type="dxa"/>
            <w:gridSpan w:val="1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pPr>
            <w:r>
              <w:rPr/>
              <w:t> </w:t>
            </w:r>
          </w:p>
        </w:tc>
        <w:tc>
          <w:tcPr>
            <w:tcW w:w="436" w:type="dxa"/>
            <w:tcBorders/>
            <w:shd w:fill="auto" w:val="clear"/>
            <w:vAlign w:val="center"/>
          </w:tcPr>
          <w:p>
            <w:pPr>
              <w:pStyle w:val="TableContents"/>
              <w:spacing w:before="0" w:after="0"/>
              <w:ind w:left="0" w:right="0" w:firstLine="245"/>
              <w:jc w:val="left"/>
              <w:rPr/>
            </w:pPr>
            <w:r>
              <w:rPr/>
              <w:t> </w:t>
            </w:r>
          </w:p>
        </w:tc>
      </w:tr>
      <w:tr>
        <w:trPr/>
        <w:tc>
          <w:tcPr>
            <w:tcW w:w="1291"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Total equity investments</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10,394</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48"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979</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7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4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9,415</w:t>
            </w:r>
          </w:p>
        </w:tc>
        <w:tc>
          <w:tcPr>
            <w:tcW w:w="436" w:type="dxa"/>
            <w:tcBorders/>
            <w:shd w:fill="auto" w:val="cle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12"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796" w:type="dxa"/>
            <w:tcBorders>
              <w:top w:val="single" w:sz="12"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146" w:type="dxa"/>
            <w:tcBorders>
              <w:top w:val="single" w:sz="12"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228" w:type="dxa"/>
            <w:tcBorders>
              <w:top w:val="single" w:sz="12"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748" w:type="dxa"/>
            <w:tcBorders>
              <w:top w:val="single" w:sz="12"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146" w:type="dxa"/>
            <w:tcBorders>
              <w:top w:val="single" w:sz="12"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235" w:type="dxa"/>
            <w:tcBorders>
              <w:top w:val="single" w:sz="12"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771" w:type="dxa"/>
            <w:tcBorders>
              <w:top w:val="single" w:sz="12"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146" w:type="dxa"/>
            <w:tcBorders>
              <w:top w:val="single" w:sz="12"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266" w:type="dxa"/>
            <w:tcBorders>
              <w:top w:val="single" w:sz="12"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740" w:type="dxa"/>
            <w:tcBorders>
              <w:top w:val="single" w:sz="12"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436" w:type="dxa"/>
            <w:tcBorders>
              <w:top w:val="single" w:sz="12"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Cash</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8,509</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48"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8,509</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7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4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436" w:type="dxa"/>
            <w:tcBorders/>
            <w:shd w:fill="auto" w:val="cle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Derivatives, net</w:t>
            </w:r>
            <w:r>
              <w:rPr>
                <w:rFonts w:ascii="Times New Roman" w:hAnsi="Times New Roman"/>
                <w:sz w:val="20"/>
              </w:rPr>
              <w:t> </w:t>
            </w:r>
            <w:r>
              <w:rPr>
                <w:rFonts w:ascii="Arial;sans-serif" w:hAnsi="Arial;sans-serif"/>
                <w:b w:val="false"/>
                <w:sz w:val="13"/>
              </w:rPr>
              <w:t>(a)</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8</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8</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436" w:type="dxa"/>
            <w:tcBorders/>
            <w:shd w:fill="auto" w:val="clear"/>
            <w:vAlign w:val="center"/>
          </w:tcPr>
          <w:p>
            <w:pPr>
              <w:pStyle w:val="TableContents"/>
              <w:spacing w:before="0" w:after="0"/>
              <w:ind w:left="0" w:right="0" w:hanging="0"/>
              <w:jc w:val="left"/>
              <w:rPr/>
            </w:pPr>
            <w:r>
              <w:rPr/>
              <w:t> </w:t>
            </w:r>
          </w:p>
        </w:tc>
      </w:tr>
      <w:tr>
        <w:trPr/>
        <w:tc>
          <w:tcPr>
            <w:tcW w:w="129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135" w:type="dxa"/>
            <w:gridSpan w:val="1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pPr>
            <w:r>
              <w:rPr/>
              <w:t> </w:t>
            </w:r>
          </w:p>
        </w:tc>
        <w:tc>
          <w:tcPr>
            <w:tcW w:w="436" w:type="dxa"/>
            <w:tcBorders/>
            <w:shd w:fill="auto" w:val="clear"/>
            <w:vAlign w:val="center"/>
          </w:tcPr>
          <w:p>
            <w:pPr>
              <w:pStyle w:val="TableContents"/>
              <w:spacing w:before="0" w:after="0"/>
              <w:ind w:left="0" w:right="0" w:firstLine="245"/>
              <w:jc w:val="left"/>
              <w:rPr/>
            </w:pPr>
            <w:r>
              <w:rPr/>
              <w:t> </w:t>
            </w:r>
          </w:p>
        </w:tc>
      </w:tr>
      <w:tr>
        <w:trPr/>
        <w:tc>
          <w:tcPr>
            <w:tcW w:w="1291"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113,842</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48"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26,562</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7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77,865</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4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9,415</w:t>
            </w:r>
          </w:p>
        </w:tc>
        <w:tc>
          <w:tcPr>
            <w:tcW w:w="436" w:type="dxa"/>
            <w:tcBorders/>
            <w:shd w:fill="auto" w:val="cle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8"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8"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5"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0"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240" w:after="0"/>
        <w:jc w:val="center"/>
        <w:rPr>
          <w:rFonts w:ascii="Arial;sans-serif" w:hAnsi="Arial;sans-serif"/>
          <w:b w:val="false"/>
          <w:sz w:val="16"/>
        </w:rPr>
      </w:pPr>
      <w:r>
        <w:rPr>
          <w:rFonts w:ascii="Arial;sans-serif" w:hAnsi="Arial;sans-serif"/>
          <w:b w:val="false"/>
          <w:sz w:val="16"/>
        </w:rPr>
        <w:t>13</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w:t>
      </w:r>
    </w:p>
    <w:p>
      <w:pPr>
        <w:pStyle w:val="TextBody"/>
        <w:spacing w:before="0" w:after="0"/>
        <w:jc w:val="center"/>
        <w:rPr>
          <w:rFonts w:ascii="Arial;sans-serif" w:hAnsi="Arial;sans-serif"/>
          <w:b w:val="false"/>
          <w:sz w:val="15"/>
        </w:rPr>
      </w:pPr>
      <w:r>
        <w:rPr>
          <w:rFonts w:ascii="Arial;sans-serif" w:hAnsi="Arial;sans-serif"/>
          <w:b w:val="false"/>
          <w:sz w:val="15"/>
        </w:rPr>
        <w:t>Item 1</w:t>
      </w:r>
    </w:p>
    <w:p>
      <w:pPr>
        <w:pStyle w:val="TextBody"/>
        <w:spacing w:before="0" w:after="0"/>
        <w:jc w:val="left"/>
        <w:rPr/>
      </w:pPr>
      <w:r>
        <w:rPr/>
        <w:t> </w:t>
      </w:r>
    </w:p>
    <w:tbl>
      <w:tblPr>
        <w:tblW w:w="10279" w:type="dxa"/>
        <w:jc w:val="left"/>
        <w:tblInd w:w="0" w:type="dxa"/>
        <w:tblCellMar>
          <w:top w:w="28" w:type="dxa"/>
          <w:left w:w="28" w:type="dxa"/>
          <w:bottom w:w="28" w:type="dxa"/>
          <w:right w:w="28" w:type="dxa"/>
        </w:tblCellMar>
      </w:tblPr>
      <w:tblGrid>
        <w:gridCol w:w="1291"/>
        <w:gridCol w:w="109"/>
        <w:gridCol w:w="586"/>
        <w:gridCol w:w="146"/>
        <w:gridCol w:w="211"/>
        <w:gridCol w:w="691"/>
        <w:gridCol w:w="146"/>
        <w:gridCol w:w="354"/>
        <w:gridCol w:w="532"/>
        <w:gridCol w:w="146"/>
        <w:gridCol w:w="218"/>
        <w:gridCol w:w="668"/>
        <w:gridCol w:w="166"/>
        <w:gridCol w:w="146"/>
        <w:gridCol w:w="211"/>
        <w:gridCol w:w="796"/>
        <w:gridCol w:w="146"/>
        <w:gridCol w:w="228"/>
        <w:gridCol w:w="748"/>
        <w:gridCol w:w="146"/>
        <w:gridCol w:w="235"/>
        <w:gridCol w:w="771"/>
        <w:gridCol w:w="146"/>
        <w:gridCol w:w="266"/>
        <w:gridCol w:w="740"/>
        <w:gridCol w:w="436"/>
      </w:tblGrid>
      <w:tr>
        <w:trPr/>
        <w:tc>
          <w:tcPr>
            <w:tcW w:w="12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r>
      <w:tr>
        <w:trPr/>
        <w:tc>
          <w:tcPr>
            <w:tcW w:w="1291"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(In millions)</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center"/>
              <w:rPr>
                <w:rFonts w:ascii="Arial;sans-serif" w:hAnsi="Arial;sans-serif"/>
                <w:b/>
                <w:sz w:val="15"/>
              </w:rPr>
            </w:pPr>
            <w:r>
              <w:rPr>
                <w:rFonts w:ascii="Arial;sans-serif" w:hAnsi="Arial;sans-serif"/>
                <w:b/>
                <w:sz w:val="15"/>
              </w:rPr>
              <w:t>Fair</w:t>
            </w:r>
          </w:p>
          <w:p>
            <w:pPr>
              <w:pStyle w:val="TableContents"/>
              <w:spacing w:before="0" w:after="0"/>
              <w:ind w:left="0" w:right="0" w:hanging="0"/>
              <w:jc w:val="center"/>
              <w:rPr>
                <w:rFonts w:ascii="Arial;sans-serif" w:hAnsi="Arial;sans-serif"/>
                <w:b/>
                <w:sz w:val="15"/>
              </w:rPr>
            </w:pPr>
            <w:r>
              <w:rPr>
                <w:rFonts w:ascii="Arial;sans-serif" w:hAnsi="Arial;sans-serif"/>
                <w:b/>
                <w:sz w:val="15"/>
              </w:rPr>
              <w:t>Value</w:t>
            </w:r>
          </w:p>
          <w:p>
            <w:pPr>
              <w:pStyle w:val="TableContents"/>
              <w:spacing w:before="0" w:after="0"/>
              <w:ind w:left="0" w:right="0" w:hanging="0"/>
              <w:jc w:val="center"/>
              <w:rPr>
                <w:rFonts w:ascii="Arial;sans-serif" w:hAnsi="Arial;sans-serif"/>
                <w:b/>
                <w:sz w:val="15"/>
              </w:rPr>
            </w:pPr>
            <w:r>
              <w:rPr>
                <w:rFonts w:ascii="Arial;sans-serif" w:hAnsi="Arial;sans-serif"/>
                <w:b/>
                <w:sz w:val="15"/>
              </w:rPr>
              <w:t>Level</w:t>
            </w:r>
          </w:p>
        </w:tc>
        <w:tc>
          <w:tcPr>
            <w:tcW w:w="146" w:type="dxa"/>
            <w:tcBorders/>
            <w:shd w:fill="auto" w:val="clear"/>
            <w:vAlign w:val="center"/>
          </w:tcPr>
          <w:p>
            <w:pPr>
              <w:pStyle w:val="TableContents"/>
              <w:spacing w:before="0" w:after="0"/>
              <w:ind w:left="0" w:right="0" w:hanging="0"/>
              <w:jc w:val="left"/>
              <w:rPr/>
            </w:pPr>
            <w:r>
              <w:rPr/>
              <w:t> </w:t>
            </w:r>
          </w:p>
        </w:tc>
        <w:tc>
          <w:tcPr>
            <w:tcW w:w="902"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Adjusted</w:t>
            </w:r>
          </w:p>
          <w:p>
            <w:pPr>
              <w:pStyle w:val="TableContents"/>
              <w:spacing w:before="0" w:after="0"/>
              <w:ind w:left="0" w:right="0" w:hanging="0"/>
              <w:jc w:val="right"/>
              <w:rPr>
                <w:rFonts w:ascii="Arial;sans-serif" w:hAnsi="Arial;sans-serif"/>
                <w:b/>
                <w:sz w:val="15"/>
              </w:rPr>
            </w:pPr>
            <w:r>
              <w:rPr>
                <w:rFonts w:ascii="Arial;sans-serif" w:hAnsi="Arial;sans-serif"/>
                <w:b/>
                <w:sz w:val="15"/>
              </w:rPr>
              <w:t>Cost</w:t>
            </w:r>
          </w:p>
          <w:p>
            <w:pPr>
              <w:pStyle w:val="TableContents"/>
              <w:spacing w:before="0" w:after="0"/>
              <w:ind w:left="0" w:right="0" w:hanging="0"/>
              <w:jc w:val="right"/>
              <w:rPr>
                <w:rFonts w:ascii="Arial;sans-serif" w:hAnsi="Arial;sans-serif"/>
                <w:b/>
                <w:sz w:val="15"/>
              </w:rPr>
            </w:pPr>
            <w:r>
              <w:rPr>
                <w:rFonts w:ascii="Arial;sans-serif" w:hAnsi="Arial;sans-serif"/>
                <w:b/>
                <w:sz w:val="15"/>
              </w:rPr>
              <w:t>Basis</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Unrealized</w:t>
            </w:r>
          </w:p>
          <w:p>
            <w:pPr>
              <w:pStyle w:val="TableContents"/>
              <w:spacing w:before="0" w:after="0"/>
              <w:ind w:left="0" w:right="0" w:hanging="0"/>
              <w:jc w:val="right"/>
              <w:rPr>
                <w:rFonts w:ascii="Arial;sans-serif" w:hAnsi="Arial;sans-serif"/>
                <w:b/>
                <w:sz w:val="15"/>
              </w:rPr>
            </w:pPr>
            <w:r>
              <w:rPr>
                <w:rFonts w:ascii="Arial;sans-serif" w:hAnsi="Arial;sans-serif"/>
                <w:b/>
                <w:sz w:val="15"/>
              </w:rPr>
              <w:t>Gains</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Unrealized</w:t>
            </w:r>
          </w:p>
          <w:p>
            <w:pPr>
              <w:pStyle w:val="TableContents"/>
              <w:spacing w:before="0" w:after="0"/>
              <w:ind w:left="0" w:right="0" w:hanging="0"/>
              <w:jc w:val="right"/>
              <w:rPr>
                <w:rFonts w:ascii="Arial;sans-serif" w:hAnsi="Arial;sans-serif"/>
                <w:b/>
                <w:sz w:val="15"/>
              </w:rPr>
            </w:pPr>
            <w:r>
              <w:rPr>
                <w:rFonts w:ascii="Arial;sans-serif" w:hAnsi="Arial;sans-serif"/>
                <w:b/>
                <w:sz w:val="15"/>
              </w:rPr>
              <w:t>Losses</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7"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Recorded</w:t>
            </w:r>
          </w:p>
          <w:p>
            <w:pPr>
              <w:pStyle w:val="TableContents"/>
              <w:spacing w:before="0" w:after="0"/>
              <w:ind w:left="0" w:right="0" w:hanging="0"/>
              <w:jc w:val="right"/>
              <w:rPr>
                <w:rFonts w:ascii="Arial;sans-serif" w:hAnsi="Arial;sans-serif"/>
                <w:b/>
                <w:sz w:val="15"/>
              </w:rPr>
            </w:pPr>
            <w:r>
              <w:rPr>
                <w:rFonts w:ascii="Arial;sans-serif" w:hAnsi="Arial;sans-serif"/>
                <w:b/>
                <w:sz w:val="15"/>
              </w:rPr>
              <w:t>Basis</w:t>
            </w:r>
          </w:p>
        </w:tc>
        <w:tc>
          <w:tcPr>
            <w:tcW w:w="146" w:type="dxa"/>
            <w:tcBorders/>
            <w:shd w:fill="auto" w:val="cle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Cash</w:t>
            </w:r>
          </w:p>
          <w:p>
            <w:pPr>
              <w:pStyle w:val="TableContents"/>
              <w:spacing w:before="0" w:after="0"/>
              <w:ind w:left="0" w:right="0" w:hanging="0"/>
              <w:jc w:val="right"/>
              <w:rPr>
                <w:rFonts w:ascii="Arial;sans-serif" w:hAnsi="Arial;sans-serif"/>
                <w:b/>
                <w:sz w:val="15"/>
              </w:rPr>
            </w:pPr>
            <w:r>
              <w:rPr>
                <w:rFonts w:ascii="Arial;sans-serif" w:hAnsi="Arial;sans-serif"/>
                <w:b/>
                <w:sz w:val="15"/>
              </w:rPr>
              <w:t>and Cash</w:t>
            </w:r>
          </w:p>
          <w:p>
            <w:pPr>
              <w:pStyle w:val="TableContents"/>
              <w:spacing w:before="0" w:after="0"/>
              <w:ind w:left="0" w:right="0" w:hanging="0"/>
              <w:jc w:val="right"/>
              <w:rPr>
                <w:rFonts w:ascii="Arial;sans-serif" w:hAnsi="Arial;sans-serif"/>
                <w:b/>
                <w:sz w:val="15"/>
              </w:rPr>
            </w:pPr>
            <w:r>
              <w:rPr>
                <w:rFonts w:ascii="Arial;sans-serif" w:hAnsi="Arial;sans-serif"/>
                <w:b/>
                <w:sz w:val="15"/>
              </w:rPr>
              <w:t>Equivalents</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Short-term</w:t>
            </w:r>
          </w:p>
          <w:p>
            <w:pPr>
              <w:pStyle w:val="TableContents"/>
              <w:spacing w:before="0" w:after="0"/>
              <w:ind w:left="0" w:right="0" w:hanging="0"/>
              <w:jc w:val="right"/>
              <w:rPr>
                <w:rFonts w:ascii="Arial;sans-serif" w:hAnsi="Arial;sans-serif"/>
                <w:b/>
                <w:sz w:val="15"/>
              </w:rPr>
            </w:pPr>
            <w:r>
              <w:rPr>
                <w:rFonts w:ascii="Arial;sans-serif" w:hAnsi="Arial;sans-serif"/>
                <w:b/>
                <w:sz w:val="15"/>
              </w:rPr>
              <w:t>Investments</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Equity</w:t>
            </w:r>
          </w:p>
          <w:p>
            <w:pPr>
              <w:pStyle w:val="TableContents"/>
              <w:spacing w:before="0" w:after="0"/>
              <w:ind w:left="0" w:right="0" w:hanging="0"/>
              <w:jc w:val="right"/>
              <w:rPr>
                <w:rFonts w:ascii="Arial;sans-serif" w:hAnsi="Arial;sans-serif"/>
                <w:b/>
                <w:sz w:val="15"/>
              </w:rPr>
            </w:pPr>
            <w:r>
              <w:rPr>
                <w:rFonts w:ascii="Arial;sans-serif" w:hAnsi="Arial;sans-serif"/>
                <w:b/>
                <w:sz w:val="15"/>
              </w:rPr>
              <w:t>Investments</w:t>
            </w:r>
          </w:p>
        </w:tc>
        <w:tc>
          <w:tcPr>
            <w:tcW w:w="436" w:type="dxa"/>
            <w:tcBorders/>
            <w:shd w:fill="auto" w:val="clear"/>
            <w:vAlign w:val="center"/>
          </w:tcPr>
          <w:p>
            <w:pPr>
              <w:pStyle w:val="TableContents"/>
              <w:spacing w:before="0" w:after="0"/>
              <w:ind w:left="0" w:right="0" w:hanging="0"/>
              <w:jc w:val="left"/>
              <w:rPr/>
            </w:pPr>
            <w:r>
              <w:rPr/>
              <w:t> </w:t>
            </w:r>
          </w:p>
        </w:tc>
      </w:tr>
      <w:tr>
        <w:trPr/>
        <w:tc>
          <w:tcPr>
            <w:tcW w:w="129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June 30, 2022</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2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Changes in Fair Value Recorded in Other Comprehensive Income</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Commercial paper</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Level 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2,500</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3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6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2,500</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2,498</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7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4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436" w:type="dxa"/>
            <w:tcBorders/>
            <w:shd w:fill="auto" w:val="cle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Certificates of deposit</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Level 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2,071</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2,071</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2,032</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39</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436" w:type="dxa"/>
            <w:tcBorders/>
            <w:shd w:fill="auto" w:val="cle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U.S. government securities</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Level 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79,696</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29</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(2,178</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77,547</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77,538</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436" w:type="dxa"/>
            <w:tcBorders/>
            <w:shd w:fill="auto" w:val="cle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U.S. agency securities</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Level 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419</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410</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410</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436" w:type="dxa"/>
            <w:tcBorders/>
            <w:shd w:fill="auto" w:val="cle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Foreign government bonds</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Level 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506</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(24</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482</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482</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436" w:type="dxa"/>
            <w:tcBorders/>
            <w:shd w:fill="auto" w:val="cle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Mortgage- and asset-backed securities</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Level 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727</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(30</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698</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698</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436" w:type="dxa"/>
            <w:tcBorders/>
            <w:shd w:fill="auto" w:val="cle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Corporate notes and bonds</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Level 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11,661</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(554</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11,111</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11,111</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436" w:type="dxa"/>
            <w:tcBorders/>
            <w:shd w:fill="auto" w:val="cle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Corporate notes and bonds</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Level 3</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67</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67</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67</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436" w:type="dxa"/>
            <w:tcBorders/>
            <w:shd w:fill="auto" w:val="cle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Municipal securities</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Level 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368</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374</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374</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436" w:type="dxa"/>
            <w:tcBorders/>
            <w:shd w:fill="auto" w:val="cle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Municipal securities</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Level 3</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103</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97</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97</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436" w:type="dxa"/>
            <w:tcBorders/>
            <w:shd w:fill="auto" w:val="clear"/>
            <w:vAlign w:val="center"/>
          </w:tcPr>
          <w:p>
            <w:pPr>
              <w:pStyle w:val="TableContents"/>
              <w:spacing w:before="0" w:after="0"/>
              <w:ind w:left="0" w:right="0" w:hanging="0"/>
              <w:jc w:val="left"/>
              <w:rPr/>
            </w:pPr>
            <w:r>
              <w:rPr/>
              <w:t> </w:t>
            </w:r>
          </w:p>
        </w:tc>
      </w:tr>
      <w:tr>
        <w:trPr/>
        <w:tc>
          <w:tcPr>
            <w:tcW w:w="129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pPr>
            <w:r>
              <w:rPr/>
              <w:t> </w:t>
            </w:r>
          </w:p>
        </w:tc>
        <w:tc>
          <w:tcPr>
            <w:tcW w:w="436" w:type="dxa"/>
            <w:tcBorders/>
            <w:shd w:fill="auto" w:val="clear"/>
            <w:vAlign w:val="center"/>
          </w:tcPr>
          <w:p>
            <w:pPr>
              <w:pStyle w:val="TableContents"/>
              <w:spacing w:before="0" w:after="0"/>
              <w:ind w:left="0" w:right="0" w:firstLine="245"/>
              <w:jc w:val="left"/>
              <w:rPr/>
            </w:pPr>
            <w:r>
              <w:rPr/>
              <w:t> </w:t>
            </w:r>
          </w:p>
        </w:tc>
      </w:tr>
      <w:tr>
        <w:trPr/>
        <w:tc>
          <w:tcPr>
            <w:tcW w:w="1291"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Total debt investments</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98,118</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3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53</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6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(2,814</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95,357</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4,539</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7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90,818</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4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436" w:type="dxa"/>
            <w:tcBorders/>
            <w:shd w:fill="auto" w:val="cle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4"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32"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8"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8"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8"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8"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5"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0"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3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Changes in Fair Value Recorded in Net Income</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Equity investments</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Level 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1,590</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1,134</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7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4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456</w:t>
            </w:r>
          </w:p>
        </w:tc>
        <w:tc>
          <w:tcPr>
            <w:tcW w:w="436" w:type="dxa"/>
            <w:tcBorders/>
            <w:shd w:fill="auto" w:val="cle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Equity investments</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6,435</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6,435</w:t>
            </w:r>
          </w:p>
        </w:tc>
        <w:tc>
          <w:tcPr>
            <w:tcW w:w="436" w:type="dxa"/>
            <w:tcBorders/>
            <w:shd w:fill="auto" w:val="clear"/>
            <w:vAlign w:val="center"/>
          </w:tcPr>
          <w:p>
            <w:pPr>
              <w:pStyle w:val="TableContents"/>
              <w:spacing w:before="0" w:after="0"/>
              <w:ind w:left="0" w:right="0" w:hanging="0"/>
              <w:jc w:val="left"/>
              <w:rPr/>
            </w:pPr>
            <w:r>
              <w:rPr/>
              <w:t> </w:t>
            </w:r>
          </w:p>
        </w:tc>
      </w:tr>
      <w:tr>
        <w:trPr/>
        <w:tc>
          <w:tcPr>
            <w:tcW w:w="129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pPr>
            <w:r>
              <w:rPr/>
              <w:t> </w:t>
            </w:r>
          </w:p>
        </w:tc>
        <w:tc>
          <w:tcPr>
            <w:tcW w:w="436" w:type="dxa"/>
            <w:tcBorders/>
            <w:shd w:fill="auto" w:val="clear"/>
            <w:vAlign w:val="center"/>
          </w:tcPr>
          <w:p>
            <w:pPr>
              <w:pStyle w:val="TableContents"/>
              <w:spacing w:before="0" w:after="0"/>
              <w:ind w:left="0" w:right="0" w:firstLine="245"/>
              <w:jc w:val="left"/>
              <w:rPr/>
            </w:pPr>
            <w:r>
              <w:rPr/>
              <w:t> </w:t>
            </w:r>
          </w:p>
        </w:tc>
      </w:tr>
      <w:tr>
        <w:trPr/>
        <w:tc>
          <w:tcPr>
            <w:tcW w:w="1291"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Total equity investments</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8,025</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1,134</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7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4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6,891</w:t>
            </w:r>
          </w:p>
        </w:tc>
        <w:tc>
          <w:tcPr>
            <w:tcW w:w="436" w:type="dxa"/>
            <w:tcBorders/>
            <w:shd w:fill="auto" w:val="cle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8"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8"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5"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0"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3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Cash</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8,258</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8,258</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7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4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436" w:type="dxa"/>
            <w:tcBorders/>
            <w:shd w:fill="auto" w:val="cle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Derivatives, net</w:t>
            </w:r>
            <w:r>
              <w:rPr>
                <w:rFonts w:ascii="Times New Roman" w:hAnsi="Times New Roman"/>
                <w:sz w:val="20"/>
              </w:rPr>
              <w:t> </w:t>
            </w:r>
            <w:r>
              <w:rPr>
                <w:rFonts w:ascii="Arial;sans-serif" w:hAnsi="Arial;sans-serif"/>
                <w:b w:val="false"/>
                <w:sz w:val="13"/>
              </w:rPr>
              <w:t>(a)</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436" w:type="dxa"/>
            <w:tcBorders/>
            <w:shd w:fill="auto" w:val="clear"/>
            <w:vAlign w:val="center"/>
          </w:tcPr>
          <w:p>
            <w:pPr>
              <w:pStyle w:val="TableContents"/>
              <w:spacing w:before="0" w:after="0"/>
              <w:ind w:left="0" w:right="0" w:hanging="0"/>
              <w:jc w:val="left"/>
              <w:rPr/>
            </w:pPr>
            <w:r>
              <w:rPr/>
              <w:t> </w:t>
            </w:r>
          </w:p>
        </w:tc>
      </w:tr>
      <w:tr>
        <w:trPr/>
        <w:tc>
          <w:tcPr>
            <w:tcW w:w="129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pPr>
            <w:r>
              <w:rPr/>
              <w:t> </w:t>
            </w:r>
          </w:p>
        </w:tc>
        <w:tc>
          <w:tcPr>
            <w:tcW w:w="436" w:type="dxa"/>
            <w:tcBorders/>
            <w:shd w:fill="auto" w:val="clear"/>
            <w:vAlign w:val="center"/>
          </w:tcPr>
          <w:p>
            <w:pPr>
              <w:pStyle w:val="TableContents"/>
              <w:spacing w:before="0" w:after="0"/>
              <w:ind w:left="0" w:right="0" w:firstLine="245"/>
              <w:jc w:val="left"/>
              <w:rPr/>
            </w:pPr>
            <w:r>
              <w:rPr/>
              <w:t> </w:t>
            </w:r>
          </w:p>
        </w:tc>
      </w:tr>
      <w:tr>
        <w:trPr/>
        <w:tc>
          <w:tcPr>
            <w:tcW w:w="1291"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Total</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111,648</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13,931</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7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90,826</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4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6,891</w:t>
            </w:r>
          </w:p>
        </w:tc>
        <w:tc>
          <w:tcPr>
            <w:tcW w:w="436" w:type="dxa"/>
            <w:tcBorders/>
            <w:shd w:fill="auto" w:val="clear"/>
            <w:vAlign w:val="center"/>
          </w:tcPr>
          <w:p>
            <w:pPr>
              <w:pStyle w:val="TableContents"/>
              <w:spacing w:before="0" w:after="0"/>
              <w:ind w:left="0" w:right="0" w:hanging="0"/>
              <w:jc w:val="left"/>
              <w:rPr/>
            </w:pPr>
            <w:r>
              <w:rPr/>
              <w:t> </w:t>
            </w:r>
          </w:p>
        </w:tc>
      </w:tr>
      <w:tr>
        <w:trPr/>
        <w:tc>
          <w:tcPr>
            <w:tcW w:w="1291"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8"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8"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5"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0"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both"/>
        <w:rPr>
          <w:rFonts w:ascii="Arial" w:hAnsi="Arial"/>
          <w:b w:val="false"/>
          <w:sz w:val="20"/>
        </w:rPr>
      </w:pPr>
      <w:r>
        <w:rPr>
          <w:rFonts w:ascii="Arial" w:hAnsi="Arial"/>
          <w:b w:val="false"/>
          <w:sz w:val="20"/>
        </w:rPr>
        <w:t>(a)</w:t>
      </w:r>
    </w:p>
    <w:p>
      <w:pPr>
        <w:pStyle w:val="TextBody"/>
        <w:jc w:val="both"/>
        <w:rPr>
          <w:rFonts w:ascii="Arial;sans-serif" w:hAnsi="Arial;sans-serif"/>
          <w:b w:val="false"/>
          <w:i/>
          <w:sz w:val="20"/>
        </w:rPr>
      </w:pPr>
      <w:r>
        <w:rPr>
          <w:rFonts w:ascii="Arial;sans-serif" w:hAnsi="Arial;sans-serif"/>
          <w:b w:val="false"/>
          <w:i/>
          <w:sz w:val="20"/>
        </w:rPr>
        <w:t>Refer to Note 5 – Derivatives for further information on the fair value of our derivative instruments.</w:t>
      </w:r>
    </w:p>
    <w:p>
      <w:pPr>
        <w:pStyle w:val="TextBody"/>
        <w:spacing w:before="240" w:after="0"/>
        <w:jc w:val="center"/>
        <w:rPr>
          <w:rFonts w:ascii="Arial;sans-serif" w:hAnsi="Arial;sans-serif"/>
          <w:b w:val="false"/>
          <w:sz w:val="16"/>
        </w:rPr>
      </w:pPr>
      <w:r>
        <w:rPr>
          <w:rFonts w:ascii="Arial;sans-serif" w:hAnsi="Arial;sans-serif"/>
          <w:b w:val="false"/>
          <w:sz w:val="16"/>
        </w:rPr>
        <w:t>14</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w:t>
      </w:r>
    </w:p>
    <w:p>
      <w:pPr>
        <w:pStyle w:val="TextBody"/>
        <w:spacing w:before="0" w:after="0"/>
        <w:jc w:val="center"/>
        <w:rPr>
          <w:rFonts w:ascii="Arial;sans-serif" w:hAnsi="Arial;sans-serif"/>
          <w:b w:val="false"/>
          <w:sz w:val="15"/>
        </w:rPr>
      </w:pPr>
      <w:r>
        <w:rPr>
          <w:rFonts w:ascii="Arial;sans-serif" w:hAnsi="Arial;sans-serif"/>
          <w:b w:val="false"/>
          <w:sz w:val="15"/>
        </w:rPr>
        <w:t>Item 1</w:t>
      </w:r>
    </w:p>
    <w:p>
      <w:pPr>
        <w:pStyle w:val="TextBody"/>
        <w:spacing w:before="0" w:after="0"/>
        <w:jc w:val="left"/>
        <w:rPr/>
      </w:pPr>
      <w:r>
        <w:rPr/>
        <w:t> </w:t>
      </w:r>
    </w:p>
    <w:p>
      <w:pPr>
        <w:pStyle w:val="TextBody"/>
        <w:spacing w:before="180" w:after="0"/>
        <w:jc w:val="both"/>
        <w:rPr>
          <w:rFonts w:ascii="Times New Roman" w:hAnsi="Times New Roman"/>
          <w:sz w:val="20"/>
        </w:rPr>
      </w:pPr>
      <w:r>
        <w:rPr>
          <w:rFonts w:ascii="Arial;sans-serif" w:hAnsi="Arial;sans-serif"/>
          <w:b w:val="false"/>
          <w:sz w:val="20"/>
        </w:rPr>
        <w:t>Equity investments presented as “Other” in the tables above include investments without readily determinable fair values measured using the equity method or measured at cost with adjustments for observable changes in price or impairments, and investments measured at fair value using net asset value as a practical expedient which are not categorized in the fair value hierarchy. As of March 31, 2023 and June 30, 2022, equity investments without readily determinable fair values measured at cost with adjustments for observable changes in price or impairments were $4.1</w:t>
      </w:r>
      <w:r>
        <w:rPr>
          <w:rFonts w:ascii="Times New Roman" w:hAnsi="Times New Roman"/>
          <w:sz w:val="20"/>
        </w:rPr>
        <w:t xml:space="preserve"> </w:t>
      </w:r>
      <w:r>
        <w:rPr>
          <w:rFonts w:ascii="Arial;sans-serif" w:hAnsi="Arial;sans-serif"/>
          <w:b w:val="false"/>
          <w:sz w:val="20"/>
        </w:rPr>
        <w:t>billion and $3.8</w:t>
      </w:r>
      <w:r>
        <w:rPr>
          <w:rFonts w:ascii="Times New Roman" w:hAnsi="Times New Roman"/>
          <w:sz w:val="20"/>
        </w:rPr>
        <w:t xml:space="preserve"> </w:t>
      </w:r>
      <w:r>
        <w:rPr>
          <w:rFonts w:ascii="Arial;sans-serif" w:hAnsi="Arial;sans-serif"/>
          <w:b w:val="false"/>
          <w:sz w:val="20"/>
        </w:rPr>
        <w:t>billion, respectively.</w:t>
      </w:r>
      <w:r>
        <w:rPr>
          <w:rFonts w:ascii="Times New Roman" w:hAnsi="Times New Roman"/>
          <w:sz w:val="20"/>
        </w:rPr>
        <w:t xml:space="preserve"> </w:t>
      </w:r>
    </w:p>
    <w:p>
      <w:pPr>
        <w:pStyle w:val="TextBody"/>
        <w:spacing w:before="270" w:after="0"/>
        <w:jc w:val="both"/>
        <w:rPr>
          <w:rFonts w:ascii="Times New Roman" w:hAnsi="Times New Roman"/>
          <w:sz w:val="20"/>
        </w:rPr>
      </w:pPr>
      <w:r>
        <w:rPr>
          <w:rFonts w:ascii="Arial;sans-serif" w:hAnsi="Arial;sans-serif"/>
          <w:b/>
          <w:sz w:val="20"/>
        </w:rPr>
        <w:t>Unrealized Losses on Debt Investments</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Debt investments with continuous unrealized losses for less than 12 months and 12 months or greater and their related fair values were as follows:</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856"/>
        <w:gridCol w:w="146"/>
        <w:gridCol w:w="211"/>
        <w:gridCol w:w="732"/>
        <w:gridCol w:w="146"/>
        <w:gridCol w:w="146"/>
        <w:gridCol w:w="211"/>
        <w:gridCol w:w="886"/>
        <w:gridCol w:w="166"/>
        <w:gridCol w:w="146"/>
        <w:gridCol w:w="211"/>
        <w:gridCol w:w="732"/>
        <w:gridCol w:w="146"/>
        <w:gridCol w:w="146"/>
        <w:gridCol w:w="211"/>
        <w:gridCol w:w="886"/>
        <w:gridCol w:w="166"/>
        <w:gridCol w:w="146"/>
        <w:gridCol w:w="211"/>
        <w:gridCol w:w="732"/>
        <w:gridCol w:w="146"/>
        <w:gridCol w:w="146"/>
        <w:gridCol w:w="211"/>
        <w:gridCol w:w="886"/>
        <w:gridCol w:w="391"/>
        <w:gridCol w:w="192"/>
      </w:tblGrid>
      <w:tr>
        <w:trPr/>
        <w:tc>
          <w:tcPr>
            <w:tcW w:w="18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tcPr>
          <w:p>
            <w:pPr>
              <w:pStyle w:val="TableContents"/>
              <w:spacing w:before="0" w:after="283"/>
              <w:rPr>
                <w:sz w:val="4"/>
                <w:szCs w:val="4"/>
              </w:rPr>
            </w:pPr>
            <w:r>
              <w:rPr>
                <w:sz w:val="4"/>
                <w:szCs w:val="4"/>
              </w:rPr>
            </w:r>
          </w:p>
        </w:tc>
      </w:tr>
      <w:tr>
        <w:trPr/>
        <w:tc>
          <w:tcPr>
            <w:tcW w:w="18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2" w:type="dxa"/>
            <w:gridSpan w:val="6"/>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Less than 12 Months</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2" w:type="dxa"/>
            <w:gridSpan w:val="6"/>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12 Months or Greater</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86" w:type="dxa"/>
            <w:vMerge w:val="restart"/>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Total</w:t>
              <w:br/>
              <w:t>Unrealized</w:t>
              <w:br/>
              <w:t>Losses</w:t>
            </w:r>
          </w:p>
        </w:tc>
        <w:tc>
          <w:tcPr>
            <w:tcW w:w="391" w:type="dxa"/>
            <w:tcBorders/>
            <w:shd w:fill="auto" w:val="clear"/>
            <w:vAlign w:val="center"/>
          </w:tcPr>
          <w:p>
            <w:pPr>
              <w:pStyle w:val="TableContents"/>
              <w:spacing w:before="0" w:after="0"/>
              <w:ind w:left="0" w:right="0" w:hanging="0"/>
              <w:jc w:val="left"/>
              <w:rPr/>
            </w:pPr>
            <w:r>
              <w:rPr/>
              <w:t> </w:t>
            </w:r>
          </w:p>
        </w:tc>
        <w:tc>
          <w:tcPr>
            <w:tcW w:w="192" w:type="dxa"/>
            <w:tcBorders/>
            <w:shd w:fill="auto" w:val="clear"/>
          </w:tcPr>
          <w:p>
            <w:pPr>
              <w:pStyle w:val="TableContents"/>
              <w:spacing w:before="0" w:after="283"/>
              <w:rPr>
                <w:sz w:val="4"/>
                <w:szCs w:val="4"/>
              </w:rPr>
            </w:pPr>
            <w:r>
              <w:rPr>
                <w:sz w:val="4"/>
                <w:szCs w:val="4"/>
              </w:rPr>
            </w:r>
          </w:p>
        </w:tc>
      </w:tr>
      <w:tr>
        <w:trPr/>
        <w:tc>
          <w:tcPr>
            <w:tcW w:w="185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33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86" w:type="dxa"/>
            <w:vMerge w:val="continue"/>
            <w:tcBorders/>
            <w:shd w:fill="auto" w:val="clear"/>
            <w:vAlign w:val="center"/>
          </w:tcPr>
          <w:p>
            <w:pPr>
              <w:pStyle w:val="Normal"/>
              <w:rPr/>
            </w:pPr>
            <w:r>
              <w:rPr/>
            </w:r>
          </w:p>
        </w:tc>
        <w:tc>
          <w:tcPr>
            <w:tcW w:w="391"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r>
      <w:tr>
        <w:trPr/>
        <w:tc>
          <w:tcPr>
            <w:tcW w:w="185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332" w:type="dxa"/>
            <w:gridSpan w:val="6"/>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2" w:type="dxa"/>
            <w:gridSpan w:val="6"/>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86" w:type="dxa"/>
            <w:vMerge w:val="continue"/>
            <w:tcBorders/>
            <w:shd w:fill="auto" w:val="clear"/>
            <w:vAlign w:val="center"/>
          </w:tcPr>
          <w:p>
            <w:pPr>
              <w:pStyle w:val="Normal"/>
              <w:rPr/>
            </w:pPr>
            <w:r>
              <w:rPr/>
            </w:r>
          </w:p>
        </w:tc>
        <w:tc>
          <w:tcPr>
            <w:tcW w:w="391" w:type="dxa"/>
            <w:tcBorders/>
            <w:shd w:fill="auto" w:val="clear"/>
            <w:vAlign w:val="center"/>
          </w:tcPr>
          <w:p>
            <w:pPr>
              <w:pStyle w:val="TableContents"/>
              <w:spacing w:before="0" w:after="0"/>
              <w:ind w:left="0" w:right="0" w:hanging="0"/>
              <w:jc w:val="left"/>
              <w:rPr/>
            </w:pPr>
            <w:r>
              <w:rPr/>
              <w:t> </w:t>
            </w:r>
          </w:p>
        </w:tc>
        <w:tc>
          <w:tcPr>
            <w:tcW w:w="192" w:type="dxa"/>
            <w:tcBorders/>
            <w:shd w:fill="auto" w:val="clear"/>
          </w:tcPr>
          <w:p>
            <w:pPr>
              <w:pStyle w:val="TableContents"/>
              <w:spacing w:before="0" w:after="283"/>
              <w:rPr>
                <w:sz w:val="4"/>
                <w:szCs w:val="4"/>
              </w:rPr>
            </w:pPr>
            <w:r>
              <w:rPr>
                <w:sz w:val="4"/>
                <w:szCs w:val="4"/>
              </w:rPr>
            </w:r>
          </w:p>
        </w:tc>
      </w:tr>
      <w:tr>
        <w:trPr/>
        <w:tc>
          <w:tcPr>
            <w:tcW w:w="1856"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(In millions)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Fair Value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Unrealized</w:t>
              <w:br/>
              <w:t>Losses</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Fair Value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Unrealized</w:t>
              <w:br/>
              <w:t>Losses</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Total</w:t>
              <w:br/>
              <w:t>Fair Value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86" w:type="dxa"/>
            <w:vMerge w:val="continue"/>
            <w:tcBorders/>
            <w:shd w:fill="auto" w:val="clear"/>
            <w:vAlign w:val="center"/>
          </w:tcPr>
          <w:p>
            <w:pPr>
              <w:pStyle w:val="Normal"/>
              <w:rPr/>
            </w:pPr>
            <w:r>
              <w:rPr/>
            </w:r>
          </w:p>
        </w:tc>
        <w:tc>
          <w:tcPr>
            <w:tcW w:w="391" w:type="dxa"/>
            <w:tcBorders/>
            <w:shd w:fill="auto" w:val="clear"/>
            <w:vAlign w:val="center"/>
          </w:tcPr>
          <w:p>
            <w:pPr>
              <w:pStyle w:val="TableContents"/>
              <w:spacing w:before="0" w:after="0"/>
              <w:ind w:left="0" w:right="0" w:hanging="0"/>
              <w:jc w:val="left"/>
              <w:rPr/>
            </w:pPr>
            <w:r>
              <w:rPr/>
              <w:t> </w:t>
            </w:r>
          </w:p>
        </w:tc>
        <w:tc>
          <w:tcPr>
            <w:tcW w:w="192" w:type="dxa"/>
            <w:tcBorders/>
            <w:shd w:fill="auto" w:val="clear"/>
          </w:tcPr>
          <w:p>
            <w:pPr>
              <w:pStyle w:val="TableContents"/>
              <w:spacing w:before="0" w:after="283"/>
              <w:rPr>
                <w:sz w:val="4"/>
                <w:szCs w:val="4"/>
              </w:rPr>
            </w:pPr>
            <w:r>
              <w:rPr>
                <w:sz w:val="4"/>
                <w:szCs w:val="4"/>
              </w:rPr>
            </w:r>
          </w:p>
        </w:tc>
      </w:tr>
      <w:tr>
        <w:trPr/>
        <w:tc>
          <w:tcPr>
            <w:tcW w:w="185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2" w:type="dxa"/>
            <w:tcBorders/>
            <w:shd w:fill="auto" w:val="clear"/>
          </w:tcPr>
          <w:p>
            <w:pPr>
              <w:pStyle w:val="TableContents"/>
              <w:spacing w:before="0" w:after="283"/>
              <w:rPr>
                <w:sz w:val="4"/>
                <w:szCs w:val="4"/>
              </w:rPr>
            </w:pPr>
            <w:r>
              <w:rPr>
                <w:sz w:val="4"/>
                <w:szCs w:val="4"/>
              </w:rPr>
            </w:r>
          </w:p>
        </w:tc>
      </w:tr>
      <w:tr>
        <w:trPr/>
        <w:tc>
          <w:tcPr>
            <w:tcW w:w="185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c>
          <w:tcPr>
            <w:tcW w:w="192" w:type="dxa"/>
            <w:tcBorders/>
            <w:shd w:fill="auto" w:val="clear"/>
          </w:tcPr>
          <w:p>
            <w:pPr>
              <w:pStyle w:val="TableContents"/>
              <w:spacing w:before="0" w:after="283"/>
              <w:rPr>
                <w:sz w:val="4"/>
                <w:szCs w:val="4"/>
              </w:rPr>
            </w:pPr>
            <w:r>
              <w:rPr>
                <w:sz w:val="4"/>
                <w:szCs w:val="4"/>
              </w:rPr>
            </w:r>
          </w:p>
        </w:tc>
      </w:tr>
      <w:tr>
        <w:trPr/>
        <w:tc>
          <w:tcPr>
            <w:tcW w:w="1856"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March 31, 2023</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c>
          <w:tcPr>
            <w:tcW w:w="192" w:type="dxa"/>
            <w:tcBorders/>
            <w:shd w:fill="auto" w:val="clear"/>
          </w:tcPr>
          <w:p>
            <w:pPr>
              <w:pStyle w:val="TableContents"/>
              <w:spacing w:before="0" w:after="283"/>
              <w:rPr>
                <w:sz w:val="4"/>
                <w:szCs w:val="4"/>
              </w:rPr>
            </w:pPr>
            <w:r>
              <w:rPr>
                <w:sz w:val="4"/>
                <w:szCs w:val="4"/>
              </w:rPr>
            </w:r>
          </w:p>
        </w:tc>
      </w:tr>
      <w:tr>
        <w:trPr/>
        <w:tc>
          <w:tcPr>
            <w:tcW w:w="185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c>
          <w:tcPr>
            <w:tcW w:w="192" w:type="dxa"/>
            <w:tcBorders/>
            <w:shd w:fill="auto" w:val="clear"/>
          </w:tcPr>
          <w:p>
            <w:pPr>
              <w:pStyle w:val="TableContents"/>
              <w:spacing w:before="0" w:after="283"/>
              <w:rPr>
                <w:sz w:val="4"/>
                <w:szCs w:val="4"/>
              </w:rPr>
            </w:pPr>
            <w:r>
              <w:rPr>
                <w:sz w:val="4"/>
                <w:szCs w:val="4"/>
              </w:rPr>
            </w:r>
          </w:p>
        </w:tc>
      </w:tr>
      <w:tr>
        <w:trPr/>
        <w:tc>
          <w:tcPr>
            <w:tcW w:w="18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U.S. government and agency securities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32"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12,922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8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(354</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32"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41,520</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8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(2,817</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32"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54,442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8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(3,171</w:t>
            </w:r>
          </w:p>
        </w:tc>
        <w:tc>
          <w:tcPr>
            <w:tcW w:w="39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92" w:type="dxa"/>
            <w:tcBorders/>
            <w:shd w:fill="auto" w:val="clear"/>
          </w:tcPr>
          <w:p>
            <w:pPr>
              <w:pStyle w:val="TableContents"/>
              <w:spacing w:before="0" w:after="283"/>
              <w:rPr>
                <w:sz w:val="4"/>
                <w:szCs w:val="4"/>
              </w:rPr>
            </w:pPr>
            <w:r>
              <w:rPr>
                <w:sz w:val="4"/>
                <w:szCs w:val="4"/>
              </w:rPr>
            </w:r>
          </w:p>
        </w:tc>
      </w:tr>
      <w:tr>
        <w:trPr/>
        <w:tc>
          <w:tcPr>
            <w:tcW w:w="18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Foreign government bonds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32"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74</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32"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390</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(18</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32"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464</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(23</w:t>
            </w:r>
          </w:p>
        </w:tc>
        <w:tc>
          <w:tcPr>
            <w:tcW w:w="39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92" w:type="dxa"/>
            <w:tcBorders/>
            <w:shd w:fill="auto" w:val="clear"/>
          </w:tcPr>
          <w:p>
            <w:pPr>
              <w:pStyle w:val="TableContents"/>
              <w:spacing w:before="0" w:after="283"/>
              <w:rPr>
                <w:sz w:val="4"/>
                <w:szCs w:val="4"/>
              </w:rPr>
            </w:pPr>
            <w:r>
              <w:rPr>
                <w:sz w:val="4"/>
                <w:szCs w:val="4"/>
              </w:rPr>
            </w:r>
          </w:p>
        </w:tc>
      </w:tr>
      <w:tr>
        <w:trPr/>
        <w:tc>
          <w:tcPr>
            <w:tcW w:w="18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Mortgage- and asset-backed securities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32"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160</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32"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387</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(31</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32"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547</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(36</w:t>
            </w:r>
          </w:p>
        </w:tc>
        <w:tc>
          <w:tcPr>
            <w:tcW w:w="39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92" w:type="dxa"/>
            <w:tcBorders/>
            <w:shd w:fill="auto" w:val="clear"/>
          </w:tcPr>
          <w:p>
            <w:pPr>
              <w:pStyle w:val="TableContents"/>
              <w:spacing w:before="0" w:after="283"/>
              <w:rPr>
                <w:sz w:val="4"/>
                <w:szCs w:val="4"/>
              </w:rPr>
            </w:pPr>
            <w:r>
              <w:rPr>
                <w:sz w:val="4"/>
                <w:szCs w:val="4"/>
              </w:rPr>
            </w:r>
          </w:p>
        </w:tc>
      </w:tr>
      <w:tr>
        <w:trPr/>
        <w:tc>
          <w:tcPr>
            <w:tcW w:w="18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Corporate notes and bonds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32"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2,015</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(41</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32"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7,486</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(511</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32"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9,501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(552</w:t>
            </w:r>
          </w:p>
        </w:tc>
        <w:tc>
          <w:tcPr>
            <w:tcW w:w="39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92" w:type="dxa"/>
            <w:tcBorders/>
            <w:shd w:fill="auto" w:val="clear"/>
          </w:tcPr>
          <w:p>
            <w:pPr>
              <w:pStyle w:val="TableContents"/>
              <w:spacing w:before="0" w:after="283"/>
              <w:rPr>
                <w:sz w:val="4"/>
                <w:szCs w:val="4"/>
              </w:rPr>
            </w:pPr>
            <w:r>
              <w:rPr>
                <w:sz w:val="4"/>
                <w:szCs w:val="4"/>
              </w:rPr>
            </w:r>
          </w:p>
        </w:tc>
      </w:tr>
      <w:tr>
        <w:trPr/>
        <w:tc>
          <w:tcPr>
            <w:tcW w:w="18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Municipal securities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177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(20</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(22</w:t>
            </w:r>
          </w:p>
        </w:tc>
        <w:tc>
          <w:tcPr>
            <w:tcW w:w="39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92" w:type="dxa"/>
            <w:tcBorders/>
            <w:shd w:fill="auto" w:val="clear"/>
          </w:tcPr>
          <w:p>
            <w:pPr>
              <w:pStyle w:val="TableContents"/>
              <w:spacing w:before="0" w:after="283"/>
              <w:rPr>
                <w:sz w:val="4"/>
                <w:szCs w:val="4"/>
              </w:rPr>
            </w:pPr>
            <w:r>
              <w:rPr>
                <w:sz w:val="4"/>
                <w:szCs w:val="4"/>
              </w:rPr>
            </w:r>
          </w:p>
        </w:tc>
      </w:tr>
      <w:tr>
        <w:trPr/>
        <w:tc>
          <w:tcPr>
            <w:tcW w:w="185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2" w:type="dxa"/>
            <w:tcBorders/>
            <w:shd w:fill="auto" w:val="clear"/>
          </w:tcPr>
          <w:p>
            <w:pPr>
              <w:pStyle w:val="TableContents"/>
              <w:spacing w:before="0" w:after="283"/>
              <w:rPr>
                <w:sz w:val="4"/>
                <w:szCs w:val="4"/>
              </w:rPr>
            </w:pPr>
            <w:r>
              <w:rPr>
                <w:sz w:val="4"/>
                <w:szCs w:val="4"/>
              </w:rPr>
            </w:r>
          </w:p>
        </w:tc>
      </w:tr>
      <w:tr>
        <w:trPr/>
        <w:tc>
          <w:tcPr>
            <w:tcW w:w="185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45"/>
              <w:jc w:val="left"/>
              <w:rPr/>
            </w:pPr>
            <w:r>
              <w:rPr/>
              <w:t> </w:t>
            </w:r>
          </w:p>
        </w:tc>
        <w:tc>
          <w:tcPr>
            <w:tcW w:w="192" w:type="dxa"/>
            <w:tcBorders/>
            <w:shd w:fill="auto" w:val="clear"/>
          </w:tcPr>
          <w:p>
            <w:pPr>
              <w:pStyle w:val="TableContents"/>
              <w:spacing w:before="0" w:after="283"/>
              <w:rPr>
                <w:sz w:val="4"/>
                <w:szCs w:val="4"/>
              </w:rPr>
            </w:pPr>
            <w:r>
              <w:rPr>
                <w:sz w:val="4"/>
                <w:szCs w:val="4"/>
              </w:rPr>
            </w:r>
          </w:p>
        </w:tc>
      </w:tr>
      <w:tr>
        <w:trPr/>
        <w:tc>
          <w:tcPr>
            <w:tcW w:w="1856"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Total</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32"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15,258</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8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(407</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32"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49,960</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8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(3,397</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32"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65,218</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8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(3,804</w:t>
            </w:r>
          </w:p>
        </w:tc>
        <w:tc>
          <w:tcPr>
            <w:tcW w:w="39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92" w:type="dxa"/>
            <w:tcBorders/>
            <w:shd w:fill="auto" w:val="clear"/>
          </w:tcPr>
          <w:p>
            <w:pPr>
              <w:pStyle w:val="TableContents"/>
              <w:spacing w:before="0" w:after="283"/>
              <w:rPr>
                <w:sz w:val="4"/>
                <w:szCs w:val="4"/>
              </w:rPr>
            </w:pPr>
            <w:r>
              <w:rPr>
                <w:sz w:val="4"/>
                <w:szCs w:val="4"/>
              </w:rPr>
            </w:r>
          </w:p>
        </w:tc>
      </w:tr>
      <w:tr>
        <w:trPr/>
        <w:tc>
          <w:tcPr>
            <w:tcW w:w="185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2"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2"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2"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2" w:type="dxa"/>
            <w:tcBorders/>
            <w:shd w:fill="auto" w:val="clear"/>
          </w:tcPr>
          <w:p>
            <w:pPr>
              <w:pStyle w:val="TableContents"/>
              <w:spacing w:before="0" w:after="283"/>
              <w:rPr>
                <w:sz w:val="4"/>
                <w:szCs w:val="4"/>
              </w:rPr>
            </w:pPr>
            <w:r>
              <w:rPr>
                <w:sz w:val="4"/>
                <w:szCs w:val="4"/>
              </w:rPr>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918"/>
        <w:gridCol w:w="146"/>
        <w:gridCol w:w="211"/>
        <w:gridCol w:w="736"/>
        <w:gridCol w:w="146"/>
        <w:gridCol w:w="146"/>
        <w:gridCol w:w="211"/>
        <w:gridCol w:w="886"/>
        <w:gridCol w:w="166"/>
        <w:gridCol w:w="146"/>
        <w:gridCol w:w="211"/>
        <w:gridCol w:w="660"/>
        <w:gridCol w:w="146"/>
        <w:gridCol w:w="146"/>
        <w:gridCol w:w="211"/>
        <w:gridCol w:w="886"/>
        <w:gridCol w:w="166"/>
        <w:gridCol w:w="146"/>
        <w:gridCol w:w="211"/>
        <w:gridCol w:w="736"/>
        <w:gridCol w:w="146"/>
        <w:gridCol w:w="146"/>
        <w:gridCol w:w="211"/>
        <w:gridCol w:w="886"/>
        <w:gridCol w:w="391"/>
        <w:gridCol w:w="194"/>
      </w:tblGrid>
      <w:tr>
        <w:trPr/>
        <w:tc>
          <w:tcPr>
            <w:tcW w:w="191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tcPr>
          <w:p>
            <w:pPr>
              <w:pStyle w:val="TableContents"/>
              <w:spacing w:before="0" w:after="283"/>
              <w:rPr>
                <w:sz w:val="4"/>
                <w:szCs w:val="4"/>
              </w:rPr>
            </w:pPr>
            <w:r>
              <w:rPr>
                <w:sz w:val="4"/>
                <w:szCs w:val="4"/>
              </w:rPr>
            </w:r>
          </w:p>
        </w:tc>
      </w:tr>
      <w:tr>
        <w:trPr/>
        <w:tc>
          <w:tcPr>
            <w:tcW w:w="191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6" w:type="dxa"/>
            <w:gridSpan w:val="6"/>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Less than 12 Months</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0" w:type="dxa"/>
            <w:gridSpan w:val="6"/>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12 Months or Greater</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86" w:type="dxa"/>
            <w:vMerge w:val="restart"/>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Total</w:t>
              <w:br/>
              <w:t>Unrealized</w:t>
              <w:br/>
              <w:t>Losses</w:t>
            </w:r>
          </w:p>
        </w:tc>
        <w:tc>
          <w:tcPr>
            <w:tcW w:w="391" w:type="dxa"/>
            <w:tcBorders/>
            <w:shd w:fill="auto" w:val="clear"/>
            <w:vAlign w:val="center"/>
          </w:tcPr>
          <w:p>
            <w:pPr>
              <w:pStyle w:val="TableContents"/>
              <w:spacing w:before="0" w:after="0"/>
              <w:ind w:left="0" w:right="0" w:hanging="0"/>
              <w:jc w:val="left"/>
              <w:rPr/>
            </w:pPr>
            <w:r>
              <w:rPr/>
              <w:t> </w:t>
            </w:r>
          </w:p>
        </w:tc>
        <w:tc>
          <w:tcPr>
            <w:tcW w:w="194" w:type="dxa"/>
            <w:tcBorders/>
            <w:shd w:fill="auto" w:val="clear"/>
          </w:tcPr>
          <w:p>
            <w:pPr>
              <w:pStyle w:val="TableContents"/>
              <w:spacing w:before="0" w:after="283"/>
              <w:rPr>
                <w:sz w:val="4"/>
                <w:szCs w:val="4"/>
              </w:rPr>
            </w:pPr>
            <w:r>
              <w:rPr>
                <w:sz w:val="4"/>
                <w:szCs w:val="4"/>
              </w:rPr>
            </w:r>
          </w:p>
        </w:tc>
      </w:tr>
      <w:tr>
        <w:trPr/>
        <w:tc>
          <w:tcPr>
            <w:tcW w:w="1918"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33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86" w:type="dxa"/>
            <w:vMerge w:val="continue"/>
            <w:tcBorders/>
            <w:shd w:fill="auto" w:val="clear"/>
            <w:vAlign w:val="center"/>
          </w:tcPr>
          <w:p>
            <w:pPr>
              <w:pStyle w:val="Normal"/>
              <w:rPr/>
            </w:pPr>
            <w:r>
              <w:rPr/>
            </w:r>
          </w:p>
        </w:tc>
        <w:tc>
          <w:tcPr>
            <w:tcW w:w="391" w:type="dxa"/>
            <w:tcBorders/>
            <w:shd w:fill="auto" w:val="clear"/>
            <w:vAlign w:val="center"/>
          </w:tcPr>
          <w:p>
            <w:pPr>
              <w:pStyle w:val="TableContents"/>
              <w:spacing w:before="0" w:after="0"/>
              <w:ind w:left="0" w:right="0" w:hanging="0"/>
              <w:jc w:val="left"/>
              <w:rPr/>
            </w:pPr>
            <w:r>
              <w:rPr/>
              <w:t> </w:t>
            </w:r>
          </w:p>
        </w:tc>
        <w:tc>
          <w:tcPr>
            <w:tcW w:w="194" w:type="dxa"/>
            <w:tcBorders/>
            <w:shd w:fill="auto" w:val="clear"/>
            <w:vAlign w:val="center"/>
          </w:tcPr>
          <w:p>
            <w:pPr>
              <w:pStyle w:val="TableContents"/>
              <w:spacing w:before="0" w:after="0"/>
              <w:ind w:left="0" w:right="0" w:hanging="0"/>
              <w:jc w:val="left"/>
              <w:rPr/>
            </w:pPr>
            <w:r>
              <w:rPr/>
              <w:t> </w:t>
            </w:r>
          </w:p>
        </w:tc>
      </w:tr>
      <w:tr>
        <w:trPr/>
        <w:tc>
          <w:tcPr>
            <w:tcW w:w="1918"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336" w:type="dxa"/>
            <w:gridSpan w:val="6"/>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0" w:type="dxa"/>
            <w:gridSpan w:val="6"/>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86" w:type="dxa"/>
            <w:vMerge w:val="continue"/>
            <w:tcBorders/>
            <w:shd w:fill="auto" w:val="clear"/>
            <w:vAlign w:val="center"/>
          </w:tcPr>
          <w:p>
            <w:pPr>
              <w:pStyle w:val="Normal"/>
              <w:rPr/>
            </w:pPr>
            <w:r>
              <w:rPr/>
            </w:r>
          </w:p>
        </w:tc>
        <w:tc>
          <w:tcPr>
            <w:tcW w:w="391" w:type="dxa"/>
            <w:tcBorders/>
            <w:shd w:fill="auto" w:val="clear"/>
            <w:vAlign w:val="center"/>
          </w:tcPr>
          <w:p>
            <w:pPr>
              <w:pStyle w:val="TableContents"/>
              <w:spacing w:before="0" w:after="0"/>
              <w:ind w:left="0" w:right="0" w:hanging="0"/>
              <w:jc w:val="left"/>
              <w:rPr/>
            </w:pPr>
            <w:r>
              <w:rPr/>
              <w:t> </w:t>
            </w:r>
          </w:p>
        </w:tc>
        <w:tc>
          <w:tcPr>
            <w:tcW w:w="194" w:type="dxa"/>
            <w:tcBorders/>
            <w:shd w:fill="auto" w:val="clear"/>
          </w:tcPr>
          <w:p>
            <w:pPr>
              <w:pStyle w:val="TableContents"/>
              <w:spacing w:before="0" w:after="283"/>
              <w:rPr>
                <w:sz w:val="4"/>
                <w:szCs w:val="4"/>
              </w:rPr>
            </w:pPr>
            <w:r>
              <w:rPr>
                <w:sz w:val="4"/>
                <w:szCs w:val="4"/>
              </w:rPr>
            </w:r>
          </w:p>
        </w:tc>
      </w:tr>
      <w:tr>
        <w:trPr/>
        <w:tc>
          <w:tcPr>
            <w:tcW w:w="1918"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(In millions)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Fair Value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Unrealized</w:t>
              <w:br/>
              <w:t>Losses</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60"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Fair Value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Unrealized</w:t>
              <w:br/>
              <w:t>Losses</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Total</w:t>
              <w:br/>
              <w:t>Fair Value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86" w:type="dxa"/>
            <w:vMerge w:val="continue"/>
            <w:tcBorders/>
            <w:shd w:fill="auto" w:val="clear"/>
            <w:vAlign w:val="center"/>
          </w:tcPr>
          <w:p>
            <w:pPr>
              <w:pStyle w:val="Normal"/>
              <w:rPr/>
            </w:pPr>
            <w:r>
              <w:rPr/>
            </w:r>
          </w:p>
        </w:tc>
        <w:tc>
          <w:tcPr>
            <w:tcW w:w="391" w:type="dxa"/>
            <w:tcBorders/>
            <w:shd w:fill="auto" w:val="clear"/>
            <w:vAlign w:val="center"/>
          </w:tcPr>
          <w:p>
            <w:pPr>
              <w:pStyle w:val="TableContents"/>
              <w:spacing w:before="0" w:after="0"/>
              <w:ind w:left="0" w:right="0" w:hanging="0"/>
              <w:jc w:val="left"/>
              <w:rPr/>
            </w:pPr>
            <w:r>
              <w:rPr/>
              <w:t> </w:t>
            </w:r>
          </w:p>
        </w:tc>
        <w:tc>
          <w:tcPr>
            <w:tcW w:w="194" w:type="dxa"/>
            <w:tcBorders/>
            <w:shd w:fill="auto" w:val="clear"/>
          </w:tcPr>
          <w:p>
            <w:pPr>
              <w:pStyle w:val="TableContents"/>
              <w:spacing w:before="0" w:after="283"/>
              <w:rPr>
                <w:sz w:val="4"/>
                <w:szCs w:val="4"/>
              </w:rPr>
            </w:pPr>
            <w:r>
              <w:rPr>
                <w:sz w:val="4"/>
                <w:szCs w:val="4"/>
              </w:rPr>
            </w:r>
          </w:p>
        </w:tc>
      </w:tr>
      <w:tr>
        <w:trPr/>
        <w:tc>
          <w:tcPr>
            <w:tcW w:w="1918"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4" w:type="dxa"/>
            <w:tcBorders/>
            <w:shd w:fill="auto" w:val="clear"/>
          </w:tcPr>
          <w:p>
            <w:pPr>
              <w:pStyle w:val="TableContents"/>
              <w:spacing w:before="0" w:after="283"/>
              <w:rPr>
                <w:sz w:val="4"/>
                <w:szCs w:val="4"/>
              </w:rPr>
            </w:pPr>
            <w:r>
              <w:rPr>
                <w:sz w:val="4"/>
                <w:szCs w:val="4"/>
              </w:rPr>
            </w:r>
          </w:p>
        </w:tc>
      </w:tr>
      <w:tr>
        <w:trPr/>
        <w:tc>
          <w:tcPr>
            <w:tcW w:w="1918"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6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c>
          <w:tcPr>
            <w:tcW w:w="194" w:type="dxa"/>
            <w:tcBorders/>
            <w:shd w:fill="auto" w:val="clear"/>
          </w:tcPr>
          <w:p>
            <w:pPr>
              <w:pStyle w:val="TableContents"/>
              <w:spacing w:before="0" w:after="283"/>
              <w:rPr>
                <w:sz w:val="4"/>
                <w:szCs w:val="4"/>
              </w:rPr>
            </w:pPr>
            <w:r>
              <w:rPr>
                <w:sz w:val="4"/>
                <w:szCs w:val="4"/>
              </w:rPr>
            </w:r>
          </w:p>
        </w:tc>
      </w:tr>
      <w:tr>
        <w:trPr/>
        <w:tc>
          <w:tcPr>
            <w:tcW w:w="1918"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June 30, 2022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6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c>
          <w:tcPr>
            <w:tcW w:w="194" w:type="dxa"/>
            <w:tcBorders/>
            <w:shd w:fill="auto" w:val="clear"/>
          </w:tcPr>
          <w:p>
            <w:pPr>
              <w:pStyle w:val="TableContents"/>
              <w:spacing w:before="0" w:after="283"/>
              <w:rPr>
                <w:sz w:val="4"/>
                <w:szCs w:val="4"/>
              </w:rPr>
            </w:pPr>
            <w:r>
              <w:rPr>
                <w:sz w:val="4"/>
                <w:szCs w:val="4"/>
              </w:rPr>
            </w:r>
          </w:p>
        </w:tc>
      </w:tr>
      <w:tr>
        <w:trPr/>
        <w:tc>
          <w:tcPr>
            <w:tcW w:w="1918"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6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c>
          <w:tcPr>
            <w:tcW w:w="194" w:type="dxa"/>
            <w:tcBorders/>
            <w:shd w:fill="auto" w:val="clear"/>
          </w:tcPr>
          <w:p>
            <w:pPr>
              <w:pStyle w:val="TableContents"/>
              <w:spacing w:before="0" w:after="283"/>
              <w:rPr>
                <w:sz w:val="4"/>
                <w:szCs w:val="4"/>
              </w:rPr>
            </w:pPr>
            <w:r>
              <w:rPr>
                <w:sz w:val="4"/>
                <w:szCs w:val="4"/>
              </w:rPr>
            </w:r>
          </w:p>
        </w:tc>
      </w:tr>
      <w:tr>
        <w:trPr/>
        <w:tc>
          <w:tcPr>
            <w:tcW w:w="191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U.S. government and agency securities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3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59,092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(1,835</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6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2,210</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(352</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3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61,302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(2,187</w:t>
            </w:r>
          </w:p>
        </w:tc>
        <w:tc>
          <w:tcPr>
            <w:tcW w:w="3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94" w:type="dxa"/>
            <w:tcBorders/>
            <w:shd w:fill="auto" w:val="clear"/>
          </w:tcPr>
          <w:p>
            <w:pPr>
              <w:pStyle w:val="TableContents"/>
              <w:spacing w:before="0" w:after="283"/>
              <w:rPr>
                <w:sz w:val="4"/>
                <w:szCs w:val="4"/>
              </w:rPr>
            </w:pPr>
            <w:r>
              <w:rPr>
                <w:sz w:val="4"/>
                <w:szCs w:val="4"/>
              </w:rPr>
            </w:r>
          </w:p>
        </w:tc>
      </w:tr>
      <w:tr>
        <w:trPr/>
        <w:tc>
          <w:tcPr>
            <w:tcW w:w="191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Foreign government bonds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3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418</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6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27</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3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445</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(24</w:t>
            </w:r>
          </w:p>
        </w:tc>
        <w:tc>
          <w:tcPr>
            <w:tcW w:w="3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94" w:type="dxa"/>
            <w:tcBorders/>
            <w:shd w:fill="auto" w:val="clear"/>
          </w:tcPr>
          <w:p>
            <w:pPr>
              <w:pStyle w:val="TableContents"/>
              <w:spacing w:before="0" w:after="283"/>
              <w:rPr>
                <w:sz w:val="4"/>
                <w:szCs w:val="4"/>
              </w:rPr>
            </w:pPr>
            <w:r>
              <w:rPr>
                <w:sz w:val="4"/>
                <w:szCs w:val="4"/>
              </w:rPr>
            </w:r>
          </w:p>
        </w:tc>
      </w:tr>
      <w:tr>
        <w:trPr/>
        <w:tc>
          <w:tcPr>
            <w:tcW w:w="191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Mortgage- and asset-backed securities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3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510</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(26</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6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3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551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(30</w:t>
            </w:r>
          </w:p>
        </w:tc>
        <w:tc>
          <w:tcPr>
            <w:tcW w:w="3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94" w:type="dxa"/>
            <w:tcBorders/>
            <w:shd w:fill="auto" w:val="clear"/>
          </w:tcPr>
          <w:p>
            <w:pPr>
              <w:pStyle w:val="TableContents"/>
              <w:spacing w:before="0" w:after="283"/>
              <w:rPr>
                <w:sz w:val="4"/>
                <w:szCs w:val="4"/>
              </w:rPr>
            </w:pPr>
            <w:r>
              <w:rPr>
                <w:sz w:val="4"/>
                <w:szCs w:val="4"/>
              </w:rPr>
            </w:r>
          </w:p>
        </w:tc>
      </w:tr>
      <w:tr>
        <w:trPr/>
        <w:tc>
          <w:tcPr>
            <w:tcW w:w="191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Corporate notes and bonds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3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9,443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(477</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6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786</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(77</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3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10,229</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(554</w:t>
            </w:r>
          </w:p>
        </w:tc>
        <w:tc>
          <w:tcPr>
            <w:tcW w:w="3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94" w:type="dxa"/>
            <w:tcBorders/>
            <w:shd w:fill="auto" w:val="clear"/>
          </w:tcPr>
          <w:p>
            <w:pPr>
              <w:pStyle w:val="TableContents"/>
              <w:spacing w:before="0" w:after="283"/>
              <w:rPr>
                <w:sz w:val="4"/>
                <w:szCs w:val="4"/>
              </w:rPr>
            </w:pPr>
            <w:r>
              <w:rPr>
                <w:sz w:val="4"/>
                <w:szCs w:val="4"/>
              </w:rPr>
            </w:r>
          </w:p>
        </w:tc>
      </w:tr>
      <w:tr>
        <w:trPr/>
        <w:tc>
          <w:tcPr>
            <w:tcW w:w="191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Municipal securities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66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w:t>
            </w:r>
          </w:p>
        </w:tc>
        <w:tc>
          <w:tcPr>
            <w:tcW w:w="3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94" w:type="dxa"/>
            <w:tcBorders/>
            <w:shd w:fill="auto" w:val="clear"/>
          </w:tcPr>
          <w:p>
            <w:pPr>
              <w:pStyle w:val="TableContents"/>
              <w:spacing w:before="0" w:after="283"/>
              <w:rPr>
                <w:sz w:val="4"/>
                <w:szCs w:val="4"/>
              </w:rPr>
            </w:pPr>
            <w:r>
              <w:rPr>
                <w:sz w:val="4"/>
                <w:szCs w:val="4"/>
              </w:rPr>
            </w:r>
          </w:p>
        </w:tc>
      </w:tr>
      <w:tr>
        <w:trPr/>
        <w:tc>
          <w:tcPr>
            <w:tcW w:w="1918"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4" w:type="dxa"/>
            <w:tcBorders/>
            <w:shd w:fill="auto" w:val="clear"/>
          </w:tcPr>
          <w:p>
            <w:pPr>
              <w:pStyle w:val="TableContents"/>
              <w:spacing w:before="0" w:after="283"/>
              <w:rPr>
                <w:sz w:val="4"/>
                <w:szCs w:val="4"/>
              </w:rPr>
            </w:pPr>
            <w:r>
              <w:rPr>
                <w:sz w:val="4"/>
                <w:szCs w:val="4"/>
              </w:rPr>
            </w:r>
          </w:p>
        </w:tc>
      </w:tr>
      <w:tr>
        <w:trPr/>
        <w:tc>
          <w:tcPr>
            <w:tcW w:w="1918"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6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45"/>
              <w:jc w:val="left"/>
              <w:rPr/>
            </w:pPr>
            <w:r>
              <w:rPr/>
              <w:t> </w:t>
            </w:r>
          </w:p>
        </w:tc>
        <w:tc>
          <w:tcPr>
            <w:tcW w:w="194" w:type="dxa"/>
            <w:tcBorders/>
            <w:shd w:fill="auto" w:val="clear"/>
          </w:tcPr>
          <w:p>
            <w:pPr>
              <w:pStyle w:val="TableContents"/>
              <w:spacing w:before="0" w:after="283"/>
              <w:rPr>
                <w:sz w:val="4"/>
                <w:szCs w:val="4"/>
              </w:rPr>
            </w:pPr>
            <w:r>
              <w:rPr>
                <w:sz w:val="4"/>
                <w:szCs w:val="4"/>
              </w:rPr>
            </w:r>
          </w:p>
        </w:tc>
      </w:tr>
      <w:tr>
        <w:trPr/>
        <w:tc>
          <w:tcPr>
            <w:tcW w:w="1918"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Total</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3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69,641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(2,368</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6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3,138</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(446</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3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72,779</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(2,814</w:t>
            </w:r>
          </w:p>
        </w:tc>
        <w:tc>
          <w:tcPr>
            <w:tcW w:w="3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94" w:type="dxa"/>
            <w:tcBorders/>
            <w:shd w:fill="auto" w:val="clear"/>
          </w:tcPr>
          <w:p>
            <w:pPr>
              <w:pStyle w:val="TableContents"/>
              <w:spacing w:before="0" w:after="283"/>
              <w:rPr>
                <w:sz w:val="4"/>
                <w:szCs w:val="4"/>
              </w:rPr>
            </w:pPr>
            <w:r>
              <w:rPr>
                <w:sz w:val="4"/>
                <w:szCs w:val="4"/>
              </w:rPr>
            </w:r>
          </w:p>
        </w:tc>
      </w:tr>
      <w:tr>
        <w:trPr/>
        <w:tc>
          <w:tcPr>
            <w:tcW w:w="1918"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0"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4" w:type="dxa"/>
            <w:tcBorders/>
            <w:shd w:fill="auto" w:val="clear"/>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spacing w:before="0" w:after="0"/>
        <w:jc w:val="both"/>
        <w:rPr>
          <w:rFonts w:ascii="Times New Roman" w:hAnsi="Times New Roman"/>
          <w:sz w:val="20"/>
        </w:rPr>
      </w:pPr>
      <w:r>
        <w:rPr>
          <w:rFonts w:ascii="Arial;sans-serif" w:hAnsi="Arial;sans-serif"/>
          <w:b w:val="false"/>
          <w:sz w:val="20"/>
        </w:rPr>
        <w:t>Unrealized losses from fixed-income securities are primarily attributable to changes in interest rates. Management does not believe any remaining unrealized losses represent impairments based on our evaluation of available evidence.</w:t>
      </w:r>
      <w:r>
        <w:rPr>
          <w:rFonts w:ascii="Times New Roman" w:hAnsi="Times New Roman"/>
          <w:sz w:val="20"/>
        </w:rPr>
        <w:t xml:space="preserve"> </w:t>
      </w:r>
    </w:p>
    <w:p>
      <w:pPr>
        <w:pStyle w:val="TextBody"/>
        <w:spacing w:before="270" w:after="0"/>
        <w:jc w:val="both"/>
        <w:rPr>
          <w:rFonts w:ascii="Times New Roman" w:hAnsi="Times New Roman"/>
          <w:sz w:val="20"/>
        </w:rPr>
      </w:pPr>
      <w:r>
        <w:rPr>
          <w:rFonts w:ascii="Arial;sans-serif" w:hAnsi="Arial;sans-serif"/>
          <w:b/>
          <w:sz w:val="20"/>
        </w:rPr>
        <w:t>Debt Investment Maturities</w:t>
      </w:r>
      <w:r>
        <w:rPr>
          <w:rFonts w:ascii="Times New Roman" w:hAnsi="Times New Roman"/>
          <w:sz w:val="20"/>
        </w:rPr>
        <w:t xml:space="preserve"> </w:t>
      </w:r>
    </w:p>
    <w:p>
      <w:pPr>
        <w:pStyle w:val="TextBody"/>
        <w:spacing w:before="0" w:after="0"/>
        <w:jc w:val="left"/>
        <w:rPr/>
      </w:pPr>
      <w:r>
        <w:rPr/>
        <w:t> </w:t>
      </w:r>
    </w:p>
    <w:tbl>
      <w:tblPr>
        <w:tblW w:w="6024" w:type="dxa"/>
        <w:jc w:val="left"/>
        <w:tblInd w:w="0" w:type="dxa"/>
        <w:tblCellMar>
          <w:top w:w="28" w:type="dxa"/>
          <w:left w:w="28" w:type="dxa"/>
          <w:bottom w:w="28" w:type="dxa"/>
          <w:right w:w="28" w:type="dxa"/>
        </w:tblCellMar>
      </w:tblPr>
      <w:tblGrid>
        <w:gridCol w:w="3346"/>
        <w:gridCol w:w="146"/>
        <w:gridCol w:w="211"/>
        <w:gridCol w:w="691"/>
        <w:gridCol w:w="146"/>
        <w:gridCol w:w="146"/>
        <w:gridCol w:w="211"/>
        <w:gridCol w:w="691"/>
        <w:gridCol w:w="436"/>
      </w:tblGrid>
      <w:tr>
        <w:trPr/>
        <w:tc>
          <w:tcPr>
            <w:tcW w:w="33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436" w:type="dxa"/>
            <w:tcBorders/>
            <w:shd w:fill="FFFFFF" w:val="clear"/>
            <w:vAlign w:val="center"/>
          </w:tcPr>
          <w:p>
            <w:pPr>
              <w:pStyle w:val="TableContents"/>
              <w:spacing w:before="0" w:after="283"/>
              <w:rPr>
                <w:sz w:val="4"/>
                <w:szCs w:val="4"/>
              </w:rPr>
            </w:pPr>
            <w:r>
              <w:rPr>
                <w:sz w:val="4"/>
                <w:szCs w:val="4"/>
              </w:rPr>
            </w:r>
          </w:p>
        </w:tc>
      </w:tr>
      <w:tr>
        <w:trPr/>
        <w:tc>
          <w:tcPr>
            <w:tcW w:w="3346"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(In millions)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02"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Adjusted</w:t>
            </w:r>
          </w:p>
          <w:p>
            <w:pPr>
              <w:pStyle w:val="TableContents"/>
              <w:spacing w:before="0" w:after="0"/>
              <w:ind w:left="0" w:right="0" w:hanging="0"/>
              <w:jc w:val="right"/>
              <w:rPr>
                <w:rFonts w:ascii="Arial;sans-serif" w:hAnsi="Arial;sans-serif"/>
                <w:b/>
                <w:sz w:val="15"/>
              </w:rPr>
            </w:pPr>
            <w:r>
              <w:rPr>
                <w:rFonts w:ascii="Arial;sans-serif" w:hAnsi="Arial;sans-serif"/>
                <w:b/>
                <w:sz w:val="15"/>
              </w:rPr>
              <w:t>Cost Basis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02"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Estimated</w:t>
            </w:r>
          </w:p>
          <w:p>
            <w:pPr>
              <w:pStyle w:val="TableContents"/>
              <w:spacing w:before="0" w:after="0"/>
              <w:ind w:left="0" w:right="0" w:hanging="0"/>
              <w:jc w:val="right"/>
              <w:rPr>
                <w:rFonts w:ascii="Arial;sans-serif" w:hAnsi="Arial;sans-serif"/>
                <w:b/>
                <w:sz w:val="15"/>
              </w:rPr>
            </w:pPr>
            <w:r>
              <w:rPr>
                <w:rFonts w:ascii="Arial;sans-serif" w:hAnsi="Arial;sans-serif"/>
                <w:b/>
                <w:sz w:val="15"/>
              </w:rPr>
              <w:t>Fair Value</w:t>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33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3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9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2" w:type="dxa"/>
            <w:gridSpan w:val="2"/>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3346"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March 31, 2023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283"/>
              <w:ind w:left="0" w:right="0" w:hanging="0"/>
              <w:rPr>
                <w:sz w:val="4"/>
                <w:szCs w:val="4"/>
              </w:rPr>
            </w:pPr>
            <w:r>
              <w:rPr>
                <w:sz w:val="4"/>
                <w:szCs w:val="4"/>
              </w:rPr>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3346" w:type="dxa"/>
            <w:tcBorders/>
            <w:shd w:fill="auto" w:val="clear"/>
            <w:vAlign w:val="center"/>
          </w:tcPr>
          <w:p>
            <w:pPr>
              <w:pStyle w:val="TableContents"/>
              <w:spacing w:before="0" w:after="283"/>
              <w:ind w:left="0" w:right="0" w:hanging="0"/>
              <w:rPr>
                <w:sz w:val="4"/>
                <w:szCs w:val="4"/>
              </w:rPr>
            </w:pPr>
            <w:r>
              <w:rPr>
                <w:sz w:val="4"/>
                <w:szCs w:val="4"/>
              </w:rPr>
            </w:r>
          </w:p>
        </w:tc>
        <w:tc>
          <w:tcPr>
            <w:tcW w:w="1194" w:type="dxa"/>
            <w:gridSpan w:val="4"/>
            <w:tcBorders/>
            <w:shd w:fill="auto" w:val="clear"/>
            <w:vAlign w:val="center"/>
          </w:tcPr>
          <w:p>
            <w:pPr>
              <w:pStyle w:val="TableContents"/>
              <w:spacing w:before="0" w:after="0"/>
              <w:ind w:left="0" w:right="0" w:hanging="0"/>
              <w:jc w:val="left"/>
              <w:rPr/>
            </w:pPr>
            <w:r>
              <w:rPr/>
              <w:t> </w:t>
            </w:r>
          </w:p>
        </w:tc>
        <w:tc>
          <w:tcPr>
            <w:tcW w:w="1484" w:type="dxa"/>
            <w:gridSpan w:val="4"/>
            <w:tcBorders/>
            <w:shd w:fill="auto" w:val="clear"/>
            <w:vAlign w:val="center"/>
          </w:tcPr>
          <w:p>
            <w:pPr>
              <w:pStyle w:val="TableContents"/>
              <w:spacing w:before="0" w:after="0"/>
              <w:ind w:left="0" w:right="0" w:hanging="0"/>
              <w:jc w:val="left"/>
              <w:rPr/>
            </w:pPr>
            <w:r>
              <w:rPr/>
              <w:t> </w:t>
            </w:r>
          </w:p>
        </w:tc>
      </w:tr>
      <w:tr>
        <w:trPr/>
        <w:tc>
          <w:tcPr>
            <w:tcW w:w="334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Due in one year or less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34,947</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34,805</w:t>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334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Due after one year through five years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48,237</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46,168</w:t>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334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Due after five years through 10 years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14,143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12,698</w:t>
            </w:r>
          </w:p>
        </w:tc>
        <w:tc>
          <w:tcPr>
            <w:tcW w:w="436" w:type="dxa"/>
            <w:tcBorders/>
            <w:shd w:fill="auto" w:val="clear"/>
            <w:vAlign w:val="center"/>
          </w:tcPr>
          <w:p>
            <w:pPr>
              <w:pStyle w:val="TableContents"/>
              <w:spacing w:before="0" w:after="0"/>
              <w:ind w:left="0" w:right="0" w:hanging="0"/>
              <w:jc w:val="left"/>
              <w:rPr/>
            </w:pPr>
            <w:r>
              <w:rPr/>
              <w:t> </w:t>
            </w:r>
          </w:p>
        </w:tc>
      </w:tr>
      <w:tr>
        <w:trPr/>
        <w:tc>
          <w:tcPr>
            <w:tcW w:w="334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Due after 10 years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1,373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1,260</w:t>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33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3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436" w:type="dxa"/>
            <w:tcBorders/>
            <w:shd w:fill="auto" w:val="clear"/>
            <w:vAlign w:val="center"/>
          </w:tcPr>
          <w:p>
            <w:pPr>
              <w:pStyle w:val="TableContents"/>
              <w:spacing w:before="0" w:after="0"/>
              <w:ind w:left="0" w:right="0" w:firstLine="245"/>
              <w:jc w:val="left"/>
              <w:rPr/>
            </w:pPr>
            <w:r>
              <w:rPr/>
              <w:t> </w:t>
            </w:r>
          </w:p>
        </w:tc>
      </w:tr>
      <w:tr>
        <w:trPr/>
        <w:tc>
          <w:tcPr>
            <w:tcW w:w="3346"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Total</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98,700</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94,931</w:t>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33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Arial;sans-serif" w:hAnsi="Arial;sans-serif"/>
          <w:b w:val="false"/>
          <w:sz w:val="16"/>
        </w:rPr>
      </w:pPr>
      <w:r>
        <w:rPr>
          <w:rFonts w:ascii="Arial;sans-serif" w:hAnsi="Arial;sans-serif"/>
          <w:b w:val="false"/>
          <w:sz w:val="16"/>
        </w:rPr>
        <w:t>15</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w:t>
      </w:r>
    </w:p>
    <w:p>
      <w:pPr>
        <w:pStyle w:val="TextBody"/>
        <w:spacing w:before="0" w:after="0"/>
        <w:jc w:val="center"/>
        <w:rPr>
          <w:rFonts w:ascii="Arial;sans-serif" w:hAnsi="Arial;sans-serif"/>
          <w:b w:val="false"/>
          <w:sz w:val="15"/>
        </w:rPr>
      </w:pPr>
      <w:r>
        <w:rPr>
          <w:rFonts w:ascii="Arial;sans-serif" w:hAnsi="Arial;sans-serif"/>
          <w:b w:val="false"/>
          <w:sz w:val="15"/>
        </w:rPr>
        <w:t>Item 1</w:t>
      </w:r>
    </w:p>
    <w:p>
      <w:pPr>
        <w:pStyle w:val="TextBody"/>
        <w:spacing w:before="0" w:after="0"/>
        <w:jc w:val="left"/>
        <w:rPr/>
      </w:pPr>
      <w:r>
        <w:rPr/>
        <w:t> </w:t>
      </w:r>
    </w:p>
    <w:p>
      <w:pPr>
        <w:pStyle w:val="TextBody"/>
        <w:spacing w:before="90" w:after="0"/>
        <w:jc w:val="center"/>
        <w:rPr>
          <w:rFonts w:ascii="Arial;sans-serif" w:hAnsi="Arial;sans-serif"/>
          <w:b w:val="false"/>
          <w:sz w:val="20"/>
          <w:u w:val="single"/>
        </w:rPr>
      </w:pPr>
      <w:r>
        <w:rPr>
          <w:rFonts w:ascii="Arial;sans-serif" w:hAnsi="Arial;sans-serif"/>
          <w:b w:val="false"/>
          <w:sz w:val="20"/>
          <w:u w:val="single"/>
        </w:rPr>
        <w:t>NOTE 5 — DERIVATIVES</w:t>
      </w:r>
    </w:p>
    <w:p>
      <w:pPr>
        <w:pStyle w:val="TextBody"/>
        <w:spacing w:before="180" w:after="0"/>
        <w:jc w:val="both"/>
        <w:rPr>
          <w:rFonts w:ascii="Times New Roman" w:hAnsi="Times New Roman"/>
          <w:sz w:val="20"/>
        </w:rPr>
      </w:pPr>
      <w:r>
        <w:rPr>
          <w:rFonts w:ascii="Arial;sans-serif" w:hAnsi="Arial;sans-serif"/>
          <w:b w:val="false"/>
          <w:sz w:val="20"/>
        </w:rPr>
        <w:t>We use derivative instruments to manage risks related to foreign currencies, interest rates, equity prices, and credit; to enhance investment returns; and to facilitate portfolio diversification. Our objectives for holding derivatives include reducing, eliminating, and efficiently managing the economic impact of these exposures as effectively as possible. Our derivative programs include strategies that both qualify and do not qualify for hedge accounting treatment.</w:t>
      </w:r>
      <w:r>
        <w:rPr>
          <w:rFonts w:ascii="Times New Roman" w:hAnsi="Times New Roman"/>
          <w:sz w:val="20"/>
        </w:rPr>
        <w:t xml:space="preserve"> </w:t>
      </w:r>
    </w:p>
    <w:p>
      <w:pPr>
        <w:pStyle w:val="TextBody"/>
        <w:spacing w:before="270" w:after="0"/>
        <w:jc w:val="both"/>
        <w:rPr>
          <w:rFonts w:ascii="Times New Roman" w:hAnsi="Times New Roman"/>
          <w:sz w:val="20"/>
        </w:rPr>
      </w:pPr>
      <w:r>
        <w:rPr>
          <w:rFonts w:ascii="Arial;sans-serif" w:hAnsi="Arial;sans-serif"/>
          <w:b/>
          <w:sz w:val="20"/>
        </w:rPr>
        <w:t>Foreign Currencies</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Certain forecasted transactions, assets, and liabilities are exposed to foreign currency risk. We monitor our foreign currency exposures daily to maximize the economic effectiveness of our foreign currency hedge positions.</w:t>
      </w:r>
      <w:r>
        <w:rPr>
          <w:rFonts w:ascii="Times New Roman" w:hAnsi="Times New Roman"/>
          <w:sz w:val="20"/>
        </w:rPr>
        <w:t xml:space="preserve"> </w:t>
      </w:r>
    </w:p>
    <w:p>
      <w:pPr>
        <w:pStyle w:val="TextBody"/>
        <w:spacing w:before="180" w:after="0"/>
        <w:jc w:val="both"/>
        <w:rPr>
          <w:rFonts w:ascii="Arial;sans-serif" w:hAnsi="Arial;sans-serif"/>
          <w:b w:val="false"/>
          <w:sz w:val="20"/>
        </w:rPr>
      </w:pPr>
      <w:r>
        <w:rPr>
          <w:rFonts w:ascii="Arial;sans-serif" w:hAnsi="Arial;sans-serif"/>
          <w:b w:val="false"/>
          <w:sz w:val="20"/>
        </w:rPr>
        <w:t>Foreign currency risks related to certain non-U.S. dollar-denominated investments are hedged using foreign exchange forward contracts that are designated as fair value hedging instruments. Foreign currency risks related to certain Euro-denominated debt are hedged using foreign exchange forward contracts that are designated as cash flow hedging instruments.</w:t>
      </w:r>
    </w:p>
    <w:p>
      <w:pPr>
        <w:pStyle w:val="TextBody"/>
        <w:spacing w:before="180" w:after="0"/>
        <w:jc w:val="both"/>
        <w:rPr>
          <w:rFonts w:ascii="Times New Roman" w:hAnsi="Times New Roman"/>
          <w:sz w:val="20"/>
        </w:rPr>
      </w:pPr>
      <w:r>
        <w:rPr>
          <w:rFonts w:ascii="Arial;sans-serif" w:hAnsi="Arial;sans-serif"/>
          <w:b w:val="false"/>
          <w:sz w:val="20"/>
        </w:rPr>
        <w:t>Certain options and forwards not designated as hedging instruments are also used to manage the variability in foreign exchange rates on certain balance sheet amounts and to manage other foreign currency exposures.</w:t>
      </w:r>
      <w:r>
        <w:rPr>
          <w:rFonts w:ascii="Times New Roman" w:hAnsi="Times New Roman"/>
          <w:sz w:val="20"/>
        </w:rPr>
        <w:t xml:space="preserve"> </w:t>
      </w:r>
    </w:p>
    <w:p>
      <w:pPr>
        <w:pStyle w:val="TextBody"/>
        <w:spacing w:before="270" w:after="0"/>
        <w:jc w:val="both"/>
        <w:rPr>
          <w:rFonts w:ascii="Times New Roman" w:hAnsi="Times New Roman"/>
          <w:sz w:val="20"/>
        </w:rPr>
      </w:pPr>
      <w:r>
        <w:rPr>
          <w:rFonts w:ascii="Arial;sans-serif" w:hAnsi="Arial;sans-serif"/>
          <w:b/>
          <w:sz w:val="20"/>
        </w:rPr>
        <w:t>Interest Rate</w:t>
      </w:r>
      <w:r>
        <w:rPr>
          <w:rFonts w:ascii="Times New Roman" w:hAnsi="Times New Roman"/>
          <w:sz w:val="20"/>
        </w:rPr>
        <w:t xml:space="preserve"> </w:t>
      </w:r>
    </w:p>
    <w:p>
      <w:pPr>
        <w:pStyle w:val="TextBody"/>
        <w:spacing w:before="180" w:after="0"/>
        <w:jc w:val="both"/>
        <w:rPr>
          <w:rFonts w:ascii="Arial;sans-serif" w:hAnsi="Arial;sans-serif"/>
          <w:b w:val="false"/>
          <w:sz w:val="20"/>
        </w:rPr>
      </w:pPr>
      <w:r>
        <w:rPr>
          <w:rFonts w:ascii="Arial;sans-serif" w:hAnsi="Arial;sans-serif"/>
          <w:b w:val="false"/>
          <w:sz w:val="20"/>
        </w:rPr>
        <w:t>Interest rate risks related to certain fixed-rate debt are hedged using interest rate swaps that are designated as fair value hedging instruments to effectively convert the fixed interest rates to floating interest rates.</w:t>
      </w:r>
    </w:p>
    <w:p>
      <w:pPr>
        <w:pStyle w:val="TextBody"/>
        <w:spacing w:before="180" w:after="0"/>
        <w:jc w:val="both"/>
        <w:rPr>
          <w:rFonts w:ascii="Times New Roman" w:hAnsi="Times New Roman"/>
          <w:sz w:val="20"/>
        </w:rPr>
      </w:pPr>
      <w:r>
        <w:rPr>
          <w:rFonts w:ascii="Arial;sans-serif" w:hAnsi="Arial;sans-serif"/>
          <w:b w:val="false"/>
          <w:sz w:val="20"/>
        </w:rPr>
        <w:t>Securities held in our fixed-income portfolio are subject to different interest rate risks based on their maturities. We manage the average maturity of our fixed-income portfolio to achieve economic returns that correlate to certain broad-based fixed-income indices using option</w:t>
      </w:r>
      <w:r>
        <w:rPr>
          <w:rFonts w:ascii="Arial;sans-serif" w:hAnsi="Arial;sans-serif"/>
          <w:b w:val="false"/>
          <w:sz w:val="20"/>
          <w:u w:val="single"/>
        </w:rPr>
        <w:t>,</w:t>
      </w:r>
      <w:r>
        <w:rPr>
          <w:rFonts w:ascii="Times New Roman" w:hAnsi="Times New Roman"/>
          <w:sz w:val="20"/>
        </w:rPr>
        <w:t xml:space="preserve"> </w:t>
      </w:r>
      <w:r>
        <w:rPr>
          <w:rFonts w:ascii="Arial;sans-serif" w:hAnsi="Arial;sans-serif"/>
          <w:b w:val="false"/>
          <w:sz w:val="20"/>
        </w:rPr>
        <w:t>futures, and swap contracts. These contracts are not designated as hedging instruments and are included in “Other contracts” in the tables below.</w:t>
      </w:r>
    </w:p>
    <w:p>
      <w:pPr>
        <w:pStyle w:val="TextBody"/>
        <w:spacing w:before="270" w:after="0"/>
        <w:jc w:val="both"/>
        <w:rPr>
          <w:rFonts w:ascii="Times New Roman" w:hAnsi="Times New Roman"/>
          <w:sz w:val="20"/>
        </w:rPr>
      </w:pPr>
      <w:r>
        <w:rPr>
          <w:rFonts w:ascii="Arial;sans-serif" w:hAnsi="Arial;sans-serif"/>
          <w:b/>
          <w:sz w:val="20"/>
        </w:rPr>
        <w:t>Equity</w:t>
      </w:r>
      <w:r>
        <w:rPr>
          <w:rFonts w:ascii="Times New Roman" w:hAnsi="Times New Roman"/>
          <w:sz w:val="20"/>
        </w:rPr>
        <w:t xml:space="preserve"> </w:t>
      </w:r>
    </w:p>
    <w:p>
      <w:pPr>
        <w:pStyle w:val="TextBody"/>
        <w:spacing w:before="180" w:after="0"/>
        <w:jc w:val="both"/>
        <w:rPr>
          <w:rFonts w:ascii="Arial;sans-serif" w:hAnsi="Arial;sans-serif"/>
          <w:b w:val="false"/>
          <w:sz w:val="20"/>
        </w:rPr>
      </w:pPr>
      <w:r>
        <w:rPr>
          <w:rFonts w:ascii="Arial;sans-serif" w:hAnsi="Arial;sans-serif"/>
          <w:b w:val="false"/>
          <w:sz w:val="20"/>
        </w:rPr>
        <w:t>Securities held in our equity investments portfolio are subject to market price risk. At times, we may hold options, futures, and swap contracts. These contracts are not designated as hedging instruments and are included in “Other contracts” in the tables below.</w:t>
      </w:r>
    </w:p>
    <w:p>
      <w:pPr>
        <w:pStyle w:val="TextBody"/>
        <w:spacing w:before="270" w:after="0"/>
        <w:jc w:val="both"/>
        <w:rPr>
          <w:rFonts w:ascii="Times New Roman" w:hAnsi="Times New Roman"/>
          <w:sz w:val="20"/>
        </w:rPr>
      </w:pPr>
      <w:r>
        <w:rPr>
          <w:rFonts w:ascii="Arial;sans-serif" w:hAnsi="Arial;sans-serif"/>
          <w:b/>
          <w:sz w:val="20"/>
        </w:rPr>
        <w:t>Credit</w:t>
      </w:r>
      <w:r>
        <w:rPr>
          <w:rFonts w:ascii="Times New Roman" w:hAnsi="Times New Roman"/>
          <w:sz w:val="20"/>
        </w:rPr>
        <w:t xml:space="preserve"> </w:t>
      </w:r>
    </w:p>
    <w:p>
      <w:pPr>
        <w:pStyle w:val="TextBody"/>
        <w:spacing w:before="180" w:after="0"/>
        <w:jc w:val="both"/>
        <w:rPr>
          <w:rFonts w:ascii="Arial;sans-serif" w:hAnsi="Arial;sans-serif"/>
          <w:b w:val="false"/>
          <w:sz w:val="20"/>
        </w:rPr>
      </w:pPr>
      <w:r>
        <w:rPr>
          <w:rFonts w:ascii="Arial;sans-serif" w:hAnsi="Arial;sans-serif"/>
          <w:b w:val="false"/>
          <w:sz w:val="20"/>
        </w:rPr>
        <w:t>Our fixed-income portfolio is diversified and consists primarily of investment-grade securities. We use credit default swap contracts to manage credit exposures relative to broad-based indices and to facilitate portfolio diversification. These contracts are not designated as hedging instruments and are included in “Other contracts” in the tables below.</w:t>
      </w:r>
    </w:p>
    <w:p>
      <w:pPr>
        <w:pStyle w:val="TextBody"/>
        <w:spacing w:before="270" w:after="0"/>
        <w:jc w:val="both"/>
        <w:rPr>
          <w:rFonts w:ascii="Times New Roman" w:hAnsi="Times New Roman"/>
          <w:sz w:val="20"/>
        </w:rPr>
      </w:pPr>
      <w:r>
        <w:rPr>
          <w:rFonts w:ascii="Arial;sans-serif" w:hAnsi="Arial;sans-serif"/>
          <w:b/>
          <w:sz w:val="20"/>
        </w:rPr>
        <w:t>Credit-Risk-Related Contingent Features</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Certain of our counterparty agreements for derivative instruments contain provisions that require our issued and outstanding long-term unsecured debt to maintain an investment grade credit rating and require us to maintain minimum liquidity of $1.0</w:t>
      </w:r>
      <w:r>
        <w:rPr>
          <w:rFonts w:ascii="Times New Roman" w:hAnsi="Times New Roman"/>
          <w:sz w:val="20"/>
        </w:rPr>
        <w:t xml:space="preserve"> </w:t>
      </w:r>
      <w:r>
        <w:rPr>
          <w:rFonts w:ascii="Arial;sans-serif" w:hAnsi="Arial;sans-serif"/>
          <w:b w:val="false"/>
          <w:sz w:val="20"/>
        </w:rPr>
        <w:t>billion. To the extent we fail to meet these requirements, we will be required to post collateral, similar to the standard convention related to over-the-counter derivatives. As of March 31, 2023, our long-term unsecured debt rating was AAA, and cash investments were in excess of $1.0</w:t>
      </w:r>
      <w:r>
        <w:rPr>
          <w:rFonts w:ascii="Times New Roman" w:hAnsi="Times New Roman"/>
          <w:sz w:val="20"/>
        </w:rPr>
        <w:t xml:space="preserve"> </w:t>
      </w:r>
      <w:r>
        <w:rPr>
          <w:rFonts w:ascii="Arial;sans-serif" w:hAnsi="Arial;sans-serif"/>
          <w:b w:val="false"/>
          <w:sz w:val="20"/>
        </w:rPr>
        <w:t>billion. As a result, no collateral was required to be posted.</w:t>
      </w:r>
      <w:r>
        <w:rPr>
          <w:rFonts w:ascii="Times New Roman" w:hAnsi="Times New Roman"/>
          <w:sz w:val="20"/>
        </w:rPr>
        <w:t xml:space="preserve"> </w:t>
      </w:r>
    </w:p>
    <w:p>
      <w:pPr>
        <w:pStyle w:val="TextBody"/>
        <w:spacing w:before="240" w:after="0"/>
        <w:jc w:val="center"/>
        <w:rPr>
          <w:rFonts w:ascii="Arial;sans-serif" w:hAnsi="Arial;sans-serif"/>
          <w:b w:val="false"/>
          <w:sz w:val="16"/>
        </w:rPr>
      </w:pPr>
      <w:r>
        <w:rPr>
          <w:rFonts w:ascii="Arial;sans-serif" w:hAnsi="Arial;sans-serif"/>
          <w:b w:val="false"/>
          <w:sz w:val="16"/>
        </w:rPr>
        <w:t>16</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w:t>
      </w:r>
    </w:p>
    <w:p>
      <w:pPr>
        <w:pStyle w:val="TextBody"/>
        <w:spacing w:before="0" w:after="0"/>
        <w:jc w:val="center"/>
        <w:rPr>
          <w:rFonts w:ascii="Arial;sans-serif" w:hAnsi="Arial;sans-serif"/>
          <w:b w:val="false"/>
          <w:sz w:val="15"/>
        </w:rPr>
      </w:pPr>
      <w:r>
        <w:rPr>
          <w:rFonts w:ascii="Arial;sans-serif" w:hAnsi="Arial;sans-serif"/>
          <w:b w:val="false"/>
          <w:sz w:val="15"/>
        </w:rPr>
        <w:t>Item 1</w:t>
      </w:r>
    </w:p>
    <w:p>
      <w:pPr>
        <w:pStyle w:val="TextBody"/>
        <w:spacing w:before="0" w:after="0"/>
        <w:jc w:val="left"/>
        <w:rPr/>
      </w:pPr>
      <w:r>
        <w:rPr/>
        <w:t> </w:t>
      </w:r>
    </w:p>
    <w:p>
      <w:pPr>
        <w:pStyle w:val="TextBody"/>
        <w:spacing w:before="180" w:after="0"/>
        <w:jc w:val="both"/>
        <w:rPr>
          <w:rFonts w:ascii="Arial;sans-serif" w:hAnsi="Arial;sans-serif"/>
          <w:b w:val="false"/>
          <w:sz w:val="20"/>
        </w:rPr>
      </w:pPr>
      <w:r>
        <w:rPr>
          <w:rFonts w:ascii="Arial;sans-serif" w:hAnsi="Arial;sans-serif"/>
          <w:b w:val="false"/>
          <w:sz w:val="20"/>
        </w:rPr>
        <w:t>The following table presents the notional amounts of our outstanding derivative instruments measured in U.S. dollar equivalents:</w:t>
      </w:r>
    </w:p>
    <w:p>
      <w:pPr>
        <w:pStyle w:val="TextBody"/>
        <w:spacing w:before="0" w:after="0"/>
        <w:jc w:val="left"/>
        <w:rPr/>
      </w:pPr>
      <w:r>
        <w:rPr/>
        <w:t> </w:t>
      </w:r>
    </w:p>
    <w:tbl>
      <w:tblPr>
        <w:tblW w:w="5929" w:type="dxa"/>
        <w:jc w:val="left"/>
        <w:tblInd w:w="0" w:type="dxa"/>
        <w:tblCellMar>
          <w:top w:w="28" w:type="dxa"/>
          <w:left w:w="28" w:type="dxa"/>
          <w:bottom w:w="28" w:type="dxa"/>
          <w:right w:w="28" w:type="dxa"/>
        </w:tblCellMar>
      </w:tblPr>
      <w:tblGrid>
        <w:gridCol w:w="3496"/>
        <w:gridCol w:w="146"/>
        <w:gridCol w:w="211"/>
        <w:gridCol w:w="691"/>
        <w:gridCol w:w="146"/>
        <w:gridCol w:w="146"/>
        <w:gridCol w:w="211"/>
        <w:gridCol w:w="691"/>
        <w:gridCol w:w="191"/>
      </w:tblGrid>
      <w:tr>
        <w:trPr/>
        <w:tc>
          <w:tcPr>
            <w:tcW w:w="3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496"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(In millions)</w:t>
            </w:r>
          </w:p>
        </w:tc>
        <w:tc>
          <w:tcPr>
            <w:tcW w:w="146" w:type="dxa"/>
            <w:tcBorders/>
            <w:shd w:fill="auto" w:val="clear"/>
            <w:vAlign w:val="center"/>
          </w:tcPr>
          <w:p>
            <w:pPr>
              <w:pStyle w:val="TableContents"/>
              <w:spacing w:before="0" w:after="0"/>
              <w:ind w:left="0" w:right="0" w:hanging="0"/>
              <w:jc w:val="left"/>
              <w:rPr/>
            </w:pPr>
            <w:r>
              <w:rPr/>
              <w:t> </w:t>
            </w:r>
          </w:p>
        </w:tc>
        <w:tc>
          <w:tcPr>
            <w:tcW w:w="902"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02"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June 30,</w:t>
            </w:r>
          </w:p>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191" w:type="dxa"/>
            <w:tcBorders/>
            <w:shd w:fill="auto" w:val="clear"/>
            <w:vAlign w:val="center"/>
          </w:tcPr>
          <w:p>
            <w:pPr>
              <w:pStyle w:val="TableContents"/>
              <w:spacing w:before="0" w:after="0"/>
              <w:ind w:left="0" w:right="0" w:hanging="0"/>
              <w:jc w:val="left"/>
              <w:rPr/>
            </w:pPr>
            <w:r>
              <w:rPr/>
              <w:t> </w:t>
            </w:r>
          </w:p>
        </w:tc>
      </w:tr>
      <w:tr>
        <w:trPr/>
        <w:tc>
          <w:tcPr>
            <w:tcW w:w="349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49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9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2"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3496"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Designated as Hedging Instruments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283"/>
              <w:ind w:left="0" w:right="0" w:hanging="0"/>
              <w:rPr>
                <w:sz w:val="4"/>
                <w:szCs w:val="4"/>
              </w:rPr>
            </w:pPr>
            <w:r>
              <w:rPr>
                <w:sz w:val="4"/>
                <w:szCs w:val="4"/>
              </w:rPr>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349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349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Foreign exchange contracts purchased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1,492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635</w:t>
            </w:r>
          </w:p>
        </w:tc>
        <w:tc>
          <w:tcPr>
            <w:tcW w:w="191" w:type="dxa"/>
            <w:tcBorders/>
            <w:shd w:fill="auto" w:val="clear"/>
            <w:vAlign w:val="center"/>
          </w:tcPr>
          <w:p>
            <w:pPr>
              <w:pStyle w:val="TableContents"/>
              <w:spacing w:before="0" w:after="0"/>
              <w:ind w:left="0" w:right="0" w:hanging="0"/>
              <w:jc w:val="right"/>
              <w:rPr/>
            </w:pPr>
            <w:r>
              <w:rPr/>
              <w:t> </w:t>
            </w:r>
          </w:p>
        </w:tc>
      </w:tr>
      <w:tr>
        <w:trPr/>
        <w:tc>
          <w:tcPr>
            <w:tcW w:w="349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Interest rate contracts purchased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1,108</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1,139</w:t>
            </w:r>
          </w:p>
        </w:tc>
        <w:tc>
          <w:tcPr>
            <w:tcW w:w="191" w:type="dxa"/>
            <w:tcBorders/>
            <w:shd w:fill="auto" w:val="clear"/>
            <w:vAlign w:val="center"/>
          </w:tcPr>
          <w:p>
            <w:pPr>
              <w:pStyle w:val="TableContents"/>
              <w:spacing w:before="0" w:after="0"/>
              <w:ind w:left="0" w:right="0" w:hanging="0"/>
              <w:jc w:val="right"/>
              <w:rPr/>
            </w:pPr>
            <w:r>
              <w:rPr/>
              <w:t> </w:t>
            </w:r>
          </w:p>
        </w:tc>
      </w:tr>
      <w:tr>
        <w:trPr/>
        <w:tc>
          <w:tcPr>
            <w:tcW w:w="349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3496"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Not Designated as Hedging Instruments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283"/>
              <w:ind w:left="0" w:right="0" w:hanging="0"/>
              <w:rPr>
                <w:sz w:val="4"/>
                <w:szCs w:val="4"/>
              </w:rPr>
            </w:pPr>
            <w:r>
              <w:rPr>
                <w:sz w:val="4"/>
                <w:szCs w:val="4"/>
              </w:rPr>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349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349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Foreign exchange contracts purchased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10,232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10,322</w:t>
            </w:r>
          </w:p>
        </w:tc>
        <w:tc>
          <w:tcPr>
            <w:tcW w:w="191" w:type="dxa"/>
            <w:tcBorders/>
            <w:shd w:fill="auto" w:val="clear"/>
            <w:vAlign w:val="center"/>
          </w:tcPr>
          <w:p>
            <w:pPr>
              <w:pStyle w:val="TableContents"/>
              <w:spacing w:before="0" w:after="0"/>
              <w:ind w:left="0" w:right="0" w:hanging="0"/>
              <w:jc w:val="right"/>
              <w:rPr/>
            </w:pPr>
            <w:r>
              <w:rPr/>
              <w:t> </w:t>
            </w:r>
          </w:p>
        </w:tc>
      </w:tr>
      <w:tr>
        <w:trPr/>
        <w:tc>
          <w:tcPr>
            <w:tcW w:w="349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Foreign exchange contracts sold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20,460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21,606</w:t>
            </w:r>
          </w:p>
        </w:tc>
        <w:tc>
          <w:tcPr>
            <w:tcW w:w="191" w:type="dxa"/>
            <w:tcBorders/>
            <w:shd w:fill="auto" w:val="clear"/>
            <w:vAlign w:val="center"/>
          </w:tcPr>
          <w:p>
            <w:pPr>
              <w:pStyle w:val="TableContents"/>
              <w:spacing w:before="0" w:after="0"/>
              <w:ind w:left="0" w:right="0" w:hanging="0"/>
              <w:jc w:val="right"/>
              <w:rPr/>
            </w:pPr>
            <w:r>
              <w:rPr/>
              <w:t> </w:t>
            </w:r>
          </w:p>
        </w:tc>
      </w:tr>
      <w:tr>
        <w:trPr/>
        <w:tc>
          <w:tcPr>
            <w:tcW w:w="349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Other contracts purchased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4,787</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2,773</w:t>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349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Other contracts sold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2,952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544</w:t>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349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TextBody"/>
        <w:spacing w:before="90" w:after="0"/>
        <w:jc w:val="both"/>
        <w:rPr>
          <w:rFonts w:ascii="Arial;sans-serif" w:hAnsi="Arial;sans-serif"/>
          <w:b/>
          <w:sz w:val="20"/>
        </w:rPr>
      </w:pPr>
      <w:r>
        <w:rPr>
          <w:rFonts w:ascii="Arial;sans-serif" w:hAnsi="Arial;sans-serif"/>
          <w:b/>
          <w:sz w:val="20"/>
        </w:rPr>
        <w:t>Fair Values of Derivative Instruments</w:t>
      </w:r>
    </w:p>
    <w:p>
      <w:pPr>
        <w:pStyle w:val="TextBody"/>
        <w:spacing w:before="180" w:after="0"/>
        <w:jc w:val="both"/>
        <w:rPr>
          <w:rFonts w:ascii="Arial;sans-serif" w:hAnsi="Arial;sans-serif"/>
          <w:b w:val="false"/>
          <w:sz w:val="20"/>
        </w:rPr>
      </w:pPr>
      <w:r>
        <w:rPr>
          <w:rFonts w:ascii="Arial;sans-serif" w:hAnsi="Arial;sans-serif"/>
          <w:b w:val="false"/>
          <w:sz w:val="20"/>
        </w:rPr>
        <w:t>The following table presents our derivative instruments: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5052"/>
        <w:gridCol w:w="146"/>
        <w:gridCol w:w="261"/>
        <w:gridCol w:w="595"/>
        <w:gridCol w:w="166"/>
        <w:gridCol w:w="146"/>
        <w:gridCol w:w="211"/>
        <w:gridCol w:w="856"/>
        <w:gridCol w:w="166"/>
        <w:gridCol w:w="146"/>
        <w:gridCol w:w="261"/>
        <w:gridCol w:w="595"/>
        <w:gridCol w:w="166"/>
        <w:gridCol w:w="146"/>
        <w:gridCol w:w="261"/>
        <w:gridCol w:w="595"/>
        <w:gridCol w:w="436"/>
      </w:tblGrid>
      <w:tr>
        <w:trPr/>
        <w:tc>
          <w:tcPr>
            <w:tcW w:w="50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r>
      <w:tr>
        <w:trPr/>
        <w:tc>
          <w:tcPr>
            <w:tcW w:w="5052"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(In millions)</w:t>
            </w:r>
          </w:p>
        </w:tc>
        <w:tc>
          <w:tcPr>
            <w:tcW w:w="146" w:type="dxa"/>
            <w:tcBorders/>
            <w:shd w:fill="auto" w:val="clear"/>
            <w:vAlign w:val="center"/>
          </w:tcPr>
          <w:p>
            <w:pPr>
              <w:pStyle w:val="TableContents"/>
              <w:spacing w:before="0" w:after="0"/>
              <w:ind w:left="0" w:right="0" w:hanging="0"/>
              <w:jc w:val="left"/>
              <w:rPr/>
            </w:pPr>
            <w:r>
              <w:rPr/>
              <w:t> </w:t>
            </w:r>
          </w:p>
        </w:tc>
        <w:tc>
          <w:tcPr>
            <w:tcW w:w="856"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Derivative</w:t>
            </w:r>
          </w:p>
          <w:p>
            <w:pPr>
              <w:pStyle w:val="TableContents"/>
              <w:spacing w:before="0" w:after="0"/>
              <w:ind w:left="0" w:right="0" w:hanging="0"/>
              <w:jc w:val="right"/>
              <w:rPr>
                <w:rFonts w:ascii="Arial;sans-serif" w:hAnsi="Arial;sans-serif"/>
                <w:b/>
                <w:sz w:val="15"/>
              </w:rPr>
            </w:pPr>
            <w:r>
              <w:rPr>
                <w:rFonts w:ascii="Arial;sans-serif" w:hAnsi="Arial;sans-serif"/>
                <w:b/>
                <w:sz w:val="15"/>
              </w:rPr>
              <w:t>Assets</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Derivative</w:t>
            </w:r>
          </w:p>
          <w:p>
            <w:pPr>
              <w:pStyle w:val="TableContents"/>
              <w:spacing w:before="0" w:after="0"/>
              <w:ind w:left="0" w:right="0" w:hanging="0"/>
              <w:jc w:val="right"/>
              <w:rPr>
                <w:rFonts w:ascii="Arial;sans-serif" w:hAnsi="Arial;sans-serif"/>
                <w:b/>
                <w:sz w:val="15"/>
              </w:rPr>
            </w:pPr>
            <w:r>
              <w:rPr>
                <w:rFonts w:ascii="Arial;sans-serif" w:hAnsi="Arial;sans-serif"/>
                <w:b/>
                <w:sz w:val="15"/>
              </w:rPr>
              <w:t>Liabilities</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Derivative</w:t>
            </w:r>
          </w:p>
          <w:p>
            <w:pPr>
              <w:pStyle w:val="TableContents"/>
              <w:spacing w:before="0" w:after="0"/>
              <w:ind w:left="0" w:right="0" w:hanging="0"/>
              <w:jc w:val="right"/>
              <w:rPr>
                <w:rFonts w:ascii="Arial;sans-serif" w:hAnsi="Arial;sans-serif"/>
                <w:b/>
                <w:sz w:val="15"/>
              </w:rPr>
            </w:pPr>
            <w:r>
              <w:rPr>
                <w:rFonts w:ascii="Arial;sans-serif" w:hAnsi="Arial;sans-serif"/>
                <w:b/>
                <w:sz w:val="15"/>
              </w:rPr>
              <w:t>Assets</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Derivative</w:t>
            </w:r>
          </w:p>
          <w:p>
            <w:pPr>
              <w:pStyle w:val="TableContents"/>
              <w:spacing w:before="0" w:after="0"/>
              <w:ind w:left="0" w:right="0" w:hanging="0"/>
              <w:jc w:val="right"/>
              <w:rPr>
                <w:rFonts w:ascii="Arial;sans-serif" w:hAnsi="Arial;sans-serif"/>
                <w:b/>
                <w:sz w:val="15"/>
              </w:rPr>
            </w:pPr>
            <w:r>
              <w:rPr>
                <w:rFonts w:ascii="Arial;sans-serif" w:hAnsi="Arial;sans-serif"/>
                <w:b/>
                <w:sz w:val="15"/>
              </w:rPr>
              <w:t>Liabilities</w:t>
            </w:r>
          </w:p>
        </w:tc>
        <w:tc>
          <w:tcPr>
            <w:tcW w:w="436" w:type="dxa"/>
            <w:tcBorders/>
            <w:shd w:fill="auto" w:val="clear"/>
            <w:vAlign w:val="center"/>
          </w:tcPr>
          <w:p>
            <w:pPr>
              <w:pStyle w:val="TableContents"/>
              <w:spacing w:before="0" w:after="0"/>
              <w:ind w:left="0" w:right="0" w:hanging="0"/>
              <w:jc w:val="left"/>
              <w:rPr/>
            </w:pPr>
            <w:r>
              <w:rPr/>
              <w:t> </w:t>
            </w:r>
          </w:p>
        </w:tc>
      </w:tr>
      <w:tr>
        <w:trPr/>
        <w:tc>
          <w:tcPr>
            <w:tcW w:w="5052"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05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505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5" w:type="dxa"/>
            <w:gridSpan w:val="6"/>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4" w:type="dxa"/>
            <w:gridSpan w:val="6"/>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June 30,</w:t>
            </w:r>
          </w:p>
          <w:p>
            <w:pPr>
              <w:pStyle w:val="TableContents"/>
              <w:spacing w:before="0" w:after="0"/>
              <w:ind w:left="0" w:right="0" w:hanging="0"/>
              <w:jc w:val="right"/>
              <w:rPr>
                <w:rFonts w:ascii="Times New Roman" w:hAnsi="Times New Roman"/>
                <w:sz w:val="15"/>
              </w:rPr>
            </w:pPr>
            <w:r>
              <w:rPr>
                <w:rFonts w:ascii="Arial;sans-serif" w:hAnsi="Arial;sans-serif"/>
                <w:b/>
                <w:sz w:val="15"/>
              </w:rPr>
              <w:t>2022</w:t>
            </w:r>
            <w:r>
              <w:rPr>
                <w:rFonts w:ascii="Times New Roman" w:hAnsi="Times New Roman"/>
                <w:sz w:val="15"/>
              </w:rPr>
              <w:t xml:space="preserve"> </w:t>
            </w:r>
          </w:p>
        </w:tc>
        <w:tc>
          <w:tcPr>
            <w:tcW w:w="436" w:type="dxa"/>
            <w:tcBorders/>
            <w:shd w:fill="auto" w:val="clear"/>
            <w:vAlign w:val="center"/>
          </w:tcPr>
          <w:p>
            <w:pPr>
              <w:pStyle w:val="TableContents"/>
              <w:spacing w:before="0" w:after="0"/>
              <w:ind w:left="0" w:right="0" w:hanging="0"/>
              <w:jc w:val="left"/>
              <w:rPr/>
            </w:pPr>
            <w:r>
              <w:rPr/>
              <w:t> </w:t>
            </w:r>
          </w:p>
        </w:tc>
      </w:tr>
      <w:tr>
        <w:trPr/>
        <w:tc>
          <w:tcPr>
            <w:tcW w:w="505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235" w:type="dxa"/>
            <w:gridSpan w:val="6"/>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4" w:type="dxa"/>
            <w:gridSpan w:val="6"/>
            <w:tcBorders/>
            <w:shd w:fill="auto" w:val="clear"/>
            <w:vAlign w:val="center"/>
          </w:tcPr>
          <w:p>
            <w:pPr>
              <w:pStyle w:val="TableContents"/>
              <w:spacing w:before="0" w:after="0"/>
              <w:ind w:left="0" w:right="0" w:hanging="0"/>
              <w:jc w:val="righ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5052"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Designated as Hedging Instruments</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85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505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85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505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Foreign exchange contracts</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595"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85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(77</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(77</w:t>
            </w:r>
          </w:p>
        </w:tc>
        <w:tc>
          <w:tcPr>
            <w:tcW w:w="4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05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Interest rate contracts</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436" w:type="dxa"/>
            <w:tcBorders/>
            <w:shd w:fill="auto" w:val="clear"/>
            <w:vAlign w:val="center"/>
          </w:tcPr>
          <w:p>
            <w:pPr>
              <w:pStyle w:val="TableContents"/>
              <w:spacing w:before="0" w:after="0"/>
              <w:ind w:left="0" w:right="0" w:hanging="0"/>
              <w:jc w:val="left"/>
              <w:rPr/>
            </w:pPr>
            <w:r>
              <w:rPr/>
              <w:t> </w:t>
            </w:r>
          </w:p>
        </w:tc>
      </w:tr>
      <w:tr>
        <w:trPr/>
        <w:tc>
          <w:tcPr>
            <w:tcW w:w="505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5052"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Not Designated as Hedging Instruments</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505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505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Foreign exchange contracts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278</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(333</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333</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(362</w:t>
            </w:r>
          </w:p>
        </w:tc>
        <w:tc>
          <w:tcPr>
            <w:tcW w:w="4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05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Other contracts</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(311</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(112</w:t>
            </w:r>
          </w:p>
        </w:tc>
        <w:tc>
          <w:tcPr>
            <w:tcW w:w="4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052"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05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firstLine="245"/>
              <w:jc w:val="left"/>
              <w:rPr/>
            </w:pPr>
            <w:r>
              <w:rPr/>
              <w:t> </w:t>
            </w:r>
          </w:p>
        </w:tc>
      </w:tr>
      <w:tr>
        <w:trPr/>
        <w:tc>
          <w:tcPr>
            <w:tcW w:w="5052"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Gross amounts of derivatives</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520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(721</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356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(551</w:t>
            </w:r>
          </w:p>
        </w:tc>
        <w:tc>
          <w:tcPr>
            <w:tcW w:w="4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05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Gross amounts of derivatives offset in the balance sheet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(265</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263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(130</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133</w:t>
            </w:r>
          </w:p>
        </w:tc>
        <w:tc>
          <w:tcPr>
            <w:tcW w:w="436" w:type="dxa"/>
            <w:tcBorders/>
            <w:shd w:fill="auto" w:val="clear"/>
            <w:vAlign w:val="center"/>
          </w:tcPr>
          <w:p>
            <w:pPr>
              <w:pStyle w:val="TableContents"/>
              <w:spacing w:before="0" w:after="0"/>
              <w:ind w:left="0" w:right="0" w:hanging="0"/>
              <w:jc w:val="left"/>
              <w:rPr/>
            </w:pPr>
            <w:r>
              <w:rPr/>
              <w:t> </w:t>
            </w:r>
          </w:p>
        </w:tc>
      </w:tr>
      <w:tr>
        <w:trPr/>
        <w:tc>
          <w:tcPr>
            <w:tcW w:w="505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Cash collateral received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61" w:type="dxa"/>
            <w:tcBorders/>
            <w:shd w:fill="auto" w:val="clear"/>
            <w:vAlign w:val="center"/>
          </w:tcPr>
          <w:p>
            <w:pPr>
              <w:pStyle w:val="TableContents"/>
              <w:spacing w:before="0" w:after="283"/>
              <w:ind w:left="0" w:right="0" w:hanging="0"/>
              <w:rPr>
                <w:sz w:val="4"/>
                <w:szCs w:val="4"/>
              </w:rPr>
            </w:pPr>
            <w:r>
              <w:rPr>
                <w:sz w:val="4"/>
                <w:szCs w:val="4"/>
              </w:rPr>
            </w:r>
          </w:p>
        </w:tc>
        <w:tc>
          <w:tcPr>
            <w:tcW w:w="595"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(26</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61" w:type="dxa"/>
            <w:tcBorders/>
            <w:shd w:fill="auto" w:val="clear"/>
            <w:vAlign w:val="center"/>
          </w:tcPr>
          <w:p>
            <w:pPr>
              <w:pStyle w:val="TableContents"/>
              <w:spacing w:before="0" w:after="283"/>
              <w:ind w:left="0" w:right="0" w:hanging="0"/>
              <w:rPr>
                <w:sz w:val="4"/>
                <w:szCs w:val="4"/>
              </w:rPr>
            </w:pPr>
            <w:r>
              <w:rPr>
                <w:sz w:val="4"/>
                <w:szCs w:val="4"/>
              </w:rPr>
            </w:r>
          </w:p>
        </w:tc>
        <w:tc>
          <w:tcPr>
            <w:tcW w:w="5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(75</w:t>
            </w:r>
          </w:p>
        </w:tc>
        <w:tc>
          <w:tcPr>
            <w:tcW w:w="4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052"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05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firstLine="245"/>
              <w:jc w:val="left"/>
              <w:rPr/>
            </w:pPr>
            <w:r>
              <w:rPr/>
              <w:t> </w:t>
            </w:r>
          </w:p>
        </w:tc>
      </w:tr>
      <w:tr>
        <w:trPr/>
        <w:tc>
          <w:tcPr>
            <w:tcW w:w="5052"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Net amounts of derivatives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6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595"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255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85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(484</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6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226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(493</w:t>
            </w:r>
          </w:p>
        </w:tc>
        <w:tc>
          <w:tcPr>
            <w:tcW w:w="4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05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5"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5"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5"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05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5052"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Reported as</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righ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505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505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Short-term investments</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595"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85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436" w:type="dxa"/>
            <w:tcBorders/>
            <w:shd w:fill="auto" w:val="clear"/>
            <w:vAlign w:val="center"/>
          </w:tcPr>
          <w:p>
            <w:pPr>
              <w:pStyle w:val="TableContents"/>
              <w:spacing w:before="0" w:after="0"/>
              <w:ind w:left="0" w:right="0" w:hanging="0"/>
              <w:jc w:val="left"/>
              <w:rPr/>
            </w:pPr>
            <w:r>
              <w:rPr/>
              <w:t> </w:t>
            </w:r>
          </w:p>
        </w:tc>
      </w:tr>
      <w:tr>
        <w:trPr/>
        <w:tc>
          <w:tcPr>
            <w:tcW w:w="505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Other current assets</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243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218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436" w:type="dxa"/>
            <w:tcBorders/>
            <w:shd w:fill="auto" w:val="clear"/>
            <w:vAlign w:val="center"/>
          </w:tcPr>
          <w:p>
            <w:pPr>
              <w:pStyle w:val="TableContents"/>
              <w:spacing w:before="0" w:after="0"/>
              <w:ind w:left="0" w:right="0" w:hanging="0"/>
              <w:jc w:val="left"/>
              <w:rPr/>
            </w:pPr>
            <w:r>
              <w:rPr/>
              <w:t> </w:t>
            </w:r>
          </w:p>
        </w:tc>
      </w:tr>
      <w:tr>
        <w:trPr/>
        <w:tc>
          <w:tcPr>
            <w:tcW w:w="505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Other long-term assets</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436" w:type="dxa"/>
            <w:tcBorders/>
            <w:shd w:fill="auto" w:val="clear"/>
            <w:vAlign w:val="center"/>
          </w:tcPr>
          <w:p>
            <w:pPr>
              <w:pStyle w:val="TableContents"/>
              <w:spacing w:before="0" w:after="0"/>
              <w:ind w:left="0" w:right="0" w:hanging="0"/>
              <w:jc w:val="left"/>
              <w:rPr/>
            </w:pPr>
            <w:r>
              <w:rPr/>
              <w:t> </w:t>
            </w:r>
          </w:p>
        </w:tc>
      </w:tr>
      <w:tr>
        <w:trPr/>
        <w:tc>
          <w:tcPr>
            <w:tcW w:w="505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(188</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(298</w:t>
            </w:r>
          </w:p>
        </w:tc>
        <w:tc>
          <w:tcPr>
            <w:tcW w:w="4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05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Other long-term liabilities</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(296</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(195</w:t>
            </w:r>
          </w:p>
        </w:tc>
        <w:tc>
          <w:tcPr>
            <w:tcW w:w="4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052"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05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505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Total</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6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595"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255</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85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(484</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6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226</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(493</w:t>
            </w:r>
          </w:p>
        </w:tc>
        <w:tc>
          <w:tcPr>
            <w:tcW w:w="4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05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6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595"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6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595"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6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595"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43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both"/>
        <w:rPr>
          <w:rFonts w:ascii="Times New Roman" w:hAnsi="Times New Roman"/>
          <w:sz w:val="20"/>
        </w:rPr>
      </w:pPr>
      <w:r>
        <w:rPr>
          <w:rFonts w:ascii="Arial;sans-serif" w:hAnsi="Arial;sans-serif"/>
          <w:b w:val="false"/>
          <w:sz w:val="20"/>
        </w:rPr>
        <w:t>Gross derivative assets and liabilities subject to legally enforceable master netting agreements for which we have elected to offset were $496</w:t>
      </w:r>
      <w:r>
        <w:rPr>
          <w:rFonts w:ascii="Times New Roman" w:hAnsi="Times New Roman"/>
          <w:sz w:val="20"/>
        </w:rPr>
        <w:t xml:space="preserve"> </w:t>
      </w:r>
      <w:r>
        <w:rPr>
          <w:rFonts w:ascii="Arial;sans-serif" w:hAnsi="Arial;sans-serif"/>
          <w:b w:val="false"/>
          <w:sz w:val="20"/>
        </w:rPr>
        <w:t>million and $720</w:t>
      </w:r>
      <w:r>
        <w:rPr>
          <w:rFonts w:ascii="Times New Roman" w:hAnsi="Times New Roman"/>
          <w:sz w:val="20"/>
        </w:rPr>
        <w:t xml:space="preserve"> </w:t>
      </w:r>
      <w:r>
        <w:rPr>
          <w:rFonts w:ascii="Arial;sans-serif" w:hAnsi="Arial;sans-serif"/>
          <w:b w:val="false"/>
          <w:sz w:val="20"/>
        </w:rPr>
        <w:t>million, respectively, as of March 31, 2023, and $343</w:t>
      </w:r>
      <w:r>
        <w:rPr>
          <w:rFonts w:ascii="Times New Roman" w:hAnsi="Times New Roman"/>
          <w:sz w:val="20"/>
        </w:rPr>
        <w:t xml:space="preserve"> </w:t>
      </w:r>
      <w:r>
        <w:rPr>
          <w:rFonts w:ascii="Arial;sans-serif" w:hAnsi="Arial;sans-serif"/>
          <w:b w:val="false"/>
          <w:sz w:val="20"/>
        </w:rPr>
        <w:t>million and $550</w:t>
      </w:r>
      <w:r>
        <w:rPr>
          <w:rFonts w:ascii="Times New Roman" w:hAnsi="Times New Roman"/>
          <w:sz w:val="20"/>
        </w:rPr>
        <w:t xml:space="preserve"> </w:t>
      </w:r>
      <w:r>
        <w:rPr>
          <w:rFonts w:ascii="Arial;sans-serif" w:hAnsi="Arial;sans-serif"/>
          <w:b w:val="false"/>
          <w:sz w:val="20"/>
        </w:rPr>
        <w:t>million, respectively, as of June 30, 2022.</w:t>
      </w:r>
    </w:p>
    <w:p>
      <w:pPr>
        <w:pStyle w:val="TextBody"/>
        <w:spacing w:before="180" w:after="0"/>
        <w:jc w:val="both"/>
        <w:rPr>
          <w:rFonts w:ascii="Arial;sans-serif" w:hAnsi="Arial;sans-serif"/>
          <w:b w:val="false"/>
          <w:sz w:val="20"/>
        </w:rPr>
      </w:pPr>
      <w:r>
        <w:rPr>
          <w:rFonts w:ascii="Arial;sans-serif" w:hAnsi="Arial;sans-serif"/>
          <w:b w:val="false"/>
          <w:sz w:val="20"/>
        </w:rPr>
        <w:t>The following table presents the fair value of our derivatives instruments on a gross basis:</w:t>
      </w:r>
    </w:p>
    <w:p>
      <w:pPr>
        <w:pStyle w:val="TextBody"/>
        <w:spacing w:before="0" w:after="0"/>
        <w:jc w:val="left"/>
        <w:rPr/>
      </w:pPr>
      <w:r>
        <w:rPr/>
        <w:t> </w:t>
      </w:r>
    </w:p>
    <w:tbl>
      <w:tblPr>
        <w:tblW w:w="5893" w:type="dxa"/>
        <w:jc w:val="left"/>
        <w:tblInd w:w="0" w:type="dxa"/>
        <w:tblCellMar>
          <w:top w:w="28" w:type="dxa"/>
          <w:left w:w="28" w:type="dxa"/>
          <w:bottom w:w="28" w:type="dxa"/>
          <w:right w:w="28" w:type="dxa"/>
        </w:tblCellMar>
      </w:tblPr>
      <w:tblGrid>
        <w:gridCol w:w="1801"/>
        <w:gridCol w:w="146"/>
        <w:gridCol w:w="322"/>
        <w:gridCol w:w="323"/>
        <w:gridCol w:w="146"/>
        <w:gridCol w:w="146"/>
        <w:gridCol w:w="211"/>
        <w:gridCol w:w="646"/>
        <w:gridCol w:w="166"/>
        <w:gridCol w:w="146"/>
        <w:gridCol w:w="322"/>
        <w:gridCol w:w="323"/>
        <w:gridCol w:w="146"/>
        <w:gridCol w:w="146"/>
        <w:gridCol w:w="211"/>
        <w:gridCol w:w="481"/>
        <w:gridCol w:w="211"/>
      </w:tblGrid>
      <w:tr>
        <w:trPr/>
        <w:tc>
          <w:tcPr>
            <w:tcW w:w="18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1801"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(In millions)</w:t>
            </w:r>
          </w:p>
        </w:tc>
        <w:tc>
          <w:tcPr>
            <w:tcW w:w="146" w:type="dxa"/>
            <w:tcBorders/>
            <w:shd w:fill="auto" w:val="clear"/>
            <w:vAlign w:val="center"/>
          </w:tcPr>
          <w:p>
            <w:pPr>
              <w:pStyle w:val="TableContents"/>
              <w:spacing w:before="0" w:after="0"/>
              <w:ind w:left="0" w:right="0" w:hanging="0"/>
              <w:jc w:val="left"/>
              <w:rPr/>
            </w:pPr>
            <w:r>
              <w:rPr/>
              <w:t> </w:t>
            </w:r>
          </w:p>
        </w:tc>
        <w:tc>
          <w:tcPr>
            <w:tcW w:w="645"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Level 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Level 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5"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Level 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2"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Total</w:t>
            </w:r>
          </w:p>
        </w:tc>
        <w:tc>
          <w:tcPr>
            <w:tcW w:w="211" w:type="dxa"/>
            <w:tcBorders/>
            <w:shd w:fill="auto" w:val="clear"/>
            <w:vAlign w:val="center"/>
          </w:tcPr>
          <w:p>
            <w:pPr>
              <w:pStyle w:val="TableContents"/>
              <w:spacing w:before="0" w:after="0"/>
              <w:ind w:left="0" w:right="0" w:hanging="0"/>
              <w:jc w:val="left"/>
              <w:rPr/>
            </w:pPr>
            <w:r>
              <w:rPr/>
              <w:t> </w:t>
            </w:r>
          </w:p>
        </w:tc>
      </w:tr>
      <w:tr>
        <w:trPr/>
        <w:tc>
          <w:tcPr>
            <w:tcW w:w="180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80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322"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2"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1801"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March 31, 2023</w:t>
            </w:r>
          </w:p>
        </w:tc>
        <w:tc>
          <w:tcPr>
            <w:tcW w:w="146" w:type="dxa"/>
            <w:tcBorders/>
            <w:shd w:fill="auto" w:val="clear"/>
            <w:vAlign w:val="center"/>
          </w:tcPr>
          <w:p>
            <w:pPr>
              <w:pStyle w:val="TableContents"/>
              <w:spacing w:before="0" w:after="0"/>
              <w:ind w:left="0" w:right="0" w:hanging="0"/>
              <w:jc w:val="left"/>
              <w:rPr/>
            </w:pPr>
            <w:r>
              <w:rPr/>
              <w:t> </w:t>
            </w:r>
          </w:p>
        </w:tc>
        <w:tc>
          <w:tcPr>
            <w:tcW w:w="322"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6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2"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180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322"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2"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180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Derivative assets</w:t>
            </w:r>
          </w:p>
        </w:tc>
        <w:tc>
          <w:tcPr>
            <w:tcW w:w="146" w:type="dxa"/>
            <w:tcBorders/>
            <w:shd w:fill="auto" w:val="clear"/>
            <w:vAlign w:val="center"/>
          </w:tcPr>
          <w:p>
            <w:pPr>
              <w:pStyle w:val="TableContents"/>
              <w:spacing w:before="0" w:after="0"/>
              <w:ind w:left="0" w:right="0" w:hanging="0"/>
              <w:jc w:val="left"/>
              <w:rPr/>
            </w:pPr>
            <w:r>
              <w:rPr/>
              <w:t> </w:t>
            </w:r>
          </w:p>
        </w:tc>
        <w:tc>
          <w:tcPr>
            <w:tcW w:w="322"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323"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4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507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2"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323"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48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520</w:t>
            </w:r>
          </w:p>
        </w:tc>
        <w:tc>
          <w:tcPr>
            <w:tcW w:w="211" w:type="dxa"/>
            <w:tcBorders/>
            <w:shd w:fill="auto" w:val="clear"/>
            <w:vAlign w:val="center"/>
          </w:tcPr>
          <w:p>
            <w:pPr>
              <w:pStyle w:val="TableContents"/>
              <w:spacing w:before="0" w:after="0"/>
              <w:ind w:left="0" w:right="0" w:hanging="0"/>
              <w:jc w:val="left"/>
              <w:rPr/>
            </w:pPr>
            <w:r>
              <w:rPr/>
              <w:t> </w:t>
            </w:r>
          </w:p>
        </w:tc>
      </w:tr>
      <w:tr>
        <w:trPr/>
        <w:tc>
          <w:tcPr>
            <w:tcW w:w="180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Derivative liabilities</w:t>
            </w:r>
          </w:p>
        </w:tc>
        <w:tc>
          <w:tcPr>
            <w:tcW w:w="146" w:type="dxa"/>
            <w:tcBorders/>
            <w:shd w:fill="auto" w:val="clear"/>
            <w:vAlign w:val="center"/>
          </w:tcPr>
          <w:p>
            <w:pPr>
              <w:pStyle w:val="TableContents"/>
              <w:spacing w:before="0" w:after="0"/>
              <w:ind w:left="0" w:right="0" w:hanging="0"/>
              <w:jc w:val="left"/>
              <w:rPr/>
            </w:pPr>
            <w:r>
              <w:rPr/>
              <w:t> </w:t>
            </w:r>
          </w:p>
        </w:tc>
        <w:tc>
          <w:tcPr>
            <w:tcW w:w="322"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(721</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322"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(721</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r>
      <w:tr>
        <w:trPr/>
        <w:tc>
          <w:tcPr>
            <w:tcW w:w="180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322"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2"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1801"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June 30, 2022</w:t>
            </w:r>
          </w:p>
        </w:tc>
        <w:tc>
          <w:tcPr>
            <w:tcW w:w="146" w:type="dxa"/>
            <w:tcBorders/>
            <w:shd w:fill="auto" w:val="clear"/>
            <w:vAlign w:val="center"/>
          </w:tcPr>
          <w:p>
            <w:pPr>
              <w:pStyle w:val="TableContents"/>
              <w:spacing w:before="0" w:after="0"/>
              <w:ind w:left="0" w:right="0" w:hanging="0"/>
              <w:jc w:val="left"/>
              <w:rPr/>
            </w:pPr>
            <w:r>
              <w:rPr/>
              <w:t> </w:t>
            </w:r>
          </w:p>
        </w:tc>
        <w:tc>
          <w:tcPr>
            <w:tcW w:w="322"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2"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180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322"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2"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180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Derivative assets</w:t>
            </w:r>
          </w:p>
        </w:tc>
        <w:tc>
          <w:tcPr>
            <w:tcW w:w="146" w:type="dxa"/>
            <w:tcBorders/>
            <w:shd w:fill="auto" w:val="clear"/>
            <w:vAlign w:val="center"/>
          </w:tcPr>
          <w:p>
            <w:pPr>
              <w:pStyle w:val="TableContents"/>
              <w:spacing w:before="0" w:after="0"/>
              <w:ind w:left="0" w:right="0" w:hanging="0"/>
              <w:jc w:val="left"/>
              <w:rPr/>
            </w:pPr>
            <w:r>
              <w:rPr/>
              <w:t> </w:t>
            </w:r>
          </w:p>
        </w:tc>
        <w:tc>
          <w:tcPr>
            <w:tcW w:w="322"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349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2"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356</w:t>
            </w:r>
          </w:p>
        </w:tc>
        <w:tc>
          <w:tcPr>
            <w:tcW w:w="211" w:type="dxa"/>
            <w:tcBorders/>
            <w:shd w:fill="auto" w:val="clear"/>
            <w:vAlign w:val="center"/>
          </w:tcPr>
          <w:p>
            <w:pPr>
              <w:pStyle w:val="TableContents"/>
              <w:spacing w:before="0" w:after="0"/>
              <w:ind w:left="0" w:right="0" w:hanging="0"/>
              <w:jc w:val="left"/>
              <w:rPr/>
            </w:pPr>
            <w:r>
              <w:rPr/>
              <w:t> </w:t>
            </w:r>
          </w:p>
        </w:tc>
      </w:tr>
      <w:tr>
        <w:trPr/>
        <w:tc>
          <w:tcPr>
            <w:tcW w:w="180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Derivative liabilities</w:t>
            </w:r>
          </w:p>
        </w:tc>
        <w:tc>
          <w:tcPr>
            <w:tcW w:w="146" w:type="dxa"/>
            <w:tcBorders/>
            <w:shd w:fill="auto" w:val="clear"/>
            <w:vAlign w:val="center"/>
          </w:tcPr>
          <w:p>
            <w:pPr>
              <w:pStyle w:val="TableContents"/>
              <w:spacing w:before="0" w:after="0"/>
              <w:ind w:left="0" w:right="0" w:hanging="0"/>
              <w:jc w:val="left"/>
              <w:rPr/>
            </w:pPr>
            <w:r>
              <w:rPr/>
              <w:t> </w:t>
            </w:r>
          </w:p>
        </w:tc>
        <w:tc>
          <w:tcPr>
            <w:tcW w:w="322"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(551</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22"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(551</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180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Arial;sans-serif" w:hAnsi="Arial;sans-serif"/>
          <w:b w:val="false"/>
          <w:sz w:val="16"/>
        </w:rPr>
      </w:pPr>
      <w:r>
        <w:rPr>
          <w:rFonts w:ascii="Arial;sans-serif" w:hAnsi="Arial;sans-serif"/>
          <w:b w:val="false"/>
          <w:sz w:val="16"/>
        </w:rPr>
        <w:t>17</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w:t>
      </w:r>
    </w:p>
    <w:p>
      <w:pPr>
        <w:pStyle w:val="TextBody"/>
        <w:spacing w:before="0" w:after="0"/>
        <w:jc w:val="center"/>
        <w:rPr>
          <w:rFonts w:ascii="Arial;sans-serif" w:hAnsi="Arial;sans-serif"/>
          <w:b w:val="false"/>
          <w:sz w:val="15"/>
        </w:rPr>
      </w:pPr>
      <w:r>
        <w:rPr>
          <w:rFonts w:ascii="Arial;sans-serif" w:hAnsi="Arial;sans-serif"/>
          <w:b w:val="false"/>
          <w:sz w:val="15"/>
        </w:rPr>
        <w:t>Item 1</w:t>
      </w:r>
    </w:p>
    <w:p>
      <w:pPr>
        <w:pStyle w:val="TextBody"/>
        <w:spacing w:before="0" w:after="0"/>
        <w:jc w:val="left"/>
        <w:rPr/>
      </w:pPr>
      <w:r>
        <w:rPr/>
        <w:t> </w:t>
      </w:r>
    </w:p>
    <w:p>
      <w:pPr>
        <w:pStyle w:val="TextBody"/>
        <w:spacing w:before="0" w:after="0"/>
        <w:jc w:val="both"/>
        <w:rPr>
          <w:rFonts w:ascii="Arial;sans-serif" w:hAnsi="Arial;sans-serif"/>
          <w:b w:val="false"/>
          <w:sz w:val="20"/>
        </w:rPr>
      </w:pPr>
      <w:r>
        <w:rPr>
          <w:rFonts w:ascii="Arial;sans-serif" w:hAnsi="Arial;sans-serif"/>
          <w:b w:val="false"/>
          <w:sz w:val="20"/>
        </w:rPr>
        <w:t>Gains (losses) on derivative instruments recognized in other income (expense), net were as follows:</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5751"/>
        <w:gridCol w:w="146"/>
        <w:gridCol w:w="211"/>
        <w:gridCol w:w="513"/>
        <w:gridCol w:w="182"/>
        <w:gridCol w:w="160"/>
        <w:gridCol w:w="231"/>
        <w:gridCol w:w="513"/>
        <w:gridCol w:w="166"/>
        <w:gridCol w:w="146"/>
        <w:gridCol w:w="211"/>
        <w:gridCol w:w="495"/>
        <w:gridCol w:w="170"/>
        <w:gridCol w:w="149"/>
        <w:gridCol w:w="216"/>
        <w:gridCol w:w="479"/>
        <w:gridCol w:w="466"/>
      </w:tblGrid>
      <w:tr>
        <w:trPr/>
        <w:tc>
          <w:tcPr>
            <w:tcW w:w="57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r>
      <w:tr>
        <w:trPr/>
        <w:tc>
          <w:tcPr>
            <w:tcW w:w="5751"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(In millions)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599" w:type="dxa"/>
            <w:gridSpan w:val="5"/>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Three Months Ended</w:t>
            </w:r>
          </w:p>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509" w:type="dxa"/>
            <w:gridSpan w:val="5"/>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Nine Months Ended</w:t>
            </w:r>
          </w:p>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tc>
        <w:tc>
          <w:tcPr>
            <w:tcW w:w="466" w:type="dxa"/>
            <w:tcBorders/>
            <w:shd w:fill="auto" w:val="clear"/>
            <w:vAlign w:val="center"/>
          </w:tcPr>
          <w:p>
            <w:pPr>
              <w:pStyle w:val="TableContents"/>
              <w:spacing w:before="0" w:after="0"/>
              <w:ind w:left="0" w:right="0" w:hanging="0"/>
              <w:jc w:val="left"/>
              <w:rPr/>
            </w:pPr>
            <w:r>
              <w:rPr/>
              <w:t> </w:t>
            </w:r>
          </w:p>
        </w:tc>
      </w:tr>
      <w:tr>
        <w:trPr/>
        <w:tc>
          <w:tcPr>
            <w:tcW w:w="575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75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13"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513"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95"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479"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left"/>
              <w:rPr/>
            </w:pPr>
            <w:r>
              <w:rPr/>
              <w:t> </w:t>
            </w:r>
          </w:p>
        </w:tc>
      </w:tr>
      <w:tr>
        <w:trPr/>
        <w:tc>
          <w:tcPr>
            <w:tcW w:w="57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13"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82"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513"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95"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70" w:type="dxa"/>
            <w:tcBorders/>
            <w:shd w:fill="auto" w:val="cle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479"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466" w:type="dxa"/>
            <w:tcBorders/>
            <w:shd w:fill="auto" w:val="clear"/>
            <w:vAlign w:val="center"/>
          </w:tcPr>
          <w:p>
            <w:pPr>
              <w:pStyle w:val="TableContents"/>
              <w:spacing w:before="0" w:after="0"/>
              <w:ind w:left="0" w:right="0" w:hanging="0"/>
              <w:jc w:val="left"/>
              <w:rPr/>
            </w:pPr>
            <w:r>
              <w:rPr/>
              <w:t> </w:t>
            </w:r>
          </w:p>
        </w:tc>
      </w:tr>
      <w:tr>
        <w:trPr/>
        <w:tc>
          <w:tcPr>
            <w:tcW w:w="575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13"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513"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95"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479"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left"/>
              <w:rPr/>
            </w:pPr>
            <w:r>
              <w:rPr/>
              <w:t> </w:t>
            </w:r>
          </w:p>
        </w:tc>
      </w:tr>
      <w:tr>
        <w:trPr/>
        <w:tc>
          <w:tcPr>
            <w:tcW w:w="5751"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Designated as Fair Value Hedging Instruments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13"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513"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95"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479"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left"/>
              <w:rPr/>
            </w:pPr>
            <w:r>
              <w:rPr/>
              <w:t> </w:t>
            </w:r>
          </w:p>
        </w:tc>
      </w:tr>
      <w:tr>
        <w:trPr/>
        <w:tc>
          <w:tcPr>
            <w:tcW w:w="575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13"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513"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95"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479"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left"/>
              <w:rPr/>
            </w:pPr>
            <w:r>
              <w:rPr/>
              <w:t> </w:t>
            </w:r>
          </w:p>
        </w:tc>
      </w:tr>
      <w:tr>
        <w:trPr/>
        <w:tc>
          <w:tcPr>
            <w:tcW w:w="57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Foreign exchange contracts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13"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513"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95"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479"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firstLine="245"/>
              <w:jc w:val="left"/>
              <w:rPr/>
            </w:pPr>
            <w:r>
              <w:rPr/>
              <w:t> </w:t>
            </w:r>
          </w:p>
        </w:tc>
      </w:tr>
      <w:tr>
        <w:trPr/>
        <w:tc>
          <w:tcPr>
            <w:tcW w:w="5751"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Derivatives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513"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182"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1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495"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170" w:type="dxa"/>
            <w:tcBorders/>
            <w:shd w:fill="auto" w:val="cle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7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49</w:t>
            </w:r>
          </w:p>
        </w:tc>
        <w:tc>
          <w:tcPr>
            <w:tcW w:w="466" w:type="dxa"/>
            <w:tcBorders/>
            <w:shd w:fill="auto" w:val="clear"/>
            <w:vAlign w:val="center"/>
          </w:tcPr>
          <w:p>
            <w:pPr>
              <w:pStyle w:val="TableContents"/>
              <w:spacing w:before="0" w:after="0"/>
              <w:ind w:left="0" w:right="0" w:firstLine="245"/>
              <w:jc w:val="right"/>
              <w:rPr/>
            </w:pPr>
            <w:r>
              <w:rPr/>
              <w:t> </w:t>
            </w:r>
          </w:p>
        </w:tc>
      </w:tr>
      <w:tr>
        <w:trPr/>
        <w:tc>
          <w:tcPr>
            <w:tcW w:w="5751"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Hedged items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13"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182"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51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95"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170" w:type="dxa"/>
            <w:tcBorders/>
            <w:shd w:fill="auto" w:val="cle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47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(50</w:t>
            </w:r>
          </w:p>
        </w:tc>
        <w:tc>
          <w:tcPr>
            <w:tcW w:w="466" w:type="dxa"/>
            <w:tcBorders/>
            <w:shd w:fill="auto" w:val="clear"/>
            <w:vAlign w:val="center"/>
          </w:tcPr>
          <w:p>
            <w:pPr>
              <w:pStyle w:val="TableContents"/>
              <w:spacing w:before="0" w:after="0"/>
              <w:ind w:left="0" w:right="0" w:firstLine="245"/>
              <w:jc w:val="left"/>
              <w:rPr>
                <w:rFonts w:ascii="Arial;sans-serif" w:hAnsi="Arial;sans-serif"/>
                <w:b w:val="false"/>
                <w:sz w:val="20"/>
              </w:rPr>
            </w:pPr>
            <w:r>
              <w:rPr>
                <w:rFonts w:ascii="Arial;sans-serif" w:hAnsi="Arial;sans-serif"/>
                <w:b w:val="false"/>
                <w:sz w:val="20"/>
              </w:rPr>
              <w:t>)</w:t>
            </w:r>
          </w:p>
        </w:tc>
      </w:tr>
      <w:tr>
        <w:trPr/>
        <w:tc>
          <w:tcPr>
            <w:tcW w:w="5751"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Excluded from effectiveness assessment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13"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182"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51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95"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170" w:type="dxa"/>
            <w:tcBorders/>
            <w:shd w:fill="auto" w:val="cle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47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w:t>
            </w:r>
          </w:p>
        </w:tc>
        <w:tc>
          <w:tcPr>
            <w:tcW w:w="466" w:type="dxa"/>
            <w:tcBorders/>
            <w:shd w:fill="auto" w:val="clear"/>
            <w:vAlign w:val="center"/>
          </w:tcPr>
          <w:p>
            <w:pPr>
              <w:pStyle w:val="TableContents"/>
              <w:spacing w:before="0" w:after="0"/>
              <w:ind w:left="0" w:right="0" w:hanging="0"/>
              <w:jc w:val="left"/>
              <w:rPr/>
            </w:pPr>
            <w:r>
              <w:rPr/>
              <w:t> </w:t>
            </w:r>
          </w:p>
        </w:tc>
      </w:tr>
      <w:tr>
        <w:trPr/>
        <w:tc>
          <w:tcPr>
            <w:tcW w:w="575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13"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513"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95"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479"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left"/>
              <w:rPr/>
            </w:pPr>
            <w:r>
              <w:rPr/>
              <w:t> </w:t>
            </w:r>
          </w:p>
        </w:tc>
      </w:tr>
      <w:tr>
        <w:trPr/>
        <w:tc>
          <w:tcPr>
            <w:tcW w:w="57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Interest rate contracts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13"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513"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95" w:type="dxa"/>
            <w:tcBorders/>
            <w:shd w:fill="auto" w:val="clear"/>
            <w:vAlign w:val="center"/>
          </w:tcPr>
          <w:p>
            <w:pPr>
              <w:pStyle w:val="TableContents"/>
              <w:spacing w:before="0" w:after="0"/>
              <w:ind w:left="0" w:right="0" w:hanging="0"/>
              <w:jc w:val="righ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479" w:type="dxa"/>
            <w:tcBorders/>
            <w:shd w:fill="auto" w:val="clear"/>
            <w:vAlign w:val="center"/>
          </w:tcPr>
          <w:p>
            <w:pPr>
              <w:pStyle w:val="TableContents"/>
              <w:spacing w:before="0" w:after="0"/>
              <w:ind w:left="0" w:right="0" w:hanging="0"/>
              <w:jc w:val="right"/>
              <w:rPr/>
            </w:pPr>
            <w:r>
              <w:rPr/>
              <w:t> </w:t>
            </w:r>
          </w:p>
        </w:tc>
        <w:tc>
          <w:tcPr>
            <w:tcW w:w="466" w:type="dxa"/>
            <w:tcBorders/>
            <w:shd w:fill="auto" w:val="clear"/>
            <w:vAlign w:val="center"/>
          </w:tcPr>
          <w:p>
            <w:pPr>
              <w:pStyle w:val="TableContents"/>
              <w:spacing w:before="0" w:after="0"/>
              <w:ind w:left="0" w:right="0" w:firstLine="245"/>
              <w:jc w:val="left"/>
              <w:rPr/>
            </w:pPr>
            <w:r>
              <w:rPr/>
              <w:t> </w:t>
            </w:r>
          </w:p>
        </w:tc>
      </w:tr>
      <w:tr>
        <w:trPr/>
        <w:tc>
          <w:tcPr>
            <w:tcW w:w="5751"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Derivatives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13"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w:t>
            </w:r>
          </w:p>
        </w:tc>
        <w:tc>
          <w:tcPr>
            <w:tcW w:w="182"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51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(57</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95"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(37</w:t>
            </w:r>
          </w:p>
        </w:tc>
        <w:tc>
          <w:tcPr>
            <w:tcW w:w="170"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9"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47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(71</w:t>
            </w:r>
          </w:p>
        </w:tc>
        <w:tc>
          <w:tcPr>
            <w:tcW w:w="466" w:type="dxa"/>
            <w:tcBorders/>
            <w:shd w:fill="auto" w:val="clear"/>
            <w:vAlign w:val="center"/>
          </w:tcPr>
          <w:p>
            <w:pPr>
              <w:pStyle w:val="TableContents"/>
              <w:spacing w:before="0" w:after="0"/>
              <w:ind w:left="0" w:right="0" w:firstLine="245"/>
              <w:jc w:val="left"/>
              <w:rPr>
                <w:rFonts w:ascii="Arial;sans-serif" w:hAnsi="Arial;sans-serif"/>
                <w:b w:val="false"/>
                <w:sz w:val="20"/>
              </w:rPr>
            </w:pPr>
            <w:r>
              <w:rPr>
                <w:rFonts w:ascii="Arial;sans-serif" w:hAnsi="Arial;sans-serif"/>
                <w:b w:val="false"/>
                <w:sz w:val="20"/>
              </w:rPr>
              <w:t>)</w:t>
            </w:r>
          </w:p>
        </w:tc>
      </w:tr>
      <w:tr>
        <w:trPr/>
        <w:tc>
          <w:tcPr>
            <w:tcW w:w="5751"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Hedged items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13"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(15</w:t>
            </w:r>
          </w:p>
        </w:tc>
        <w:tc>
          <w:tcPr>
            <w:tcW w:w="182"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51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95"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20</w:t>
            </w:r>
          </w:p>
        </w:tc>
        <w:tc>
          <w:tcPr>
            <w:tcW w:w="170" w:type="dxa"/>
            <w:tcBorders/>
            <w:shd w:fill="auto" w:val="cle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47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83</w:t>
            </w:r>
          </w:p>
        </w:tc>
        <w:tc>
          <w:tcPr>
            <w:tcW w:w="466" w:type="dxa"/>
            <w:tcBorders/>
            <w:shd w:fill="auto" w:val="clear"/>
            <w:vAlign w:val="center"/>
          </w:tcPr>
          <w:p>
            <w:pPr>
              <w:pStyle w:val="TableContents"/>
              <w:spacing w:before="0" w:after="0"/>
              <w:ind w:left="0" w:right="0" w:hanging="0"/>
              <w:jc w:val="left"/>
              <w:rPr/>
            </w:pPr>
            <w:r>
              <w:rPr/>
              <w:t> </w:t>
            </w:r>
          </w:p>
        </w:tc>
      </w:tr>
      <w:tr>
        <w:trPr/>
        <w:tc>
          <w:tcPr>
            <w:tcW w:w="575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13"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513"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95"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479"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left"/>
              <w:rPr/>
            </w:pPr>
            <w:r>
              <w:rPr/>
              <w:t> </w:t>
            </w:r>
          </w:p>
        </w:tc>
      </w:tr>
      <w:tr>
        <w:trPr/>
        <w:tc>
          <w:tcPr>
            <w:tcW w:w="5751"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Designated as Cash Flow Hedging Instruments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13"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513"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95" w:type="dxa"/>
            <w:tcBorders/>
            <w:shd w:fill="auto" w:val="clear"/>
            <w:vAlign w:val="center"/>
          </w:tcPr>
          <w:p>
            <w:pPr>
              <w:pStyle w:val="TableContents"/>
              <w:spacing w:before="0" w:after="0"/>
              <w:ind w:left="0" w:right="0" w:hanging="0"/>
              <w:jc w:val="righ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479" w:type="dxa"/>
            <w:tcBorders/>
            <w:shd w:fill="auto" w:val="clear"/>
            <w:vAlign w:val="center"/>
          </w:tcPr>
          <w:p>
            <w:pPr>
              <w:pStyle w:val="TableContents"/>
              <w:spacing w:before="0" w:after="0"/>
              <w:ind w:left="0" w:right="0" w:hanging="0"/>
              <w:jc w:val="right"/>
              <w:rPr/>
            </w:pPr>
            <w:r>
              <w:rPr/>
              <w:t> </w:t>
            </w:r>
          </w:p>
        </w:tc>
        <w:tc>
          <w:tcPr>
            <w:tcW w:w="466" w:type="dxa"/>
            <w:tcBorders/>
            <w:shd w:fill="auto" w:val="clear"/>
            <w:vAlign w:val="center"/>
          </w:tcPr>
          <w:p>
            <w:pPr>
              <w:pStyle w:val="TableContents"/>
              <w:spacing w:before="0" w:after="0"/>
              <w:ind w:left="0" w:right="0" w:hanging="0"/>
              <w:jc w:val="left"/>
              <w:rPr/>
            </w:pPr>
            <w:r>
              <w:rPr/>
              <w:t> </w:t>
            </w:r>
          </w:p>
        </w:tc>
      </w:tr>
      <w:tr>
        <w:trPr/>
        <w:tc>
          <w:tcPr>
            <w:tcW w:w="575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13"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513"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95"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479"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left"/>
              <w:rPr/>
            </w:pPr>
            <w:r>
              <w:rPr/>
              <w:t> </w:t>
            </w:r>
          </w:p>
        </w:tc>
      </w:tr>
      <w:tr>
        <w:trPr/>
        <w:tc>
          <w:tcPr>
            <w:tcW w:w="57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Foreign exchange contracts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13"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513"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95" w:type="dxa"/>
            <w:tcBorders/>
            <w:shd w:fill="auto" w:val="clear"/>
            <w:vAlign w:val="center"/>
          </w:tcPr>
          <w:p>
            <w:pPr>
              <w:pStyle w:val="TableContents"/>
              <w:spacing w:before="0" w:after="0"/>
              <w:ind w:left="0" w:right="0" w:hanging="0"/>
              <w:jc w:val="righ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479" w:type="dxa"/>
            <w:tcBorders/>
            <w:shd w:fill="auto" w:val="clear"/>
            <w:vAlign w:val="center"/>
          </w:tcPr>
          <w:p>
            <w:pPr>
              <w:pStyle w:val="TableContents"/>
              <w:spacing w:before="0" w:after="0"/>
              <w:ind w:left="0" w:right="0" w:hanging="0"/>
              <w:jc w:val="right"/>
              <w:rPr/>
            </w:pPr>
            <w:r>
              <w:rPr/>
              <w:t> </w:t>
            </w:r>
          </w:p>
        </w:tc>
        <w:tc>
          <w:tcPr>
            <w:tcW w:w="466" w:type="dxa"/>
            <w:tcBorders/>
            <w:shd w:fill="auto" w:val="clear"/>
            <w:vAlign w:val="center"/>
          </w:tcPr>
          <w:p>
            <w:pPr>
              <w:pStyle w:val="TableContents"/>
              <w:spacing w:before="0" w:after="0"/>
              <w:ind w:left="0" w:right="0" w:firstLine="245"/>
              <w:jc w:val="left"/>
              <w:rPr/>
            </w:pPr>
            <w:r>
              <w:rPr/>
              <w:t> </w:t>
            </w:r>
          </w:p>
        </w:tc>
      </w:tr>
      <w:tr>
        <w:trPr/>
        <w:tc>
          <w:tcPr>
            <w:tcW w:w="5751"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Amount reclassified from accumulated other comprehensive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13"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18</w:t>
            </w:r>
          </w:p>
        </w:tc>
        <w:tc>
          <w:tcPr>
            <w:tcW w:w="182"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51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95"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62</w:t>
            </w:r>
          </w:p>
        </w:tc>
        <w:tc>
          <w:tcPr>
            <w:tcW w:w="170" w:type="dxa"/>
            <w:tcBorders/>
            <w:shd w:fill="auto" w:val="cle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47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(44</w:t>
            </w:r>
          </w:p>
        </w:tc>
        <w:tc>
          <w:tcPr>
            <w:tcW w:w="4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75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13"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513"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95"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479"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left"/>
              <w:rPr/>
            </w:pPr>
            <w:r>
              <w:rPr/>
              <w:t> </w:t>
            </w:r>
          </w:p>
        </w:tc>
      </w:tr>
      <w:tr>
        <w:trPr/>
        <w:tc>
          <w:tcPr>
            <w:tcW w:w="5751"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Not Designated as Hedging Instruments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13"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513"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95" w:type="dxa"/>
            <w:tcBorders/>
            <w:shd w:fill="auto" w:val="clear"/>
            <w:vAlign w:val="center"/>
          </w:tcPr>
          <w:p>
            <w:pPr>
              <w:pStyle w:val="TableContents"/>
              <w:spacing w:before="0" w:after="0"/>
              <w:ind w:left="0" w:right="0" w:hanging="0"/>
              <w:jc w:val="righ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479" w:type="dxa"/>
            <w:tcBorders/>
            <w:shd w:fill="auto" w:val="clear"/>
            <w:vAlign w:val="center"/>
          </w:tcPr>
          <w:p>
            <w:pPr>
              <w:pStyle w:val="TableContents"/>
              <w:spacing w:before="0" w:after="0"/>
              <w:ind w:left="0" w:right="0" w:hanging="0"/>
              <w:jc w:val="right"/>
              <w:rPr/>
            </w:pPr>
            <w:r>
              <w:rPr/>
              <w:t> </w:t>
            </w:r>
          </w:p>
        </w:tc>
        <w:tc>
          <w:tcPr>
            <w:tcW w:w="466" w:type="dxa"/>
            <w:tcBorders/>
            <w:shd w:fill="auto" w:val="clear"/>
            <w:vAlign w:val="center"/>
          </w:tcPr>
          <w:p>
            <w:pPr>
              <w:pStyle w:val="TableContents"/>
              <w:spacing w:before="0" w:after="0"/>
              <w:ind w:left="0" w:right="0" w:hanging="0"/>
              <w:jc w:val="left"/>
              <w:rPr/>
            </w:pPr>
            <w:r>
              <w:rPr/>
              <w:t> </w:t>
            </w:r>
          </w:p>
        </w:tc>
      </w:tr>
      <w:tr>
        <w:trPr/>
        <w:tc>
          <w:tcPr>
            <w:tcW w:w="575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13"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513"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95"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479"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left"/>
              <w:rPr/>
            </w:pPr>
            <w:r>
              <w:rPr/>
              <w:t> </w:t>
            </w:r>
          </w:p>
        </w:tc>
      </w:tr>
      <w:tr>
        <w:trPr/>
        <w:tc>
          <w:tcPr>
            <w:tcW w:w="57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Foreign exchange contracts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13"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(10</w:t>
            </w:r>
          </w:p>
        </w:tc>
        <w:tc>
          <w:tcPr>
            <w:tcW w:w="182"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51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95"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(20</w:t>
            </w:r>
          </w:p>
        </w:tc>
        <w:tc>
          <w:tcPr>
            <w:tcW w:w="170"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9"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47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308</w:t>
            </w:r>
          </w:p>
        </w:tc>
        <w:tc>
          <w:tcPr>
            <w:tcW w:w="466" w:type="dxa"/>
            <w:tcBorders/>
            <w:shd w:fill="auto" w:val="clear"/>
            <w:vAlign w:val="center"/>
          </w:tcPr>
          <w:p>
            <w:pPr>
              <w:pStyle w:val="TableContents"/>
              <w:spacing w:before="0" w:after="0"/>
              <w:ind w:left="0" w:right="0" w:hanging="0"/>
              <w:jc w:val="left"/>
              <w:rPr/>
            </w:pPr>
            <w:r>
              <w:rPr/>
              <w:t> </w:t>
            </w:r>
          </w:p>
        </w:tc>
      </w:tr>
      <w:tr>
        <w:trPr/>
        <w:tc>
          <w:tcPr>
            <w:tcW w:w="57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Other contracts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13"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(60</w:t>
            </w:r>
          </w:p>
        </w:tc>
        <w:tc>
          <w:tcPr>
            <w:tcW w:w="182"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51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(29</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95"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(264</w:t>
            </w:r>
          </w:p>
        </w:tc>
        <w:tc>
          <w:tcPr>
            <w:tcW w:w="170"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9"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47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(41</w:t>
            </w:r>
          </w:p>
        </w:tc>
        <w:tc>
          <w:tcPr>
            <w:tcW w:w="4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75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both"/>
        <w:rPr>
          <w:rFonts w:ascii="Arial;sans-serif" w:hAnsi="Arial;sans-serif"/>
          <w:b w:val="false"/>
          <w:sz w:val="20"/>
        </w:rPr>
      </w:pPr>
      <w:r>
        <w:rPr>
          <w:rFonts w:ascii="Arial;sans-serif" w:hAnsi="Arial;sans-serif"/>
          <w:b w:val="false"/>
          <w:sz w:val="20"/>
        </w:rPr>
        <w:t>Gains (losses), net of tax, on derivative instruments recognized in our consolidated comprehensive income statements were as follows:</w:t>
      </w:r>
    </w:p>
    <w:p>
      <w:pPr>
        <w:pStyle w:val="TextBody"/>
        <w:spacing w:before="0" w:after="0"/>
        <w:jc w:val="left"/>
        <w:rPr/>
      </w:pPr>
      <w:r>
        <w:rPr/>
        <w:t> </w:t>
      </w:r>
    </w:p>
    <w:tbl>
      <w:tblPr>
        <w:tblW w:w="7764" w:type="dxa"/>
        <w:jc w:val="left"/>
        <w:tblInd w:w="0" w:type="dxa"/>
        <w:tblCellMar>
          <w:top w:w="28" w:type="dxa"/>
          <w:left w:w="28" w:type="dxa"/>
          <w:bottom w:w="28" w:type="dxa"/>
          <w:right w:w="28" w:type="dxa"/>
        </w:tblCellMar>
      </w:tblPr>
      <w:tblGrid>
        <w:gridCol w:w="3541"/>
        <w:gridCol w:w="146"/>
        <w:gridCol w:w="283"/>
        <w:gridCol w:w="283"/>
        <w:gridCol w:w="196"/>
        <w:gridCol w:w="196"/>
        <w:gridCol w:w="283"/>
        <w:gridCol w:w="363"/>
        <w:gridCol w:w="166"/>
        <w:gridCol w:w="146"/>
        <w:gridCol w:w="211"/>
        <w:gridCol w:w="492"/>
        <w:gridCol w:w="154"/>
        <w:gridCol w:w="154"/>
        <w:gridCol w:w="222"/>
        <w:gridCol w:w="492"/>
        <w:gridCol w:w="436"/>
      </w:tblGrid>
      <w:tr>
        <w:trPr/>
        <w:tc>
          <w:tcPr>
            <w:tcW w:w="35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r>
      <w:tr>
        <w:trPr/>
        <w:tc>
          <w:tcPr>
            <w:tcW w:w="3541"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(In millions)</w:t>
            </w:r>
          </w:p>
        </w:tc>
        <w:tc>
          <w:tcPr>
            <w:tcW w:w="146" w:type="dxa"/>
            <w:tcBorders/>
            <w:shd w:fill="auto" w:val="clear"/>
            <w:vAlign w:val="center"/>
          </w:tcPr>
          <w:p>
            <w:pPr>
              <w:pStyle w:val="TableContents"/>
              <w:spacing w:before="0" w:after="0"/>
              <w:ind w:left="0" w:right="0" w:hanging="0"/>
              <w:jc w:val="left"/>
              <w:rPr/>
            </w:pPr>
            <w:r>
              <w:rPr/>
              <w:t> </w:t>
            </w:r>
          </w:p>
        </w:tc>
        <w:tc>
          <w:tcPr>
            <w:tcW w:w="1604" w:type="dxa"/>
            <w:gridSpan w:val="6"/>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Three Months Ended</w:t>
            </w:r>
          </w:p>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514" w:type="dxa"/>
            <w:gridSpan w:val="5"/>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Nine Months Ended</w:t>
            </w:r>
          </w:p>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tc>
        <w:tc>
          <w:tcPr>
            <w:tcW w:w="436" w:type="dxa"/>
            <w:tcBorders/>
            <w:shd w:fill="auto" w:val="clear"/>
            <w:vAlign w:val="center"/>
          </w:tcPr>
          <w:p>
            <w:pPr>
              <w:pStyle w:val="TableContents"/>
              <w:spacing w:before="0" w:after="0"/>
              <w:ind w:left="0" w:right="0" w:hanging="0"/>
              <w:jc w:val="right"/>
              <w:rPr/>
            </w:pPr>
            <w:r>
              <w:rPr/>
              <w:t> </w:t>
            </w:r>
          </w:p>
        </w:tc>
      </w:tr>
      <w:tr>
        <w:trPr/>
        <w:tc>
          <w:tcPr>
            <w:tcW w:w="354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54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566" w:type="dxa"/>
            <w:gridSpan w:val="2"/>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4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92"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492"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35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6"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9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46"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92"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54" w:type="dxa"/>
            <w:tcBorders/>
            <w:shd w:fill="auto" w:val="clear"/>
            <w:vAlign w:val="center"/>
          </w:tcPr>
          <w:p>
            <w:pPr>
              <w:pStyle w:val="TableContents"/>
              <w:spacing w:before="0" w:after="0"/>
              <w:ind w:left="0" w:right="0" w:hanging="0"/>
              <w:jc w:val="right"/>
              <w:rPr/>
            </w:pPr>
            <w:r>
              <w:rPr/>
              <w:t> </w:t>
            </w:r>
          </w:p>
        </w:tc>
        <w:tc>
          <w:tcPr>
            <w:tcW w:w="154"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right"/>
              <w:rPr/>
            </w:pPr>
            <w:r>
              <w:rPr/>
              <w:t> </w:t>
            </w:r>
          </w:p>
        </w:tc>
        <w:tc>
          <w:tcPr>
            <w:tcW w:w="492"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436" w:type="dxa"/>
            <w:tcBorders/>
            <w:shd w:fill="auto" w:val="clear"/>
            <w:vAlign w:val="center"/>
          </w:tcPr>
          <w:p>
            <w:pPr>
              <w:pStyle w:val="TableContents"/>
              <w:spacing w:before="0" w:after="0"/>
              <w:ind w:left="0" w:right="0" w:hanging="0"/>
              <w:jc w:val="left"/>
              <w:rPr/>
            </w:pPr>
            <w:r>
              <w:rPr/>
              <w:t> </w:t>
            </w:r>
          </w:p>
        </w:tc>
      </w:tr>
      <w:tr>
        <w:trPr/>
        <w:tc>
          <w:tcPr>
            <w:tcW w:w="354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363"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92"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492"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3541"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Designated as Cash Flow Hedging Instruments</w:t>
            </w:r>
          </w:p>
        </w:tc>
        <w:tc>
          <w:tcPr>
            <w:tcW w:w="146" w:type="dxa"/>
            <w:tcBorders/>
            <w:shd w:fill="auto" w:val="clear"/>
            <w:vAlign w:val="center"/>
          </w:tcPr>
          <w:p>
            <w:pPr>
              <w:pStyle w:val="TableContents"/>
              <w:spacing w:before="0" w:after="0"/>
              <w:ind w:left="0" w:right="0" w:hanging="0"/>
              <w:jc w:val="lef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283"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363"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92"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492"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354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363"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92"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492"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354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Foreign exchange contracts</w:t>
            </w:r>
          </w:p>
        </w:tc>
        <w:tc>
          <w:tcPr>
            <w:tcW w:w="146" w:type="dxa"/>
            <w:tcBorders/>
            <w:shd w:fill="auto" w:val="clear"/>
            <w:vAlign w:val="center"/>
          </w:tcPr>
          <w:p>
            <w:pPr>
              <w:pStyle w:val="TableContents"/>
              <w:spacing w:before="0" w:after="0"/>
              <w:ind w:left="0" w:right="0" w:hanging="0"/>
              <w:jc w:val="left"/>
              <w:rPr/>
            </w:pPr>
            <w:r>
              <w:rPr/>
              <w:t> </w:t>
            </w:r>
          </w:p>
        </w:tc>
        <w:tc>
          <w:tcPr>
            <w:tcW w:w="283" w:type="dxa"/>
            <w:tcBorders/>
            <w:shd w:fill="auto" w:val="clear"/>
            <w:vAlign w:val="center"/>
          </w:tcPr>
          <w:p>
            <w:pPr>
              <w:pStyle w:val="TableContents"/>
              <w:spacing w:before="0" w:after="283"/>
              <w:ind w:left="0" w:right="0" w:hanging="0"/>
              <w:rPr>
                <w:sz w:val="4"/>
                <w:szCs w:val="4"/>
              </w:rPr>
            </w:pPr>
            <w:r>
              <w:rPr>
                <w:sz w:val="4"/>
                <w:szCs w:val="4"/>
              </w:rPr>
            </w:r>
          </w:p>
        </w:tc>
        <w:tc>
          <w:tcPr>
            <w:tcW w:w="283"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363"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92"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492"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firstLine="245"/>
              <w:jc w:val="left"/>
              <w:rPr/>
            </w:pPr>
            <w:r>
              <w:rPr/>
              <w:t> </w:t>
            </w:r>
          </w:p>
        </w:tc>
      </w:tr>
      <w:tr>
        <w:trPr/>
        <w:tc>
          <w:tcPr>
            <w:tcW w:w="3541"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Included in effectiveness assessment</w:t>
            </w:r>
          </w:p>
        </w:tc>
        <w:tc>
          <w:tcPr>
            <w:tcW w:w="146" w:type="dxa"/>
            <w:tcBorders/>
            <w:shd w:fill="auto" w:val="clear"/>
            <w:vAlign w:val="center"/>
          </w:tcPr>
          <w:p>
            <w:pPr>
              <w:pStyle w:val="TableContents"/>
              <w:spacing w:before="0" w:after="0"/>
              <w:ind w:left="0" w:right="0" w:hanging="0"/>
              <w:jc w:val="left"/>
              <w:rPr/>
            </w:pPr>
            <w:r>
              <w:rPr/>
              <w:t> </w:t>
            </w:r>
          </w:p>
        </w:tc>
        <w:tc>
          <w:tcPr>
            <w:tcW w:w="283"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283"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w:t>
            </w:r>
          </w:p>
        </w:tc>
        <w:tc>
          <w:tcPr>
            <w:tcW w:w="19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283"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36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492"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14</w:t>
            </w:r>
          </w:p>
        </w:tc>
        <w:tc>
          <w:tcPr>
            <w:tcW w:w="154"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9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(27</w:t>
            </w:r>
          </w:p>
        </w:tc>
        <w:tc>
          <w:tcPr>
            <w:tcW w:w="4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54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both"/>
        <w:rPr/>
      </w:pPr>
      <w:r>
        <w:rPr/>
        <w:t> </w:t>
      </w:r>
    </w:p>
    <w:p>
      <w:pPr>
        <w:pStyle w:val="TextBody"/>
        <w:spacing w:before="90" w:after="0"/>
        <w:jc w:val="center"/>
        <w:rPr>
          <w:rFonts w:ascii="Times New Roman" w:hAnsi="Times New Roman"/>
          <w:sz w:val="20"/>
        </w:rPr>
      </w:pPr>
      <w:r>
        <w:rPr>
          <w:rFonts w:ascii="Arial;sans-serif" w:hAnsi="Arial;sans-serif"/>
          <w:b w:val="false"/>
          <w:sz w:val="20"/>
          <w:u w:val="single"/>
        </w:rPr>
        <w:t xml:space="preserve">NOTE 6 </w:t>
      </w:r>
      <w:r>
        <w:rPr>
          <w:rFonts w:ascii="Times New Roman" w:hAnsi="Times New Roman"/>
          <w:caps/>
          <w:sz w:val="20"/>
          <w:u w:val="single"/>
        </w:rPr>
        <w:t>—</w:t>
      </w:r>
      <w:r>
        <w:rPr>
          <w:rFonts w:ascii="Times New Roman" w:hAnsi="Times New Roman"/>
          <w:sz w:val="20"/>
          <w:u w:val="single"/>
        </w:rPr>
        <w:t xml:space="preserve"> </w:t>
      </w:r>
      <w:r>
        <w:rPr>
          <w:rFonts w:ascii="Arial;sans-serif" w:hAnsi="Arial;sans-serif"/>
          <w:b w:val="false"/>
          <w:sz w:val="20"/>
          <w:u w:val="single"/>
        </w:rPr>
        <w:t>INVENTORIES</w:t>
      </w:r>
    </w:p>
    <w:p>
      <w:pPr>
        <w:pStyle w:val="TextBody"/>
        <w:spacing w:before="180" w:after="0"/>
        <w:jc w:val="both"/>
        <w:rPr>
          <w:rFonts w:ascii="Arial;sans-serif" w:hAnsi="Arial;sans-serif"/>
          <w:b w:val="false"/>
          <w:sz w:val="20"/>
        </w:rPr>
      </w:pPr>
      <w:r>
        <w:rPr>
          <w:rFonts w:ascii="Arial;sans-serif" w:hAnsi="Arial;sans-serif"/>
          <w:b w:val="false"/>
          <w:sz w:val="20"/>
        </w:rPr>
        <w:t>The components of inventories were as follows:</w:t>
      </w:r>
    </w:p>
    <w:p>
      <w:pPr>
        <w:pStyle w:val="TextBody"/>
        <w:spacing w:before="0" w:after="0"/>
        <w:jc w:val="both"/>
        <w:rPr/>
      </w:pPr>
      <w:r>
        <w:rPr/>
        <w:t> </w:t>
      </w:r>
    </w:p>
    <w:tbl>
      <w:tblPr>
        <w:tblW w:w="4027" w:type="dxa"/>
        <w:jc w:val="left"/>
        <w:tblInd w:w="0" w:type="dxa"/>
        <w:tblCellMar>
          <w:top w:w="28" w:type="dxa"/>
          <w:left w:w="28" w:type="dxa"/>
          <w:bottom w:w="28" w:type="dxa"/>
          <w:right w:w="28" w:type="dxa"/>
        </w:tblCellMar>
      </w:tblPr>
      <w:tblGrid>
        <w:gridCol w:w="1531"/>
        <w:gridCol w:w="146"/>
        <w:gridCol w:w="218"/>
        <w:gridCol w:w="607"/>
        <w:gridCol w:w="146"/>
        <w:gridCol w:w="146"/>
        <w:gridCol w:w="211"/>
        <w:gridCol w:w="586"/>
        <w:gridCol w:w="436"/>
      </w:tblGrid>
      <w:tr>
        <w:trPr/>
        <w:tc>
          <w:tcPr>
            <w:tcW w:w="153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8" w:type="dxa"/>
            <w:tcBorders/>
            <w:shd w:fill="FFFFFF" w:val="clear"/>
            <w:vAlign w:val="center"/>
          </w:tcPr>
          <w:p>
            <w:pPr>
              <w:pStyle w:val="TableContents"/>
              <w:spacing w:before="0" w:after="283"/>
              <w:rPr>
                <w:sz w:val="4"/>
                <w:szCs w:val="4"/>
              </w:rPr>
            </w:pPr>
            <w:r>
              <w:rPr>
                <w:sz w:val="4"/>
                <w:szCs w:val="4"/>
              </w:rPr>
            </w:r>
          </w:p>
        </w:tc>
        <w:tc>
          <w:tcPr>
            <w:tcW w:w="607"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586" w:type="dxa"/>
            <w:tcBorders/>
            <w:shd w:fill="FFFFFF" w:val="clear"/>
            <w:vAlign w:val="center"/>
          </w:tcPr>
          <w:p>
            <w:pPr>
              <w:pStyle w:val="TableContents"/>
              <w:spacing w:before="0" w:after="283"/>
              <w:rPr>
                <w:sz w:val="4"/>
                <w:szCs w:val="4"/>
              </w:rPr>
            </w:pPr>
            <w:r>
              <w:rPr>
                <w:sz w:val="4"/>
                <w:szCs w:val="4"/>
              </w:rPr>
            </w:r>
          </w:p>
        </w:tc>
        <w:tc>
          <w:tcPr>
            <w:tcW w:w="436" w:type="dxa"/>
            <w:tcBorders/>
            <w:shd w:fill="FFFFFF" w:val="clear"/>
            <w:vAlign w:val="center"/>
          </w:tcPr>
          <w:p>
            <w:pPr>
              <w:pStyle w:val="TableContents"/>
              <w:spacing w:before="0" w:after="283"/>
              <w:rPr>
                <w:sz w:val="4"/>
                <w:szCs w:val="4"/>
              </w:rPr>
            </w:pPr>
            <w:r>
              <w:rPr>
                <w:sz w:val="4"/>
                <w:szCs w:val="4"/>
              </w:rPr>
            </w:r>
          </w:p>
        </w:tc>
      </w:tr>
      <w:tr>
        <w:trPr/>
        <w:tc>
          <w:tcPr>
            <w:tcW w:w="1531"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(In millions)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825" w:type="dxa"/>
            <w:gridSpan w:val="2"/>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97" w:type="dxa"/>
            <w:gridSpan w:val="2"/>
            <w:tcBorders/>
            <w:shd w:fill="auto" w:val="clear"/>
            <w:vAlign w:val="center"/>
          </w:tcPr>
          <w:p>
            <w:pPr>
              <w:pStyle w:val="TableContents"/>
              <w:spacing w:before="0" w:after="283"/>
              <w:ind w:left="0" w:right="0" w:hanging="0"/>
              <w:rPr>
                <w:sz w:val="4"/>
                <w:szCs w:val="4"/>
              </w:rPr>
            </w:pPr>
            <w:r>
              <w:rPr>
                <w:sz w:val="4"/>
                <w:szCs w:val="4"/>
              </w:rPr>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153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5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82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7" w:type="dxa"/>
            <w:gridSpan w:val="2"/>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15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825"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p>
            <w:pPr>
              <w:pStyle w:val="TableContents"/>
              <w:spacing w:before="0" w:after="0"/>
              <w:ind w:left="0" w:right="0" w:hanging="0"/>
              <w:jc w:val="right"/>
              <w:rPr>
                <w:rFonts w:ascii="Times New Roman" w:hAnsi="Times New Roman"/>
                <w:sz w:val="15"/>
              </w:rPr>
            </w:pPr>
            <w:r>
              <w:rPr>
                <w:rFonts w:ascii="Arial;sans-serif" w:hAnsi="Arial;sans-serif"/>
                <w:b/>
                <w:sz w:val="15"/>
              </w:rPr>
              <w:t>2023</w:t>
            </w:r>
            <w:r>
              <w:rPr>
                <w:rFonts w:ascii="Times New Roman" w:hAnsi="Times New Roman"/>
                <w:sz w:val="15"/>
              </w:rPr>
              <w:t xml:space="preserve">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97"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June 30,</w:t>
            </w:r>
          </w:p>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1531" w:type="dxa"/>
            <w:tcBorders/>
            <w:shd w:fill="auto" w:val="clear"/>
            <w:vAlign w:val="center"/>
          </w:tcPr>
          <w:p>
            <w:pPr>
              <w:pStyle w:val="TableContents"/>
              <w:spacing w:before="0" w:after="283"/>
              <w:ind w:left="0" w:right="0" w:hanging="0"/>
              <w:rPr>
                <w:sz w:val="4"/>
                <w:szCs w:val="4"/>
              </w:rPr>
            </w:pPr>
            <w:r>
              <w:rPr>
                <w:sz w:val="4"/>
                <w:szCs w:val="4"/>
              </w:rPr>
            </w:r>
          </w:p>
        </w:tc>
        <w:tc>
          <w:tcPr>
            <w:tcW w:w="1117" w:type="dxa"/>
            <w:gridSpan w:val="4"/>
            <w:tcBorders/>
            <w:shd w:fill="auto" w:val="clear"/>
            <w:vAlign w:val="center"/>
          </w:tcPr>
          <w:p>
            <w:pPr>
              <w:pStyle w:val="TableContents"/>
              <w:spacing w:before="0" w:after="0"/>
              <w:ind w:left="0" w:right="0" w:hanging="0"/>
              <w:jc w:val="left"/>
              <w:rPr/>
            </w:pPr>
            <w:r>
              <w:rPr/>
              <w:t> </w:t>
            </w:r>
          </w:p>
        </w:tc>
        <w:tc>
          <w:tcPr>
            <w:tcW w:w="1379" w:type="dxa"/>
            <w:gridSpan w:val="4"/>
            <w:tcBorders/>
            <w:shd w:fill="auto" w:val="clear"/>
            <w:vAlign w:val="center"/>
          </w:tcPr>
          <w:p>
            <w:pPr>
              <w:pStyle w:val="TableContents"/>
              <w:spacing w:before="0" w:after="0"/>
              <w:ind w:left="0" w:right="0" w:hanging="0"/>
              <w:jc w:val="left"/>
              <w:rPr/>
            </w:pPr>
            <w:r>
              <w:rPr/>
              <w:t> </w:t>
            </w:r>
          </w:p>
        </w:tc>
      </w:tr>
      <w:tr>
        <w:trPr/>
        <w:tc>
          <w:tcPr>
            <w:tcW w:w="15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Raw materials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8"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07"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1,055</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1,144</w:t>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15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Work in process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8" w:type="dxa"/>
            <w:tcBorders/>
            <w:shd w:fill="auto" w:val="clear"/>
            <w:vAlign w:val="center"/>
          </w:tcPr>
          <w:p>
            <w:pPr>
              <w:pStyle w:val="TableContents"/>
              <w:spacing w:before="0" w:after="283"/>
              <w:ind w:left="0" w:right="0" w:hanging="0"/>
              <w:rPr>
                <w:sz w:val="4"/>
                <w:szCs w:val="4"/>
              </w:rPr>
            </w:pPr>
            <w:r>
              <w:rPr>
                <w:sz w:val="4"/>
                <w:szCs w:val="4"/>
              </w:rPr>
            </w:r>
          </w:p>
        </w:tc>
        <w:tc>
          <w:tcPr>
            <w:tcW w:w="607"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35</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82</w:t>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15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Finished goods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8" w:type="dxa"/>
            <w:tcBorders/>
            <w:shd w:fill="auto" w:val="clear"/>
            <w:vAlign w:val="center"/>
          </w:tcPr>
          <w:p>
            <w:pPr>
              <w:pStyle w:val="TableContents"/>
              <w:spacing w:before="0" w:after="283"/>
              <w:ind w:left="0" w:right="0" w:hanging="0"/>
              <w:rPr>
                <w:sz w:val="4"/>
                <w:szCs w:val="4"/>
              </w:rPr>
            </w:pPr>
            <w:r>
              <w:rPr>
                <w:sz w:val="4"/>
                <w:szCs w:val="4"/>
              </w:rPr>
            </w:r>
          </w:p>
        </w:tc>
        <w:tc>
          <w:tcPr>
            <w:tcW w:w="607"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1,787</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2,516</w:t>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153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5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07"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 </w:t>
            </w:r>
          </w:p>
        </w:tc>
        <w:tc>
          <w:tcPr>
            <w:tcW w:w="436" w:type="dxa"/>
            <w:tcBorders/>
            <w:shd w:fill="auto" w:val="clear"/>
            <w:vAlign w:val="center"/>
          </w:tcPr>
          <w:p>
            <w:pPr>
              <w:pStyle w:val="TableContents"/>
              <w:spacing w:before="0" w:after="0"/>
              <w:ind w:left="0" w:right="0" w:firstLine="245"/>
              <w:jc w:val="left"/>
              <w:rPr/>
            </w:pPr>
            <w:r>
              <w:rPr/>
              <w:t> </w:t>
            </w:r>
          </w:p>
        </w:tc>
      </w:tr>
      <w:tr>
        <w:trPr/>
        <w:tc>
          <w:tcPr>
            <w:tcW w:w="1531"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Total</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8"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07"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2,877</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3,742</w:t>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15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8"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607"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586"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43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240" w:after="0"/>
        <w:jc w:val="center"/>
        <w:rPr>
          <w:rFonts w:ascii="Arial;sans-serif" w:hAnsi="Arial;sans-serif"/>
          <w:b w:val="false"/>
          <w:sz w:val="16"/>
        </w:rPr>
      </w:pPr>
      <w:r>
        <w:rPr>
          <w:rFonts w:ascii="Arial;sans-serif" w:hAnsi="Arial;sans-serif"/>
          <w:b w:val="false"/>
          <w:sz w:val="16"/>
        </w:rPr>
        <w:t>18</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w:t>
      </w:r>
    </w:p>
    <w:p>
      <w:pPr>
        <w:pStyle w:val="TextBody"/>
        <w:spacing w:before="0" w:after="0"/>
        <w:jc w:val="center"/>
        <w:rPr>
          <w:rFonts w:ascii="Arial;sans-serif" w:hAnsi="Arial;sans-serif"/>
          <w:b w:val="false"/>
          <w:sz w:val="15"/>
        </w:rPr>
      </w:pPr>
      <w:r>
        <w:rPr>
          <w:rFonts w:ascii="Arial;sans-serif" w:hAnsi="Arial;sans-serif"/>
          <w:b w:val="false"/>
          <w:sz w:val="15"/>
        </w:rPr>
        <w:t>Item 1</w:t>
      </w:r>
    </w:p>
    <w:p>
      <w:pPr>
        <w:pStyle w:val="TextBody"/>
        <w:spacing w:before="0" w:after="0"/>
        <w:jc w:val="left"/>
        <w:rPr/>
      </w:pPr>
      <w:r>
        <w:rPr/>
        <w:t> </w:t>
      </w:r>
    </w:p>
    <w:p>
      <w:pPr>
        <w:pStyle w:val="TextBody"/>
        <w:spacing w:before="90" w:after="0"/>
        <w:jc w:val="center"/>
        <w:rPr>
          <w:rFonts w:ascii="Arial;sans-serif" w:hAnsi="Arial;sans-serif"/>
          <w:b w:val="false"/>
          <w:sz w:val="20"/>
          <w:u w:val="single"/>
        </w:rPr>
      </w:pPr>
      <w:bookmarkStart w:id="10" w:name="note_7_business_combinations"/>
      <w:bookmarkEnd w:id="10"/>
      <w:r>
        <w:rPr>
          <w:rFonts w:ascii="Arial;sans-serif" w:hAnsi="Arial;sans-serif"/>
          <w:b w:val="false"/>
          <w:sz w:val="20"/>
          <w:u w:val="single"/>
        </w:rPr>
        <w:t>NOTE 7 — BUSINESS COMBINATIONS</w:t>
      </w:r>
    </w:p>
    <w:p>
      <w:pPr>
        <w:pStyle w:val="TextBody"/>
        <w:spacing w:before="180" w:after="0"/>
        <w:jc w:val="left"/>
        <w:rPr>
          <w:rFonts w:ascii="Arial;sans-serif" w:hAnsi="Arial;sans-serif"/>
          <w:b/>
          <w:sz w:val="20"/>
        </w:rPr>
      </w:pPr>
      <w:r>
        <w:rPr>
          <w:rFonts w:ascii="Arial;sans-serif" w:hAnsi="Arial;sans-serif"/>
          <w:b/>
          <w:sz w:val="20"/>
        </w:rPr>
        <w:t>Nuance Communications, Inc.</w:t>
      </w:r>
    </w:p>
    <w:p>
      <w:pPr>
        <w:pStyle w:val="TextBody"/>
        <w:spacing w:before="180" w:after="0"/>
        <w:jc w:val="both"/>
        <w:rPr>
          <w:rFonts w:ascii="Times New Roman" w:hAnsi="Times New Roman"/>
          <w:sz w:val="20"/>
        </w:rPr>
      </w:pPr>
      <w:r>
        <w:rPr>
          <w:rFonts w:ascii="Arial;sans-serif" w:hAnsi="Arial;sans-serif"/>
          <w:b w:val="false"/>
          <w:sz w:val="20"/>
        </w:rPr>
        <w:t>On March 4, 2022, we completed our acquisition of Nuance Communications, Inc. (“Nuance”) for a total purchase price of $18.8</w:t>
      </w:r>
      <w:r>
        <w:rPr>
          <w:rFonts w:ascii="Times New Roman" w:hAnsi="Times New Roman"/>
          <w:sz w:val="20"/>
        </w:rPr>
        <w:t xml:space="preserve"> </w:t>
      </w:r>
      <w:r>
        <w:rPr>
          <w:rFonts w:ascii="Arial;sans-serif" w:hAnsi="Arial;sans-serif"/>
          <w:b w:val="false"/>
          <w:sz w:val="20"/>
        </w:rPr>
        <w:t>billion, consisting primarily of cash. Nuance is a cloud and artificial intelligence (“AI”) software provider with healthcare and enterprise AI experience, and the acquisition will build on our industry-specific cloud offerings. The financial results of Nuance have been included in our consolidated financial statements since the date of the acquisition. Nuance is reported as part of our Intelligent Cloud segment.</w:t>
      </w:r>
    </w:p>
    <w:p>
      <w:pPr>
        <w:pStyle w:val="TextBody"/>
        <w:spacing w:before="180" w:after="0"/>
        <w:jc w:val="both"/>
        <w:rPr>
          <w:rFonts w:ascii="Arial;sans-serif" w:hAnsi="Arial;sans-serif"/>
          <w:b w:val="false"/>
          <w:sz w:val="20"/>
        </w:rPr>
      </w:pPr>
      <w:r>
        <w:rPr>
          <w:rFonts w:ascii="Arial;sans-serif" w:hAnsi="Arial;sans-serif"/>
          <w:b w:val="false"/>
          <w:sz w:val="20"/>
        </w:rPr>
        <w:t>The allocation of the purchase price to goodwill was completed as of December 31, 2022. The major classes of assets and liabilities to which we have allocated the purchase price were as follows:</w:t>
      </w:r>
    </w:p>
    <w:p>
      <w:pPr>
        <w:pStyle w:val="TextBody"/>
        <w:spacing w:before="0" w:after="0"/>
        <w:jc w:val="left"/>
        <w:rPr/>
      </w:pPr>
      <w:r>
        <w:rPr/>
        <w:t> </w:t>
      </w:r>
    </w:p>
    <w:tbl>
      <w:tblPr>
        <w:tblW w:w="3303" w:type="dxa"/>
        <w:jc w:val="left"/>
        <w:tblInd w:w="0" w:type="dxa"/>
        <w:tblCellMar>
          <w:top w:w="28" w:type="dxa"/>
          <w:left w:w="28" w:type="dxa"/>
          <w:bottom w:w="28" w:type="dxa"/>
          <w:right w:w="28" w:type="dxa"/>
        </w:tblCellMar>
      </w:tblPr>
      <w:tblGrid>
        <w:gridCol w:w="449"/>
        <w:gridCol w:w="393"/>
        <w:gridCol w:w="393"/>
        <w:gridCol w:w="398"/>
        <w:gridCol w:w="146"/>
        <w:gridCol w:w="146"/>
        <w:gridCol w:w="256"/>
        <w:gridCol w:w="691"/>
        <w:gridCol w:w="431"/>
      </w:tblGrid>
      <w:tr>
        <w:trPr/>
        <w:tc>
          <w:tcPr>
            <w:tcW w:w="449"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r>
      <w:tr>
        <w:trPr/>
        <w:tc>
          <w:tcPr>
            <w:tcW w:w="1633" w:type="dxa"/>
            <w:gridSpan w:val="4"/>
            <w:tcBorders/>
            <w:shd w:fill="auto" w:val="clear"/>
            <w:vAlign w:val="center"/>
          </w:tcPr>
          <w:p>
            <w:pPr>
              <w:pStyle w:val="TableContents"/>
              <w:spacing w:before="0" w:after="0"/>
              <w:ind w:left="0" w:right="0" w:hanging="0"/>
              <w:jc w:val="left"/>
              <w:rPr>
                <w:rFonts w:ascii="Times New Roman" w:hAnsi="Times New Roman"/>
                <w:sz w:val="15"/>
              </w:rPr>
            </w:pPr>
            <w:r>
              <w:rPr>
                <w:rFonts w:ascii="Arial;sans-serif" w:hAnsi="Arial;sans-serif"/>
                <w:b/>
                <w:sz w:val="15"/>
              </w:rPr>
              <w:t>(In millions)</w:t>
            </w:r>
            <w:r>
              <w:rPr>
                <w:rFonts w:ascii="Times New Roman" w:hAnsi="Times New Roman"/>
                <w:sz w:val="15"/>
              </w:rPr>
              <w:t xml:space="preserve">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before="0" w:after="15"/>
              <w:ind w:left="0" w:right="0" w:hanging="0"/>
              <w:jc w:val="right"/>
              <w:rPr/>
            </w:pPr>
            <w:r>
              <w:rPr/>
              <w:t> </w:t>
            </w:r>
          </w:p>
        </w:tc>
        <w:tc>
          <w:tcPr>
            <w:tcW w:w="431" w:type="dxa"/>
            <w:tcBorders/>
            <w:shd w:fill="auto" w:val="clear"/>
            <w:vAlign w:val="center"/>
          </w:tcPr>
          <w:p>
            <w:pPr>
              <w:pStyle w:val="TableContents"/>
              <w:spacing w:before="0" w:after="0"/>
              <w:ind w:left="0" w:right="0" w:hanging="0"/>
              <w:jc w:val="left"/>
              <w:rPr/>
            </w:pPr>
            <w:r>
              <w:rPr/>
              <w:t> </w:t>
            </w:r>
          </w:p>
        </w:tc>
      </w:tr>
      <w:tr>
        <w:trPr/>
        <w:tc>
          <w:tcPr>
            <w:tcW w:w="1633" w:type="dxa"/>
            <w:gridSpan w:val="4"/>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633" w:type="dxa"/>
            <w:gridSpan w:val="4"/>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431" w:type="dxa"/>
            <w:tcBorders/>
            <w:shd w:fill="auto" w:val="clear"/>
            <w:vAlign w:val="center"/>
          </w:tcPr>
          <w:p>
            <w:pPr>
              <w:pStyle w:val="TableContents"/>
              <w:spacing w:before="0" w:after="0"/>
              <w:ind w:left="0" w:right="0" w:hanging="0"/>
              <w:jc w:val="left"/>
              <w:rPr/>
            </w:pPr>
            <w:r>
              <w:rPr/>
              <w:t> </w:t>
            </w:r>
          </w:p>
        </w:tc>
      </w:tr>
      <w:tr>
        <w:trPr/>
        <w:tc>
          <w:tcPr>
            <w:tcW w:w="1633" w:type="dxa"/>
            <w:gridSpan w:val="4"/>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 xml:space="preserve">Goodwill </w:t>
            </w:r>
            <w:r>
              <w:rPr>
                <w:rFonts w:ascii="Arial;sans-serif" w:hAnsi="Arial;sans-serif"/>
                <w:b w:val="false"/>
                <w:sz w:val="13"/>
              </w:rPr>
              <w:t>(a)</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56"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w:t>
            </w:r>
            <w:r>
              <w:rPr>
                <w:rFonts w:ascii="Times New Roman" w:hAnsi="Times New Roman"/>
                <w:sz w:val="20"/>
              </w:rPr>
              <w:t xml:space="preserve">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16,326</w:t>
            </w:r>
          </w:p>
        </w:tc>
        <w:tc>
          <w:tcPr>
            <w:tcW w:w="431" w:type="dxa"/>
            <w:tcBorders/>
            <w:shd w:fill="auto" w:val="clear"/>
            <w:vAlign w:val="center"/>
          </w:tcPr>
          <w:p>
            <w:pPr>
              <w:pStyle w:val="TableContents"/>
              <w:spacing w:before="0" w:after="0"/>
              <w:ind w:left="0" w:right="0" w:hanging="0"/>
              <w:jc w:val="left"/>
              <w:rPr/>
            </w:pPr>
            <w:r>
              <w:rPr/>
              <w:t> </w:t>
            </w:r>
          </w:p>
        </w:tc>
      </w:tr>
      <w:tr>
        <w:trPr/>
        <w:tc>
          <w:tcPr>
            <w:tcW w:w="1633" w:type="dxa"/>
            <w:gridSpan w:val="4"/>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Intangible assets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4,365</w:t>
            </w:r>
          </w:p>
        </w:tc>
        <w:tc>
          <w:tcPr>
            <w:tcW w:w="431" w:type="dxa"/>
            <w:tcBorders/>
            <w:shd w:fill="auto" w:val="clear"/>
            <w:vAlign w:val="center"/>
          </w:tcPr>
          <w:p>
            <w:pPr>
              <w:pStyle w:val="TableContents"/>
              <w:spacing w:before="0" w:after="0"/>
              <w:ind w:left="0" w:right="0" w:hanging="0"/>
              <w:jc w:val="left"/>
              <w:rPr/>
            </w:pPr>
            <w:r>
              <w:rPr/>
              <w:t> </w:t>
            </w:r>
          </w:p>
        </w:tc>
      </w:tr>
      <w:tr>
        <w:trPr/>
        <w:tc>
          <w:tcPr>
            <w:tcW w:w="1633" w:type="dxa"/>
            <w:gridSpan w:val="4"/>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Other assets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42</w:t>
            </w:r>
          </w:p>
        </w:tc>
        <w:tc>
          <w:tcPr>
            <w:tcW w:w="431" w:type="dxa"/>
            <w:tcBorders/>
            <w:shd w:fill="auto" w:val="clear"/>
            <w:vAlign w:val="center"/>
          </w:tcPr>
          <w:p>
            <w:pPr>
              <w:pStyle w:val="TableContents"/>
              <w:spacing w:before="0" w:after="0"/>
              <w:ind w:left="0" w:right="0" w:hanging="0"/>
              <w:jc w:val="left"/>
              <w:rPr/>
            </w:pPr>
            <w:r>
              <w:rPr/>
              <w:t> </w:t>
            </w:r>
          </w:p>
        </w:tc>
      </w:tr>
      <w:tr>
        <w:trPr/>
        <w:tc>
          <w:tcPr>
            <w:tcW w:w="1633" w:type="dxa"/>
            <w:gridSpan w:val="4"/>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 xml:space="preserve">Other liabilities </w:t>
            </w:r>
            <w:r>
              <w:rPr>
                <w:rFonts w:ascii="Arial;sans-serif" w:hAnsi="Arial;sans-serif"/>
                <w:b w:val="false"/>
                <w:sz w:val="13"/>
              </w:rPr>
              <w:t>(b)</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5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(1,972</w:t>
            </w:r>
          </w:p>
        </w:tc>
        <w:tc>
          <w:tcPr>
            <w:tcW w:w="4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1633" w:type="dxa"/>
            <w:gridSpan w:val="4"/>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4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633" w:type="dxa"/>
            <w:gridSpan w:val="4"/>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431" w:type="dxa"/>
            <w:tcBorders/>
            <w:shd w:fill="auto" w:val="clear"/>
            <w:vAlign w:val="center"/>
          </w:tcPr>
          <w:p>
            <w:pPr>
              <w:pStyle w:val="TableContents"/>
              <w:spacing w:before="0" w:after="0"/>
              <w:ind w:left="0" w:right="0" w:firstLine="240"/>
              <w:jc w:val="left"/>
              <w:rPr/>
            </w:pPr>
            <w:r>
              <w:rPr/>
              <w:t> </w:t>
            </w:r>
          </w:p>
        </w:tc>
      </w:tr>
      <w:tr>
        <w:trPr/>
        <w:tc>
          <w:tcPr>
            <w:tcW w:w="1633" w:type="dxa"/>
            <w:gridSpan w:val="4"/>
            <w:tcBorders/>
            <w:shd w:fill="auto" w:val="clear"/>
            <w:vAlign w:val="center"/>
          </w:tcPr>
          <w:p>
            <w:pPr>
              <w:pStyle w:val="TableContents"/>
              <w:spacing w:before="0" w:after="0"/>
              <w:ind w:left="240" w:right="0" w:hanging="0"/>
              <w:jc w:val="both"/>
              <w:rPr>
                <w:rFonts w:ascii="Times New Roman" w:hAnsi="Times New Roman"/>
                <w:sz w:val="20"/>
              </w:rPr>
            </w:pPr>
            <w:r>
              <w:rPr>
                <w:rFonts w:ascii="Arial;sans-serif" w:hAnsi="Arial;sans-serif"/>
                <w:b w:val="false"/>
                <w:sz w:val="20"/>
              </w:rPr>
              <w:t>Total</w:t>
            </w:r>
            <w:r>
              <w:rPr>
                <w:rFonts w:ascii="Times New Roman" w:hAnsi="Times New Roman"/>
                <w:sz w:val="20"/>
              </w:rPr>
              <w:t xml:space="preserve">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18,761</w:t>
            </w:r>
          </w:p>
        </w:tc>
        <w:tc>
          <w:tcPr>
            <w:tcW w:w="431" w:type="dxa"/>
            <w:tcBorders/>
            <w:shd w:fill="auto" w:val="clear"/>
            <w:vAlign w:val="center"/>
          </w:tcPr>
          <w:p>
            <w:pPr>
              <w:pStyle w:val="TableContents"/>
              <w:spacing w:before="0" w:after="0"/>
              <w:ind w:left="0" w:right="0" w:hanging="0"/>
              <w:jc w:val="left"/>
              <w:rPr/>
            </w:pPr>
            <w:r>
              <w:rPr/>
              <w:t> </w:t>
            </w:r>
          </w:p>
        </w:tc>
      </w:tr>
      <w:tr>
        <w:trPr/>
        <w:tc>
          <w:tcPr>
            <w:tcW w:w="449" w:type="dxa"/>
            <w:tcBorders/>
            <w:shd w:fill="auto" w:val="clear"/>
            <w:vAlign w:val="center"/>
          </w:tcPr>
          <w:p>
            <w:pPr>
              <w:pStyle w:val="TableContents"/>
              <w:spacing w:before="0" w:after="283"/>
              <w:ind w:left="0" w:right="0" w:hanging="0"/>
              <w:rPr>
                <w:sz w:val="4"/>
                <w:szCs w:val="4"/>
              </w:rPr>
            </w:pPr>
            <w:r>
              <w:rPr>
                <w:sz w:val="4"/>
                <w:szCs w:val="4"/>
              </w:rPr>
            </w:r>
          </w:p>
        </w:tc>
        <w:tc>
          <w:tcPr>
            <w:tcW w:w="393" w:type="dxa"/>
            <w:tcBorders/>
            <w:shd w:fill="auto" w:val="clear"/>
            <w:vAlign w:val="center"/>
          </w:tcPr>
          <w:p>
            <w:pPr>
              <w:pStyle w:val="TableContents"/>
              <w:spacing w:before="0" w:after="283"/>
              <w:ind w:left="0" w:right="0" w:hanging="0"/>
              <w:rPr>
                <w:sz w:val="4"/>
                <w:szCs w:val="4"/>
              </w:rPr>
            </w:pPr>
            <w:r>
              <w:rPr>
                <w:sz w:val="4"/>
                <w:szCs w:val="4"/>
              </w:rPr>
            </w:r>
          </w:p>
        </w:tc>
        <w:tc>
          <w:tcPr>
            <w:tcW w:w="393" w:type="dxa"/>
            <w:tcBorders/>
            <w:shd w:fill="auto" w:val="clear"/>
            <w:vAlign w:val="center"/>
          </w:tcPr>
          <w:p>
            <w:pPr>
              <w:pStyle w:val="TableContents"/>
              <w:spacing w:before="0" w:after="283"/>
              <w:ind w:left="0" w:right="0" w:hanging="0"/>
              <w:rPr>
                <w:sz w:val="4"/>
                <w:szCs w:val="4"/>
              </w:rPr>
            </w:pPr>
            <w:r>
              <w:rPr>
                <w:sz w:val="4"/>
                <w:szCs w:val="4"/>
              </w:rPr>
            </w:r>
          </w:p>
        </w:tc>
        <w:tc>
          <w:tcPr>
            <w:tcW w:w="398"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56"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43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Arial" w:hAnsi="Arial"/>
          <w:b w:val="false"/>
          <w:sz w:val="20"/>
        </w:rPr>
      </w:pPr>
      <w:r>
        <w:rPr>
          <w:rFonts w:ascii="Arial" w:hAnsi="Arial"/>
          <w:b w:val="false"/>
          <w:sz w:val="20"/>
        </w:rPr>
        <w:t>(a)</w:t>
      </w:r>
    </w:p>
    <w:p>
      <w:pPr>
        <w:pStyle w:val="TextBody"/>
        <w:spacing w:before="0" w:after="0"/>
        <w:jc w:val="both"/>
        <w:rPr>
          <w:rFonts w:ascii="Arial;sans-serif" w:hAnsi="Arial;sans-serif"/>
          <w:b w:val="false"/>
          <w:i/>
          <w:sz w:val="20"/>
        </w:rPr>
      </w:pPr>
      <w:r>
        <w:rPr>
          <w:rFonts w:ascii="Arial;sans-serif" w:hAnsi="Arial;sans-serif"/>
          <w:b w:val="false"/>
          <w:i/>
          <w:sz w:val="20"/>
        </w:rPr>
        <w:t>Goodwill was assigned to our Intelligent Cloud segment and was primarily attributed to increased synergies that are expected to be achieved from the integration of Nuance. None of the goodwill is expected to be deductible for income tax purposes.</w:t>
      </w:r>
    </w:p>
    <w:p>
      <w:pPr>
        <w:pStyle w:val="TextBody"/>
        <w:spacing w:before="0" w:after="0"/>
        <w:jc w:val="both"/>
        <w:rPr>
          <w:rFonts w:ascii="Arial" w:hAnsi="Arial"/>
          <w:b w:val="false"/>
          <w:sz w:val="20"/>
        </w:rPr>
      </w:pPr>
      <w:r>
        <w:rPr>
          <w:rFonts w:ascii="Arial" w:hAnsi="Arial"/>
          <w:b w:val="false"/>
          <w:sz w:val="20"/>
        </w:rPr>
        <w:t>(b)</w:t>
      </w:r>
    </w:p>
    <w:p>
      <w:pPr>
        <w:pStyle w:val="TextBody"/>
        <w:jc w:val="both"/>
        <w:rPr>
          <w:rFonts w:ascii="Arial;sans-serif" w:hAnsi="Arial;sans-serif"/>
          <w:sz w:val="20"/>
        </w:rPr>
      </w:pPr>
      <w:r>
        <w:rPr>
          <w:rFonts w:ascii="Arial;sans-serif" w:hAnsi="Arial;sans-serif"/>
          <w:b w:val="false"/>
          <w:i/>
          <w:sz w:val="20"/>
        </w:rPr>
        <w:t>Includes $986</w:t>
      </w:r>
      <w:r>
        <w:rPr>
          <w:rFonts w:ascii="Arial;sans-serif" w:hAnsi="Arial;sans-serif"/>
          <w:sz w:val="20"/>
        </w:rPr>
        <w:t xml:space="preserve"> </w:t>
      </w:r>
      <w:r>
        <w:rPr>
          <w:rFonts w:ascii="Arial;sans-serif" w:hAnsi="Arial;sans-serif"/>
          <w:b w:val="false"/>
          <w:i/>
          <w:sz w:val="20"/>
        </w:rPr>
        <w:t>million of convertible senior notes issued by Nuance in 2015 and 2017, substantially all of which have been</w:t>
      </w:r>
      <w:r>
        <w:rPr>
          <w:rFonts w:ascii="Arial;sans-serif" w:hAnsi="Arial;sans-serif"/>
          <w:sz w:val="20"/>
        </w:rPr>
        <w:t xml:space="preserve"> </w:t>
      </w:r>
      <w:r>
        <w:rPr>
          <w:rFonts w:ascii="Arial;sans-serif" w:hAnsi="Arial;sans-serif"/>
          <w:b w:val="false"/>
          <w:i/>
          <w:sz w:val="20"/>
        </w:rPr>
        <w:t>redeemed.</w:t>
      </w:r>
      <w:r>
        <w:rPr>
          <w:rFonts w:ascii="Arial;sans-serif" w:hAnsi="Arial;sans-serif"/>
          <w:sz w:val="20"/>
        </w:rPr>
        <w:t xml:space="preserve"> </w:t>
      </w:r>
    </w:p>
    <w:p>
      <w:pPr>
        <w:pStyle w:val="TextBody"/>
        <w:spacing w:before="0" w:after="0"/>
        <w:jc w:val="both"/>
        <w:rPr/>
      </w:pPr>
      <w:r>
        <w:rPr/>
        <w:t> </w:t>
      </w:r>
    </w:p>
    <w:p>
      <w:pPr>
        <w:pStyle w:val="TextBody"/>
        <w:spacing w:before="0" w:after="0"/>
        <w:jc w:val="both"/>
        <w:rPr>
          <w:rFonts w:ascii="Arial;sans-serif" w:hAnsi="Arial;sans-serif"/>
          <w:b w:val="false"/>
          <w:sz w:val="20"/>
        </w:rPr>
      </w:pPr>
      <w:r>
        <w:rPr>
          <w:rFonts w:ascii="Arial;sans-serif" w:hAnsi="Arial;sans-serif"/>
          <w:b w:val="false"/>
          <w:sz w:val="20"/>
        </w:rPr>
        <w:t>Following are the details of the purchase price allocated to the intangible assets acquired:</w:t>
      </w:r>
    </w:p>
    <w:p>
      <w:pPr>
        <w:pStyle w:val="TextBody"/>
        <w:spacing w:before="0" w:after="0"/>
        <w:jc w:val="both"/>
        <w:rPr/>
      </w:pPr>
      <w:r>
        <w:rPr/>
        <w:t> </w:t>
      </w:r>
    </w:p>
    <w:tbl>
      <w:tblPr>
        <w:tblW w:w="5286" w:type="dxa"/>
        <w:jc w:val="left"/>
        <w:tblInd w:w="0" w:type="dxa"/>
        <w:tblCellMar>
          <w:top w:w="28" w:type="dxa"/>
          <w:left w:w="28" w:type="dxa"/>
          <w:bottom w:w="28" w:type="dxa"/>
          <w:right w:w="28" w:type="dxa"/>
        </w:tblCellMar>
      </w:tblPr>
      <w:tblGrid>
        <w:gridCol w:w="2476"/>
        <w:gridCol w:w="146"/>
        <w:gridCol w:w="211"/>
        <w:gridCol w:w="586"/>
        <w:gridCol w:w="146"/>
        <w:gridCol w:w="146"/>
        <w:gridCol w:w="109"/>
        <w:gridCol w:w="441"/>
        <w:gridCol w:w="594"/>
        <w:gridCol w:w="431"/>
      </w:tblGrid>
      <w:tr>
        <w:trPr/>
        <w:tc>
          <w:tcPr>
            <w:tcW w:w="24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r>
      <w:tr>
        <w:trPr/>
        <w:tc>
          <w:tcPr>
            <w:tcW w:w="2476"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(In millions, except average life)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97" w:type="dxa"/>
            <w:gridSpan w:val="2"/>
            <w:tcBorders/>
            <w:shd w:fill="auto" w:val="clear"/>
            <w:tcMar>
              <w:top w:w="0" w:type="dxa"/>
              <w:left w:w="0" w:type="dxa"/>
              <w:bottom w:w="0" w:type="dxa"/>
              <w:right w:w="0" w:type="dxa"/>
            </w:tcMar>
            <w:vAlign w:val="center"/>
          </w:tcPr>
          <w:p>
            <w:pPr>
              <w:pStyle w:val="TableContents"/>
              <w:spacing w:before="0" w:after="15"/>
              <w:ind w:left="0" w:right="0" w:hanging="0"/>
              <w:jc w:val="right"/>
              <w:rPr>
                <w:rFonts w:ascii="Arial;sans-serif" w:hAnsi="Arial;sans-serif"/>
                <w:b/>
                <w:sz w:val="15"/>
              </w:rPr>
            </w:pPr>
            <w:r>
              <w:rPr>
                <w:rFonts w:ascii="Arial;sans-serif" w:hAnsi="Arial;sans-serif"/>
                <w:b/>
                <w:sz w:val="15"/>
              </w:rPr>
              <w:t>Amount</w:t>
            </w:r>
          </w:p>
        </w:tc>
        <w:tc>
          <w:tcPr>
            <w:tcW w:w="292" w:type="dxa"/>
            <w:gridSpan w:val="2"/>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35" w:type="dxa"/>
            <w:gridSpan w:val="2"/>
            <w:tcBorders/>
            <w:shd w:fill="auto" w:val="clear"/>
            <w:tcMar>
              <w:top w:w="0" w:type="dxa"/>
              <w:left w:w="0" w:type="dxa"/>
              <w:bottom w:w="0" w:type="dxa"/>
              <w:right w:w="0" w:type="dxa"/>
            </w:tcMar>
            <w:vAlign w:val="center"/>
          </w:tcPr>
          <w:p>
            <w:pPr>
              <w:pStyle w:val="TableContents"/>
              <w:spacing w:before="0" w:after="15"/>
              <w:ind w:left="0" w:right="0" w:hanging="0"/>
              <w:jc w:val="right"/>
              <w:rPr>
                <w:rFonts w:ascii="Arial;sans-serif" w:hAnsi="Arial;sans-serif"/>
                <w:b/>
                <w:sz w:val="15"/>
              </w:rPr>
            </w:pPr>
            <w:r>
              <w:rPr>
                <w:rFonts w:ascii="Arial;sans-serif" w:hAnsi="Arial;sans-serif"/>
                <w:b/>
                <w:sz w:val="15"/>
              </w:rPr>
              <w:t>Weighted</w:t>
            </w:r>
          </w:p>
          <w:p>
            <w:pPr>
              <w:pStyle w:val="TableContents"/>
              <w:spacing w:before="0" w:after="15"/>
              <w:ind w:left="0" w:right="0" w:hanging="0"/>
              <w:jc w:val="right"/>
              <w:rPr>
                <w:rFonts w:ascii="Arial;sans-serif" w:hAnsi="Arial;sans-serif"/>
                <w:b/>
                <w:sz w:val="15"/>
              </w:rPr>
            </w:pPr>
            <w:r>
              <w:rPr>
                <w:rFonts w:ascii="Arial;sans-serif" w:hAnsi="Arial;sans-serif"/>
                <w:b/>
                <w:sz w:val="15"/>
              </w:rPr>
              <w:t>Average Life</w:t>
            </w:r>
          </w:p>
        </w:tc>
        <w:tc>
          <w:tcPr>
            <w:tcW w:w="431" w:type="dxa"/>
            <w:tcBorders/>
            <w:shd w:fill="auto" w:val="clear"/>
            <w:vAlign w:val="center"/>
          </w:tcPr>
          <w:p>
            <w:pPr>
              <w:pStyle w:val="TableContents"/>
              <w:spacing w:before="0" w:after="0"/>
              <w:ind w:left="0" w:right="0" w:hanging="0"/>
              <w:jc w:val="left"/>
              <w:rPr/>
            </w:pPr>
            <w:r>
              <w:rPr/>
              <w:t> </w:t>
            </w:r>
          </w:p>
        </w:tc>
      </w:tr>
      <w:tr>
        <w:trPr/>
        <w:tc>
          <w:tcPr>
            <w:tcW w:w="247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943"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6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476" w:type="dxa"/>
            <w:tcBorders/>
            <w:shd w:fill="auto" w:val="clear"/>
            <w:vAlign w:val="center"/>
          </w:tcPr>
          <w:p>
            <w:pPr>
              <w:pStyle w:val="TableContents"/>
              <w:spacing w:before="0" w:after="283"/>
              <w:ind w:left="0" w:right="0" w:hanging="0"/>
              <w:rPr>
                <w:sz w:val="4"/>
                <w:szCs w:val="4"/>
              </w:rPr>
            </w:pPr>
            <w:r>
              <w:rPr>
                <w:sz w:val="4"/>
                <w:szCs w:val="4"/>
              </w:rPr>
            </w:r>
          </w:p>
        </w:tc>
        <w:tc>
          <w:tcPr>
            <w:tcW w:w="943" w:type="dxa"/>
            <w:gridSpan w:val="3"/>
            <w:tcBorders/>
            <w:shd w:fill="auto" w:val="clear"/>
            <w:vAlign w:val="center"/>
          </w:tcPr>
          <w:p>
            <w:pPr>
              <w:pStyle w:val="TableContents"/>
              <w:spacing w:before="0" w:after="0"/>
              <w:ind w:left="0" w:right="0" w:hanging="0"/>
              <w:jc w:val="left"/>
              <w:rPr/>
            </w:pPr>
            <w:r>
              <w:rPr/>
              <w:t> </w:t>
            </w:r>
          </w:p>
        </w:tc>
        <w:tc>
          <w:tcPr>
            <w:tcW w:w="1867" w:type="dxa"/>
            <w:gridSpan w:val="6"/>
            <w:tcBorders/>
            <w:shd w:fill="auto" w:val="clear"/>
            <w:vAlign w:val="center"/>
          </w:tcPr>
          <w:p>
            <w:pPr>
              <w:pStyle w:val="TableContents"/>
              <w:spacing w:before="0" w:after="0"/>
              <w:ind w:left="0" w:right="0" w:hanging="0"/>
              <w:jc w:val="left"/>
              <w:rPr/>
            </w:pPr>
            <w:r>
              <w:rPr/>
              <w:t> </w:t>
            </w:r>
          </w:p>
        </w:tc>
      </w:tr>
      <w:tr>
        <w:trPr/>
        <w:tc>
          <w:tcPr>
            <w:tcW w:w="247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Customer-related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2,610</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144" w:type="dxa"/>
            <w:gridSpan w:val="3"/>
            <w:tcBorders/>
            <w:shd w:fill="auto" w:val="clear"/>
            <w:vAlign w:val="center"/>
          </w:tcPr>
          <w:p>
            <w:pPr>
              <w:pStyle w:val="TableContents"/>
              <w:spacing w:before="0" w:after="0"/>
              <w:ind w:left="0" w:right="0" w:hanging="0"/>
              <w:jc w:val="right"/>
              <w:rPr>
                <w:rFonts w:ascii="Times New Roman" w:hAnsi="Times New Roman"/>
                <w:sz w:val="20"/>
              </w:rPr>
            </w:pPr>
            <w:r>
              <w:rPr>
                <w:rFonts w:ascii="Arial;sans-serif" w:hAnsi="Arial;sans-serif"/>
                <w:b w:val="false"/>
                <w:sz w:val="20"/>
              </w:rPr>
              <w:t>9</w:t>
            </w:r>
            <w:r>
              <w:rPr>
                <w:rFonts w:ascii="Times New Roman" w:hAnsi="Times New Roman"/>
                <w:sz w:val="20"/>
              </w:rPr>
              <w:t> </w:t>
            </w:r>
            <w:r>
              <w:rPr>
                <w:rFonts w:ascii="Arial;sans-serif" w:hAnsi="Arial;sans-serif"/>
                <w:b w:val="false"/>
                <w:sz w:val="20"/>
              </w:rPr>
              <w:t>years</w:t>
            </w:r>
          </w:p>
        </w:tc>
        <w:tc>
          <w:tcPr>
            <w:tcW w:w="431" w:type="dxa"/>
            <w:tcBorders/>
            <w:shd w:fill="auto" w:val="clear"/>
            <w:vAlign w:val="center"/>
          </w:tcPr>
          <w:p>
            <w:pPr>
              <w:pStyle w:val="TableContents"/>
              <w:spacing w:before="0" w:after="0"/>
              <w:ind w:left="0" w:right="0" w:hanging="0"/>
              <w:jc w:val="left"/>
              <w:rPr/>
            </w:pPr>
            <w:r>
              <w:rPr/>
              <w:t> </w:t>
            </w:r>
          </w:p>
        </w:tc>
      </w:tr>
      <w:tr>
        <w:trPr/>
        <w:tc>
          <w:tcPr>
            <w:tcW w:w="247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Technology-based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1,540</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144" w:type="dxa"/>
            <w:gridSpan w:val="3"/>
            <w:tcBorders/>
            <w:shd w:fill="auto" w:val="clear"/>
            <w:vAlign w:val="center"/>
          </w:tcPr>
          <w:p>
            <w:pPr>
              <w:pStyle w:val="TableContents"/>
              <w:spacing w:before="0" w:after="0"/>
              <w:ind w:left="0" w:right="0" w:hanging="0"/>
              <w:jc w:val="right"/>
              <w:rPr>
                <w:rFonts w:ascii="Times New Roman" w:hAnsi="Times New Roman"/>
                <w:sz w:val="20"/>
              </w:rPr>
            </w:pPr>
            <w:r>
              <w:rPr>
                <w:rFonts w:ascii="Arial;sans-serif" w:hAnsi="Arial;sans-serif"/>
                <w:b w:val="false"/>
                <w:sz w:val="20"/>
              </w:rPr>
              <w:t>5</w:t>
            </w:r>
            <w:r>
              <w:rPr>
                <w:rFonts w:ascii="Times New Roman" w:hAnsi="Times New Roman"/>
                <w:sz w:val="20"/>
              </w:rPr>
              <w:t> </w:t>
            </w:r>
            <w:r>
              <w:rPr>
                <w:rFonts w:ascii="Arial;sans-serif" w:hAnsi="Arial;sans-serif"/>
                <w:b w:val="false"/>
                <w:sz w:val="20"/>
              </w:rPr>
              <w:t>years</w:t>
            </w:r>
          </w:p>
        </w:tc>
        <w:tc>
          <w:tcPr>
            <w:tcW w:w="431" w:type="dxa"/>
            <w:tcBorders/>
            <w:shd w:fill="auto" w:val="clear"/>
            <w:vAlign w:val="center"/>
          </w:tcPr>
          <w:p>
            <w:pPr>
              <w:pStyle w:val="TableContents"/>
              <w:spacing w:before="0" w:after="0"/>
              <w:ind w:left="0" w:right="0" w:hanging="0"/>
              <w:jc w:val="left"/>
              <w:rPr/>
            </w:pPr>
            <w:r>
              <w:rPr/>
              <w:t> </w:t>
            </w:r>
          </w:p>
        </w:tc>
      </w:tr>
      <w:tr>
        <w:trPr/>
        <w:tc>
          <w:tcPr>
            <w:tcW w:w="247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Marketing-related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4" w:type="dxa"/>
            <w:gridSpan w:val="3"/>
            <w:tcBorders/>
            <w:shd w:fill="auto" w:val="clear"/>
            <w:vAlign w:val="center"/>
          </w:tcPr>
          <w:p>
            <w:pPr>
              <w:pStyle w:val="TableContents"/>
              <w:spacing w:before="0" w:after="0"/>
              <w:ind w:left="0" w:right="0" w:hanging="0"/>
              <w:jc w:val="right"/>
              <w:rPr>
                <w:rFonts w:ascii="Times New Roman" w:hAnsi="Times New Roman"/>
                <w:sz w:val="20"/>
              </w:rPr>
            </w:pPr>
            <w:r>
              <w:rPr>
                <w:rFonts w:ascii="Arial;sans-serif" w:hAnsi="Arial;sans-serif"/>
                <w:b w:val="false"/>
                <w:sz w:val="20"/>
              </w:rPr>
              <w:t>4</w:t>
            </w:r>
            <w:r>
              <w:rPr>
                <w:rFonts w:ascii="Times New Roman" w:hAnsi="Times New Roman"/>
                <w:sz w:val="20"/>
              </w:rPr>
              <w:t> </w:t>
            </w:r>
            <w:r>
              <w:rPr>
                <w:rFonts w:ascii="Arial;sans-serif" w:hAnsi="Arial;sans-serif"/>
                <w:b w:val="false"/>
                <w:sz w:val="20"/>
              </w:rPr>
              <w:t>years</w:t>
            </w:r>
          </w:p>
        </w:tc>
        <w:tc>
          <w:tcPr>
            <w:tcW w:w="431" w:type="dxa"/>
            <w:tcBorders/>
            <w:shd w:fill="auto" w:val="clear"/>
            <w:vAlign w:val="center"/>
          </w:tcPr>
          <w:p>
            <w:pPr>
              <w:pStyle w:val="TableContents"/>
              <w:spacing w:before="0" w:after="0"/>
              <w:ind w:left="0" w:right="0" w:hanging="0"/>
              <w:jc w:val="left"/>
              <w:rPr/>
            </w:pPr>
            <w:r>
              <w:rPr/>
              <w:t> </w:t>
            </w:r>
          </w:p>
        </w:tc>
      </w:tr>
      <w:tr>
        <w:trPr/>
        <w:tc>
          <w:tcPr>
            <w:tcW w:w="3419" w:type="dxa"/>
            <w:gridSpan w:val="4"/>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50" w:type="dxa"/>
            <w:gridSpan w:val="2"/>
            <w:tcBorders/>
            <w:shd w:fill="auto" w:val="clear"/>
            <w:vAlign w:val="center"/>
          </w:tcPr>
          <w:p>
            <w:pPr>
              <w:pStyle w:val="TableContents"/>
              <w:spacing w:before="0" w:after="283"/>
              <w:ind w:left="0" w:right="0" w:hanging="0"/>
              <w:rPr>
                <w:sz w:val="4"/>
                <w:szCs w:val="4"/>
              </w:rPr>
            </w:pPr>
            <w:r>
              <w:rPr>
                <w:sz w:val="4"/>
                <w:szCs w:val="4"/>
              </w:rPr>
            </w:r>
          </w:p>
        </w:tc>
        <w:tc>
          <w:tcPr>
            <w:tcW w:w="594" w:type="dxa"/>
            <w:tcBorders/>
            <w:shd w:fill="auto" w:val="clear"/>
            <w:vAlign w:val="center"/>
          </w:tcPr>
          <w:p>
            <w:pPr>
              <w:pStyle w:val="TableContents"/>
              <w:spacing w:before="0" w:after="0"/>
              <w:ind w:left="0" w:right="0" w:hanging="0"/>
              <w:jc w:val="right"/>
              <w:rPr/>
            </w:pPr>
            <w:r>
              <w:rPr/>
              <w:t> </w:t>
            </w:r>
          </w:p>
        </w:tc>
        <w:tc>
          <w:tcPr>
            <w:tcW w:w="431" w:type="dxa"/>
            <w:tcBorders/>
            <w:shd w:fill="auto" w:val="clear"/>
            <w:vAlign w:val="center"/>
          </w:tcPr>
          <w:p>
            <w:pPr>
              <w:pStyle w:val="TableContents"/>
              <w:spacing w:before="0" w:after="0"/>
              <w:ind w:left="0" w:right="0" w:hanging="0"/>
              <w:jc w:val="left"/>
              <w:rPr/>
            </w:pPr>
            <w:r>
              <w:rPr/>
              <w:t> </w:t>
            </w:r>
          </w:p>
        </w:tc>
      </w:tr>
      <w:tr>
        <w:trPr/>
        <w:tc>
          <w:tcPr>
            <w:tcW w:w="3419" w:type="dxa"/>
            <w:gridSpan w:val="4"/>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50" w:type="dxa"/>
            <w:gridSpan w:val="2"/>
            <w:tcBorders/>
            <w:shd w:fill="auto" w:val="clear"/>
            <w:vAlign w:val="center"/>
          </w:tcPr>
          <w:p>
            <w:pPr>
              <w:pStyle w:val="TableContents"/>
              <w:spacing w:before="0" w:after="0"/>
              <w:ind w:left="0" w:right="0" w:hanging="0"/>
              <w:jc w:val="right"/>
              <w:rPr/>
            </w:pPr>
            <w:r>
              <w:rPr/>
              <w:t> </w:t>
            </w:r>
          </w:p>
        </w:tc>
        <w:tc>
          <w:tcPr>
            <w:tcW w:w="594" w:type="dxa"/>
            <w:tcBorders/>
            <w:shd w:fill="auto" w:val="clear"/>
            <w:vAlign w:val="center"/>
          </w:tcPr>
          <w:p>
            <w:pPr>
              <w:pStyle w:val="TableContents"/>
              <w:spacing w:before="0" w:after="0"/>
              <w:ind w:left="0" w:right="0" w:hanging="0"/>
              <w:jc w:val="right"/>
              <w:rPr/>
            </w:pPr>
            <w:r>
              <w:rPr/>
              <w:t> </w:t>
            </w:r>
          </w:p>
        </w:tc>
        <w:tc>
          <w:tcPr>
            <w:tcW w:w="431" w:type="dxa"/>
            <w:tcBorders/>
            <w:shd w:fill="auto" w:val="clear"/>
            <w:vAlign w:val="center"/>
          </w:tcPr>
          <w:p>
            <w:pPr>
              <w:pStyle w:val="TableContents"/>
              <w:spacing w:before="0" w:after="0"/>
              <w:ind w:left="0" w:right="0" w:firstLine="240"/>
              <w:jc w:val="left"/>
              <w:rPr/>
            </w:pPr>
            <w:r>
              <w:rPr/>
              <w:t> </w:t>
            </w:r>
          </w:p>
        </w:tc>
      </w:tr>
      <w:tr>
        <w:trPr/>
        <w:tc>
          <w:tcPr>
            <w:tcW w:w="2476" w:type="dxa"/>
            <w:tcBorders/>
            <w:shd w:fill="auto" w:val="clear"/>
            <w:vAlign w:val="center"/>
          </w:tcPr>
          <w:p>
            <w:pPr>
              <w:pStyle w:val="TableContents"/>
              <w:spacing w:before="0" w:after="0"/>
              <w:ind w:left="240" w:right="0" w:hanging="0"/>
              <w:jc w:val="left"/>
              <w:rPr>
                <w:rFonts w:ascii="Arial;sans-serif" w:hAnsi="Arial;sans-serif"/>
                <w:b w:val="false"/>
                <w:sz w:val="20"/>
              </w:rPr>
            </w:pPr>
            <w:r>
              <w:rPr>
                <w:rFonts w:ascii="Arial;sans-serif" w:hAnsi="Arial;sans-serif"/>
                <w:b w:val="false"/>
                <w:sz w:val="20"/>
              </w:rPr>
              <w:t>Total</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4,365</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144" w:type="dxa"/>
            <w:gridSpan w:val="3"/>
            <w:tcBorders/>
            <w:shd w:fill="auto" w:val="clear"/>
            <w:vAlign w:val="center"/>
          </w:tcPr>
          <w:p>
            <w:pPr>
              <w:pStyle w:val="TableContents"/>
              <w:spacing w:before="0" w:after="0"/>
              <w:ind w:left="0" w:right="0" w:hanging="0"/>
              <w:jc w:val="right"/>
              <w:rPr>
                <w:rFonts w:ascii="Times New Roman" w:hAnsi="Times New Roman"/>
                <w:sz w:val="20"/>
              </w:rPr>
            </w:pPr>
            <w:r>
              <w:rPr>
                <w:rFonts w:ascii="Arial;sans-serif" w:hAnsi="Arial;sans-serif"/>
                <w:b w:val="false"/>
                <w:sz w:val="20"/>
              </w:rPr>
              <w:t>7</w:t>
            </w:r>
            <w:r>
              <w:rPr>
                <w:rFonts w:ascii="Times New Roman" w:hAnsi="Times New Roman"/>
                <w:sz w:val="20"/>
              </w:rPr>
              <w:t> </w:t>
            </w:r>
            <w:r>
              <w:rPr>
                <w:rFonts w:ascii="Arial;sans-serif" w:hAnsi="Arial;sans-serif"/>
                <w:b w:val="false"/>
                <w:sz w:val="20"/>
              </w:rPr>
              <w:t>years</w:t>
            </w:r>
          </w:p>
        </w:tc>
        <w:tc>
          <w:tcPr>
            <w:tcW w:w="431" w:type="dxa"/>
            <w:tcBorders/>
            <w:shd w:fill="auto" w:val="clear"/>
            <w:vAlign w:val="center"/>
          </w:tcPr>
          <w:p>
            <w:pPr>
              <w:pStyle w:val="TableContents"/>
              <w:spacing w:before="0" w:after="283"/>
              <w:ind w:left="0" w:right="0" w:hanging="0"/>
              <w:rPr>
                <w:sz w:val="4"/>
                <w:szCs w:val="4"/>
              </w:rPr>
            </w:pPr>
            <w:r>
              <w:rPr>
                <w:sz w:val="4"/>
                <w:szCs w:val="4"/>
              </w:rPr>
            </w:r>
          </w:p>
        </w:tc>
      </w:tr>
      <w:tr>
        <w:trPr/>
        <w:tc>
          <w:tcPr>
            <w:tcW w:w="247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586"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50" w:type="dxa"/>
            <w:gridSpan w:val="2"/>
            <w:tcBorders/>
            <w:shd w:fill="auto" w:val="clear"/>
            <w:vAlign w:val="center"/>
          </w:tcPr>
          <w:p>
            <w:pPr>
              <w:pStyle w:val="TableContents"/>
              <w:spacing w:before="0" w:after="283"/>
              <w:ind w:left="0" w:right="0" w:hanging="0"/>
              <w:rPr>
                <w:sz w:val="4"/>
                <w:szCs w:val="4"/>
              </w:rPr>
            </w:pPr>
            <w:r>
              <w:rPr>
                <w:sz w:val="4"/>
                <w:szCs w:val="4"/>
              </w:rPr>
            </w:r>
          </w:p>
        </w:tc>
        <w:tc>
          <w:tcPr>
            <w:tcW w:w="594" w:type="dxa"/>
            <w:tcBorders/>
            <w:shd w:fill="auto" w:val="clear"/>
            <w:vAlign w:val="center"/>
          </w:tcPr>
          <w:p>
            <w:pPr>
              <w:pStyle w:val="TableContents"/>
              <w:spacing w:before="0" w:after="283"/>
              <w:ind w:left="0" w:right="0" w:hanging="0"/>
              <w:rPr>
                <w:sz w:val="4"/>
                <w:szCs w:val="4"/>
              </w:rPr>
            </w:pPr>
            <w:r>
              <w:rPr>
                <w:sz w:val="4"/>
                <w:szCs w:val="4"/>
              </w:rPr>
            </w:r>
          </w:p>
        </w:tc>
        <w:tc>
          <w:tcPr>
            <w:tcW w:w="43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90" w:after="0"/>
        <w:jc w:val="left"/>
        <w:rPr>
          <w:rFonts w:ascii="Arial;sans-serif" w:hAnsi="Arial;sans-serif"/>
          <w:b/>
          <w:sz w:val="20"/>
        </w:rPr>
      </w:pPr>
      <w:r>
        <w:rPr>
          <w:rFonts w:ascii="Arial;sans-serif" w:hAnsi="Arial;sans-serif"/>
          <w:b/>
          <w:sz w:val="20"/>
        </w:rPr>
        <w:t>Activision Blizzard, Inc.</w:t>
      </w:r>
    </w:p>
    <w:p>
      <w:pPr>
        <w:pStyle w:val="TextBody"/>
        <w:spacing w:before="180" w:after="0"/>
        <w:jc w:val="both"/>
        <w:rPr>
          <w:rFonts w:ascii="Times New Roman" w:hAnsi="Times New Roman"/>
          <w:sz w:val="20"/>
        </w:rPr>
      </w:pPr>
      <w:r>
        <w:rPr>
          <w:rFonts w:ascii="Arial;sans-serif" w:hAnsi="Arial;sans-serif"/>
          <w:b w:val="false"/>
          <w:sz w:val="20"/>
        </w:rPr>
        <w:t>On January 18, 2022, we entered into a definitive agreement to acquire Activision Blizzard, Inc. (“Activision Blizzard”) for $95.00</w:t>
      </w:r>
      <w:r>
        <w:rPr>
          <w:rFonts w:ascii="Times New Roman" w:hAnsi="Times New Roman"/>
          <w:sz w:val="20"/>
        </w:rPr>
        <w:t xml:space="preserve"> </w:t>
      </w:r>
      <w:r>
        <w:rPr>
          <w:rFonts w:ascii="Arial;sans-serif" w:hAnsi="Arial;sans-serif"/>
          <w:b w:val="false"/>
          <w:sz w:val="20"/>
        </w:rPr>
        <w:t>per share in an all-cash transaction valued at $68.7</w:t>
      </w:r>
      <w:r>
        <w:rPr>
          <w:rFonts w:ascii="Times New Roman" w:hAnsi="Times New Roman"/>
          <w:sz w:val="20"/>
        </w:rPr>
        <w:t xml:space="preserve"> </w:t>
      </w:r>
      <w:r>
        <w:rPr>
          <w:rFonts w:ascii="Arial;sans-serif" w:hAnsi="Arial;sans-serif"/>
          <w:b w:val="false"/>
          <w:sz w:val="20"/>
        </w:rPr>
        <w:t>billion, inclusive of Activision Blizzard’s net cash. Activision Blizzard is a leader in game development and an interactive entertainment content publisher. The acquisition will accelerate the growth in our gaming business across mobile, PC, console, and cloud gaming. The acquisition has been approved by Activision Blizzard’s shareholders. We are continuing to engage with regulators reviewing the transaction and are working toward closing it in fiscal year 2023, subject to obtaining required regulatory approvals and satisfaction of other customary closing conditions.</w:t>
      </w:r>
    </w:p>
    <w:p>
      <w:pPr>
        <w:pStyle w:val="TextBody"/>
        <w:spacing w:before="270" w:after="0"/>
        <w:jc w:val="center"/>
        <w:rPr>
          <w:rFonts w:ascii="Arial;sans-serif" w:hAnsi="Arial;sans-serif"/>
          <w:b w:val="false"/>
          <w:sz w:val="20"/>
          <w:u w:val="single"/>
        </w:rPr>
      </w:pPr>
      <w:r>
        <w:rPr>
          <w:rFonts w:ascii="Arial;sans-serif" w:hAnsi="Arial;sans-serif"/>
          <w:b w:val="false"/>
          <w:sz w:val="20"/>
          <w:u w:val="single"/>
        </w:rPr>
        <w:t>NOTE 8 — GOODWILL</w:t>
      </w:r>
    </w:p>
    <w:p>
      <w:pPr>
        <w:pStyle w:val="TextBody"/>
        <w:spacing w:before="180" w:after="0"/>
        <w:jc w:val="both"/>
        <w:rPr>
          <w:rFonts w:ascii="Arial;sans-serif" w:hAnsi="Arial;sans-serif"/>
          <w:b w:val="false"/>
          <w:sz w:val="20"/>
        </w:rPr>
      </w:pPr>
      <w:r>
        <w:rPr>
          <w:rFonts w:ascii="Arial;sans-serif" w:hAnsi="Arial;sans-serif"/>
          <w:b w:val="false"/>
          <w:sz w:val="20"/>
        </w:rPr>
        <w:t>Changes in the carrying amount of goodwill were as follows:</w:t>
      </w:r>
    </w:p>
    <w:p>
      <w:pPr>
        <w:pStyle w:val="TextBody"/>
        <w:spacing w:before="0" w:after="0"/>
        <w:jc w:val="both"/>
        <w:rPr/>
      </w:pPr>
      <w:r>
        <w:rPr/>
        <w:t> </w:t>
      </w:r>
    </w:p>
    <w:tbl>
      <w:tblPr>
        <w:tblW w:w="8326" w:type="dxa"/>
        <w:jc w:val="left"/>
        <w:tblInd w:w="0" w:type="dxa"/>
        <w:tblCellMar>
          <w:top w:w="28" w:type="dxa"/>
          <w:left w:w="28" w:type="dxa"/>
          <w:bottom w:w="28" w:type="dxa"/>
          <w:right w:w="28" w:type="dxa"/>
        </w:tblCellMar>
      </w:tblPr>
      <w:tblGrid>
        <w:gridCol w:w="3391"/>
        <w:gridCol w:w="146"/>
        <w:gridCol w:w="211"/>
        <w:gridCol w:w="691"/>
        <w:gridCol w:w="146"/>
        <w:gridCol w:w="146"/>
        <w:gridCol w:w="340"/>
        <w:gridCol w:w="681"/>
        <w:gridCol w:w="146"/>
        <w:gridCol w:w="146"/>
        <w:gridCol w:w="211"/>
        <w:gridCol w:w="421"/>
        <w:gridCol w:w="166"/>
        <w:gridCol w:w="146"/>
        <w:gridCol w:w="211"/>
        <w:gridCol w:w="691"/>
        <w:gridCol w:w="436"/>
      </w:tblGrid>
      <w:tr>
        <w:trPr/>
        <w:tc>
          <w:tcPr>
            <w:tcW w:w="339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340" w:type="dxa"/>
            <w:tcBorders/>
            <w:shd w:fill="FFFFFF" w:val="clear"/>
            <w:vAlign w:val="center"/>
          </w:tcPr>
          <w:p>
            <w:pPr>
              <w:pStyle w:val="TableContents"/>
              <w:spacing w:before="0" w:after="283"/>
              <w:rPr>
                <w:sz w:val="4"/>
                <w:szCs w:val="4"/>
              </w:rPr>
            </w:pPr>
            <w:r>
              <w:rPr>
                <w:sz w:val="4"/>
                <w:szCs w:val="4"/>
              </w:rPr>
            </w:r>
          </w:p>
        </w:tc>
        <w:tc>
          <w:tcPr>
            <w:tcW w:w="68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421" w:type="dxa"/>
            <w:tcBorders/>
            <w:shd w:fill="FFFFFF" w:val="clear"/>
            <w:vAlign w:val="center"/>
          </w:tcPr>
          <w:p>
            <w:pPr>
              <w:pStyle w:val="TableContents"/>
              <w:spacing w:before="0" w:after="283"/>
              <w:rPr>
                <w:sz w:val="4"/>
                <w:szCs w:val="4"/>
              </w:rPr>
            </w:pPr>
            <w:r>
              <w:rPr>
                <w:sz w:val="4"/>
                <w:szCs w:val="4"/>
              </w:rPr>
            </w:r>
          </w:p>
        </w:tc>
        <w:tc>
          <w:tcPr>
            <w:tcW w:w="16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436" w:type="dxa"/>
            <w:tcBorders/>
            <w:shd w:fill="FFFFFF" w:val="clear"/>
            <w:vAlign w:val="center"/>
          </w:tcPr>
          <w:p>
            <w:pPr>
              <w:pStyle w:val="TableContents"/>
              <w:spacing w:before="0" w:after="283"/>
              <w:rPr>
                <w:sz w:val="4"/>
                <w:szCs w:val="4"/>
              </w:rPr>
            </w:pPr>
            <w:r>
              <w:rPr>
                <w:sz w:val="4"/>
                <w:szCs w:val="4"/>
              </w:rPr>
            </w:r>
          </w:p>
        </w:tc>
      </w:tr>
      <w:tr>
        <w:trPr/>
        <w:tc>
          <w:tcPr>
            <w:tcW w:w="3391"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(In millions)</w:t>
            </w:r>
          </w:p>
        </w:tc>
        <w:tc>
          <w:tcPr>
            <w:tcW w:w="146" w:type="dxa"/>
            <w:tcBorders/>
            <w:shd w:fill="auto" w:val="clear"/>
            <w:vAlign w:val="center"/>
          </w:tcPr>
          <w:p>
            <w:pPr>
              <w:pStyle w:val="TableContents"/>
              <w:spacing w:before="0" w:after="0"/>
              <w:ind w:left="0" w:right="0" w:hanging="0"/>
              <w:jc w:val="left"/>
              <w:rPr/>
            </w:pPr>
            <w:r>
              <w:rPr/>
              <w:t> </w:t>
            </w:r>
          </w:p>
        </w:tc>
        <w:tc>
          <w:tcPr>
            <w:tcW w:w="902"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June 30,</w:t>
            </w:r>
          </w:p>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1"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Acquisitions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Other</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02"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436" w:type="dxa"/>
            <w:tcBorders/>
            <w:shd w:fill="auto" w:val="clear"/>
            <w:vAlign w:val="center"/>
          </w:tcPr>
          <w:p>
            <w:pPr>
              <w:pStyle w:val="TableContents"/>
              <w:spacing w:before="0" w:after="0"/>
              <w:ind w:left="0" w:right="0" w:hanging="0"/>
              <w:jc w:val="left"/>
              <w:rPr/>
            </w:pPr>
            <w:r>
              <w:rPr/>
              <w:t> </w:t>
            </w:r>
          </w:p>
        </w:tc>
      </w:tr>
      <w:tr>
        <w:trPr/>
        <w:tc>
          <w:tcPr>
            <w:tcW w:w="339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2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39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9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2" w:type="dxa"/>
            <w:gridSpan w:val="2"/>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33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Productivity and Business Processes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24,811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40"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8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42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(27</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24,795</w:t>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33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Intelligent Cloud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30,182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40" w:type="dxa"/>
            <w:tcBorders/>
            <w:shd w:fill="auto" w:val="clear"/>
            <w:vAlign w:val="center"/>
          </w:tcPr>
          <w:p>
            <w:pPr>
              <w:pStyle w:val="TableContents"/>
              <w:spacing w:before="0" w:after="283"/>
              <w:ind w:left="0" w:right="0" w:hanging="0"/>
              <w:rPr>
                <w:sz w:val="4"/>
                <w:szCs w:val="4"/>
              </w:rPr>
            </w:pPr>
            <w:r>
              <w:rPr>
                <w:sz w:val="4"/>
                <w:szCs w:val="4"/>
              </w:rPr>
            </w:r>
          </w:p>
        </w:tc>
        <w:tc>
          <w:tcPr>
            <w:tcW w:w="68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42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87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30,492</w:t>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33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More Personal Computing</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12,531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40" w:type="dxa"/>
            <w:tcBorders/>
            <w:shd w:fill="auto" w:val="clear"/>
            <w:vAlign w:val="center"/>
          </w:tcPr>
          <w:p>
            <w:pPr>
              <w:pStyle w:val="TableContents"/>
              <w:spacing w:before="0" w:after="283"/>
              <w:ind w:left="0" w:right="0" w:hanging="0"/>
              <w:rPr>
                <w:sz w:val="4"/>
                <w:szCs w:val="4"/>
              </w:rPr>
            </w:pPr>
            <w:r>
              <w:rPr>
                <w:sz w:val="4"/>
                <w:szCs w:val="4"/>
              </w:rPr>
            </w:r>
          </w:p>
        </w:tc>
        <w:tc>
          <w:tcPr>
            <w:tcW w:w="68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42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122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12,653</w:t>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339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39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firstLine="245"/>
              <w:jc w:val="left"/>
              <w:rPr/>
            </w:pPr>
            <w:r>
              <w:rPr/>
              <w:t> </w:t>
            </w:r>
          </w:p>
        </w:tc>
      </w:tr>
      <w:tr>
        <w:trPr/>
        <w:tc>
          <w:tcPr>
            <w:tcW w:w="3391" w:type="dxa"/>
            <w:tcBorders/>
            <w:shd w:fill="auto" w:val="clear"/>
            <w:vAlign w:val="center"/>
          </w:tcPr>
          <w:p>
            <w:pPr>
              <w:pStyle w:val="TableContents"/>
              <w:spacing w:before="0" w:after="0"/>
              <w:ind w:left="245" w:right="0" w:hanging="0"/>
              <w:jc w:val="left"/>
              <w:rPr>
                <w:rFonts w:ascii="Times New Roman" w:hAnsi="Times New Roman"/>
                <w:sz w:val="20"/>
              </w:rPr>
            </w:pPr>
            <w:r>
              <w:rPr>
                <w:rFonts w:ascii="Arial;sans-serif" w:hAnsi="Arial;sans-serif"/>
                <w:b w:val="false"/>
                <w:sz w:val="20"/>
              </w:rPr>
              <w:t>Total</w:t>
            </w:r>
            <w:r>
              <w:rPr>
                <w:rFonts w:ascii="Times New Roman" w:hAnsi="Times New Roman"/>
                <w:sz w:val="20"/>
              </w:rPr>
              <w:t xml:space="preserve">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67,524</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40"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8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234</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42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182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67,940</w:t>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339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240" w:after="0"/>
        <w:jc w:val="center"/>
        <w:rPr>
          <w:rFonts w:ascii="Arial;sans-serif" w:hAnsi="Arial;sans-serif"/>
          <w:b w:val="false"/>
          <w:sz w:val="16"/>
        </w:rPr>
      </w:pPr>
      <w:r>
        <w:rPr>
          <w:rFonts w:ascii="Arial;sans-serif" w:hAnsi="Arial;sans-serif"/>
          <w:b w:val="false"/>
          <w:sz w:val="16"/>
        </w:rPr>
        <w:t>19</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w:t>
      </w:r>
    </w:p>
    <w:p>
      <w:pPr>
        <w:pStyle w:val="TextBody"/>
        <w:spacing w:before="0" w:after="0"/>
        <w:jc w:val="center"/>
        <w:rPr>
          <w:rFonts w:ascii="Arial;sans-serif" w:hAnsi="Arial;sans-serif"/>
          <w:b w:val="false"/>
          <w:sz w:val="15"/>
        </w:rPr>
      </w:pPr>
      <w:r>
        <w:rPr>
          <w:rFonts w:ascii="Arial;sans-serif" w:hAnsi="Arial;sans-serif"/>
          <w:b w:val="false"/>
          <w:sz w:val="15"/>
        </w:rPr>
        <w:t>Item 1</w:t>
      </w:r>
    </w:p>
    <w:p>
      <w:pPr>
        <w:pStyle w:val="TextBody"/>
        <w:spacing w:before="0" w:after="0"/>
        <w:jc w:val="left"/>
        <w:rPr/>
      </w:pPr>
      <w:r>
        <w:rPr/>
        <w:t> </w:t>
      </w:r>
    </w:p>
    <w:p>
      <w:pPr>
        <w:pStyle w:val="TextBody"/>
        <w:spacing w:before="0" w:after="0"/>
        <w:jc w:val="both"/>
        <w:rPr>
          <w:rFonts w:ascii="Arial;sans-serif" w:hAnsi="Arial;sans-serif"/>
          <w:b w:val="false"/>
          <w:sz w:val="20"/>
        </w:rPr>
      </w:pPr>
      <w:r>
        <w:rPr>
          <w:rFonts w:ascii="Arial;sans-serif" w:hAnsi="Arial;sans-serif"/>
          <w:b w:val="false"/>
          <w:sz w:val="20"/>
        </w:rPr>
        <w:t>The measurement periods for the valuation of assets acquired and liabilities assumed end as soon as information on the facts and circumstances that existed as of the acquisition dates becomes available, but do not exceed 12 months. Adjustments in purchase price allocations may require a change in the amounts allocated to goodwill during the periods in which the adjustments are determined.</w:t>
      </w:r>
    </w:p>
    <w:p>
      <w:pPr>
        <w:pStyle w:val="TextBody"/>
        <w:spacing w:before="180" w:after="0"/>
        <w:jc w:val="both"/>
        <w:rPr>
          <w:rFonts w:ascii="Arial;sans-serif" w:hAnsi="Arial;sans-serif"/>
          <w:b w:val="false"/>
          <w:sz w:val="20"/>
        </w:rPr>
      </w:pPr>
      <w:r>
        <w:rPr>
          <w:rFonts w:ascii="Arial;sans-serif" w:hAnsi="Arial;sans-serif"/>
          <w:b w:val="false"/>
          <w:sz w:val="20"/>
        </w:rPr>
        <w:t>Any change in the goodwill amounts resulting from foreign currency translations and purchase accounting adjustments are presented as “Other” in the table above. Also included in “Other” are business dispositions and transfers between segments due to reorganizations, as applicable.</w:t>
      </w:r>
    </w:p>
    <w:p>
      <w:pPr>
        <w:pStyle w:val="TextBody"/>
        <w:spacing w:before="270" w:after="0"/>
        <w:jc w:val="center"/>
        <w:rPr>
          <w:rFonts w:ascii="Times New Roman" w:hAnsi="Times New Roman"/>
          <w:sz w:val="20"/>
        </w:rPr>
      </w:pPr>
      <w:r>
        <w:rPr>
          <w:rFonts w:ascii="Arial;sans-serif" w:hAnsi="Arial;sans-serif"/>
          <w:b w:val="false"/>
          <w:sz w:val="20"/>
          <w:u w:val="single"/>
        </w:rPr>
        <w:t xml:space="preserve">NOTE 9 </w:t>
      </w:r>
      <w:r>
        <w:rPr>
          <w:rFonts w:ascii="Times New Roman" w:hAnsi="Times New Roman"/>
          <w:caps/>
          <w:sz w:val="20"/>
          <w:u w:val="single"/>
        </w:rPr>
        <w:t>—</w:t>
      </w:r>
      <w:r>
        <w:rPr>
          <w:rFonts w:ascii="Times New Roman" w:hAnsi="Times New Roman"/>
          <w:sz w:val="20"/>
          <w:u w:val="single"/>
        </w:rPr>
        <w:t xml:space="preserve"> </w:t>
      </w:r>
      <w:r>
        <w:rPr>
          <w:rFonts w:ascii="Arial;sans-serif" w:hAnsi="Arial;sans-serif"/>
          <w:b w:val="false"/>
          <w:sz w:val="20"/>
          <w:u w:val="single"/>
        </w:rPr>
        <w:t>INTANGIBLE ASSETS</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The components of intangible assets, all of which are finite-lived, were as follows:</w:t>
      </w:r>
      <w:r>
        <w:rPr>
          <w:rFonts w:ascii="Times New Roman" w:hAnsi="Times New Roman"/>
          <w:sz w:val="20"/>
        </w:rPr>
        <w:t xml:space="preserve"> </w:t>
      </w:r>
    </w:p>
    <w:p>
      <w:pPr>
        <w:pStyle w:val="TextBody"/>
        <w:spacing w:before="0" w:after="0"/>
        <w:jc w:val="left"/>
        <w:rPr/>
      </w:pPr>
      <w:r>
        <w:rPr/>
        <w:t> </w:t>
      </w:r>
    </w:p>
    <w:tbl>
      <w:tblPr>
        <w:tblW w:w="9473" w:type="dxa"/>
        <w:jc w:val="left"/>
        <w:tblInd w:w="0" w:type="dxa"/>
        <w:tblCellMar>
          <w:top w:w="28" w:type="dxa"/>
          <w:left w:w="28" w:type="dxa"/>
          <w:bottom w:w="28" w:type="dxa"/>
          <w:right w:w="28" w:type="dxa"/>
        </w:tblCellMar>
      </w:tblPr>
      <w:tblGrid>
        <w:gridCol w:w="1756"/>
        <w:gridCol w:w="146"/>
        <w:gridCol w:w="211"/>
        <w:gridCol w:w="691"/>
        <w:gridCol w:w="146"/>
        <w:gridCol w:w="146"/>
        <w:gridCol w:w="233"/>
        <w:gridCol w:w="833"/>
        <w:gridCol w:w="166"/>
        <w:gridCol w:w="146"/>
        <w:gridCol w:w="211"/>
        <w:gridCol w:w="586"/>
        <w:gridCol w:w="146"/>
        <w:gridCol w:w="146"/>
        <w:gridCol w:w="211"/>
        <w:gridCol w:w="691"/>
        <w:gridCol w:w="146"/>
        <w:gridCol w:w="146"/>
        <w:gridCol w:w="233"/>
        <w:gridCol w:w="833"/>
        <w:gridCol w:w="166"/>
        <w:gridCol w:w="146"/>
        <w:gridCol w:w="211"/>
        <w:gridCol w:w="691"/>
        <w:gridCol w:w="436"/>
      </w:tblGrid>
      <w:tr>
        <w:trPr/>
        <w:tc>
          <w:tcPr>
            <w:tcW w:w="175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33" w:type="dxa"/>
            <w:tcBorders/>
            <w:shd w:fill="FFFFFF" w:val="clear"/>
            <w:vAlign w:val="center"/>
          </w:tcPr>
          <w:p>
            <w:pPr>
              <w:pStyle w:val="TableContents"/>
              <w:spacing w:before="0" w:after="283"/>
              <w:rPr>
                <w:sz w:val="4"/>
                <w:szCs w:val="4"/>
              </w:rPr>
            </w:pPr>
            <w:r>
              <w:rPr>
                <w:sz w:val="4"/>
                <w:szCs w:val="4"/>
              </w:rPr>
            </w:r>
          </w:p>
        </w:tc>
        <w:tc>
          <w:tcPr>
            <w:tcW w:w="833" w:type="dxa"/>
            <w:tcBorders/>
            <w:shd w:fill="FFFFFF" w:val="clear"/>
            <w:vAlign w:val="center"/>
          </w:tcPr>
          <w:p>
            <w:pPr>
              <w:pStyle w:val="TableContents"/>
              <w:spacing w:before="0" w:after="283"/>
              <w:rPr>
                <w:sz w:val="4"/>
                <w:szCs w:val="4"/>
              </w:rPr>
            </w:pPr>
            <w:r>
              <w:rPr>
                <w:sz w:val="4"/>
                <w:szCs w:val="4"/>
              </w:rPr>
            </w:r>
          </w:p>
        </w:tc>
        <w:tc>
          <w:tcPr>
            <w:tcW w:w="16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58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33" w:type="dxa"/>
            <w:tcBorders/>
            <w:shd w:fill="FFFFFF" w:val="clear"/>
            <w:vAlign w:val="center"/>
          </w:tcPr>
          <w:p>
            <w:pPr>
              <w:pStyle w:val="TableContents"/>
              <w:spacing w:before="0" w:after="283"/>
              <w:rPr>
                <w:sz w:val="4"/>
                <w:szCs w:val="4"/>
              </w:rPr>
            </w:pPr>
            <w:r>
              <w:rPr>
                <w:sz w:val="4"/>
                <w:szCs w:val="4"/>
              </w:rPr>
            </w:r>
          </w:p>
        </w:tc>
        <w:tc>
          <w:tcPr>
            <w:tcW w:w="833" w:type="dxa"/>
            <w:tcBorders/>
            <w:shd w:fill="FFFFFF" w:val="clear"/>
            <w:vAlign w:val="center"/>
          </w:tcPr>
          <w:p>
            <w:pPr>
              <w:pStyle w:val="TableContents"/>
              <w:spacing w:before="0" w:after="283"/>
              <w:rPr>
                <w:sz w:val="4"/>
                <w:szCs w:val="4"/>
              </w:rPr>
            </w:pPr>
            <w:r>
              <w:rPr>
                <w:sz w:val="4"/>
                <w:szCs w:val="4"/>
              </w:rPr>
            </w:r>
          </w:p>
        </w:tc>
        <w:tc>
          <w:tcPr>
            <w:tcW w:w="16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436" w:type="dxa"/>
            <w:tcBorders/>
            <w:shd w:fill="FFFFFF" w:val="clear"/>
            <w:vAlign w:val="center"/>
          </w:tcPr>
          <w:p>
            <w:pPr>
              <w:pStyle w:val="TableContents"/>
              <w:spacing w:before="0" w:after="283"/>
              <w:rPr>
                <w:sz w:val="4"/>
                <w:szCs w:val="4"/>
              </w:rPr>
            </w:pPr>
            <w:r>
              <w:rPr>
                <w:sz w:val="4"/>
                <w:szCs w:val="4"/>
              </w:rPr>
            </w:r>
          </w:p>
        </w:tc>
      </w:tr>
      <w:tr>
        <w:trPr/>
        <w:tc>
          <w:tcPr>
            <w:tcW w:w="1756"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(In millions)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02"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Gross</w:t>
              <w:br/>
              <w:t>Carrying</w:t>
              <w:br/>
              <w:t>Amount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66"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Accumulated</w:t>
              <w:br/>
              <w:t>Amortization</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97"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Net</w:t>
              <w:br/>
              <w:t>Carrying</w:t>
              <w:br/>
              <w:t>Amount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02"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Gross</w:t>
              <w:br/>
              <w:t>Carrying</w:t>
              <w:br/>
              <w:t>Amount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066"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Accumulated</w:t>
              <w:br/>
              <w:t>Amortization</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02"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Net</w:t>
            </w:r>
          </w:p>
          <w:p>
            <w:pPr>
              <w:pStyle w:val="TableContents"/>
              <w:spacing w:before="0" w:after="0"/>
              <w:ind w:left="0" w:right="0" w:hanging="0"/>
              <w:jc w:val="right"/>
              <w:rPr>
                <w:rFonts w:ascii="Arial;sans-serif" w:hAnsi="Arial;sans-serif"/>
                <w:b/>
                <w:sz w:val="15"/>
              </w:rPr>
            </w:pPr>
            <w:r>
              <w:rPr>
                <w:rFonts w:ascii="Arial;sans-serif" w:hAnsi="Arial;sans-serif"/>
                <w:b/>
                <w:sz w:val="15"/>
              </w:rPr>
              <w:t>Carrying</w:t>
            </w:r>
          </w:p>
          <w:p>
            <w:pPr>
              <w:pStyle w:val="TableContents"/>
              <w:spacing w:before="0" w:after="0"/>
              <w:ind w:left="0" w:right="0" w:hanging="0"/>
              <w:jc w:val="right"/>
              <w:rPr>
                <w:rFonts w:ascii="Arial;sans-serif" w:hAnsi="Arial;sans-serif"/>
                <w:b/>
                <w:sz w:val="15"/>
              </w:rPr>
            </w:pPr>
            <w:r>
              <w:rPr>
                <w:rFonts w:ascii="Arial;sans-serif" w:hAnsi="Arial;sans-serif"/>
                <w:b/>
                <w:sz w:val="15"/>
              </w:rPr>
              <w:t>Amount</w:t>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175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75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9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2" w:type="dxa"/>
            <w:gridSpan w:val="2"/>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17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69" w:type="dxa"/>
            <w:gridSpan w:val="10"/>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74" w:type="dxa"/>
            <w:gridSpan w:val="10"/>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June 30,</w:t>
            </w:r>
          </w:p>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175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3369" w:type="dxa"/>
            <w:gridSpan w:val="10"/>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74" w:type="dxa"/>
            <w:gridSpan w:val="10"/>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1756"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Technology-based</w:t>
            </w:r>
            <w:r>
              <w:rPr>
                <w:rFonts w:ascii="Times New Roman" w:hAnsi="Times New Roman"/>
                <w:sz w:val="20"/>
              </w:rPr>
              <w:t xml:space="preserve">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11,228</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33"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833"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(7,366</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5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3,862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11,277</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33"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3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(6,958</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4,319</w:t>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17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Customer-related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7,308</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33" w:type="dxa"/>
            <w:tcBorders/>
            <w:shd w:fill="auto" w:val="clear"/>
            <w:vAlign w:val="center"/>
          </w:tcPr>
          <w:p>
            <w:pPr>
              <w:pStyle w:val="TableContents"/>
              <w:spacing w:before="0" w:after="283"/>
              <w:ind w:left="0" w:right="0" w:hanging="0"/>
              <w:rPr>
                <w:sz w:val="4"/>
                <w:szCs w:val="4"/>
              </w:rPr>
            </w:pPr>
            <w:r>
              <w:rPr>
                <w:sz w:val="4"/>
                <w:szCs w:val="4"/>
              </w:rPr>
            </w:r>
          </w:p>
        </w:tc>
        <w:tc>
          <w:tcPr>
            <w:tcW w:w="833"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(3,837</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3,471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7,342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33" w:type="dxa"/>
            <w:tcBorders/>
            <w:shd w:fill="auto" w:val="clear"/>
            <w:vAlign w:val="center"/>
          </w:tcPr>
          <w:p>
            <w:pPr>
              <w:pStyle w:val="TableContents"/>
              <w:spacing w:before="0" w:after="283"/>
              <w:ind w:left="0" w:right="0" w:hanging="0"/>
              <w:rPr>
                <w:sz w:val="4"/>
                <w:szCs w:val="4"/>
              </w:rPr>
            </w:pPr>
            <w:r>
              <w:rPr>
                <w:sz w:val="4"/>
                <w:szCs w:val="4"/>
              </w:rPr>
            </w:r>
          </w:p>
        </w:tc>
        <w:tc>
          <w:tcPr>
            <w:tcW w:w="83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(3,171</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4,171</w:t>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17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Marketing-related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4,929</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33" w:type="dxa"/>
            <w:tcBorders/>
            <w:shd w:fill="auto" w:val="clear"/>
            <w:vAlign w:val="center"/>
          </w:tcPr>
          <w:p>
            <w:pPr>
              <w:pStyle w:val="TableContents"/>
              <w:spacing w:before="0" w:after="283"/>
              <w:ind w:left="0" w:right="0" w:hanging="0"/>
              <w:rPr>
                <w:sz w:val="4"/>
                <w:szCs w:val="4"/>
              </w:rPr>
            </w:pPr>
            <w:r>
              <w:rPr>
                <w:sz w:val="4"/>
                <w:szCs w:val="4"/>
              </w:rPr>
            </w:r>
          </w:p>
        </w:tc>
        <w:tc>
          <w:tcPr>
            <w:tcW w:w="833"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(2,393</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2,536</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4,942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33" w:type="dxa"/>
            <w:tcBorders/>
            <w:shd w:fill="auto" w:val="clear"/>
            <w:vAlign w:val="center"/>
          </w:tcPr>
          <w:p>
            <w:pPr>
              <w:pStyle w:val="TableContents"/>
              <w:spacing w:before="0" w:after="283"/>
              <w:ind w:left="0" w:right="0" w:hanging="0"/>
              <w:rPr>
                <w:sz w:val="4"/>
                <w:szCs w:val="4"/>
              </w:rPr>
            </w:pPr>
            <w:r>
              <w:rPr>
                <w:sz w:val="4"/>
                <w:szCs w:val="4"/>
              </w:rPr>
            </w:r>
          </w:p>
        </w:tc>
        <w:tc>
          <w:tcPr>
            <w:tcW w:w="83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(2,143</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2,799</w:t>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17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Contract-based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33" w:type="dxa"/>
            <w:tcBorders/>
            <w:shd w:fill="auto" w:val="clear"/>
            <w:vAlign w:val="center"/>
          </w:tcPr>
          <w:p>
            <w:pPr>
              <w:pStyle w:val="TableContents"/>
              <w:spacing w:before="0" w:after="283"/>
              <w:ind w:left="0" w:right="0" w:hanging="0"/>
              <w:rPr>
                <w:sz w:val="4"/>
                <w:szCs w:val="4"/>
              </w:rPr>
            </w:pPr>
            <w:r>
              <w:rPr>
                <w:sz w:val="4"/>
                <w:szCs w:val="4"/>
              </w:rPr>
            </w:r>
          </w:p>
        </w:tc>
        <w:tc>
          <w:tcPr>
            <w:tcW w:w="833"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(13</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10</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33" w:type="dxa"/>
            <w:tcBorders/>
            <w:shd w:fill="auto" w:val="clear"/>
            <w:vAlign w:val="center"/>
          </w:tcPr>
          <w:p>
            <w:pPr>
              <w:pStyle w:val="TableContents"/>
              <w:spacing w:before="0" w:after="283"/>
              <w:ind w:left="0" w:right="0" w:hanging="0"/>
              <w:rPr>
                <w:sz w:val="4"/>
                <w:szCs w:val="4"/>
              </w:rPr>
            </w:pPr>
            <w:r>
              <w:rPr>
                <w:sz w:val="4"/>
                <w:szCs w:val="4"/>
              </w:rPr>
            </w:r>
          </w:p>
        </w:tc>
        <w:tc>
          <w:tcPr>
            <w:tcW w:w="83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w:t>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175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75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436" w:type="dxa"/>
            <w:tcBorders/>
            <w:shd w:fill="auto" w:val="clear"/>
            <w:vAlign w:val="center"/>
          </w:tcPr>
          <w:p>
            <w:pPr>
              <w:pStyle w:val="TableContents"/>
              <w:spacing w:before="0" w:after="0"/>
              <w:ind w:left="0" w:right="0" w:firstLine="245"/>
              <w:jc w:val="left"/>
              <w:rPr/>
            </w:pPr>
            <w:r>
              <w:rPr/>
              <w:t> </w:t>
            </w:r>
          </w:p>
        </w:tc>
      </w:tr>
      <w:tr>
        <w:trPr/>
        <w:tc>
          <w:tcPr>
            <w:tcW w:w="1756"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Total</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23,488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33"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833"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(13,609</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5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9,879</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23,577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33"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3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(12,279</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11,298</w:t>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175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3"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3"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Arial;sans-serif" w:hAnsi="Arial;sans-serif"/>
          <w:b w:val="false"/>
          <w:sz w:val="20"/>
        </w:rPr>
        <w:t>Intangible assets amortization expense was $612</w:t>
      </w:r>
      <w:r>
        <w:rPr>
          <w:rFonts w:ascii="Times New Roman" w:hAnsi="Times New Roman"/>
          <w:sz w:val="20"/>
        </w:rPr>
        <w:t xml:space="preserve"> </w:t>
      </w:r>
      <w:r>
        <w:rPr>
          <w:rFonts w:ascii="Arial;sans-serif" w:hAnsi="Arial;sans-serif"/>
          <w:b w:val="false"/>
          <w:sz w:val="20"/>
        </w:rPr>
        <w:t>million and $1.9</w:t>
      </w:r>
      <w:r>
        <w:rPr>
          <w:rFonts w:ascii="Times New Roman" w:hAnsi="Times New Roman"/>
          <w:sz w:val="20"/>
        </w:rPr>
        <w:t xml:space="preserve"> </w:t>
      </w:r>
      <w:r>
        <w:rPr>
          <w:rFonts w:ascii="Arial;sans-serif" w:hAnsi="Arial;sans-serif"/>
          <w:b w:val="false"/>
          <w:sz w:val="20"/>
        </w:rPr>
        <w:t>billion for the three and nine months ended March 31, 2023, respectively, and $502</w:t>
      </w:r>
      <w:r>
        <w:rPr>
          <w:rFonts w:ascii="Times New Roman" w:hAnsi="Times New Roman"/>
          <w:sz w:val="20"/>
        </w:rPr>
        <w:t xml:space="preserve"> </w:t>
      </w:r>
      <w:r>
        <w:rPr>
          <w:rFonts w:ascii="Arial;sans-serif" w:hAnsi="Arial;sans-serif"/>
          <w:b w:val="false"/>
          <w:sz w:val="20"/>
        </w:rPr>
        <w:t>million and $1.4</w:t>
      </w:r>
      <w:r>
        <w:rPr>
          <w:rFonts w:ascii="Times New Roman" w:hAnsi="Times New Roman"/>
          <w:sz w:val="20"/>
        </w:rPr>
        <w:t xml:space="preserve"> </w:t>
      </w:r>
      <w:r>
        <w:rPr>
          <w:rFonts w:ascii="Arial;sans-serif" w:hAnsi="Arial;sans-serif"/>
          <w:b w:val="false"/>
          <w:sz w:val="20"/>
        </w:rPr>
        <w:t>billion for the three and nine months ended March 31, 2022, respectively.</w:t>
      </w:r>
    </w:p>
    <w:p>
      <w:pPr>
        <w:pStyle w:val="TextBody"/>
        <w:spacing w:before="180" w:after="0"/>
        <w:jc w:val="both"/>
        <w:rPr>
          <w:rFonts w:ascii="Arial;sans-serif" w:hAnsi="Arial;sans-serif"/>
          <w:b w:val="false"/>
          <w:sz w:val="20"/>
        </w:rPr>
      </w:pPr>
      <w:r>
        <w:rPr>
          <w:rFonts w:ascii="Arial;sans-serif" w:hAnsi="Arial;sans-serif"/>
          <w:b w:val="false"/>
          <w:sz w:val="20"/>
        </w:rPr>
        <w:t>The following table outlines the estimated future amortization expense related to intangible assets held as of March 31, 2023:</w:t>
      </w:r>
    </w:p>
    <w:p>
      <w:pPr>
        <w:pStyle w:val="TextBody"/>
        <w:spacing w:before="0" w:after="0"/>
        <w:jc w:val="both"/>
        <w:rPr/>
      </w:pPr>
      <w:r>
        <w:rPr/>
        <w:t> </w:t>
      </w:r>
    </w:p>
    <w:tbl>
      <w:tblPr>
        <w:tblW w:w="6375" w:type="dxa"/>
        <w:jc w:val="left"/>
        <w:tblInd w:w="0" w:type="dxa"/>
        <w:tblCellMar>
          <w:top w:w="28" w:type="dxa"/>
          <w:left w:w="28" w:type="dxa"/>
          <w:bottom w:w="28" w:type="dxa"/>
          <w:right w:w="28" w:type="dxa"/>
        </w:tblCellMar>
      </w:tblPr>
      <w:tblGrid>
        <w:gridCol w:w="4996"/>
        <w:gridCol w:w="146"/>
        <w:gridCol w:w="211"/>
        <w:gridCol w:w="586"/>
        <w:gridCol w:w="436"/>
      </w:tblGrid>
      <w:tr>
        <w:trPr/>
        <w:tc>
          <w:tcPr>
            <w:tcW w:w="499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586" w:type="dxa"/>
            <w:tcBorders/>
            <w:shd w:fill="FFFFFF" w:val="clear"/>
            <w:vAlign w:val="center"/>
          </w:tcPr>
          <w:p>
            <w:pPr>
              <w:pStyle w:val="TableContents"/>
              <w:spacing w:before="0" w:after="283"/>
              <w:rPr>
                <w:sz w:val="4"/>
                <w:szCs w:val="4"/>
              </w:rPr>
            </w:pPr>
            <w:r>
              <w:rPr>
                <w:sz w:val="4"/>
                <w:szCs w:val="4"/>
              </w:rPr>
            </w:r>
          </w:p>
        </w:tc>
        <w:tc>
          <w:tcPr>
            <w:tcW w:w="436" w:type="dxa"/>
            <w:tcBorders/>
            <w:shd w:fill="FFFFFF" w:val="clear"/>
            <w:vAlign w:val="center"/>
          </w:tcPr>
          <w:p>
            <w:pPr>
              <w:pStyle w:val="TableContents"/>
              <w:spacing w:before="0" w:after="283"/>
              <w:rPr>
                <w:sz w:val="4"/>
                <w:szCs w:val="4"/>
              </w:rPr>
            </w:pPr>
            <w:r>
              <w:rPr>
                <w:sz w:val="4"/>
                <w:szCs w:val="4"/>
              </w:rPr>
            </w:r>
          </w:p>
        </w:tc>
      </w:tr>
      <w:tr>
        <w:trPr/>
        <w:tc>
          <w:tcPr>
            <w:tcW w:w="4996"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(In millions)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97" w:type="dxa"/>
            <w:gridSpan w:val="2"/>
            <w:tcBorders/>
            <w:shd w:fill="auto" w:val="clear"/>
            <w:vAlign w:val="center"/>
          </w:tcPr>
          <w:p>
            <w:pPr>
              <w:pStyle w:val="TableContents"/>
              <w:spacing w:before="0" w:after="283"/>
              <w:ind w:left="0" w:right="0" w:hanging="0"/>
              <w:rPr>
                <w:sz w:val="4"/>
                <w:szCs w:val="4"/>
              </w:rPr>
            </w:pPr>
            <w:r>
              <w:rPr>
                <w:sz w:val="4"/>
                <w:szCs w:val="4"/>
              </w:rPr>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499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9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4996"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Year Ending June 30,</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283"/>
              <w:ind w:left="0" w:right="0" w:hanging="0"/>
              <w:rPr>
                <w:sz w:val="4"/>
                <w:szCs w:val="4"/>
              </w:rPr>
            </w:pPr>
            <w:r>
              <w:rPr>
                <w:sz w:val="4"/>
                <w:szCs w:val="4"/>
              </w:rPr>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4996" w:type="dxa"/>
            <w:tcBorders/>
            <w:shd w:fill="auto" w:val="clear"/>
            <w:vAlign w:val="center"/>
          </w:tcPr>
          <w:p>
            <w:pPr>
              <w:pStyle w:val="TableContents"/>
              <w:spacing w:before="0" w:after="283"/>
              <w:ind w:left="0" w:right="0" w:hanging="0"/>
              <w:rPr>
                <w:sz w:val="4"/>
                <w:szCs w:val="4"/>
              </w:rPr>
            </w:pPr>
            <w:r>
              <w:rPr>
                <w:sz w:val="4"/>
                <w:szCs w:val="4"/>
              </w:rPr>
            </w:r>
          </w:p>
        </w:tc>
        <w:tc>
          <w:tcPr>
            <w:tcW w:w="1379" w:type="dxa"/>
            <w:gridSpan w:val="4"/>
            <w:tcBorders/>
            <w:shd w:fill="auto" w:val="clear"/>
            <w:vAlign w:val="center"/>
          </w:tcPr>
          <w:p>
            <w:pPr>
              <w:pStyle w:val="TableContents"/>
              <w:spacing w:before="0" w:after="0"/>
              <w:ind w:left="0" w:right="0" w:hanging="0"/>
              <w:jc w:val="left"/>
              <w:rPr/>
            </w:pPr>
            <w:r>
              <w:rPr/>
              <w:t> </w:t>
            </w:r>
          </w:p>
        </w:tc>
      </w:tr>
      <w:tr>
        <w:trPr/>
        <w:tc>
          <w:tcPr>
            <w:tcW w:w="499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2023 (excluding the nine months ended March 31, 2023)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5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628</w:t>
            </w:r>
          </w:p>
        </w:tc>
        <w:tc>
          <w:tcPr>
            <w:tcW w:w="436" w:type="dxa"/>
            <w:tcBorders/>
            <w:shd w:fill="auto" w:val="clear"/>
            <w:vAlign w:val="center"/>
          </w:tcPr>
          <w:p>
            <w:pPr>
              <w:pStyle w:val="TableContents"/>
              <w:spacing w:before="0" w:after="0"/>
              <w:ind w:left="0" w:right="0" w:hanging="0"/>
              <w:jc w:val="left"/>
              <w:rPr/>
            </w:pPr>
            <w:r>
              <w:rPr/>
              <w:t> </w:t>
            </w:r>
          </w:p>
        </w:tc>
      </w:tr>
      <w:tr>
        <w:trPr/>
        <w:tc>
          <w:tcPr>
            <w:tcW w:w="499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2024</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2,403</w:t>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499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2025</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1,869</w:t>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499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2026</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1,341</w:t>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499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2027</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900</w:t>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499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Thereafter</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2,738</w:t>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499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9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 </w:t>
            </w:r>
          </w:p>
        </w:tc>
        <w:tc>
          <w:tcPr>
            <w:tcW w:w="436" w:type="dxa"/>
            <w:tcBorders/>
            <w:shd w:fill="auto" w:val="clear"/>
            <w:vAlign w:val="center"/>
          </w:tcPr>
          <w:p>
            <w:pPr>
              <w:pStyle w:val="TableContents"/>
              <w:spacing w:before="0" w:after="0"/>
              <w:ind w:left="0" w:right="0" w:firstLine="245"/>
              <w:jc w:val="left"/>
              <w:rPr/>
            </w:pPr>
            <w:r>
              <w:rPr/>
              <w:t> </w:t>
            </w:r>
          </w:p>
        </w:tc>
      </w:tr>
      <w:tr>
        <w:trPr/>
        <w:tc>
          <w:tcPr>
            <w:tcW w:w="4996"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Total</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5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9,879</w:t>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499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Arial;sans-serif" w:hAnsi="Arial;sans-serif"/>
          <w:b w:val="false"/>
          <w:sz w:val="16"/>
        </w:rPr>
      </w:pPr>
      <w:r>
        <w:rPr>
          <w:rFonts w:ascii="Arial;sans-serif" w:hAnsi="Arial;sans-serif"/>
          <w:b w:val="false"/>
          <w:sz w:val="16"/>
        </w:rPr>
        <w:t>20</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w:t>
      </w:r>
    </w:p>
    <w:p>
      <w:pPr>
        <w:pStyle w:val="TextBody"/>
        <w:spacing w:before="0" w:after="0"/>
        <w:jc w:val="center"/>
        <w:rPr>
          <w:rFonts w:ascii="Arial;sans-serif" w:hAnsi="Arial;sans-serif"/>
          <w:b w:val="false"/>
          <w:sz w:val="15"/>
        </w:rPr>
      </w:pPr>
      <w:r>
        <w:rPr>
          <w:rFonts w:ascii="Arial;sans-serif" w:hAnsi="Arial;sans-serif"/>
          <w:b w:val="false"/>
          <w:sz w:val="15"/>
        </w:rPr>
        <w:t>Item 1</w:t>
      </w:r>
    </w:p>
    <w:p>
      <w:pPr>
        <w:pStyle w:val="TextBody"/>
        <w:spacing w:before="0" w:after="0"/>
        <w:jc w:val="left"/>
        <w:rPr/>
      </w:pPr>
      <w:r>
        <w:rPr/>
        <w:t> </w:t>
      </w:r>
    </w:p>
    <w:p>
      <w:pPr>
        <w:pStyle w:val="TextBody"/>
        <w:spacing w:before="90" w:after="0"/>
        <w:jc w:val="center"/>
        <w:rPr>
          <w:rFonts w:ascii="Times New Roman" w:hAnsi="Times New Roman"/>
          <w:sz w:val="20"/>
        </w:rPr>
      </w:pPr>
      <w:r>
        <w:rPr>
          <w:rFonts w:ascii="Arial;sans-serif" w:hAnsi="Arial;sans-serif"/>
          <w:b w:val="false"/>
          <w:sz w:val="20"/>
          <w:u w:val="single"/>
        </w:rPr>
        <w:t xml:space="preserve">NOTE 10 </w:t>
      </w:r>
      <w:r>
        <w:rPr>
          <w:rFonts w:ascii="Times New Roman" w:hAnsi="Times New Roman"/>
          <w:caps/>
          <w:sz w:val="20"/>
          <w:u w:val="single"/>
        </w:rPr>
        <w:t>—</w:t>
      </w:r>
      <w:r>
        <w:rPr>
          <w:rFonts w:ascii="Times New Roman" w:hAnsi="Times New Roman"/>
          <w:sz w:val="20"/>
          <w:u w:val="single"/>
        </w:rPr>
        <w:t xml:space="preserve"> </w:t>
      </w:r>
      <w:r>
        <w:rPr>
          <w:rFonts w:ascii="Arial;sans-serif" w:hAnsi="Arial;sans-serif"/>
          <w:b w:val="false"/>
          <w:sz w:val="20"/>
          <w:u w:val="single"/>
        </w:rPr>
        <w:t>DEBT</w:t>
      </w:r>
      <w:r>
        <w:rPr>
          <w:rFonts w:ascii="Times New Roman" w:hAnsi="Times New Roman"/>
          <w:sz w:val="20"/>
        </w:rPr>
        <w:t xml:space="preserve"> </w:t>
      </w:r>
    </w:p>
    <w:p>
      <w:pPr>
        <w:pStyle w:val="TextBody"/>
        <w:spacing w:before="180" w:after="0"/>
        <w:jc w:val="both"/>
        <w:rPr>
          <w:rFonts w:ascii="Arial;sans-serif" w:hAnsi="Arial;sans-serif"/>
          <w:b w:val="false"/>
          <w:sz w:val="20"/>
        </w:rPr>
      </w:pPr>
      <w:r>
        <w:rPr>
          <w:rFonts w:ascii="Arial;sans-serif" w:hAnsi="Arial;sans-serif"/>
          <w:b w:val="false"/>
          <w:sz w:val="20"/>
        </w:rPr>
        <w:t>The components of debt were as follows: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492"/>
        <w:gridCol w:w="146"/>
        <w:gridCol w:w="146"/>
        <w:gridCol w:w="526"/>
        <w:gridCol w:w="226"/>
        <w:gridCol w:w="526"/>
        <w:gridCol w:w="146"/>
        <w:gridCol w:w="146"/>
        <w:gridCol w:w="565"/>
        <w:gridCol w:w="226"/>
        <w:gridCol w:w="565"/>
        <w:gridCol w:w="146"/>
        <w:gridCol w:w="146"/>
        <w:gridCol w:w="565"/>
        <w:gridCol w:w="226"/>
        <w:gridCol w:w="565"/>
        <w:gridCol w:w="146"/>
        <w:gridCol w:w="146"/>
        <w:gridCol w:w="211"/>
        <w:gridCol w:w="691"/>
        <w:gridCol w:w="166"/>
        <w:gridCol w:w="146"/>
        <w:gridCol w:w="211"/>
        <w:gridCol w:w="691"/>
        <w:gridCol w:w="439"/>
      </w:tblGrid>
      <w:tr>
        <w:trPr/>
        <w:tc>
          <w:tcPr>
            <w:tcW w:w="249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r>
      <w:tr>
        <w:trPr/>
        <w:tc>
          <w:tcPr>
            <w:tcW w:w="2492"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(In millions, issuance by calendar year)</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24" w:type="dxa"/>
            <w:gridSpan w:val="4"/>
            <w:tcBorders/>
            <w:shd w:fill="auto" w:val="clear"/>
            <w:vAlign w:val="center"/>
          </w:tcPr>
          <w:p>
            <w:pPr>
              <w:pStyle w:val="TableContents"/>
              <w:spacing w:before="0" w:after="0"/>
              <w:ind w:left="0" w:right="0" w:hanging="0"/>
              <w:jc w:val="center"/>
              <w:rPr>
                <w:rFonts w:ascii="Arial;sans-serif" w:hAnsi="Arial;sans-serif"/>
                <w:b/>
                <w:sz w:val="15"/>
              </w:rPr>
            </w:pPr>
            <w:r>
              <w:rPr>
                <w:rFonts w:ascii="Arial;sans-serif" w:hAnsi="Arial;sans-serif"/>
                <w:b/>
                <w:sz w:val="15"/>
              </w:rPr>
              <w:t>Maturities</w:t>
            </w:r>
          </w:p>
          <w:p>
            <w:pPr>
              <w:pStyle w:val="TableContents"/>
              <w:spacing w:before="0" w:after="0"/>
              <w:ind w:left="0" w:right="0" w:hanging="0"/>
              <w:jc w:val="center"/>
              <w:rPr>
                <w:rFonts w:ascii="Arial;sans-serif" w:hAnsi="Arial;sans-serif"/>
                <w:b/>
                <w:sz w:val="15"/>
              </w:rPr>
            </w:pPr>
            <w:r>
              <w:rPr>
                <w:rFonts w:ascii="Arial;sans-serif" w:hAnsi="Arial;sans-serif"/>
                <w:b/>
                <w:sz w:val="15"/>
              </w:rPr>
              <w:t>(calendar year)</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502" w:type="dxa"/>
            <w:gridSpan w:val="4"/>
            <w:tcBorders/>
            <w:shd w:fill="auto" w:val="clear"/>
            <w:vAlign w:val="center"/>
          </w:tcPr>
          <w:p>
            <w:pPr>
              <w:pStyle w:val="TableContents"/>
              <w:spacing w:before="0" w:after="0"/>
              <w:ind w:left="0" w:right="0" w:hanging="0"/>
              <w:jc w:val="center"/>
              <w:rPr>
                <w:rFonts w:ascii="Arial;sans-serif" w:hAnsi="Arial;sans-serif"/>
                <w:b/>
                <w:sz w:val="15"/>
              </w:rPr>
            </w:pPr>
            <w:r>
              <w:rPr>
                <w:rFonts w:ascii="Arial;sans-serif" w:hAnsi="Arial;sans-serif"/>
                <w:b/>
                <w:sz w:val="15"/>
              </w:rPr>
              <w:t>Stated Interest</w:t>
            </w:r>
          </w:p>
          <w:p>
            <w:pPr>
              <w:pStyle w:val="TableContents"/>
              <w:spacing w:before="0" w:after="0"/>
              <w:ind w:left="0" w:right="0" w:hanging="0"/>
              <w:jc w:val="center"/>
              <w:rPr>
                <w:rFonts w:ascii="Arial;sans-serif" w:hAnsi="Arial;sans-serif"/>
                <w:b/>
                <w:sz w:val="15"/>
              </w:rPr>
            </w:pPr>
            <w:r>
              <w:rPr>
                <w:rFonts w:ascii="Arial;sans-serif" w:hAnsi="Arial;sans-serif"/>
                <w:b/>
                <w:sz w:val="15"/>
              </w:rPr>
              <w:t>Rate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356" w:type="dxa"/>
            <w:gridSpan w:val="3"/>
            <w:tcBorders/>
            <w:shd w:fill="auto" w:val="clear"/>
            <w:vAlign w:val="center"/>
          </w:tcPr>
          <w:p>
            <w:pPr>
              <w:pStyle w:val="TableContents"/>
              <w:spacing w:before="0" w:after="0"/>
              <w:ind w:left="0" w:right="0" w:hanging="0"/>
              <w:jc w:val="center"/>
              <w:rPr>
                <w:rFonts w:ascii="Arial;sans-serif" w:hAnsi="Arial;sans-serif"/>
                <w:b/>
                <w:sz w:val="15"/>
              </w:rPr>
            </w:pPr>
            <w:r>
              <w:rPr>
                <w:rFonts w:ascii="Arial;sans-serif" w:hAnsi="Arial;sans-serif"/>
                <w:b/>
                <w:sz w:val="15"/>
              </w:rPr>
              <w:t>Effective Interest</w:t>
            </w:r>
          </w:p>
          <w:p>
            <w:pPr>
              <w:pStyle w:val="TableContents"/>
              <w:spacing w:before="0" w:after="0"/>
              <w:ind w:left="0" w:right="0" w:hanging="0"/>
              <w:jc w:val="center"/>
              <w:rPr>
                <w:rFonts w:ascii="Arial;sans-serif" w:hAnsi="Arial;sans-serif"/>
                <w:b/>
                <w:sz w:val="15"/>
              </w:rPr>
            </w:pPr>
            <w:r>
              <w:rPr>
                <w:rFonts w:ascii="Arial;sans-serif" w:hAnsi="Arial;sans-serif"/>
                <w:b/>
                <w:sz w:val="15"/>
              </w:rPr>
              <w:t>Rate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2"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02"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June 30,</w:t>
            </w:r>
          </w:p>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439" w:type="dxa"/>
            <w:tcBorders/>
            <w:shd w:fill="auto" w:val="clear"/>
            <w:vAlign w:val="center"/>
          </w:tcPr>
          <w:p>
            <w:pPr>
              <w:pStyle w:val="TableContents"/>
              <w:spacing w:before="0" w:after="283"/>
              <w:ind w:left="0" w:right="0" w:hanging="0"/>
              <w:rPr>
                <w:sz w:val="4"/>
                <w:szCs w:val="4"/>
              </w:rPr>
            </w:pPr>
            <w:r>
              <w:rPr>
                <w:sz w:val="4"/>
                <w:szCs w:val="4"/>
              </w:rPr>
            </w:r>
          </w:p>
        </w:tc>
      </w:tr>
      <w:tr>
        <w:trPr/>
        <w:tc>
          <w:tcPr>
            <w:tcW w:w="2492"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24" w:type="dxa"/>
            <w:gridSpan w:val="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02" w:type="dxa"/>
            <w:gridSpan w:val="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56"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49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424" w:type="dxa"/>
            <w:gridSpan w:val="4"/>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2" w:type="dxa"/>
            <w:gridSpan w:val="4"/>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2" w:type="dxa"/>
            <w:gridSpan w:val="4"/>
            <w:tcBorders/>
            <w:shd w:fill="auto" w:val="clear"/>
            <w:vAlign w:val="center"/>
          </w:tcPr>
          <w:p>
            <w:pPr>
              <w:pStyle w:val="TableContents"/>
              <w:spacing w:before="0" w:after="0"/>
              <w:ind w:left="0" w:right="0" w:hanging="0"/>
              <w:jc w:val="left"/>
              <w:rPr/>
            </w:pPr>
            <w:r>
              <w:rPr/>
              <w:t> </w:t>
            </w:r>
          </w:p>
        </w:tc>
        <w:tc>
          <w:tcPr>
            <w:tcW w:w="292"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2" w:type="dxa"/>
            <w:gridSpan w:val="2"/>
            <w:tcBorders/>
            <w:shd w:fill="auto" w:val="clear"/>
            <w:vAlign w:val="center"/>
          </w:tcPr>
          <w:p>
            <w:pPr>
              <w:pStyle w:val="TableContents"/>
              <w:spacing w:before="0" w:after="0"/>
              <w:ind w:left="0" w:right="0" w:hanging="0"/>
              <w:jc w:val="left"/>
              <w:rPr/>
            </w:pPr>
            <w:r>
              <w:rPr/>
              <w:t> </w:t>
            </w:r>
          </w:p>
        </w:tc>
        <w:tc>
          <w:tcPr>
            <w:tcW w:w="439" w:type="dxa"/>
            <w:tcBorders/>
            <w:shd w:fill="auto" w:val="clear"/>
            <w:vAlign w:val="center"/>
          </w:tcPr>
          <w:p>
            <w:pPr>
              <w:pStyle w:val="TableContents"/>
              <w:spacing w:before="0" w:after="0"/>
              <w:ind w:left="0" w:right="0" w:hanging="0"/>
              <w:jc w:val="left"/>
              <w:rPr/>
            </w:pPr>
            <w:r>
              <w:rPr/>
              <w:t> </w:t>
            </w:r>
          </w:p>
        </w:tc>
      </w:tr>
      <w:tr>
        <w:trPr/>
        <w:tc>
          <w:tcPr>
            <w:tcW w:w="2492"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2009</w:t>
            </w:r>
            <w:r>
              <w:rPr>
                <w:rFonts w:ascii="Times New Roman" w:hAnsi="Times New Roman"/>
                <w:sz w:val="20"/>
              </w:rPr>
              <w:t> </w:t>
            </w:r>
            <w:r>
              <w:rPr>
                <w:rFonts w:ascii="Arial;sans-serif" w:hAnsi="Arial;sans-serif"/>
                <w:b w:val="false"/>
                <w:sz w:val="20"/>
              </w:rPr>
              <w:t>issuance of $3.8</w:t>
            </w:r>
            <w:r>
              <w:rPr>
                <w:rFonts w:ascii="Times New Roman" w:hAnsi="Times New Roman"/>
                <w:sz w:val="20"/>
              </w:rPr>
              <w:t> </w:t>
            </w:r>
            <w:r>
              <w:rPr>
                <w:rFonts w:ascii="Arial;sans-serif" w:hAnsi="Arial;sans-serif"/>
                <w:b w:val="false"/>
                <w:sz w:val="20"/>
              </w:rPr>
              <w:t>billion</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2039</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65"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565"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5.20%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65"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565"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5.24%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520</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520</w:t>
            </w:r>
          </w:p>
        </w:tc>
        <w:tc>
          <w:tcPr>
            <w:tcW w:w="439" w:type="dxa"/>
            <w:tcBorders/>
            <w:shd w:fill="auto" w:val="clear"/>
            <w:vAlign w:val="center"/>
          </w:tcPr>
          <w:p>
            <w:pPr>
              <w:pStyle w:val="TableContents"/>
              <w:spacing w:before="0" w:after="283"/>
              <w:ind w:left="0" w:right="0" w:hanging="0"/>
              <w:rPr>
                <w:sz w:val="4"/>
                <w:szCs w:val="4"/>
              </w:rPr>
            </w:pPr>
            <w:r>
              <w:rPr>
                <w:sz w:val="4"/>
                <w:szCs w:val="4"/>
              </w:rPr>
            </w:r>
          </w:p>
        </w:tc>
      </w:tr>
      <w:tr>
        <w:trPr/>
        <w:tc>
          <w:tcPr>
            <w:tcW w:w="2492"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2010</w:t>
            </w:r>
            <w:r>
              <w:rPr>
                <w:rFonts w:ascii="Times New Roman" w:hAnsi="Times New Roman"/>
                <w:sz w:val="20"/>
              </w:rPr>
              <w:t> </w:t>
            </w:r>
            <w:r>
              <w:rPr>
                <w:rFonts w:ascii="Arial;sans-serif" w:hAnsi="Arial;sans-serif"/>
                <w:b w:val="false"/>
                <w:sz w:val="20"/>
              </w:rPr>
              <w:t>issuance of $4.8</w:t>
            </w:r>
            <w:r>
              <w:rPr>
                <w:rFonts w:ascii="Times New Roman" w:hAnsi="Times New Roman"/>
                <w:sz w:val="20"/>
              </w:rPr>
              <w:t> </w:t>
            </w:r>
            <w:r>
              <w:rPr>
                <w:rFonts w:ascii="Arial;sans-serif" w:hAnsi="Arial;sans-serif"/>
                <w:b w:val="false"/>
                <w:sz w:val="20"/>
              </w:rPr>
              <w:t>billion</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2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2040</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65"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565"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4.50%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65"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565"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4.57%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486</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486</w:t>
            </w:r>
          </w:p>
        </w:tc>
        <w:tc>
          <w:tcPr>
            <w:tcW w:w="439" w:type="dxa"/>
            <w:tcBorders/>
            <w:shd w:fill="auto" w:val="clear"/>
            <w:vAlign w:val="center"/>
          </w:tcPr>
          <w:p>
            <w:pPr>
              <w:pStyle w:val="TableContents"/>
              <w:spacing w:before="0" w:after="283"/>
              <w:ind w:left="0" w:right="0" w:hanging="0"/>
              <w:rPr>
                <w:sz w:val="4"/>
                <w:szCs w:val="4"/>
              </w:rPr>
            </w:pPr>
            <w:r>
              <w:rPr>
                <w:sz w:val="4"/>
                <w:szCs w:val="4"/>
              </w:rPr>
            </w:r>
          </w:p>
        </w:tc>
      </w:tr>
      <w:tr>
        <w:trPr/>
        <w:tc>
          <w:tcPr>
            <w:tcW w:w="2492"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2011</w:t>
            </w:r>
            <w:r>
              <w:rPr>
                <w:rFonts w:ascii="Times New Roman" w:hAnsi="Times New Roman"/>
                <w:sz w:val="20"/>
              </w:rPr>
              <w:t> </w:t>
            </w:r>
            <w:r>
              <w:rPr>
                <w:rFonts w:ascii="Arial;sans-serif" w:hAnsi="Arial;sans-serif"/>
                <w:b w:val="false"/>
                <w:sz w:val="20"/>
              </w:rPr>
              <w:t>issuance of $2.3</w:t>
            </w:r>
            <w:r>
              <w:rPr>
                <w:rFonts w:ascii="Times New Roman" w:hAnsi="Times New Roman"/>
                <w:sz w:val="20"/>
              </w:rPr>
              <w:t> </w:t>
            </w:r>
            <w:r>
              <w:rPr>
                <w:rFonts w:ascii="Arial;sans-serif" w:hAnsi="Arial;sans-serif"/>
                <w:b w:val="false"/>
                <w:sz w:val="20"/>
              </w:rPr>
              <w:t>billion</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2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2041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65"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565"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5.30%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65"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565"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5.36%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718</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718</w:t>
            </w:r>
          </w:p>
        </w:tc>
        <w:tc>
          <w:tcPr>
            <w:tcW w:w="439" w:type="dxa"/>
            <w:tcBorders/>
            <w:shd w:fill="auto" w:val="clear"/>
            <w:vAlign w:val="center"/>
          </w:tcPr>
          <w:p>
            <w:pPr>
              <w:pStyle w:val="TableContents"/>
              <w:spacing w:before="0" w:after="283"/>
              <w:ind w:left="0" w:right="0" w:hanging="0"/>
              <w:rPr>
                <w:sz w:val="4"/>
                <w:szCs w:val="4"/>
              </w:rPr>
            </w:pPr>
            <w:r>
              <w:rPr>
                <w:sz w:val="4"/>
                <w:szCs w:val="4"/>
              </w:rPr>
            </w:r>
          </w:p>
        </w:tc>
      </w:tr>
      <w:tr>
        <w:trPr/>
        <w:tc>
          <w:tcPr>
            <w:tcW w:w="2492"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2012</w:t>
            </w:r>
            <w:r>
              <w:rPr>
                <w:rFonts w:ascii="Times New Roman" w:hAnsi="Times New Roman"/>
                <w:sz w:val="20"/>
              </w:rPr>
              <w:t> </w:t>
            </w:r>
            <w:r>
              <w:rPr>
                <w:rFonts w:ascii="Arial;sans-serif" w:hAnsi="Arial;sans-serif"/>
                <w:b w:val="false"/>
                <w:sz w:val="20"/>
              </w:rPr>
              <w:t>issuance of $2.3</w:t>
            </w:r>
            <w:r>
              <w:rPr>
                <w:rFonts w:ascii="Times New Roman" w:hAnsi="Times New Roman"/>
                <w:sz w:val="20"/>
              </w:rPr>
              <w:t> </w:t>
            </w:r>
            <w:r>
              <w:rPr>
                <w:rFonts w:ascii="Arial;sans-serif" w:hAnsi="Arial;sans-serif"/>
                <w:b w:val="false"/>
                <w:sz w:val="20"/>
              </w:rPr>
              <w:t>billion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2022</w:t>
            </w:r>
          </w:p>
        </w:tc>
        <w:tc>
          <w:tcPr>
            <w:tcW w:w="226" w:type="dxa"/>
            <w:tcBorders/>
            <w:shd w:fill="auto" w:val="clear"/>
            <w:vAlign w:val="center"/>
          </w:tcPr>
          <w:p>
            <w:pPr>
              <w:pStyle w:val="TableContents"/>
              <w:spacing w:before="0" w:after="0"/>
              <w:ind w:left="0" w:right="0" w:hanging="0"/>
              <w:jc w:val="center"/>
              <w:rPr/>
            </w:pPr>
            <w:r>
              <w:rPr/>
              <w:t>–</w:t>
            </w:r>
          </w:p>
        </w:tc>
        <w:tc>
          <w:tcPr>
            <w:tcW w:w="52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2042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5"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2.13%</w:t>
            </w:r>
          </w:p>
        </w:tc>
        <w:tc>
          <w:tcPr>
            <w:tcW w:w="226" w:type="dxa"/>
            <w:tcBorders/>
            <w:shd w:fill="auto" w:val="clear"/>
            <w:vAlign w:val="center"/>
          </w:tcPr>
          <w:p>
            <w:pPr>
              <w:pStyle w:val="TableContents"/>
              <w:spacing w:before="0" w:after="0"/>
              <w:ind w:left="0" w:right="0" w:hanging="0"/>
              <w:jc w:val="center"/>
              <w:rPr/>
            </w:pPr>
            <w:r>
              <w:rPr/>
              <w:t>–</w:t>
            </w:r>
          </w:p>
        </w:tc>
        <w:tc>
          <w:tcPr>
            <w:tcW w:w="565"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3.50%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5"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2.24%</w:t>
            </w:r>
          </w:p>
        </w:tc>
        <w:tc>
          <w:tcPr>
            <w:tcW w:w="226" w:type="dxa"/>
            <w:tcBorders/>
            <w:shd w:fill="auto" w:val="clear"/>
            <w:vAlign w:val="center"/>
          </w:tcPr>
          <w:p>
            <w:pPr>
              <w:pStyle w:val="TableContents"/>
              <w:spacing w:before="0" w:after="0"/>
              <w:ind w:left="0" w:right="0" w:hanging="0"/>
              <w:jc w:val="center"/>
              <w:rPr/>
            </w:pPr>
            <w:r>
              <w:rPr/>
              <w:t>–</w:t>
            </w:r>
          </w:p>
        </w:tc>
        <w:tc>
          <w:tcPr>
            <w:tcW w:w="565"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3.57%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454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1,204</w:t>
            </w:r>
          </w:p>
        </w:tc>
        <w:tc>
          <w:tcPr>
            <w:tcW w:w="439" w:type="dxa"/>
            <w:tcBorders/>
            <w:shd w:fill="auto" w:val="clear"/>
            <w:vAlign w:val="center"/>
          </w:tcPr>
          <w:p>
            <w:pPr>
              <w:pStyle w:val="TableContents"/>
              <w:spacing w:before="0" w:after="0"/>
              <w:ind w:left="0" w:right="0" w:hanging="0"/>
              <w:jc w:val="left"/>
              <w:rPr/>
            </w:pPr>
            <w:r>
              <w:rPr/>
              <w:t> </w:t>
            </w:r>
          </w:p>
        </w:tc>
      </w:tr>
      <w:tr>
        <w:trPr/>
        <w:tc>
          <w:tcPr>
            <w:tcW w:w="2492"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2013</w:t>
            </w:r>
            <w:r>
              <w:rPr>
                <w:rFonts w:ascii="Times New Roman" w:hAnsi="Times New Roman"/>
                <w:sz w:val="20"/>
              </w:rPr>
              <w:t> </w:t>
            </w:r>
            <w:r>
              <w:rPr>
                <w:rFonts w:ascii="Arial;sans-serif" w:hAnsi="Arial;sans-serif"/>
                <w:b w:val="false"/>
                <w:sz w:val="20"/>
              </w:rPr>
              <w:t>issuance of $5.2</w:t>
            </w:r>
            <w:r>
              <w:rPr>
                <w:rFonts w:ascii="Times New Roman" w:hAnsi="Times New Roman"/>
                <w:sz w:val="20"/>
              </w:rPr>
              <w:t> </w:t>
            </w:r>
            <w:r>
              <w:rPr>
                <w:rFonts w:ascii="Arial;sans-serif" w:hAnsi="Arial;sans-serif"/>
                <w:b w:val="false"/>
                <w:sz w:val="20"/>
              </w:rPr>
              <w:t>billion</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2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2023</w:t>
            </w:r>
          </w:p>
        </w:tc>
        <w:tc>
          <w:tcPr>
            <w:tcW w:w="226" w:type="dxa"/>
            <w:tcBorders/>
            <w:shd w:fill="auto" w:val="clear"/>
            <w:vAlign w:val="center"/>
          </w:tcPr>
          <w:p>
            <w:pPr>
              <w:pStyle w:val="TableContents"/>
              <w:spacing w:before="0" w:after="0"/>
              <w:ind w:left="0" w:right="0" w:hanging="0"/>
              <w:jc w:val="center"/>
              <w:rPr/>
            </w:pPr>
            <w:r>
              <w:rPr/>
              <w:t>–</w:t>
            </w:r>
          </w:p>
        </w:tc>
        <w:tc>
          <w:tcPr>
            <w:tcW w:w="52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2043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65"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2.38%</w:t>
            </w:r>
          </w:p>
        </w:tc>
        <w:tc>
          <w:tcPr>
            <w:tcW w:w="226" w:type="dxa"/>
            <w:tcBorders/>
            <w:shd w:fill="auto" w:val="clear"/>
            <w:vAlign w:val="center"/>
          </w:tcPr>
          <w:p>
            <w:pPr>
              <w:pStyle w:val="TableContents"/>
              <w:spacing w:before="0" w:after="0"/>
              <w:ind w:left="0" w:right="0" w:hanging="0"/>
              <w:jc w:val="center"/>
              <w:rPr/>
            </w:pPr>
            <w:r>
              <w:rPr/>
              <w:t>–</w:t>
            </w:r>
          </w:p>
        </w:tc>
        <w:tc>
          <w:tcPr>
            <w:tcW w:w="565"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4.88%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65"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2.47%</w:t>
            </w:r>
          </w:p>
        </w:tc>
        <w:tc>
          <w:tcPr>
            <w:tcW w:w="226" w:type="dxa"/>
            <w:tcBorders/>
            <w:shd w:fill="auto" w:val="clear"/>
            <w:vAlign w:val="center"/>
          </w:tcPr>
          <w:p>
            <w:pPr>
              <w:pStyle w:val="TableContents"/>
              <w:spacing w:before="0" w:after="0"/>
              <w:ind w:left="0" w:right="0" w:hanging="0"/>
              <w:jc w:val="center"/>
              <w:rPr/>
            </w:pPr>
            <w:r>
              <w:rPr/>
              <w:t>–</w:t>
            </w:r>
          </w:p>
        </w:tc>
        <w:tc>
          <w:tcPr>
            <w:tcW w:w="565"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4.92%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2,814</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2,814</w:t>
            </w:r>
          </w:p>
        </w:tc>
        <w:tc>
          <w:tcPr>
            <w:tcW w:w="439" w:type="dxa"/>
            <w:tcBorders/>
            <w:shd w:fill="auto" w:val="clear"/>
            <w:vAlign w:val="center"/>
          </w:tcPr>
          <w:p>
            <w:pPr>
              <w:pStyle w:val="TableContents"/>
              <w:spacing w:before="0" w:after="283"/>
              <w:ind w:left="0" w:right="0" w:hanging="0"/>
              <w:rPr>
                <w:sz w:val="4"/>
                <w:szCs w:val="4"/>
              </w:rPr>
            </w:pPr>
            <w:r>
              <w:rPr>
                <w:sz w:val="4"/>
                <w:szCs w:val="4"/>
              </w:rPr>
            </w:r>
          </w:p>
        </w:tc>
      </w:tr>
      <w:tr>
        <w:trPr/>
        <w:tc>
          <w:tcPr>
            <w:tcW w:w="2492"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2013</w:t>
            </w:r>
            <w:r>
              <w:rPr>
                <w:rFonts w:ascii="Times New Roman" w:hAnsi="Times New Roman"/>
                <w:sz w:val="20"/>
              </w:rPr>
              <w:t> </w:t>
            </w:r>
            <w:r>
              <w:rPr>
                <w:rFonts w:ascii="Arial;sans-serif" w:hAnsi="Arial;sans-serif"/>
                <w:b w:val="false"/>
                <w:sz w:val="20"/>
              </w:rPr>
              <w:t>issuance of €4.1</w:t>
            </w:r>
            <w:r>
              <w:rPr>
                <w:rFonts w:ascii="Times New Roman" w:hAnsi="Times New Roman"/>
                <w:sz w:val="20"/>
              </w:rPr>
              <w:t> </w:t>
            </w:r>
            <w:r>
              <w:rPr>
                <w:rFonts w:ascii="Arial;sans-serif" w:hAnsi="Arial;sans-serif"/>
                <w:b w:val="false"/>
                <w:sz w:val="20"/>
              </w:rPr>
              <w:t>billion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2028</w:t>
            </w:r>
          </w:p>
        </w:tc>
        <w:tc>
          <w:tcPr>
            <w:tcW w:w="226" w:type="dxa"/>
            <w:tcBorders/>
            <w:shd w:fill="auto" w:val="clear"/>
            <w:vAlign w:val="center"/>
          </w:tcPr>
          <w:p>
            <w:pPr>
              <w:pStyle w:val="TableContents"/>
              <w:spacing w:before="0" w:after="0"/>
              <w:ind w:left="0" w:right="0" w:hanging="0"/>
              <w:jc w:val="center"/>
              <w:rPr/>
            </w:pPr>
            <w:r>
              <w:rPr/>
              <w:t>–</w:t>
            </w:r>
          </w:p>
        </w:tc>
        <w:tc>
          <w:tcPr>
            <w:tcW w:w="52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2033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5"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2.63%</w:t>
            </w:r>
          </w:p>
        </w:tc>
        <w:tc>
          <w:tcPr>
            <w:tcW w:w="226" w:type="dxa"/>
            <w:tcBorders/>
            <w:shd w:fill="auto" w:val="clear"/>
            <w:vAlign w:val="center"/>
          </w:tcPr>
          <w:p>
            <w:pPr>
              <w:pStyle w:val="TableContents"/>
              <w:spacing w:before="0" w:after="0"/>
              <w:ind w:left="0" w:right="0" w:hanging="0"/>
              <w:jc w:val="center"/>
              <w:rPr/>
            </w:pPr>
            <w:r>
              <w:rPr/>
              <w:t>–</w:t>
            </w:r>
          </w:p>
        </w:tc>
        <w:tc>
          <w:tcPr>
            <w:tcW w:w="565"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3.13%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5"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2.69%</w:t>
            </w:r>
          </w:p>
        </w:tc>
        <w:tc>
          <w:tcPr>
            <w:tcW w:w="226" w:type="dxa"/>
            <w:tcBorders/>
            <w:shd w:fill="auto" w:val="clear"/>
            <w:vAlign w:val="center"/>
          </w:tcPr>
          <w:p>
            <w:pPr>
              <w:pStyle w:val="TableContents"/>
              <w:spacing w:before="0" w:after="0"/>
              <w:ind w:left="0" w:right="0" w:hanging="0"/>
              <w:jc w:val="center"/>
              <w:rPr/>
            </w:pPr>
            <w:r>
              <w:rPr/>
              <w:t>–</w:t>
            </w:r>
          </w:p>
        </w:tc>
        <w:tc>
          <w:tcPr>
            <w:tcW w:w="565"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3.22%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2,499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2,404</w:t>
            </w:r>
          </w:p>
        </w:tc>
        <w:tc>
          <w:tcPr>
            <w:tcW w:w="439" w:type="dxa"/>
            <w:tcBorders/>
            <w:shd w:fill="auto" w:val="clear"/>
            <w:vAlign w:val="center"/>
          </w:tcPr>
          <w:p>
            <w:pPr>
              <w:pStyle w:val="TableContents"/>
              <w:spacing w:before="0" w:after="0"/>
              <w:ind w:left="0" w:right="0" w:hanging="0"/>
              <w:jc w:val="left"/>
              <w:rPr/>
            </w:pPr>
            <w:r>
              <w:rPr/>
              <w:t> </w:t>
            </w:r>
          </w:p>
        </w:tc>
      </w:tr>
      <w:tr>
        <w:trPr/>
        <w:tc>
          <w:tcPr>
            <w:tcW w:w="2492"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2015</w:t>
            </w:r>
            <w:r>
              <w:rPr>
                <w:rFonts w:ascii="Times New Roman" w:hAnsi="Times New Roman"/>
                <w:sz w:val="20"/>
              </w:rPr>
              <w:t> </w:t>
            </w:r>
            <w:r>
              <w:rPr>
                <w:rFonts w:ascii="Arial;sans-serif" w:hAnsi="Arial;sans-serif"/>
                <w:b w:val="false"/>
                <w:sz w:val="20"/>
              </w:rPr>
              <w:t>issuance of $23.8</w:t>
            </w:r>
            <w:r>
              <w:rPr>
                <w:rFonts w:ascii="Times New Roman" w:hAnsi="Times New Roman"/>
                <w:sz w:val="20"/>
              </w:rPr>
              <w:t> </w:t>
            </w:r>
            <w:r>
              <w:rPr>
                <w:rFonts w:ascii="Arial;sans-serif" w:hAnsi="Arial;sans-serif"/>
                <w:b w:val="false"/>
                <w:sz w:val="20"/>
              </w:rPr>
              <w:t>billion</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2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2025</w:t>
            </w:r>
          </w:p>
        </w:tc>
        <w:tc>
          <w:tcPr>
            <w:tcW w:w="226" w:type="dxa"/>
            <w:tcBorders/>
            <w:shd w:fill="auto" w:val="clear"/>
            <w:vAlign w:val="center"/>
          </w:tcPr>
          <w:p>
            <w:pPr>
              <w:pStyle w:val="TableContents"/>
              <w:spacing w:before="0" w:after="0"/>
              <w:ind w:left="0" w:right="0" w:hanging="0"/>
              <w:jc w:val="center"/>
              <w:rPr/>
            </w:pPr>
            <w:r>
              <w:rPr/>
              <w:t>–</w:t>
            </w:r>
          </w:p>
        </w:tc>
        <w:tc>
          <w:tcPr>
            <w:tcW w:w="52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2055</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65"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2.70%</w:t>
            </w:r>
          </w:p>
        </w:tc>
        <w:tc>
          <w:tcPr>
            <w:tcW w:w="226" w:type="dxa"/>
            <w:tcBorders/>
            <w:shd w:fill="auto" w:val="clear"/>
            <w:vAlign w:val="center"/>
          </w:tcPr>
          <w:p>
            <w:pPr>
              <w:pStyle w:val="TableContents"/>
              <w:spacing w:before="0" w:after="0"/>
              <w:ind w:left="0" w:right="0" w:hanging="0"/>
              <w:jc w:val="center"/>
              <w:rPr/>
            </w:pPr>
            <w:r>
              <w:rPr/>
              <w:t>–</w:t>
            </w:r>
          </w:p>
        </w:tc>
        <w:tc>
          <w:tcPr>
            <w:tcW w:w="565"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4.75%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65"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2.77%</w:t>
            </w:r>
          </w:p>
        </w:tc>
        <w:tc>
          <w:tcPr>
            <w:tcW w:w="226" w:type="dxa"/>
            <w:tcBorders/>
            <w:shd w:fill="auto" w:val="clear"/>
            <w:vAlign w:val="center"/>
          </w:tcPr>
          <w:p>
            <w:pPr>
              <w:pStyle w:val="TableContents"/>
              <w:spacing w:before="0" w:after="0"/>
              <w:ind w:left="0" w:right="0" w:hanging="0"/>
              <w:jc w:val="center"/>
              <w:rPr/>
            </w:pPr>
            <w:r>
              <w:rPr/>
              <w:t>–</w:t>
            </w:r>
          </w:p>
        </w:tc>
        <w:tc>
          <w:tcPr>
            <w:tcW w:w="565"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4.78%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9,805</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10,805</w:t>
            </w:r>
          </w:p>
        </w:tc>
        <w:tc>
          <w:tcPr>
            <w:tcW w:w="439" w:type="dxa"/>
            <w:tcBorders/>
            <w:shd w:fill="auto" w:val="clear"/>
            <w:vAlign w:val="center"/>
          </w:tcPr>
          <w:p>
            <w:pPr>
              <w:pStyle w:val="TableContents"/>
              <w:spacing w:before="0" w:after="283"/>
              <w:ind w:left="0" w:right="0" w:hanging="0"/>
              <w:rPr>
                <w:sz w:val="4"/>
                <w:szCs w:val="4"/>
              </w:rPr>
            </w:pPr>
            <w:r>
              <w:rPr>
                <w:sz w:val="4"/>
                <w:szCs w:val="4"/>
              </w:rPr>
            </w:r>
          </w:p>
        </w:tc>
      </w:tr>
      <w:tr>
        <w:trPr/>
        <w:tc>
          <w:tcPr>
            <w:tcW w:w="2492"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2016</w:t>
            </w:r>
            <w:r>
              <w:rPr>
                <w:rFonts w:ascii="Times New Roman" w:hAnsi="Times New Roman"/>
                <w:sz w:val="20"/>
              </w:rPr>
              <w:t> </w:t>
            </w:r>
            <w:r>
              <w:rPr>
                <w:rFonts w:ascii="Arial;sans-serif" w:hAnsi="Arial;sans-serif"/>
                <w:b w:val="false"/>
                <w:sz w:val="20"/>
              </w:rPr>
              <w:t>issuance of $19.8</w:t>
            </w:r>
            <w:r>
              <w:rPr>
                <w:rFonts w:ascii="Times New Roman" w:hAnsi="Times New Roman"/>
                <w:sz w:val="20"/>
              </w:rPr>
              <w:t> </w:t>
            </w:r>
            <w:r>
              <w:rPr>
                <w:rFonts w:ascii="Arial;sans-serif" w:hAnsi="Arial;sans-serif"/>
                <w:b w:val="false"/>
                <w:sz w:val="20"/>
              </w:rPr>
              <w:t>billion</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2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2023</w:t>
            </w:r>
          </w:p>
        </w:tc>
        <w:tc>
          <w:tcPr>
            <w:tcW w:w="226" w:type="dxa"/>
            <w:tcBorders/>
            <w:shd w:fill="auto" w:val="clear"/>
            <w:vAlign w:val="center"/>
          </w:tcPr>
          <w:p>
            <w:pPr>
              <w:pStyle w:val="TableContents"/>
              <w:spacing w:before="0" w:after="0"/>
              <w:ind w:left="0" w:right="0" w:hanging="0"/>
              <w:jc w:val="center"/>
              <w:rPr/>
            </w:pPr>
            <w:r>
              <w:rPr/>
              <w:t>–</w:t>
            </w:r>
          </w:p>
        </w:tc>
        <w:tc>
          <w:tcPr>
            <w:tcW w:w="52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2056</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65"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2.00%</w:t>
            </w:r>
          </w:p>
        </w:tc>
        <w:tc>
          <w:tcPr>
            <w:tcW w:w="226" w:type="dxa"/>
            <w:tcBorders/>
            <w:shd w:fill="auto" w:val="clear"/>
            <w:vAlign w:val="center"/>
          </w:tcPr>
          <w:p>
            <w:pPr>
              <w:pStyle w:val="TableContents"/>
              <w:spacing w:before="0" w:after="0"/>
              <w:ind w:left="0" w:right="0" w:hanging="0"/>
              <w:jc w:val="center"/>
              <w:rPr/>
            </w:pPr>
            <w:r>
              <w:rPr/>
              <w:t>–</w:t>
            </w:r>
          </w:p>
        </w:tc>
        <w:tc>
          <w:tcPr>
            <w:tcW w:w="565"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3.95%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65"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2.10%</w:t>
            </w:r>
          </w:p>
        </w:tc>
        <w:tc>
          <w:tcPr>
            <w:tcW w:w="226" w:type="dxa"/>
            <w:tcBorders/>
            <w:shd w:fill="auto" w:val="clear"/>
            <w:vAlign w:val="center"/>
          </w:tcPr>
          <w:p>
            <w:pPr>
              <w:pStyle w:val="TableContents"/>
              <w:spacing w:before="0" w:after="0"/>
              <w:ind w:left="0" w:right="0" w:hanging="0"/>
              <w:jc w:val="center"/>
              <w:rPr/>
            </w:pPr>
            <w:r>
              <w:rPr/>
              <w:t>–</w:t>
            </w:r>
          </w:p>
        </w:tc>
        <w:tc>
          <w:tcPr>
            <w:tcW w:w="565"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4.03%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9,430</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9,430</w:t>
            </w:r>
          </w:p>
        </w:tc>
        <w:tc>
          <w:tcPr>
            <w:tcW w:w="439" w:type="dxa"/>
            <w:tcBorders/>
            <w:shd w:fill="auto" w:val="clear"/>
            <w:vAlign w:val="center"/>
          </w:tcPr>
          <w:p>
            <w:pPr>
              <w:pStyle w:val="TableContents"/>
              <w:spacing w:before="0" w:after="283"/>
              <w:ind w:left="0" w:right="0" w:hanging="0"/>
              <w:rPr>
                <w:sz w:val="4"/>
                <w:szCs w:val="4"/>
              </w:rPr>
            </w:pPr>
            <w:r>
              <w:rPr>
                <w:sz w:val="4"/>
                <w:szCs w:val="4"/>
              </w:rPr>
            </w:r>
          </w:p>
        </w:tc>
      </w:tr>
      <w:tr>
        <w:trPr/>
        <w:tc>
          <w:tcPr>
            <w:tcW w:w="2492"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2017</w:t>
            </w:r>
            <w:r>
              <w:rPr>
                <w:rFonts w:ascii="Times New Roman" w:hAnsi="Times New Roman"/>
                <w:sz w:val="20"/>
              </w:rPr>
              <w:t> </w:t>
            </w:r>
            <w:r>
              <w:rPr>
                <w:rFonts w:ascii="Arial;sans-serif" w:hAnsi="Arial;sans-serif"/>
                <w:b w:val="false"/>
                <w:sz w:val="20"/>
              </w:rPr>
              <w:t>issuance of $17.0</w:t>
            </w:r>
            <w:r>
              <w:rPr>
                <w:rFonts w:ascii="Times New Roman" w:hAnsi="Times New Roman"/>
                <w:sz w:val="20"/>
              </w:rPr>
              <w:t> </w:t>
            </w:r>
            <w:r>
              <w:rPr>
                <w:rFonts w:ascii="Arial;sans-serif" w:hAnsi="Arial;sans-serif"/>
                <w:b w:val="false"/>
                <w:sz w:val="20"/>
              </w:rPr>
              <w:t>billion</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2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2024</w:t>
            </w:r>
          </w:p>
        </w:tc>
        <w:tc>
          <w:tcPr>
            <w:tcW w:w="226" w:type="dxa"/>
            <w:tcBorders/>
            <w:shd w:fill="auto" w:val="clear"/>
            <w:vAlign w:val="center"/>
          </w:tcPr>
          <w:p>
            <w:pPr>
              <w:pStyle w:val="TableContents"/>
              <w:spacing w:before="0" w:after="0"/>
              <w:ind w:left="0" w:right="0" w:hanging="0"/>
              <w:jc w:val="center"/>
              <w:rPr/>
            </w:pPr>
            <w:r>
              <w:rPr/>
              <w:t>–</w:t>
            </w:r>
          </w:p>
        </w:tc>
        <w:tc>
          <w:tcPr>
            <w:tcW w:w="52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2057</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65"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2.88%</w:t>
            </w:r>
          </w:p>
        </w:tc>
        <w:tc>
          <w:tcPr>
            <w:tcW w:w="226" w:type="dxa"/>
            <w:tcBorders/>
            <w:shd w:fill="auto" w:val="clear"/>
            <w:vAlign w:val="center"/>
          </w:tcPr>
          <w:p>
            <w:pPr>
              <w:pStyle w:val="TableContents"/>
              <w:spacing w:before="0" w:after="0"/>
              <w:ind w:left="0" w:right="0" w:hanging="0"/>
              <w:jc w:val="center"/>
              <w:rPr/>
            </w:pPr>
            <w:r>
              <w:rPr/>
              <w:t>–</w:t>
            </w:r>
          </w:p>
        </w:tc>
        <w:tc>
          <w:tcPr>
            <w:tcW w:w="565"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4.50%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65"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3.04%</w:t>
            </w:r>
          </w:p>
        </w:tc>
        <w:tc>
          <w:tcPr>
            <w:tcW w:w="226" w:type="dxa"/>
            <w:tcBorders/>
            <w:shd w:fill="auto" w:val="clear"/>
            <w:vAlign w:val="center"/>
          </w:tcPr>
          <w:p>
            <w:pPr>
              <w:pStyle w:val="TableContents"/>
              <w:spacing w:before="0" w:after="0"/>
              <w:ind w:left="0" w:right="0" w:hanging="0"/>
              <w:jc w:val="center"/>
              <w:rPr/>
            </w:pPr>
            <w:r>
              <w:rPr/>
              <w:t>–</w:t>
            </w:r>
          </w:p>
        </w:tc>
        <w:tc>
          <w:tcPr>
            <w:tcW w:w="565"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4.53%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8,945</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8,945</w:t>
            </w:r>
          </w:p>
        </w:tc>
        <w:tc>
          <w:tcPr>
            <w:tcW w:w="439" w:type="dxa"/>
            <w:tcBorders/>
            <w:shd w:fill="auto" w:val="clear"/>
            <w:vAlign w:val="center"/>
          </w:tcPr>
          <w:p>
            <w:pPr>
              <w:pStyle w:val="TableContents"/>
              <w:spacing w:before="0" w:after="283"/>
              <w:ind w:left="0" w:right="0" w:hanging="0"/>
              <w:rPr>
                <w:sz w:val="4"/>
                <w:szCs w:val="4"/>
              </w:rPr>
            </w:pPr>
            <w:r>
              <w:rPr>
                <w:sz w:val="4"/>
                <w:szCs w:val="4"/>
              </w:rPr>
            </w:r>
          </w:p>
        </w:tc>
      </w:tr>
      <w:tr>
        <w:trPr/>
        <w:tc>
          <w:tcPr>
            <w:tcW w:w="2492"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2020</w:t>
            </w:r>
            <w:r>
              <w:rPr>
                <w:rFonts w:ascii="Times New Roman" w:hAnsi="Times New Roman"/>
                <w:sz w:val="20"/>
              </w:rPr>
              <w:t> </w:t>
            </w:r>
            <w:r>
              <w:rPr>
                <w:rFonts w:ascii="Arial;sans-serif" w:hAnsi="Arial;sans-serif"/>
                <w:b w:val="false"/>
                <w:sz w:val="20"/>
              </w:rPr>
              <w:t>issuance of $10.0</w:t>
            </w:r>
            <w:r>
              <w:rPr>
                <w:rFonts w:ascii="Times New Roman" w:hAnsi="Times New Roman"/>
                <w:sz w:val="20"/>
              </w:rPr>
              <w:t> </w:t>
            </w:r>
            <w:r>
              <w:rPr>
                <w:rFonts w:ascii="Arial;sans-serif" w:hAnsi="Arial;sans-serif"/>
                <w:b w:val="false"/>
                <w:sz w:val="20"/>
              </w:rPr>
              <w:t>billion</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2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2050</w:t>
            </w:r>
          </w:p>
        </w:tc>
        <w:tc>
          <w:tcPr>
            <w:tcW w:w="226" w:type="dxa"/>
            <w:tcBorders/>
            <w:shd w:fill="auto" w:val="clear"/>
            <w:vAlign w:val="center"/>
          </w:tcPr>
          <w:p>
            <w:pPr>
              <w:pStyle w:val="TableContents"/>
              <w:spacing w:before="0" w:after="0"/>
              <w:ind w:left="0" w:right="0" w:hanging="0"/>
              <w:jc w:val="center"/>
              <w:rPr/>
            </w:pPr>
            <w:r>
              <w:rPr/>
              <w:t>–</w:t>
            </w:r>
          </w:p>
        </w:tc>
        <w:tc>
          <w:tcPr>
            <w:tcW w:w="52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2060</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65"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2.53%</w:t>
            </w:r>
          </w:p>
        </w:tc>
        <w:tc>
          <w:tcPr>
            <w:tcW w:w="226" w:type="dxa"/>
            <w:tcBorders/>
            <w:shd w:fill="auto" w:val="clear"/>
            <w:vAlign w:val="center"/>
          </w:tcPr>
          <w:p>
            <w:pPr>
              <w:pStyle w:val="TableContents"/>
              <w:spacing w:before="0" w:after="0"/>
              <w:ind w:left="0" w:right="0" w:hanging="0"/>
              <w:jc w:val="center"/>
              <w:rPr/>
            </w:pPr>
            <w:r>
              <w:rPr/>
              <w:t>–</w:t>
            </w:r>
          </w:p>
        </w:tc>
        <w:tc>
          <w:tcPr>
            <w:tcW w:w="565"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2.68%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65"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2.53%</w:t>
            </w:r>
          </w:p>
        </w:tc>
        <w:tc>
          <w:tcPr>
            <w:tcW w:w="226" w:type="dxa"/>
            <w:tcBorders/>
            <w:shd w:fill="auto" w:val="clear"/>
            <w:vAlign w:val="center"/>
          </w:tcPr>
          <w:p>
            <w:pPr>
              <w:pStyle w:val="TableContents"/>
              <w:spacing w:before="0" w:after="0"/>
              <w:ind w:left="0" w:right="0" w:hanging="0"/>
              <w:jc w:val="center"/>
              <w:rPr/>
            </w:pPr>
            <w:r>
              <w:rPr/>
              <w:t>–</w:t>
            </w:r>
          </w:p>
        </w:tc>
        <w:tc>
          <w:tcPr>
            <w:tcW w:w="565"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2.68%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10,000</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10,000</w:t>
            </w:r>
          </w:p>
        </w:tc>
        <w:tc>
          <w:tcPr>
            <w:tcW w:w="439" w:type="dxa"/>
            <w:tcBorders/>
            <w:shd w:fill="auto" w:val="clear"/>
            <w:vAlign w:val="center"/>
          </w:tcPr>
          <w:p>
            <w:pPr>
              <w:pStyle w:val="TableContents"/>
              <w:spacing w:before="0" w:after="283"/>
              <w:ind w:left="0" w:right="0" w:hanging="0"/>
              <w:rPr>
                <w:sz w:val="4"/>
                <w:szCs w:val="4"/>
              </w:rPr>
            </w:pPr>
            <w:r>
              <w:rPr>
                <w:sz w:val="4"/>
                <w:szCs w:val="4"/>
              </w:rPr>
            </w:r>
          </w:p>
        </w:tc>
      </w:tr>
      <w:tr>
        <w:trPr/>
        <w:tc>
          <w:tcPr>
            <w:tcW w:w="2492"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2021</w:t>
            </w:r>
            <w:r>
              <w:rPr>
                <w:rFonts w:ascii="Times New Roman" w:hAnsi="Times New Roman"/>
                <w:sz w:val="20"/>
              </w:rPr>
              <w:t> </w:t>
            </w:r>
            <w:r>
              <w:rPr>
                <w:rFonts w:ascii="Arial;sans-serif" w:hAnsi="Arial;sans-serif"/>
                <w:b w:val="false"/>
                <w:sz w:val="20"/>
              </w:rPr>
              <w:t>issuance of $8.2</w:t>
            </w:r>
            <w:r>
              <w:rPr>
                <w:rFonts w:ascii="Times New Roman" w:hAnsi="Times New Roman"/>
                <w:sz w:val="20"/>
              </w:rPr>
              <w:t> </w:t>
            </w:r>
            <w:r>
              <w:rPr>
                <w:rFonts w:ascii="Arial;sans-serif" w:hAnsi="Arial;sans-serif"/>
                <w:b w:val="false"/>
                <w:sz w:val="20"/>
              </w:rPr>
              <w:t>billion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2052</w:t>
            </w:r>
          </w:p>
        </w:tc>
        <w:tc>
          <w:tcPr>
            <w:tcW w:w="226" w:type="dxa"/>
            <w:tcBorders/>
            <w:shd w:fill="auto" w:val="clear"/>
            <w:vAlign w:val="center"/>
          </w:tcPr>
          <w:p>
            <w:pPr>
              <w:pStyle w:val="TableContents"/>
              <w:spacing w:before="0" w:after="0"/>
              <w:ind w:left="0" w:right="0" w:hanging="0"/>
              <w:jc w:val="center"/>
              <w:rPr/>
            </w:pPr>
            <w:r>
              <w:rPr/>
              <w:t>–</w:t>
            </w:r>
          </w:p>
        </w:tc>
        <w:tc>
          <w:tcPr>
            <w:tcW w:w="52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2062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5"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2.92%</w:t>
            </w:r>
          </w:p>
        </w:tc>
        <w:tc>
          <w:tcPr>
            <w:tcW w:w="226" w:type="dxa"/>
            <w:tcBorders/>
            <w:shd w:fill="auto" w:val="clear"/>
            <w:vAlign w:val="center"/>
          </w:tcPr>
          <w:p>
            <w:pPr>
              <w:pStyle w:val="TableContents"/>
              <w:spacing w:before="0" w:after="0"/>
              <w:ind w:left="0" w:right="0" w:hanging="0"/>
              <w:jc w:val="center"/>
              <w:rPr/>
            </w:pPr>
            <w:r>
              <w:rPr/>
              <w:t>–</w:t>
            </w:r>
          </w:p>
        </w:tc>
        <w:tc>
          <w:tcPr>
            <w:tcW w:w="565"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3.04%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5"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2.92%</w:t>
            </w:r>
          </w:p>
        </w:tc>
        <w:tc>
          <w:tcPr>
            <w:tcW w:w="226" w:type="dxa"/>
            <w:tcBorders/>
            <w:shd w:fill="auto" w:val="clear"/>
            <w:vAlign w:val="center"/>
          </w:tcPr>
          <w:p>
            <w:pPr>
              <w:pStyle w:val="TableContents"/>
              <w:spacing w:before="0" w:after="0"/>
              <w:ind w:left="0" w:right="0" w:hanging="0"/>
              <w:jc w:val="center"/>
              <w:rPr/>
            </w:pPr>
            <w:r>
              <w:rPr/>
              <w:t>–</w:t>
            </w:r>
          </w:p>
        </w:tc>
        <w:tc>
          <w:tcPr>
            <w:tcW w:w="565"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3.04%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8,185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8,185</w:t>
            </w:r>
          </w:p>
        </w:tc>
        <w:tc>
          <w:tcPr>
            <w:tcW w:w="439" w:type="dxa"/>
            <w:tcBorders/>
            <w:shd w:fill="auto" w:val="clear"/>
            <w:vAlign w:val="center"/>
          </w:tcPr>
          <w:p>
            <w:pPr>
              <w:pStyle w:val="TableContents"/>
              <w:spacing w:before="0" w:after="0"/>
              <w:ind w:left="0" w:right="0" w:hanging="0"/>
              <w:jc w:val="left"/>
              <w:rPr/>
            </w:pPr>
            <w:r>
              <w:rPr/>
              <w:t> </w:t>
            </w:r>
          </w:p>
        </w:tc>
      </w:tr>
      <w:tr>
        <w:trPr/>
        <w:tc>
          <w:tcPr>
            <w:tcW w:w="4062" w:type="dxa"/>
            <w:gridSpan w:val="6"/>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56"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56"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62" w:type="dxa"/>
            <w:gridSpan w:val="6"/>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502" w:type="dxa"/>
            <w:gridSpan w:val="4"/>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6" w:type="dxa"/>
            <w:gridSpan w:val="3"/>
            <w:tcBorders/>
            <w:shd w:fill="auto" w:val="clear"/>
            <w:vAlign w:val="center"/>
          </w:tcPr>
          <w:p>
            <w:pPr>
              <w:pStyle w:val="TableContents"/>
              <w:spacing w:before="0" w:after="0"/>
              <w:ind w:left="0" w:right="0" w:hanging="0"/>
              <w:jc w:val="left"/>
              <w:rPr/>
            </w:pPr>
            <w:r>
              <w:rPr/>
              <w:t> </w:t>
            </w:r>
          </w:p>
        </w:tc>
        <w:tc>
          <w:tcPr>
            <w:tcW w:w="292"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439" w:type="dxa"/>
            <w:tcBorders/>
            <w:shd w:fill="auto" w:val="clear"/>
            <w:vAlign w:val="center"/>
          </w:tcPr>
          <w:p>
            <w:pPr>
              <w:pStyle w:val="TableContents"/>
              <w:spacing w:before="0" w:after="0"/>
              <w:ind w:left="0" w:right="0" w:firstLine="245"/>
              <w:jc w:val="left"/>
              <w:rPr/>
            </w:pPr>
            <w:r>
              <w:rPr/>
              <w:t> </w:t>
            </w:r>
          </w:p>
        </w:tc>
      </w:tr>
      <w:tr>
        <w:trPr/>
        <w:tc>
          <w:tcPr>
            <w:tcW w:w="2492"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Total face value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2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65"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56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65"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56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53,856</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55,511</w:t>
            </w:r>
          </w:p>
        </w:tc>
        <w:tc>
          <w:tcPr>
            <w:tcW w:w="439" w:type="dxa"/>
            <w:tcBorders/>
            <w:shd w:fill="auto" w:val="clear"/>
            <w:vAlign w:val="center"/>
          </w:tcPr>
          <w:p>
            <w:pPr>
              <w:pStyle w:val="TableContents"/>
              <w:spacing w:before="0" w:after="283"/>
              <w:ind w:left="0" w:right="0" w:hanging="0"/>
              <w:rPr>
                <w:sz w:val="4"/>
                <w:szCs w:val="4"/>
              </w:rPr>
            </w:pPr>
            <w:r>
              <w:rPr>
                <w:sz w:val="4"/>
                <w:szCs w:val="4"/>
              </w:rPr>
            </w:r>
          </w:p>
        </w:tc>
      </w:tr>
      <w:tr>
        <w:trPr/>
        <w:tc>
          <w:tcPr>
            <w:tcW w:w="249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Unamortized discount and issuance costs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5"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56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5"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56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(446</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(471</w:t>
            </w:r>
          </w:p>
        </w:tc>
        <w:tc>
          <w:tcPr>
            <w:tcW w:w="43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492"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 xml:space="preserve">Hedge fair value adjustments </w:t>
            </w:r>
            <w:r>
              <w:rPr>
                <w:rFonts w:ascii="Arial;sans-serif" w:hAnsi="Arial;sans-serif"/>
                <w:b w:val="false"/>
                <w:sz w:val="13"/>
              </w:rPr>
              <w:t>(a)</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5"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56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5"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56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(88</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(68</w:t>
            </w:r>
          </w:p>
        </w:tc>
        <w:tc>
          <w:tcPr>
            <w:tcW w:w="43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49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Premium on debt exchange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5"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56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5"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56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(5,112</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(5,191</w:t>
            </w:r>
          </w:p>
        </w:tc>
        <w:tc>
          <w:tcPr>
            <w:tcW w:w="43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062" w:type="dxa"/>
            <w:gridSpan w:val="6"/>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56"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56"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62" w:type="dxa"/>
            <w:gridSpan w:val="6"/>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502" w:type="dxa"/>
            <w:gridSpan w:val="4"/>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6" w:type="dxa"/>
            <w:gridSpan w:val="3"/>
            <w:tcBorders/>
            <w:shd w:fill="auto" w:val="clear"/>
            <w:vAlign w:val="center"/>
          </w:tcPr>
          <w:p>
            <w:pPr>
              <w:pStyle w:val="TableContents"/>
              <w:spacing w:before="0" w:after="0"/>
              <w:ind w:left="0" w:right="0" w:hanging="0"/>
              <w:jc w:val="left"/>
              <w:rPr/>
            </w:pPr>
            <w:r>
              <w:rPr/>
              <w:t> </w:t>
            </w:r>
          </w:p>
        </w:tc>
        <w:tc>
          <w:tcPr>
            <w:tcW w:w="292"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439" w:type="dxa"/>
            <w:tcBorders/>
            <w:shd w:fill="auto" w:val="clear"/>
            <w:vAlign w:val="center"/>
          </w:tcPr>
          <w:p>
            <w:pPr>
              <w:pStyle w:val="TableContents"/>
              <w:spacing w:before="0" w:after="0"/>
              <w:ind w:left="0" w:right="0" w:firstLine="245"/>
              <w:jc w:val="left"/>
              <w:rPr/>
            </w:pPr>
            <w:r>
              <w:rPr/>
              <w:t> </w:t>
            </w:r>
          </w:p>
        </w:tc>
      </w:tr>
      <w:tr>
        <w:trPr/>
        <w:tc>
          <w:tcPr>
            <w:tcW w:w="2492"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Total debt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565"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56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65"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56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48,210</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49,781</w:t>
            </w:r>
          </w:p>
        </w:tc>
        <w:tc>
          <w:tcPr>
            <w:tcW w:w="439" w:type="dxa"/>
            <w:tcBorders/>
            <w:shd w:fill="auto" w:val="clear"/>
            <w:vAlign w:val="center"/>
          </w:tcPr>
          <w:p>
            <w:pPr>
              <w:pStyle w:val="TableContents"/>
              <w:spacing w:before="0" w:after="283"/>
              <w:ind w:left="0" w:right="0" w:hanging="0"/>
              <w:rPr>
                <w:sz w:val="4"/>
                <w:szCs w:val="4"/>
              </w:rPr>
            </w:pPr>
            <w:r>
              <w:rPr>
                <w:sz w:val="4"/>
                <w:szCs w:val="4"/>
              </w:rPr>
            </w:r>
          </w:p>
        </w:tc>
      </w:tr>
      <w:tr>
        <w:trPr/>
        <w:tc>
          <w:tcPr>
            <w:tcW w:w="249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Current portion of long-term debt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5"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56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5"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56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(6,245</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(2,749</w:t>
            </w:r>
          </w:p>
        </w:tc>
        <w:tc>
          <w:tcPr>
            <w:tcW w:w="43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062" w:type="dxa"/>
            <w:gridSpan w:val="6"/>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56"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56"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62" w:type="dxa"/>
            <w:gridSpan w:val="6"/>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502" w:type="dxa"/>
            <w:gridSpan w:val="4"/>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6" w:type="dxa"/>
            <w:gridSpan w:val="3"/>
            <w:tcBorders/>
            <w:shd w:fill="auto" w:val="clear"/>
            <w:vAlign w:val="center"/>
          </w:tcPr>
          <w:p>
            <w:pPr>
              <w:pStyle w:val="TableContents"/>
              <w:spacing w:before="0" w:after="0"/>
              <w:ind w:left="0" w:right="0" w:hanging="0"/>
              <w:jc w:val="left"/>
              <w:rPr/>
            </w:pPr>
            <w:r>
              <w:rPr/>
              <w:t> </w:t>
            </w:r>
          </w:p>
        </w:tc>
        <w:tc>
          <w:tcPr>
            <w:tcW w:w="292"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439" w:type="dxa"/>
            <w:tcBorders/>
            <w:shd w:fill="auto" w:val="clear"/>
            <w:vAlign w:val="center"/>
          </w:tcPr>
          <w:p>
            <w:pPr>
              <w:pStyle w:val="TableContents"/>
              <w:spacing w:before="0" w:after="0"/>
              <w:ind w:left="0" w:right="0" w:firstLine="245"/>
              <w:jc w:val="left"/>
              <w:rPr/>
            </w:pPr>
            <w:r>
              <w:rPr/>
              <w:t> </w:t>
            </w:r>
          </w:p>
        </w:tc>
      </w:tr>
      <w:tr>
        <w:trPr/>
        <w:tc>
          <w:tcPr>
            <w:tcW w:w="2492"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Long-term debt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5"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56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5"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56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41,965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47,032</w:t>
            </w:r>
          </w:p>
        </w:tc>
        <w:tc>
          <w:tcPr>
            <w:tcW w:w="439" w:type="dxa"/>
            <w:tcBorders/>
            <w:shd w:fill="auto" w:val="clear"/>
            <w:vAlign w:val="center"/>
          </w:tcPr>
          <w:p>
            <w:pPr>
              <w:pStyle w:val="TableContents"/>
              <w:spacing w:before="0" w:after="0"/>
              <w:ind w:left="0" w:right="0" w:hanging="0"/>
              <w:jc w:val="left"/>
              <w:rPr/>
            </w:pPr>
            <w:r>
              <w:rPr/>
              <w:t> </w:t>
            </w:r>
          </w:p>
        </w:tc>
      </w:tr>
      <w:tr>
        <w:trPr/>
        <w:tc>
          <w:tcPr>
            <w:tcW w:w="249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278" w:type="dxa"/>
            <w:gridSpan w:val="3"/>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356" w:type="dxa"/>
            <w:gridSpan w:val="3"/>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356" w:type="dxa"/>
            <w:gridSpan w:val="3"/>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66"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439"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Arial" w:hAnsi="Arial"/>
          <w:b w:val="false"/>
          <w:sz w:val="20"/>
        </w:rPr>
      </w:pPr>
      <w:r>
        <w:rPr>
          <w:rFonts w:ascii="Arial" w:hAnsi="Arial"/>
          <w:b w:val="false"/>
          <w:sz w:val="20"/>
        </w:rPr>
        <w:t>(a)</w:t>
      </w:r>
    </w:p>
    <w:p>
      <w:pPr>
        <w:pStyle w:val="TextBody"/>
        <w:jc w:val="both"/>
        <w:rPr>
          <w:rFonts w:ascii="Arial;sans-serif" w:hAnsi="Arial;sans-serif"/>
          <w:b w:val="false"/>
          <w:i/>
          <w:sz w:val="20"/>
        </w:rPr>
      </w:pPr>
      <w:r>
        <w:rPr>
          <w:rFonts w:ascii="Arial;sans-serif" w:hAnsi="Arial;sans-serif"/>
          <w:b w:val="false"/>
          <w:i/>
          <w:sz w:val="20"/>
        </w:rPr>
        <w:t>Refer to Note 5 – Derivatives for further information on the interest rate swaps related to fixed-rate debt.</w:t>
      </w:r>
    </w:p>
    <w:p>
      <w:pPr>
        <w:pStyle w:val="TextBody"/>
        <w:spacing w:before="240" w:after="0"/>
        <w:jc w:val="center"/>
        <w:rPr>
          <w:rFonts w:ascii="Arial;sans-serif" w:hAnsi="Arial;sans-serif"/>
          <w:b w:val="false"/>
          <w:sz w:val="16"/>
        </w:rPr>
      </w:pPr>
      <w:r>
        <w:rPr>
          <w:rFonts w:ascii="Arial;sans-serif" w:hAnsi="Arial;sans-serif"/>
          <w:b w:val="false"/>
          <w:sz w:val="16"/>
        </w:rPr>
        <w:t>21</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w:t>
      </w:r>
    </w:p>
    <w:p>
      <w:pPr>
        <w:pStyle w:val="TextBody"/>
        <w:spacing w:before="0" w:after="0"/>
        <w:jc w:val="center"/>
        <w:rPr>
          <w:rFonts w:ascii="Arial;sans-serif" w:hAnsi="Arial;sans-serif"/>
          <w:b w:val="false"/>
          <w:sz w:val="15"/>
        </w:rPr>
      </w:pPr>
      <w:r>
        <w:rPr>
          <w:rFonts w:ascii="Arial;sans-serif" w:hAnsi="Arial;sans-serif"/>
          <w:b w:val="false"/>
          <w:sz w:val="15"/>
        </w:rPr>
        <w:t>Item 1</w:t>
      </w:r>
    </w:p>
    <w:p>
      <w:pPr>
        <w:pStyle w:val="TextBody"/>
        <w:spacing w:before="0" w:after="0"/>
        <w:jc w:val="left"/>
        <w:rPr/>
      </w:pPr>
      <w:r>
        <w:rPr/>
        <w:t> </w:t>
      </w:r>
    </w:p>
    <w:p>
      <w:pPr>
        <w:pStyle w:val="TextBody"/>
        <w:spacing w:before="180" w:after="0"/>
        <w:jc w:val="both"/>
        <w:rPr>
          <w:rFonts w:ascii="Times New Roman" w:hAnsi="Times New Roman"/>
          <w:sz w:val="20"/>
        </w:rPr>
      </w:pPr>
      <w:r>
        <w:rPr>
          <w:rFonts w:ascii="Arial;sans-serif" w:hAnsi="Arial;sans-serif"/>
          <w:b w:val="false"/>
          <w:sz w:val="20"/>
        </w:rPr>
        <w:t>As of March 31, 2023 and June 30, 2022, the estimated fair value of long-term debt, including the current portion, was $47.8</w:t>
      </w:r>
      <w:r>
        <w:rPr>
          <w:rFonts w:ascii="Times New Roman" w:hAnsi="Times New Roman"/>
          <w:sz w:val="20"/>
        </w:rPr>
        <w:t xml:space="preserve"> </w:t>
      </w:r>
      <w:r>
        <w:rPr>
          <w:rFonts w:ascii="Arial;sans-serif" w:hAnsi="Arial;sans-serif"/>
          <w:b w:val="false"/>
          <w:sz w:val="20"/>
        </w:rPr>
        <w:t>billion and $50.9</w:t>
      </w:r>
      <w:r>
        <w:rPr>
          <w:rFonts w:ascii="Times New Roman" w:hAnsi="Times New Roman"/>
          <w:sz w:val="20"/>
        </w:rPr>
        <w:t xml:space="preserve"> </w:t>
      </w:r>
      <w:r>
        <w:rPr>
          <w:rFonts w:ascii="Arial;sans-serif" w:hAnsi="Arial;sans-serif"/>
          <w:b w:val="false"/>
          <w:sz w:val="20"/>
        </w:rPr>
        <w:t>billion, respectively. The estimated fair values are based on Level 2 inputs.</w:t>
      </w:r>
    </w:p>
    <w:p>
      <w:pPr>
        <w:pStyle w:val="TextBody"/>
        <w:spacing w:before="180" w:after="0"/>
        <w:jc w:val="both"/>
        <w:rPr>
          <w:rFonts w:ascii="Arial;sans-serif" w:hAnsi="Arial;sans-serif"/>
          <w:b w:val="false"/>
          <w:sz w:val="20"/>
        </w:rPr>
      </w:pPr>
      <w:r>
        <w:rPr>
          <w:rFonts w:ascii="Arial;sans-serif" w:hAnsi="Arial;sans-serif"/>
          <w:b w:val="false"/>
          <w:sz w:val="20"/>
        </w:rPr>
        <w:t>Debt in the table above is comprised of senior unsecured obligations and ranks equally with our other outstanding obligations. Interest is paid semi-annually, except for the Euro-denominated debt, which is paid annually.</w:t>
      </w:r>
    </w:p>
    <w:p>
      <w:pPr>
        <w:pStyle w:val="TextBody"/>
        <w:spacing w:before="180" w:after="0"/>
        <w:jc w:val="both"/>
        <w:rPr>
          <w:rFonts w:ascii="Arial;sans-serif" w:hAnsi="Arial;sans-serif"/>
          <w:b w:val="false"/>
          <w:sz w:val="20"/>
        </w:rPr>
      </w:pPr>
      <w:r>
        <w:rPr>
          <w:rFonts w:ascii="Arial;sans-serif" w:hAnsi="Arial;sans-serif"/>
          <w:b w:val="false"/>
          <w:sz w:val="20"/>
        </w:rPr>
        <w:t>The following table outlines maturities of our long-term debt, including the current portion, as of March 31, 2023:</w:t>
      </w:r>
    </w:p>
    <w:p>
      <w:pPr>
        <w:pStyle w:val="TextBody"/>
        <w:spacing w:before="0" w:after="0"/>
        <w:jc w:val="both"/>
        <w:rPr/>
      </w:pPr>
      <w:r>
        <w:rPr/>
        <w:t> </w:t>
      </w:r>
    </w:p>
    <w:tbl>
      <w:tblPr>
        <w:tblW w:w="6475" w:type="dxa"/>
        <w:jc w:val="left"/>
        <w:tblInd w:w="0" w:type="dxa"/>
        <w:tblCellMar>
          <w:top w:w="28" w:type="dxa"/>
          <w:left w:w="28" w:type="dxa"/>
          <w:bottom w:w="28" w:type="dxa"/>
          <w:right w:w="28" w:type="dxa"/>
        </w:tblCellMar>
      </w:tblPr>
      <w:tblGrid>
        <w:gridCol w:w="4996"/>
        <w:gridCol w:w="146"/>
        <w:gridCol w:w="211"/>
        <w:gridCol w:w="691"/>
        <w:gridCol w:w="431"/>
      </w:tblGrid>
      <w:tr>
        <w:trPr/>
        <w:tc>
          <w:tcPr>
            <w:tcW w:w="49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r>
      <w:tr>
        <w:trPr/>
        <w:tc>
          <w:tcPr>
            <w:tcW w:w="4996"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(In millions)</w:t>
            </w:r>
          </w:p>
        </w:tc>
        <w:tc>
          <w:tcPr>
            <w:tcW w:w="146" w:type="dxa"/>
            <w:tcBorders/>
            <w:shd w:fill="auto" w:val="clear"/>
            <w:vAlign w:val="center"/>
          </w:tcPr>
          <w:p>
            <w:pPr>
              <w:pStyle w:val="TableContents"/>
              <w:spacing w:before="0" w:after="0"/>
              <w:ind w:left="0" w:right="0" w:hanging="0"/>
              <w:jc w:val="left"/>
              <w:rPr/>
            </w:pPr>
            <w:r>
              <w:rPr/>
              <w:t> </w:t>
            </w:r>
          </w:p>
        </w:tc>
        <w:tc>
          <w:tcPr>
            <w:tcW w:w="902" w:type="dxa"/>
            <w:gridSpan w:val="2"/>
            <w:tcBorders/>
            <w:shd w:fill="auto" w:val="clear"/>
            <w:vAlign w:val="center"/>
          </w:tcPr>
          <w:p>
            <w:pPr>
              <w:pStyle w:val="TableContents"/>
              <w:spacing w:before="0" w:after="0"/>
              <w:ind w:left="0" w:right="0" w:hanging="0"/>
              <w:jc w:val="left"/>
              <w:rPr/>
            </w:pPr>
            <w:r>
              <w:rPr/>
              <w:t> </w:t>
            </w:r>
          </w:p>
        </w:tc>
        <w:tc>
          <w:tcPr>
            <w:tcW w:w="431" w:type="dxa"/>
            <w:tcBorders/>
            <w:shd w:fill="auto" w:val="clear"/>
            <w:vAlign w:val="center"/>
          </w:tcPr>
          <w:p>
            <w:pPr>
              <w:pStyle w:val="TableContents"/>
              <w:spacing w:before="0" w:after="0"/>
              <w:ind w:left="0" w:right="0" w:hanging="0"/>
              <w:jc w:val="left"/>
              <w:rPr/>
            </w:pPr>
            <w:r>
              <w:rPr/>
              <w:t> </w:t>
            </w:r>
          </w:p>
        </w:tc>
      </w:tr>
      <w:tr>
        <w:trPr/>
        <w:tc>
          <w:tcPr>
            <w:tcW w:w="499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4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9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283"/>
              <w:ind w:left="0" w:right="0" w:hanging="0"/>
              <w:rPr>
                <w:sz w:val="4"/>
                <w:szCs w:val="4"/>
              </w:rPr>
            </w:pPr>
            <w:r>
              <w:rPr>
                <w:sz w:val="4"/>
                <w:szCs w:val="4"/>
              </w:rPr>
            </w:r>
          </w:p>
        </w:tc>
        <w:tc>
          <w:tcPr>
            <w:tcW w:w="431" w:type="dxa"/>
            <w:tcBorders/>
            <w:shd w:fill="auto" w:val="clear"/>
            <w:vAlign w:val="center"/>
          </w:tcPr>
          <w:p>
            <w:pPr>
              <w:pStyle w:val="TableContents"/>
              <w:spacing w:before="0" w:after="0"/>
              <w:ind w:left="0" w:right="0" w:hanging="0"/>
              <w:jc w:val="left"/>
              <w:rPr/>
            </w:pPr>
            <w:r>
              <w:rPr/>
              <w:t> </w:t>
            </w:r>
          </w:p>
        </w:tc>
      </w:tr>
      <w:tr>
        <w:trPr/>
        <w:tc>
          <w:tcPr>
            <w:tcW w:w="4996"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Year Ending June 30,</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283"/>
              <w:ind w:left="0" w:right="0" w:hanging="0"/>
              <w:rPr>
                <w:sz w:val="4"/>
                <w:szCs w:val="4"/>
              </w:rPr>
            </w:pPr>
            <w:r>
              <w:rPr>
                <w:sz w:val="4"/>
                <w:szCs w:val="4"/>
              </w:rPr>
            </w:r>
          </w:p>
        </w:tc>
        <w:tc>
          <w:tcPr>
            <w:tcW w:w="431" w:type="dxa"/>
            <w:tcBorders/>
            <w:shd w:fill="auto" w:val="clear"/>
            <w:vAlign w:val="center"/>
          </w:tcPr>
          <w:p>
            <w:pPr>
              <w:pStyle w:val="TableContents"/>
              <w:spacing w:before="0" w:after="0"/>
              <w:ind w:left="0" w:right="0" w:hanging="0"/>
              <w:jc w:val="left"/>
              <w:rPr/>
            </w:pPr>
            <w:r>
              <w:rPr/>
              <w:t> </w:t>
            </w:r>
          </w:p>
        </w:tc>
      </w:tr>
      <w:tr>
        <w:trPr/>
        <w:tc>
          <w:tcPr>
            <w:tcW w:w="499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431" w:type="dxa"/>
            <w:tcBorders/>
            <w:shd w:fill="auto" w:val="clear"/>
            <w:vAlign w:val="center"/>
          </w:tcPr>
          <w:p>
            <w:pPr>
              <w:pStyle w:val="TableContents"/>
              <w:spacing w:before="0" w:after="0"/>
              <w:ind w:left="0" w:right="0" w:hanging="0"/>
              <w:jc w:val="left"/>
              <w:rPr/>
            </w:pPr>
            <w:r>
              <w:rPr/>
              <w:t> </w:t>
            </w:r>
          </w:p>
        </w:tc>
      </w:tr>
      <w:tr>
        <w:trPr/>
        <w:tc>
          <w:tcPr>
            <w:tcW w:w="499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2023 (excluding the nine months ended March 31, 2023)</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1,000</w:t>
            </w:r>
          </w:p>
        </w:tc>
        <w:tc>
          <w:tcPr>
            <w:tcW w:w="431" w:type="dxa"/>
            <w:tcBorders/>
            <w:shd w:fill="auto" w:val="clear"/>
            <w:vAlign w:val="center"/>
          </w:tcPr>
          <w:p>
            <w:pPr>
              <w:pStyle w:val="TableContents"/>
              <w:spacing w:before="0" w:after="0"/>
              <w:ind w:left="0" w:right="0" w:hanging="0"/>
              <w:jc w:val="left"/>
              <w:rPr/>
            </w:pPr>
            <w:r>
              <w:rPr/>
              <w:t> </w:t>
            </w:r>
          </w:p>
        </w:tc>
      </w:tr>
      <w:tr>
        <w:trPr/>
        <w:tc>
          <w:tcPr>
            <w:tcW w:w="499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2024</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5,250</w:t>
            </w:r>
          </w:p>
        </w:tc>
        <w:tc>
          <w:tcPr>
            <w:tcW w:w="431" w:type="dxa"/>
            <w:tcBorders/>
            <w:shd w:fill="auto" w:val="clear"/>
            <w:vAlign w:val="center"/>
          </w:tcPr>
          <w:p>
            <w:pPr>
              <w:pStyle w:val="TableContents"/>
              <w:spacing w:before="0" w:after="0"/>
              <w:ind w:left="0" w:right="0" w:hanging="0"/>
              <w:jc w:val="left"/>
              <w:rPr/>
            </w:pPr>
            <w:r>
              <w:rPr/>
              <w:t> </w:t>
            </w:r>
          </w:p>
        </w:tc>
      </w:tr>
      <w:tr>
        <w:trPr/>
        <w:tc>
          <w:tcPr>
            <w:tcW w:w="499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2025</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2,250</w:t>
            </w:r>
          </w:p>
        </w:tc>
        <w:tc>
          <w:tcPr>
            <w:tcW w:w="431" w:type="dxa"/>
            <w:tcBorders/>
            <w:shd w:fill="auto" w:val="clear"/>
            <w:vAlign w:val="center"/>
          </w:tcPr>
          <w:p>
            <w:pPr>
              <w:pStyle w:val="TableContents"/>
              <w:spacing w:before="0" w:after="0"/>
              <w:ind w:left="0" w:right="0" w:hanging="0"/>
              <w:jc w:val="left"/>
              <w:rPr/>
            </w:pPr>
            <w:r>
              <w:rPr/>
              <w:t> </w:t>
            </w:r>
          </w:p>
        </w:tc>
      </w:tr>
      <w:tr>
        <w:trPr/>
        <w:tc>
          <w:tcPr>
            <w:tcW w:w="499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2026</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3,000</w:t>
            </w:r>
          </w:p>
        </w:tc>
        <w:tc>
          <w:tcPr>
            <w:tcW w:w="431" w:type="dxa"/>
            <w:tcBorders/>
            <w:shd w:fill="auto" w:val="clear"/>
            <w:vAlign w:val="center"/>
          </w:tcPr>
          <w:p>
            <w:pPr>
              <w:pStyle w:val="TableContents"/>
              <w:spacing w:before="0" w:after="0"/>
              <w:ind w:left="0" w:right="0" w:hanging="0"/>
              <w:jc w:val="left"/>
              <w:rPr/>
            </w:pPr>
            <w:r>
              <w:rPr/>
              <w:t> </w:t>
            </w:r>
          </w:p>
        </w:tc>
      </w:tr>
      <w:tr>
        <w:trPr/>
        <w:tc>
          <w:tcPr>
            <w:tcW w:w="499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2027</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8,000</w:t>
            </w:r>
          </w:p>
        </w:tc>
        <w:tc>
          <w:tcPr>
            <w:tcW w:w="431" w:type="dxa"/>
            <w:tcBorders/>
            <w:shd w:fill="auto" w:val="clear"/>
            <w:vAlign w:val="center"/>
          </w:tcPr>
          <w:p>
            <w:pPr>
              <w:pStyle w:val="TableContents"/>
              <w:spacing w:before="0" w:after="0"/>
              <w:ind w:left="0" w:right="0" w:hanging="0"/>
              <w:jc w:val="left"/>
              <w:rPr/>
            </w:pPr>
            <w:r>
              <w:rPr/>
              <w:t> </w:t>
            </w:r>
          </w:p>
        </w:tc>
      </w:tr>
      <w:tr>
        <w:trPr/>
        <w:tc>
          <w:tcPr>
            <w:tcW w:w="499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Thereafter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34,356</w:t>
            </w:r>
          </w:p>
        </w:tc>
        <w:tc>
          <w:tcPr>
            <w:tcW w:w="431" w:type="dxa"/>
            <w:tcBorders/>
            <w:shd w:fill="auto" w:val="clear"/>
            <w:vAlign w:val="center"/>
          </w:tcPr>
          <w:p>
            <w:pPr>
              <w:pStyle w:val="TableContents"/>
              <w:spacing w:before="0" w:after="0"/>
              <w:ind w:left="0" w:right="0" w:hanging="0"/>
              <w:jc w:val="left"/>
              <w:rPr/>
            </w:pPr>
            <w:r>
              <w:rPr/>
              <w:t> </w:t>
            </w:r>
          </w:p>
        </w:tc>
      </w:tr>
      <w:tr>
        <w:trPr/>
        <w:tc>
          <w:tcPr>
            <w:tcW w:w="499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9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431" w:type="dxa"/>
            <w:tcBorders/>
            <w:shd w:fill="auto" w:val="clear"/>
            <w:vAlign w:val="center"/>
          </w:tcPr>
          <w:p>
            <w:pPr>
              <w:pStyle w:val="TableContents"/>
              <w:spacing w:before="0" w:after="0"/>
              <w:ind w:left="0" w:right="0" w:firstLine="240"/>
              <w:jc w:val="left"/>
              <w:rPr/>
            </w:pPr>
            <w:r>
              <w:rPr/>
              <w:t> </w:t>
            </w:r>
          </w:p>
        </w:tc>
      </w:tr>
      <w:tr>
        <w:trPr/>
        <w:tc>
          <w:tcPr>
            <w:tcW w:w="4996" w:type="dxa"/>
            <w:tcBorders/>
            <w:shd w:fill="auto" w:val="clear"/>
            <w:vAlign w:val="center"/>
          </w:tcPr>
          <w:p>
            <w:pPr>
              <w:pStyle w:val="TableContents"/>
              <w:spacing w:before="0" w:after="0"/>
              <w:ind w:left="240" w:right="0" w:hanging="0"/>
              <w:jc w:val="left"/>
              <w:rPr>
                <w:rFonts w:ascii="Arial;sans-serif" w:hAnsi="Arial;sans-serif"/>
                <w:b w:val="false"/>
                <w:sz w:val="20"/>
              </w:rPr>
            </w:pPr>
            <w:r>
              <w:rPr>
                <w:rFonts w:ascii="Arial;sans-serif" w:hAnsi="Arial;sans-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53,856</w:t>
            </w:r>
          </w:p>
        </w:tc>
        <w:tc>
          <w:tcPr>
            <w:tcW w:w="431" w:type="dxa"/>
            <w:tcBorders/>
            <w:shd w:fill="auto" w:val="clear"/>
            <w:vAlign w:val="center"/>
          </w:tcPr>
          <w:p>
            <w:pPr>
              <w:pStyle w:val="TableContents"/>
              <w:spacing w:before="0" w:after="0"/>
              <w:ind w:left="0" w:right="0" w:hanging="0"/>
              <w:jc w:val="left"/>
              <w:rPr/>
            </w:pPr>
            <w:r>
              <w:rPr/>
              <w:t> </w:t>
            </w:r>
          </w:p>
        </w:tc>
      </w:tr>
      <w:tr>
        <w:trPr/>
        <w:tc>
          <w:tcPr>
            <w:tcW w:w="499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90" w:after="0"/>
        <w:jc w:val="center"/>
        <w:rPr>
          <w:rFonts w:ascii="Times New Roman" w:hAnsi="Times New Roman"/>
          <w:sz w:val="20"/>
        </w:rPr>
      </w:pPr>
      <w:r>
        <w:rPr>
          <w:rFonts w:ascii="Arial;sans-serif" w:hAnsi="Arial;sans-serif"/>
          <w:b w:val="false"/>
          <w:sz w:val="20"/>
          <w:u w:val="single"/>
        </w:rPr>
        <w:t xml:space="preserve">NOTE 11 </w:t>
      </w:r>
      <w:r>
        <w:rPr>
          <w:rFonts w:ascii="Times New Roman" w:hAnsi="Times New Roman"/>
          <w:caps/>
          <w:sz w:val="20"/>
          <w:u w:val="single"/>
        </w:rPr>
        <w:t>—</w:t>
      </w:r>
      <w:r>
        <w:rPr>
          <w:rFonts w:ascii="Times New Roman" w:hAnsi="Times New Roman"/>
          <w:sz w:val="20"/>
          <w:u w:val="single"/>
        </w:rPr>
        <w:t xml:space="preserve"> </w:t>
      </w:r>
      <w:r>
        <w:rPr>
          <w:rFonts w:ascii="Arial;sans-serif" w:hAnsi="Arial;sans-serif"/>
          <w:b w:val="false"/>
          <w:sz w:val="20"/>
          <w:u w:val="single"/>
        </w:rPr>
        <w:t>INCOME TAXES</w:t>
      </w:r>
    </w:p>
    <w:p>
      <w:pPr>
        <w:pStyle w:val="TextBody"/>
        <w:spacing w:before="180" w:after="0"/>
        <w:jc w:val="both"/>
        <w:rPr>
          <w:rFonts w:ascii="Arial;sans-serif" w:hAnsi="Arial;sans-serif"/>
          <w:b/>
          <w:sz w:val="20"/>
        </w:rPr>
      </w:pPr>
      <w:r>
        <w:rPr>
          <w:rFonts w:ascii="Arial;sans-serif" w:hAnsi="Arial;sans-serif"/>
          <w:b/>
          <w:sz w:val="20"/>
        </w:rPr>
        <w:t>Effective Tax Rate</w:t>
      </w:r>
    </w:p>
    <w:p>
      <w:pPr>
        <w:pStyle w:val="TextBody"/>
        <w:spacing w:before="180" w:after="0"/>
        <w:jc w:val="both"/>
        <w:rPr>
          <w:rFonts w:ascii="Times New Roman" w:hAnsi="Times New Roman"/>
          <w:sz w:val="20"/>
        </w:rPr>
      </w:pPr>
      <w:r>
        <w:rPr>
          <w:rFonts w:ascii="Arial;sans-serif" w:hAnsi="Arial;sans-serif"/>
          <w:b w:val="false"/>
          <w:sz w:val="20"/>
        </w:rPr>
        <w:t>Our effective tax rate was 19% and 17% for the three months ended March 31, 2023 and 2022, respectively, and 19% and 11% for the nine months ended March 31, 2023 and 2022, respectively. The increase in our effective tax rate for the three months ended March 31, 2023 compared to the prior year was primarily due to a decrease in tax benefits relating to stock-based compensation. The increase in our effective tax rate for the nine months ended March 31, 2023 compared to the prior year was primarily due to a $3.3</w:t>
      </w:r>
      <w:r>
        <w:rPr>
          <w:rFonts w:ascii="Times New Roman" w:hAnsi="Times New Roman"/>
          <w:sz w:val="20"/>
        </w:rPr>
        <w:t xml:space="preserve"> </w:t>
      </w:r>
      <w:r>
        <w:rPr>
          <w:rFonts w:ascii="Arial;sans-serif" w:hAnsi="Arial;sans-serif"/>
          <w:b w:val="false"/>
          <w:sz w:val="20"/>
        </w:rPr>
        <w:t>billion net income tax benefit in the first quarter of fiscal year 2022 related to the transfer of intangible properties and a decrease in tax benefits relating to stock-based compensation.</w:t>
      </w:r>
    </w:p>
    <w:p>
      <w:pPr>
        <w:pStyle w:val="TextBody"/>
        <w:spacing w:before="180" w:after="0"/>
        <w:jc w:val="both"/>
        <w:rPr>
          <w:rFonts w:ascii="Times New Roman" w:hAnsi="Times New Roman"/>
          <w:sz w:val="20"/>
        </w:rPr>
      </w:pPr>
      <w:r>
        <w:rPr>
          <w:rFonts w:ascii="Arial;sans-serif" w:hAnsi="Arial;sans-serif"/>
          <w:b w:val="false"/>
          <w:sz w:val="20"/>
        </w:rPr>
        <w:t>In the first quarter of fiscal year 2022, we transferred certain intangible properties from our Puerto Rico subsidiary to the U.S. The transfer of intangible properties resulted in a $3.3</w:t>
      </w:r>
      <w:r>
        <w:rPr>
          <w:rFonts w:ascii="Times New Roman" w:hAnsi="Times New Roman"/>
          <w:sz w:val="20"/>
        </w:rPr>
        <w:t xml:space="preserve"> </w:t>
      </w:r>
      <w:r>
        <w:rPr>
          <w:rFonts w:ascii="Arial;sans-serif" w:hAnsi="Arial;sans-serif"/>
          <w:b w:val="false"/>
          <w:sz w:val="20"/>
        </w:rPr>
        <w:t>billion net income tax benefit in the first quarter of fiscal year 2022, as the value of future U.S. tax deductions exceeded the current tax liability from the U.S. global intangible low-taxed income tax.</w:t>
      </w:r>
    </w:p>
    <w:p>
      <w:pPr>
        <w:pStyle w:val="TextBody"/>
        <w:spacing w:before="180" w:after="0"/>
        <w:jc w:val="both"/>
        <w:rPr>
          <w:rFonts w:ascii="Arial;sans-serif" w:hAnsi="Arial;sans-serif"/>
          <w:b w:val="false"/>
          <w:sz w:val="20"/>
        </w:rPr>
      </w:pPr>
      <w:r>
        <w:rPr>
          <w:rFonts w:ascii="Arial;sans-serif" w:hAnsi="Arial;sans-serif"/>
          <w:b w:val="false"/>
          <w:sz w:val="20"/>
        </w:rPr>
        <w:t>Our effective tax rate was lower than the U.S. federal statutory rate for the three and nine months ended March 31, 2023, primarily due to earnings taxed at lower rates in foreign jurisdictions resulting from producing and distributing our products and services through our foreign regional operations center in Ireland.</w:t>
      </w:r>
    </w:p>
    <w:p>
      <w:pPr>
        <w:pStyle w:val="TextBody"/>
        <w:spacing w:before="270" w:after="0"/>
        <w:jc w:val="both"/>
        <w:rPr>
          <w:rFonts w:ascii="Arial;sans-serif" w:hAnsi="Arial;sans-serif"/>
          <w:b/>
          <w:sz w:val="20"/>
        </w:rPr>
      </w:pPr>
      <w:r>
        <w:rPr>
          <w:rFonts w:ascii="Arial;sans-serif" w:hAnsi="Arial;sans-serif"/>
          <w:b/>
          <w:sz w:val="20"/>
        </w:rPr>
        <w:t>Uncertain Tax Positions</w:t>
      </w:r>
    </w:p>
    <w:p>
      <w:pPr>
        <w:pStyle w:val="TextBody"/>
        <w:spacing w:before="180" w:after="0"/>
        <w:jc w:val="both"/>
        <w:rPr>
          <w:rFonts w:ascii="Times New Roman" w:hAnsi="Times New Roman"/>
          <w:sz w:val="20"/>
        </w:rPr>
      </w:pPr>
      <w:r>
        <w:rPr>
          <w:rFonts w:ascii="Arial;sans-serif" w:hAnsi="Arial;sans-serif"/>
          <w:b w:val="false"/>
          <w:sz w:val="20"/>
        </w:rPr>
        <w:t>As of March 31, 2023 and June 30, 2022, unrecognized tax benefits and other income tax liabilities were $18.1</w:t>
      </w:r>
      <w:r>
        <w:rPr>
          <w:rFonts w:ascii="Times New Roman" w:hAnsi="Times New Roman"/>
          <w:sz w:val="20"/>
        </w:rPr>
        <w:t xml:space="preserve"> </w:t>
      </w:r>
      <w:r>
        <w:rPr>
          <w:rFonts w:ascii="Arial;sans-serif" w:hAnsi="Arial;sans-serif"/>
          <w:b w:val="false"/>
          <w:sz w:val="20"/>
        </w:rPr>
        <w:t>billion and $16.3</w:t>
      </w:r>
      <w:r>
        <w:rPr>
          <w:rFonts w:ascii="Times New Roman" w:hAnsi="Times New Roman"/>
          <w:sz w:val="20"/>
        </w:rPr>
        <w:t xml:space="preserve"> </w:t>
      </w:r>
      <w:r>
        <w:rPr>
          <w:rFonts w:ascii="Arial;sans-serif" w:hAnsi="Arial;sans-serif"/>
          <w:b w:val="false"/>
          <w:sz w:val="20"/>
        </w:rPr>
        <w:t>billion, respectively, and are included in long-term income taxes in our consolidated balance sheets.</w:t>
      </w:r>
    </w:p>
    <w:p>
      <w:pPr>
        <w:pStyle w:val="TextBody"/>
        <w:spacing w:before="180" w:after="0"/>
        <w:jc w:val="both"/>
        <w:rPr>
          <w:rFonts w:ascii="Times New Roman" w:hAnsi="Times New Roman"/>
          <w:sz w:val="20"/>
        </w:rPr>
      </w:pPr>
      <w:r>
        <w:rPr>
          <w:rFonts w:ascii="Arial;sans-serif" w:hAnsi="Arial;sans-serif"/>
          <w:b w:val="false"/>
          <w:sz w:val="20"/>
        </w:rPr>
        <w:t>We settled a portion of the Internal Revenue Service (“IRS”) audit for tax years 2004</w:t>
      </w:r>
      <w:r>
        <w:rPr>
          <w:rFonts w:ascii="Times New Roman" w:hAnsi="Times New Roman"/>
          <w:sz w:val="20"/>
        </w:rPr>
        <w:t xml:space="preserve"> </w:t>
      </w:r>
      <w:r>
        <w:rPr>
          <w:rFonts w:ascii="Arial;sans-serif" w:hAnsi="Arial;sans-serif"/>
          <w:b w:val="false"/>
          <w:sz w:val="20"/>
        </w:rPr>
        <w:t>to 2006</w:t>
      </w:r>
      <w:r>
        <w:rPr>
          <w:rFonts w:ascii="Times New Roman" w:hAnsi="Times New Roman"/>
          <w:sz w:val="20"/>
        </w:rPr>
        <w:t xml:space="preserve"> </w:t>
      </w:r>
      <w:r>
        <w:rPr>
          <w:rFonts w:ascii="Arial;sans-serif" w:hAnsi="Arial;sans-serif"/>
          <w:b w:val="false"/>
          <w:sz w:val="20"/>
        </w:rPr>
        <w:t>in fiscal year 2011. In February 2012, the IRS withdrew its 2011 Revenue Agents Report related to unresolved issues for tax years 2004 to 2006 and reopened the audit phase of the examination. We also settled a portion of the IRS audit for tax years 2007</w:t>
      </w:r>
      <w:r>
        <w:rPr>
          <w:rFonts w:ascii="Times New Roman" w:hAnsi="Times New Roman"/>
          <w:sz w:val="20"/>
        </w:rPr>
        <w:t xml:space="preserve"> </w:t>
      </w:r>
      <w:r>
        <w:rPr>
          <w:rFonts w:ascii="Arial;sans-serif" w:hAnsi="Arial;sans-serif"/>
          <w:b w:val="false"/>
          <w:sz w:val="20"/>
        </w:rPr>
        <w:t>to 2009</w:t>
      </w:r>
      <w:r>
        <w:rPr>
          <w:rFonts w:ascii="Times New Roman" w:hAnsi="Times New Roman"/>
          <w:sz w:val="20"/>
        </w:rPr>
        <w:t xml:space="preserve"> </w:t>
      </w:r>
      <w:r>
        <w:rPr>
          <w:rFonts w:ascii="Arial;sans-serif" w:hAnsi="Arial;sans-serif"/>
          <w:b w:val="false"/>
          <w:sz w:val="20"/>
        </w:rPr>
        <w:t>in fiscal year 2016, and a portion of the IRS audit for tax years 2010</w:t>
      </w:r>
      <w:r>
        <w:rPr>
          <w:rFonts w:ascii="Times New Roman" w:hAnsi="Times New Roman"/>
          <w:sz w:val="20"/>
        </w:rPr>
        <w:t xml:space="preserve"> </w:t>
      </w:r>
      <w:r>
        <w:rPr>
          <w:rFonts w:ascii="Arial;sans-serif" w:hAnsi="Arial;sans-serif"/>
          <w:b w:val="false"/>
          <w:sz w:val="20"/>
        </w:rPr>
        <w:t>to 2013</w:t>
      </w:r>
      <w:r>
        <w:rPr>
          <w:rFonts w:ascii="Times New Roman" w:hAnsi="Times New Roman"/>
          <w:sz w:val="20"/>
        </w:rPr>
        <w:t xml:space="preserve"> </w:t>
      </w:r>
      <w:r>
        <w:rPr>
          <w:rFonts w:ascii="Arial;sans-serif" w:hAnsi="Arial;sans-serif"/>
          <w:b w:val="false"/>
          <w:sz w:val="20"/>
        </w:rPr>
        <w:t>in fiscal year 2018. In the second quarter of fiscal year 2021, we settled an additional portion of the IRS audits for tax years 2004</w:t>
      </w:r>
      <w:r>
        <w:rPr>
          <w:rFonts w:ascii="Times New Roman" w:hAnsi="Times New Roman"/>
          <w:sz w:val="20"/>
        </w:rPr>
        <w:t xml:space="preserve"> </w:t>
      </w:r>
      <w:r>
        <w:rPr>
          <w:rFonts w:ascii="Arial;sans-serif" w:hAnsi="Arial;sans-serif"/>
          <w:b w:val="false"/>
          <w:sz w:val="20"/>
        </w:rPr>
        <w:t>to 2013</w:t>
      </w:r>
      <w:r>
        <w:rPr>
          <w:rFonts w:ascii="Times New Roman" w:hAnsi="Times New Roman"/>
          <w:sz w:val="20"/>
        </w:rPr>
        <w:t xml:space="preserve"> </w:t>
      </w:r>
      <w:r>
        <w:rPr>
          <w:rFonts w:ascii="Arial;sans-serif" w:hAnsi="Arial;sans-serif"/>
          <w:b w:val="false"/>
          <w:sz w:val="20"/>
        </w:rPr>
        <w:t>and made a payment of $1.7</w:t>
      </w:r>
      <w:r>
        <w:rPr>
          <w:rFonts w:ascii="Times New Roman" w:hAnsi="Times New Roman"/>
          <w:sz w:val="20"/>
        </w:rPr>
        <w:t xml:space="preserve"> </w:t>
      </w:r>
      <w:r>
        <w:rPr>
          <w:rFonts w:ascii="Arial;sans-serif" w:hAnsi="Arial;sans-serif"/>
          <w:b w:val="false"/>
          <w:sz w:val="20"/>
        </w:rPr>
        <w:t>billion, including tax and interest. We remain under audit for tax years 2004</w:t>
      </w:r>
      <w:r>
        <w:rPr>
          <w:rFonts w:ascii="Times New Roman" w:hAnsi="Times New Roman"/>
          <w:sz w:val="20"/>
        </w:rPr>
        <w:t xml:space="preserve"> </w:t>
      </w:r>
      <w:r>
        <w:rPr>
          <w:rFonts w:ascii="Arial;sans-serif" w:hAnsi="Arial;sans-serif"/>
          <w:b w:val="false"/>
          <w:sz w:val="20"/>
        </w:rPr>
        <w:t>to 2017.</w:t>
      </w:r>
    </w:p>
    <w:p>
      <w:pPr>
        <w:pStyle w:val="TextBody"/>
        <w:spacing w:before="180" w:after="0"/>
        <w:jc w:val="both"/>
        <w:rPr>
          <w:rFonts w:ascii="Arial;sans-serif" w:hAnsi="Arial;sans-serif"/>
          <w:b w:val="false"/>
          <w:sz w:val="20"/>
        </w:rPr>
      </w:pPr>
      <w:r>
        <w:rPr>
          <w:rFonts w:ascii="Arial;sans-serif" w:hAnsi="Arial;sans-serif"/>
          <w:b w:val="false"/>
          <w:sz w:val="20"/>
        </w:rPr>
        <w:t>As of March 31, 2023, the primary unresolved issues for the IRS audits relate to transfer pricing, which could have a material impact in our consolidated financial statements when the matters are resolved. We believe our allowances for income tax contingencies are adequate. We have not received a proposed assessment for the unresolved key transfer pricing issues. We do not expect a final resolution of these issues in the next 12 months. Based on the information currently available, we do not anticipate a significant increase or decrease to our tax contingencies for these issues within the next 12 months.</w:t>
      </w:r>
    </w:p>
    <w:p>
      <w:pPr>
        <w:pStyle w:val="TextBody"/>
        <w:spacing w:before="240" w:after="0"/>
        <w:jc w:val="center"/>
        <w:rPr>
          <w:rFonts w:ascii="Arial;sans-serif" w:hAnsi="Arial;sans-serif"/>
          <w:b w:val="false"/>
          <w:sz w:val="16"/>
        </w:rPr>
      </w:pPr>
      <w:r>
        <w:rPr>
          <w:rFonts w:ascii="Arial;sans-serif" w:hAnsi="Arial;sans-serif"/>
          <w:b w:val="false"/>
          <w:sz w:val="16"/>
        </w:rPr>
        <w:t>22</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w:t>
      </w:r>
    </w:p>
    <w:p>
      <w:pPr>
        <w:pStyle w:val="TextBody"/>
        <w:spacing w:before="0" w:after="0"/>
        <w:jc w:val="center"/>
        <w:rPr>
          <w:rFonts w:ascii="Arial;sans-serif" w:hAnsi="Arial;sans-serif"/>
          <w:b w:val="false"/>
          <w:sz w:val="15"/>
        </w:rPr>
      </w:pPr>
      <w:r>
        <w:rPr>
          <w:rFonts w:ascii="Arial;sans-serif" w:hAnsi="Arial;sans-serif"/>
          <w:b w:val="false"/>
          <w:sz w:val="15"/>
        </w:rPr>
        <w:t>Item 1</w:t>
      </w:r>
    </w:p>
    <w:p>
      <w:pPr>
        <w:pStyle w:val="TextBody"/>
        <w:spacing w:before="0" w:after="0"/>
        <w:jc w:val="left"/>
        <w:rPr/>
      </w:pPr>
      <w:r>
        <w:rPr/>
        <w:t> </w:t>
      </w:r>
    </w:p>
    <w:p>
      <w:pPr>
        <w:pStyle w:val="TextBody"/>
        <w:spacing w:before="180" w:after="0"/>
        <w:jc w:val="both"/>
        <w:rPr>
          <w:rFonts w:ascii="Times New Roman" w:hAnsi="Times New Roman"/>
          <w:sz w:val="20"/>
        </w:rPr>
      </w:pPr>
      <w:r>
        <w:rPr>
          <w:rFonts w:ascii="Arial;sans-serif" w:hAnsi="Arial;sans-serif"/>
          <w:b w:val="false"/>
          <w:sz w:val="20"/>
        </w:rPr>
        <w:t>We are subject to income tax in many jurisdictions outside the U.S. Our operations in certain jurisdictions remain subject to examination for tax years 1996</w:t>
      </w:r>
      <w:r>
        <w:rPr>
          <w:rFonts w:ascii="Times New Roman" w:hAnsi="Times New Roman"/>
          <w:sz w:val="20"/>
        </w:rPr>
        <w:t xml:space="preserve"> </w:t>
      </w:r>
      <w:r>
        <w:rPr>
          <w:rFonts w:ascii="Arial;sans-serif" w:hAnsi="Arial;sans-serif"/>
          <w:b w:val="false"/>
          <w:sz w:val="20"/>
        </w:rPr>
        <w:t>to 2022, some of which are currently under audit by local tax authorities. The resolution of each of these audits is not expected to be material to our consolidated financial statements.</w:t>
      </w:r>
    </w:p>
    <w:p>
      <w:pPr>
        <w:pStyle w:val="TextBody"/>
        <w:spacing w:before="270" w:after="0"/>
        <w:jc w:val="center"/>
        <w:rPr>
          <w:rFonts w:ascii="Times New Roman" w:hAnsi="Times New Roman"/>
          <w:sz w:val="20"/>
        </w:rPr>
      </w:pPr>
      <w:r>
        <w:rPr>
          <w:rFonts w:ascii="Arial;sans-serif" w:hAnsi="Arial;sans-serif"/>
          <w:b w:val="false"/>
          <w:sz w:val="20"/>
          <w:u w:val="single"/>
        </w:rPr>
        <w:t>NOTE 12 — UNEARNED REVENUE</w:t>
      </w:r>
      <w:r>
        <w:rPr>
          <w:rFonts w:ascii="Times New Roman" w:hAnsi="Times New Roman"/>
          <w:sz w:val="20"/>
        </w:rPr>
        <w:t xml:space="preserve"> </w:t>
      </w:r>
    </w:p>
    <w:p>
      <w:pPr>
        <w:pStyle w:val="TextBody"/>
        <w:spacing w:before="180" w:after="0"/>
        <w:jc w:val="both"/>
        <w:rPr>
          <w:rFonts w:ascii="Arial;sans-serif" w:hAnsi="Arial;sans-serif"/>
          <w:b w:val="false"/>
          <w:sz w:val="20"/>
        </w:rPr>
      </w:pPr>
      <w:r>
        <w:rPr>
          <w:rFonts w:ascii="Arial;sans-serif" w:hAnsi="Arial;sans-serif"/>
          <w:b w:val="false"/>
          <w:sz w:val="20"/>
        </w:rPr>
        <w:t>Unearned revenue by segment was as follows:</w:t>
      </w:r>
    </w:p>
    <w:p>
      <w:pPr>
        <w:pStyle w:val="TextBody"/>
        <w:spacing w:before="0" w:after="0"/>
        <w:jc w:val="left"/>
        <w:rPr/>
      </w:pPr>
      <w:r>
        <w:rPr/>
        <w:t> </w:t>
      </w:r>
    </w:p>
    <w:tbl>
      <w:tblPr>
        <w:tblW w:w="6069" w:type="dxa"/>
        <w:jc w:val="left"/>
        <w:tblInd w:w="0" w:type="dxa"/>
        <w:tblCellMar>
          <w:top w:w="28" w:type="dxa"/>
          <w:left w:w="28" w:type="dxa"/>
          <w:bottom w:w="28" w:type="dxa"/>
          <w:right w:w="28" w:type="dxa"/>
        </w:tblCellMar>
      </w:tblPr>
      <w:tblGrid>
        <w:gridCol w:w="3391"/>
        <w:gridCol w:w="146"/>
        <w:gridCol w:w="211"/>
        <w:gridCol w:w="691"/>
        <w:gridCol w:w="146"/>
        <w:gridCol w:w="146"/>
        <w:gridCol w:w="211"/>
        <w:gridCol w:w="691"/>
        <w:gridCol w:w="436"/>
      </w:tblGrid>
      <w:tr>
        <w:trPr/>
        <w:tc>
          <w:tcPr>
            <w:tcW w:w="339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436" w:type="dxa"/>
            <w:tcBorders/>
            <w:shd w:fill="FFFFFF" w:val="clear"/>
            <w:vAlign w:val="center"/>
          </w:tcPr>
          <w:p>
            <w:pPr>
              <w:pStyle w:val="TableContents"/>
              <w:spacing w:before="0" w:after="283"/>
              <w:rPr>
                <w:sz w:val="4"/>
                <w:szCs w:val="4"/>
              </w:rPr>
            </w:pPr>
            <w:r>
              <w:rPr>
                <w:sz w:val="4"/>
                <w:szCs w:val="4"/>
              </w:rPr>
            </w:r>
          </w:p>
        </w:tc>
      </w:tr>
      <w:tr>
        <w:trPr/>
        <w:tc>
          <w:tcPr>
            <w:tcW w:w="3391"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(In millions)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02" w:type="dxa"/>
            <w:gridSpan w:val="2"/>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02" w:type="dxa"/>
            <w:gridSpan w:val="2"/>
            <w:tcBorders/>
            <w:shd w:fill="auto" w:val="clear"/>
            <w:vAlign w:val="center"/>
          </w:tcPr>
          <w:p>
            <w:pPr>
              <w:pStyle w:val="TableContents"/>
              <w:spacing w:before="0" w:after="283"/>
              <w:ind w:left="0" w:right="0" w:hanging="0"/>
              <w:rPr>
                <w:sz w:val="4"/>
                <w:szCs w:val="4"/>
              </w:rPr>
            </w:pPr>
            <w:r>
              <w:rPr>
                <w:sz w:val="4"/>
                <w:szCs w:val="4"/>
              </w:rPr>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339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391" w:type="dxa"/>
            <w:tcBorders/>
            <w:shd w:fill="auto" w:val="clear"/>
            <w:vAlign w:val="center"/>
          </w:tcPr>
          <w:p>
            <w:pPr>
              <w:pStyle w:val="TableContents"/>
              <w:spacing w:before="0" w:after="283"/>
              <w:ind w:left="0" w:right="0" w:hanging="0"/>
              <w:rPr>
                <w:sz w:val="4"/>
                <w:szCs w:val="4"/>
              </w:rPr>
            </w:pPr>
            <w:r>
              <w:rPr>
                <w:sz w:val="4"/>
                <w:szCs w:val="4"/>
              </w:rPr>
            </w:r>
          </w:p>
        </w:tc>
        <w:tc>
          <w:tcPr>
            <w:tcW w:w="1194" w:type="dxa"/>
            <w:gridSpan w:val="4"/>
            <w:tcBorders/>
            <w:shd w:fill="auto" w:val="clear"/>
            <w:vAlign w:val="center"/>
          </w:tcPr>
          <w:p>
            <w:pPr>
              <w:pStyle w:val="TableContents"/>
              <w:spacing w:before="0" w:after="0"/>
              <w:ind w:left="0" w:right="0" w:hanging="0"/>
              <w:jc w:val="left"/>
              <w:rPr/>
            </w:pPr>
            <w:r>
              <w:rPr/>
              <w:t> </w:t>
            </w:r>
          </w:p>
        </w:tc>
        <w:tc>
          <w:tcPr>
            <w:tcW w:w="1484" w:type="dxa"/>
            <w:gridSpan w:val="4"/>
            <w:tcBorders/>
            <w:shd w:fill="auto" w:val="clear"/>
            <w:vAlign w:val="center"/>
          </w:tcPr>
          <w:p>
            <w:pPr>
              <w:pStyle w:val="TableContents"/>
              <w:spacing w:before="0" w:after="0"/>
              <w:ind w:left="0" w:right="0" w:hanging="0"/>
              <w:jc w:val="left"/>
              <w:rPr/>
            </w:pPr>
            <w:r>
              <w:rPr/>
              <w:t> </w:t>
            </w:r>
          </w:p>
        </w:tc>
      </w:tr>
      <w:tr>
        <w:trPr/>
        <w:tc>
          <w:tcPr>
            <w:tcW w:w="339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02"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02"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June 30,</w:t>
              <w:br/>
              <w:t>2022</w:t>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3391" w:type="dxa"/>
            <w:tcBorders/>
            <w:shd w:fill="auto" w:val="clear"/>
            <w:vAlign w:val="center"/>
          </w:tcPr>
          <w:p>
            <w:pPr>
              <w:pStyle w:val="TableContents"/>
              <w:spacing w:before="0" w:after="283"/>
              <w:ind w:left="0" w:right="0" w:hanging="0"/>
              <w:rPr>
                <w:sz w:val="4"/>
                <w:szCs w:val="4"/>
              </w:rPr>
            </w:pPr>
            <w:r>
              <w:rPr>
                <w:sz w:val="4"/>
                <w:szCs w:val="4"/>
              </w:rPr>
            </w:r>
          </w:p>
        </w:tc>
        <w:tc>
          <w:tcPr>
            <w:tcW w:w="1194" w:type="dxa"/>
            <w:gridSpan w:val="4"/>
            <w:tcBorders/>
            <w:shd w:fill="auto" w:val="clear"/>
            <w:vAlign w:val="center"/>
          </w:tcPr>
          <w:p>
            <w:pPr>
              <w:pStyle w:val="TableContents"/>
              <w:spacing w:before="0" w:after="0"/>
              <w:ind w:left="0" w:right="0" w:hanging="0"/>
              <w:jc w:val="left"/>
              <w:rPr/>
            </w:pPr>
            <w:r>
              <w:rPr/>
              <w:t> </w:t>
            </w:r>
          </w:p>
        </w:tc>
        <w:tc>
          <w:tcPr>
            <w:tcW w:w="1484" w:type="dxa"/>
            <w:gridSpan w:val="4"/>
            <w:tcBorders/>
            <w:shd w:fill="auto" w:val="clear"/>
            <w:vAlign w:val="center"/>
          </w:tcPr>
          <w:p>
            <w:pPr>
              <w:pStyle w:val="TableContents"/>
              <w:spacing w:before="0" w:after="0"/>
              <w:ind w:left="0" w:right="0" w:hanging="0"/>
              <w:jc w:val="left"/>
              <w:rPr/>
            </w:pPr>
            <w:r>
              <w:rPr/>
              <w:t> </w:t>
            </w:r>
          </w:p>
        </w:tc>
      </w:tr>
      <w:tr>
        <w:trPr/>
        <w:tc>
          <w:tcPr>
            <w:tcW w:w="33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Productivity and Business Processes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20,504</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24,558</w:t>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33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Intelligent Cloud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15,552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19,371</w:t>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33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More Personal Computing</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3,545</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4,479</w:t>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339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39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firstLine="245"/>
              <w:jc w:val="left"/>
              <w:rPr/>
            </w:pPr>
            <w:r>
              <w:rPr/>
              <w:t> </w:t>
            </w:r>
          </w:p>
        </w:tc>
      </w:tr>
      <w:tr>
        <w:trPr/>
        <w:tc>
          <w:tcPr>
            <w:tcW w:w="3391"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Total</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39,601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48,408</w:t>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339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Arial;sans-serif" w:hAnsi="Arial;sans-serif"/>
          <w:b w:val="false"/>
          <w:sz w:val="20"/>
        </w:rPr>
      </w:pPr>
      <w:r>
        <w:rPr>
          <w:rFonts w:ascii="Arial;sans-serif" w:hAnsi="Arial;sans-serif"/>
          <w:b w:val="false"/>
          <w:sz w:val="20"/>
        </w:rPr>
        <w:t>Changes in unearned revenue were as follows:</w:t>
      </w:r>
    </w:p>
    <w:p>
      <w:pPr>
        <w:pStyle w:val="TextBody"/>
        <w:spacing w:before="0" w:after="0"/>
        <w:jc w:val="both"/>
        <w:rPr/>
      </w:pPr>
      <w:r>
        <w:rPr/>
        <w:t> </w:t>
      </w:r>
    </w:p>
    <w:tbl>
      <w:tblPr>
        <w:tblW w:w="4515" w:type="dxa"/>
        <w:jc w:val="left"/>
        <w:tblInd w:w="0" w:type="dxa"/>
        <w:tblCellMar>
          <w:top w:w="28" w:type="dxa"/>
          <w:left w:w="28" w:type="dxa"/>
          <w:bottom w:w="28" w:type="dxa"/>
          <w:right w:w="28" w:type="dxa"/>
        </w:tblCellMar>
      </w:tblPr>
      <w:tblGrid>
        <w:gridCol w:w="2971"/>
        <w:gridCol w:w="146"/>
        <w:gridCol w:w="211"/>
        <w:gridCol w:w="751"/>
        <w:gridCol w:w="436"/>
      </w:tblGrid>
      <w:tr>
        <w:trPr/>
        <w:tc>
          <w:tcPr>
            <w:tcW w:w="297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51" w:type="dxa"/>
            <w:tcBorders/>
            <w:shd w:fill="FFFFFF" w:val="clear"/>
            <w:vAlign w:val="center"/>
          </w:tcPr>
          <w:p>
            <w:pPr>
              <w:pStyle w:val="TableContents"/>
              <w:spacing w:before="0" w:after="283"/>
              <w:rPr>
                <w:sz w:val="4"/>
                <w:szCs w:val="4"/>
              </w:rPr>
            </w:pPr>
            <w:r>
              <w:rPr>
                <w:sz w:val="4"/>
                <w:szCs w:val="4"/>
              </w:rPr>
            </w:r>
          </w:p>
        </w:tc>
        <w:tc>
          <w:tcPr>
            <w:tcW w:w="436" w:type="dxa"/>
            <w:tcBorders/>
            <w:shd w:fill="FFFFFF" w:val="clear"/>
            <w:vAlign w:val="center"/>
          </w:tcPr>
          <w:p>
            <w:pPr>
              <w:pStyle w:val="TableContents"/>
              <w:spacing w:before="0" w:after="283"/>
              <w:rPr>
                <w:sz w:val="4"/>
                <w:szCs w:val="4"/>
              </w:rPr>
            </w:pPr>
            <w:r>
              <w:rPr>
                <w:sz w:val="4"/>
                <w:szCs w:val="4"/>
              </w:rPr>
            </w:r>
          </w:p>
        </w:tc>
      </w:tr>
      <w:tr>
        <w:trPr/>
        <w:tc>
          <w:tcPr>
            <w:tcW w:w="2971"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(In millions)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62" w:type="dxa"/>
            <w:gridSpan w:val="2"/>
            <w:tcBorders/>
            <w:shd w:fill="auto" w:val="clear"/>
            <w:vAlign w:val="center"/>
          </w:tcPr>
          <w:p>
            <w:pPr>
              <w:pStyle w:val="TableContents"/>
              <w:spacing w:before="0" w:after="283"/>
              <w:ind w:left="0" w:right="0" w:hanging="0"/>
              <w:rPr>
                <w:sz w:val="4"/>
                <w:szCs w:val="4"/>
              </w:rPr>
            </w:pPr>
            <w:r>
              <w:rPr>
                <w:sz w:val="4"/>
                <w:szCs w:val="4"/>
              </w:rPr>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4079" w:type="dxa"/>
            <w:gridSpan w:val="4"/>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79" w:type="dxa"/>
            <w:gridSpan w:val="4"/>
            <w:tcBorders/>
            <w:shd w:fill="auto" w:val="clear"/>
            <w:vAlign w:val="center"/>
          </w:tcPr>
          <w:p>
            <w:pPr>
              <w:pStyle w:val="TableContents"/>
              <w:spacing w:before="0" w:after="283"/>
              <w:ind w:left="0" w:right="0" w:hanging="0"/>
              <w:rPr>
                <w:sz w:val="4"/>
                <w:szCs w:val="4"/>
              </w:rPr>
            </w:pPr>
            <w:r>
              <w:rPr>
                <w:sz w:val="4"/>
                <w:szCs w:val="4"/>
              </w:rPr>
            </w:r>
          </w:p>
        </w:tc>
        <w:tc>
          <w:tcPr>
            <w:tcW w:w="436" w:type="dxa"/>
            <w:tcBorders/>
            <w:shd w:fill="auto" w:val="clear"/>
            <w:vAlign w:val="center"/>
          </w:tcPr>
          <w:p>
            <w:pPr>
              <w:pStyle w:val="TableContents"/>
              <w:spacing w:before="0" w:after="0"/>
              <w:ind w:left="0" w:right="0" w:hanging="0"/>
              <w:jc w:val="left"/>
              <w:rPr/>
            </w:pPr>
            <w:r>
              <w:rPr/>
              <w:t> </w:t>
            </w:r>
          </w:p>
        </w:tc>
      </w:tr>
      <w:tr>
        <w:trPr/>
        <w:tc>
          <w:tcPr>
            <w:tcW w:w="4079" w:type="dxa"/>
            <w:gridSpan w:val="4"/>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Nine Months Ended March 31, 2023</w:t>
            </w:r>
          </w:p>
        </w:tc>
        <w:tc>
          <w:tcPr>
            <w:tcW w:w="436" w:type="dxa"/>
            <w:tcBorders/>
            <w:shd w:fill="auto" w:val="clear"/>
            <w:vAlign w:val="center"/>
          </w:tcPr>
          <w:p>
            <w:pPr>
              <w:pStyle w:val="TableContents"/>
              <w:spacing w:before="0" w:after="0"/>
              <w:ind w:left="0" w:right="0" w:hanging="0"/>
              <w:jc w:val="left"/>
              <w:rPr/>
            </w:pPr>
            <w:r>
              <w:rPr/>
              <w:t> </w:t>
            </w:r>
          </w:p>
        </w:tc>
      </w:tr>
      <w:tr>
        <w:trPr/>
        <w:tc>
          <w:tcPr>
            <w:tcW w:w="2971" w:type="dxa"/>
            <w:tcBorders/>
            <w:shd w:fill="auto" w:val="clear"/>
            <w:vAlign w:val="center"/>
          </w:tcPr>
          <w:p>
            <w:pPr>
              <w:pStyle w:val="TableContents"/>
              <w:spacing w:before="0" w:after="283"/>
              <w:ind w:left="0" w:right="0" w:hanging="0"/>
              <w:rPr>
                <w:sz w:val="4"/>
                <w:szCs w:val="4"/>
              </w:rPr>
            </w:pPr>
            <w:r>
              <w:rPr>
                <w:sz w:val="4"/>
                <w:szCs w:val="4"/>
              </w:rPr>
            </w:r>
          </w:p>
        </w:tc>
        <w:tc>
          <w:tcPr>
            <w:tcW w:w="1544" w:type="dxa"/>
            <w:gridSpan w:val="4"/>
            <w:tcBorders/>
            <w:shd w:fill="auto" w:val="clear"/>
            <w:vAlign w:val="center"/>
          </w:tcPr>
          <w:p>
            <w:pPr>
              <w:pStyle w:val="TableContents"/>
              <w:spacing w:before="0" w:after="0"/>
              <w:ind w:left="0" w:right="0" w:hanging="0"/>
              <w:jc w:val="left"/>
              <w:rPr/>
            </w:pPr>
            <w:r>
              <w:rPr/>
              <w:t> </w:t>
            </w:r>
          </w:p>
        </w:tc>
      </w:tr>
      <w:tr>
        <w:trPr/>
        <w:tc>
          <w:tcPr>
            <w:tcW w:w="297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Balance, beginning of period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48,408</w:t>
            </w:r>
          </w:p>
        </w:tc>
        <w:tc>
          <w:tcPr>
            <w:tcW w:w="436" w:type="dxa"/>
            <w:tcBorders/>
            <w:shd w:fill="auto" w:val="clear"/>
            <w:vAlign w:val="center"/>
          </w:tcPr>
          <w:p>
            <w:pPr>
              <w:pStyle w:val="TableContents"/>
              <w:spacing w:before="0" w:after="0"/>
              <w:ind w:left="0" w:right="0" w:firstLine="245"/>
              <w:jc w:val="left"/>
              <w:rPr/>
            </w:pPr>
            <w:r>
              <w:rPr/>
              <w:t> </w:t>
            </w:r>
          </w:p>
        </w:tc>
      </w:tr>
      <w:tr>
        <w:trPr/>
        <w:tc>
          <w:tcPr>
            <w:tcW w:w="2971"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Deferral of revenue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78,046</w:t>
            </w:r>
          </w:p>
        </w:tc>
        <w:tc>
          <w:tcPr>
            <w:tcW w:w="436" w:type="dxa"/>
            <w:tcBorders/>
            <w:shd w:fill="auto" w:val="clear"/>
            <w:vAlign w:val="center"/>
          </w:tcPr>
          <w:p>
            <w:pPr>
              <w:pStyle w:val="TableContents"/>
              <w:spacing w:before="0" w:after="0"/>
              <w:ind w:left="0" w:right="0" w:firstLine="245"/>
              <w:jc w:val="left"/>
              <w:rPr/>
            </w:pPr>
            <w:r>
              <w:rPr/>
              <w:t> </w:t>
            </w:r>
          </w:p>
        </w:tc>
      </w:tr>
      <w:tr>
        <w:trPr/>
        <w:tc>
          <w:tcPr>
            <w:tcW w:w="2971"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Recognition of unearned revenue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(86,853</w:t>
            </w:r>
          </w:p>
        </w:tc>
        <w:tc>
          <w:tcPr>
            <w:tcW w:w="43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r>
      <w:tr>
        <w:trPr/>
        <w:tc>
          <w:tcPr>
            <w:tcW w:w="4079" w:type="dxa"/>
            <w:gridSpan w:val="4"/>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97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297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Balance, end of period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39,601</w:t>
            </w:r>
          </w:p>
        </w:tc>
        <w:tc>
          <w:tcPr>
            <w:tcW w:w="436" w:type="dxa"/>
            <w:tcBorders/>
            <w:shd w:fill="auto" w:val="clear"/>
            <w:vAlign w:val="center"/>
          </w:tcPr>
          <w:p>
            <w:pPr>
              <w:pStyle w:val="TableContents"/>
              <w:spacing w:before="0" w:after="0"/>
              <w:ind w:left="0" w:right="0" w:hanging="0"/>
              <w:jc w:val="left"/>
              <w:rPr/>
            </w:pPr>
            <w:r>
              <w:rPr/>
              <w:t> </w:t>
            </w:r>
          </w:p>
        </w:tc>
      </w:tr>
      <w:tr>
        <w:trPr/>
        <w:tc>
          <w:tcPr>
            <w:tcW w:w="297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75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43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both"/>
        <w:rPr>
          <w:rFonts w:ascii="Times New Roman" w:hAnsi="Times New Roman"/>
          <w:sz w:val="20"/>
        </w:rPr>
      </w:pPr>
      <w:r>
        <w:rPr>
          <w:rFonts w:ascii="Arial;sans-serif" w:hAnsi="Arial;sans-serif"/>
          <w:b w:val="false"/>
          <w:sz w:val="20"/>
        </w:rPr>
        <w:t>Revenue allocated to remaining performance obligations, which includes unearned revenue and amounts that will be invoiced and recognized as revenue in future periods, was $201</w:t>
      </w:r>
      <w:r>
        <w:rPr>
          <w:rFonts w:ascii="Times New Roman" w:hAnsi="Times New Roman"/>
          <w:sz w:val="20"/>
        </w:rPr>
        <w:t xml:space="preserve"> </w:t>
      </w:r>
      <w:r>
        <w:rPr>
          <w:rFonts w:ascii="Arial;sans-serif" w:hAnsi="Arial;sans-serif"/>
          <w:b w:val="false"/>
          <w:sz w:val="20"/>
        </w:rPr>
        <w:t>billion as of March 31, 2023, of which $196</w:t>
      </w:r>
      <w:r>
        <w:rPr>
          <w:rFonts w:ascii="Times New Roman" w:hAnsi="Times New Roman"/>
          <w:sz w:val="20"/>
        </w:rPr>
        <w:t xml:space="preserve"> </w:t>
      </w:r>
      <w:r>
        <w:rPr>
          <w:rFonts w:ascii="Arial;sans-serif" w:hAnsi="Arial;sans-serif"/>
          <w:b w:val="false"/>
          <w:sz w:val="20"/>
        </w:rPr>
        <w:t>billion is related to the commercial portion of revenue. We expect to recognize approximately 45% of this revenue over the next 12</w:t>
      </w:r>
      <w:r>
        <w:rPr>
          <w:rFonts w:ascii="Times New Roman" w:hAnsi="Times New Roman"/>
          <w:sz w:val="20"/>
        </w:rPr>
        <w:t xml:space="preserve"> </w:t>
      </w:r>
      <w:r>
        <w:rPr>
          <w:rFonts w:ascii="Arial;sans-serif" w:hAnsi="Arial;sans-serif"/>
          <w:b w:val="false"/>
          <w:sz w:val="20"/>
        </w:rPr>
        <w:t>months and the remainder thereafter.</w:t>
      </w:r>
    </w:p>
    <w:p>
      <w:pPr>
        <w:pStyle w:val="TextBody"/>
        <w:spacing w:before="270" w:after="0"/>
        <w:jc w:val="center"/>
        <w:rPr>
          <w:rFonts w:ascii="Times New Roman" w:hAnsi="Times New Roman"/>
          <w:sz w:val="20"/>
        </w:rPr>
      </w:pPr>
      <w:r>
        <w:rPr>
          <w:rFonts w:ascii="Arial;sans-serif" w:hAnsi="Arial;sans-serif"/>
          <w:b w:val="false"/>
          <w:sz w:val="20"/>
          <w:u w:val="single"/>
        </w:rPr>
        <w:t xml:space="preserve">NOTE 13 </w:t>
      </w:r>
      <w:r>
        <w:rPr>
          <w:rFonts w:ascii="Times New Roman" w:hAnsi="Times New Roman"/>
          <w:caps/>
          <w:sz w:val="20"/>
          <w:u w:val="single"/>
        </w:rPr>
        <w:t>—</w:t>
      </w:r>
      <w:r>
        <w:rPr>
          <w:rFonts w:ascii="Times New Roman" w:hAnsi="Times New Roman"/>
          <w:sz w:val="20"/>
          <w:u w:val="single"/>
        </w:rPr>
        <w:t xml:space="preserve"> </w:t>
      </w:r>
      <w:r>
        <w:rPr>
          <w:rFonts w:ascii="Arial;sans-serif" w:hAnsi="Arial;sans-serif"/>
          <w:b w:val="false"/>
          <w:sz w:val="20"/>
          <w:u w:val="single"/>
        </w:rPr>
        <w:t>LEASES</w:t>
      </w:r>
    </w:p>
    <w:p>
      <w:pPr>
        <w:pStyle w:val="TextBody"/>
        <w:spacing w:before="180" w:after="0"/>
        <w:jc w:val="both"/>
        <w:rPr>
          <w:rFonts w:ascii="Times New Roman" w:hAnsi="Times New Roman"/>
          <w:sz w:val="20"/>
        </w:rPr>
      </w:pPr>
      <w:r>
        <w:rPr>
          <w:rFonts w:ascii="Arial;sans-serif" w:hAnsi="Arial;sans-serif"/>
          <w:b w:val="false"/>
          <w:sz w:val="20"/>
        </w:rPr>
        <w:t>We have operating and finance leases for datacenters, corporate offices, research and development facilities, Microsoft Experience Centers, and certain equipment. Our leases have remaining lease terms of less than 1</w:t>
      </w:r>
      <w:r>
        <w:rPr>
          <w:rFonts w:ascii="Times New Roman" w:hAnsi="Times New Roman"/>
          <w:sz w:val="20"/>
        </w:rPr>
        <w:t xml:space="preserve"> </w:t>
      </w:r>
      <w:r>
        <w:rPr>
          <w:rFonts w:ascii="Arial;sans-serif" w:hAnsi="Arial;sans-serif"/>
          <w:b w:val="false"/>
          <w:sz w:val="20"/>
        </w:rPr>
        <w:t>year to 18</w:t>
      </w:r>
      <w:r>
        <w:rPr>
          <w:rFonts w:ascii="Times New Roman" w:hAnsi="Times New Roman"/>
          <w:sz w:val="20"/>
        </w:rPr>
        <w:t xml:space="preserve"> </w:t>
      </w:r>
      <w:r>
        <w:rPr>
          <w:rFonts w:ascii="Arial;sans-serif" w:hAnsi="Arial;sans-serif"/>
          <w:b w:val="false"/>
          <w:sz w:val="20"/>
        </w:rPr>
        <w:t>years, some of which include options to extend the leases for up to 5</w:t>
      </w:r>
      <w:r>
        <w:rPr>
          <w:rFonts w:ascii="Times New Roman" w:hAnsi="Times New Roman"/>
          <w:sz w:val="20"/>
        </w:rPr>
        <w:t xml:space="preserve"> </w:t>
      </w:r>
      <w:r>
        <w:rPr>
          <w:rFonts w:ascii="Arial;sans-serif" w:hAnsi="Arial;sans-serif"/>
          <w:b w:val="false"/>
          <w:sz w:val="20"/>
        </w:rPr>
        <w:t>years, and some of which include options to terminate the leases within 1</w:t>
      </w:r>
      <w:r>
        <w:rPr>
          <w:rFonts w:ascii="Times New Roman" w:hAnsi="Times New Roman"/>
          <w:sz w:val="20"/>
        </w:rPr>
        <w:t xml:space="preserve"> </w:t>
      </w:r>
      <w:r>
        <w:rPr>
          <w:rFonts w:ascii="Arial;sans-serif" w:hAnsi="Arial;sans-serif"/>
          <w:b w:val="false"/>
          <w:sz w:val="20"/>
        </w:rPr>
        <w:t>year.</w:t>
      </w:r>
    </w:p>
    <w:p>
      <w:pPr>
        <w:pStyle w:val="TextBody"/>
        <w:spacing w:before="180" w:after="0"/>
        <w:jc w:val="both"/>
        <w:rPr>
          <w:rFonts w:ascii="Arial;sans-serif" w:hAnsi="Arial;sans-serif"/>
          <w:b w:val="false"/>
          <w:sz w:val="20"/>
        </w:rPr>
      </w:pPr>
      <w:r>
        <w:rPr>
          <w:rFonts w:ascii="Arial;sans-serif" w:hAnsi="Arial;sans-serif"/>
          <w:b w:val="false"/>
          <w:sz w:val="20"/>
        </w:rPr>
        <w:t>The components of lease expense were as follows:</w:t>
      </w:r>
    </w:p>
    <w:p>
      <w:pPr>
        <w:pStyle w:val="TextBody"/>
        <w:spacing w:before="0" w:after="0"/>
        <w:jc w:val="both"/>
        <w:rPr/>
      </w:pPr>
      <w:r>
        <w:rPr/>
        <w:t> </w:t>
      </w:r>
    </w:p>
    <w:tbl>
      <w:tblPr>
        <w:tblW w:w="7319" w:type="dxa"/>
        <w:jc w:val="left"/>
        <w:tblInd w:w="0" w:type="dxa"/>
        <w:tblCellMar>
          <w:top w:w="28" w:type="dxa"/>
          <w:left w:w="28" w:type="dxa"/>
          <w:bottom w:w="28" w:type="dxa"/>
          <w:right w:w="28" w:type="dxa"/>
        </w:tblCellMar>
      </w:tblPr>
      <w:tblGrid>
        <w:gridCol w:w="3121"/>
        <w:gridCol w:w="146"/>
        <w:gridCol w:w="211"/>
        <w:gridCol w:w="466"/>
        <w:gridCol w:w="146"/>
        <w:gridCol w:w="146"/>
        <w:gridCol w:w="211"/>
        <w:gridCol w:w="466"/>
        <w:gridCol w:w="109"/>
        <w:gridCol w:w="109"/>
        <w:gridCol w:w="211"/>
        <w:gridCol w:w="586"/>
        <w:gridCol w:w="109"/>
        <w:gridCol w:w="109"/>
        <w:gridCol w:w="211"/>
        <w:gridCol w:w="586"/>
        <w:gridCol w:w="376"/>
      </w:tblGrid>
      <w:tr>
        <w:trPr/>
        <w:tc>
          <w:tcPr>
            <w:tcW w:w="31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r>
      <w:tr>
        <w:trPr/>
        <w:tc>
          <w:tcPr>
            <w:tcW w:w="3121"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(In millions)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646" w:type="dxa"/>
            <w:gridSpan w:val="6"/>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Three Months Ended</w:t>
            </w:r>
          </w:p>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812" w:type="dxa"/>
            <w:gridSpan w:val="6"/>
            <w:tcBorders/>
            <w:shd w:fill="auto" w:val="clear"/>
            <w:vAlign w:val="center"/>
          </w:tcPr>
          <w:p>
            <w:pPr>
              <w:pStyle w:val="TableContents"/>
              <w:spacing w:before="0" w:after="0"/>
              <w:ind w:left="0" w:right="0" w:hanging="0"/>
              <w:jc w:val="right"/>
              <w:rPr>
                <w:rFonts w:ascii="Times New Roman" w:hAnsi="Times New Roman"/>
                <w:sz w:val="15"/>
              </w:rPr>
            </w:pPr>
            <w:r>
              <w:rPr>
                <w:rFonts w:ascii="Arial;sans-serif" w:hAnsi="Arial;sans-serif"/>
                <w:b/>
                <w:sz w:val="15"/>
              </w:rPr>
              <w:t>Nine Months Ended</w:t>
            </w:r>
            <w:r>
              <w:rPr>
                <w:rFonts w:ascii="Times New Roman" w:hAnsi="Times New Roman"/>
                <w:sz w:val="15"/>
              </w:rPr>
              <w:t xml:space="preserve"> </w:t>
            </w:r>
          </w:p>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tc>
        <w:tc>
          <w:tcPr>
            <w:tcW w:w="376" w:type="dxa"/>
            <w:tcBorders/>
            <w:shd w:fill="auto" w:val="clear"/>
            <w:vAlign w:val="center"/>
          </w:tcPr>
          <w:p>
            <w:pPr>
              <w:pStyle w:val="TableContents"/>
              <w:spacing w:before="0" w:after="283"/>
              <w:ind w:left="0" w:right="0" w:hanging="0"/>
              <w:rPr>
                <w:sz w:val="4"/>
                <w:szCs w:val="4"/>
              </w:rPr>
            </w:pPr>
            <w:r>
              <w:rPr>
                <w:sz w:val="4"/>
                <w:szCs w:val="4"/>
              </w:rPr>
            </w:r>
          </w:p>
        </w:tc>
      </w:tr>
      <w:tr>
        <w:trPr/>
        <w:tc>
          <w:tcPr>
            <w:tcW w:w="312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4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4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r>
      <w:tr>
        <w:trPr/>
        <w:tc>
          <w:tcPr>
            <w:tcW w:w="312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4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46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283"/>
              <w:ind w:left="0" w:right="0" w:hanging="0"/>
              <w:rPr>
                <w:sz w:val="4"/>
                <w:szCs w:val="4"/>
              </w:rPr>
            </w:pPr>
            <w:r>
              <w:rPr>
                <w:sz w:val="4"/>
                <w:szCs w:val="4"/>
              </w:rPr>
            </w:r>
          </w:p>
        </w:tc>
        <w:tc>
          <w:tcPr>
            <w:tcW w:w="376" w:type="dxa"/>
            <w:tcBorders/>
            <w:shd w:fill="auto" w:val="clear"/>
            <w:vAlign w:val="center"/>
          </w:tcPr>
          <w:p>
            <w:pPr>
              <w:pStyle w:val="TableContents"/>
              <w:spacing w:before="0" w:after="283"/>
              <w:ind w:left="0" w:right="0" w:hanging="0"/>
              <w:rPr>
                <w:sz w:val="4"/>
                <w:szCs w:val="4"/>
              </w:rPr>
            </w:pPr>
            <w:r>
              <w:rPr>
                <w:sz w:val="4"/>
                <w:szCs w:val="4"/>
              </w:rPr>
            </w:r>
          </w:p>
        </w:tc>
      </w:tr>
      <w:tr>
        <w:trPr/>
        <w:tc>
          <w:tcPr>
            <w:tcW w:w="31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466"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466"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376" w:type="dxa"/>
            <w:tcBorders/>
            <w:shd w:fill="auto" w:val="clear"/>
            <w:vAlign w:val="center"/>
          </w:tcPr>
          <w:p>
            <w:pPr>
              <w:pStyle w:val="TableContents"/>
              <w:spacing w:before="0" w:after="283"/>
              <w:ind w:left="0" w:right="0" w:hanging="0"/>
              <w:rPr>
                <w:sz w:val="4"/>
                <w:szCs w:val="4"/>
              </w:rPr>
            </w:pPr>
            <w:r>
              <w:rPr>
                <w:sz w:val="4"/>
                <w:szCs w:val="4"/>
              </w:rPr>
            </w:r>
          </w:p>
        </w:tc>
      </w:tr>
      <w:tr>
        <w:trPr/>
        <w:tc>
          <w:tcPr>
            <w:tcW w:w="312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4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466" w:type="dxa"/>
            <w:tcBorders/>
            <w:shd w:fill="auto" w:val="clear"/>
            <w:vAlign w:val="center"/>
          </w:tcPr>
          <w:p>
            <w:pPr>
              <w:pStyle w:val="TableContents"/>
              <w:spacing w:before="0" w:after="0"/>
              <w:ind w:left="0" w:right="0" w:hanging="0"/>
              <w:jc w:val="right"/>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pPr>
            <w:r>
              <w:rPr/>
              <w:t> </w:t>
            </w:r>
          </w:p>
        </w:tc>
        <w:tc>
          <w:tcPr>
            <w:tcW w:w="376" w:type="dxa"/>
            <w:tcBorders/>
            <w:shd w:fill="auto" w:val="clear"/>
            <w:vAlign w:val="center"/>
          </w:tcPr>
          <w:p>
            <w:pPr>
              <w:pStyle w:val="TableContents"/>
              <w:spacing w:before="0" w:after="283"/>
              <w:ind w:left="0" w:right="0" w:hanging="0"/>
              <w:rPr>
                <w:sz w:val="4"/>
                <w:szCs w:val="4"/>
              </w:rPr>
            </w:pPr>
            <w:r>
              <w:rPr>
                <w:sz w:val="4"/>
                <w:szCs w:val="4"/>
              </w:rPr>
            </w:r>
          </w:p>
        </w:tc>
      </w:tr>
      <w:tr>
        <w:trPr/>
        <w:tc>
          <w:tcPr>
            <w:tcW w:w="312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Operating lease cost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46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766</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6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744</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5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2,112</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1,801</w:t>
            </w:r>
          </w:p>
        </w:tc>
        <w:tc>
          <w:tcPr>
            <w:tcW w:w="376" w:type="dxa"/>
            <w:tcBorders/>
            <w:shd w:fill="auto" w:val="clear"/>
            <w:vAlign w:val="center"/>
          </w:tcPr>
          <w:p>
            <w:pPr>
              <w:pStyle w:val="TableContents"/>
              <w:spacing w:before="0" w:after="283"/>
              <w:ind w:left="0" w:right="0" w:hanging="0"/>
              <w:rPr>
                <w:sz w:val="4"/>
                <w:szCs w:val="4"/>
              </w:rPr>
            </w:pPr>
            <w:r>
              <w:rPr>
                <w:sz w:val="4"/>
                <w:szCs w:val="4"/>
              </w:rPr>
            </w:r>
          </w:p>
        </w:tc>
      </w:tr>
      <w:tr>
        <w:trPr/>
        <w:tc>
          <w:tcPr>
            <w:tcW w:w="312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466"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4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58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58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r>
      <w:tr>
        <w:trPr/>
        <w:tc>
          <w:tcPr>
            <w:tcW w:w="312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4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46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283"/>
              <w:ind w:left="0" w:right="0" w:hanging="0"/>
              <w:rPr>
                <w:sz w:val="4"/>
                <w:szCs w:val="4"/>
              </w:rPr>
            </w:pPr>
            <w:r>
              <w:rPr>
                <w:sz w:val="4"/>
                <w:szCs w:val="4"/>
              </w:rPr>
            </w:r>
          </w:p>
        </w:tc>
      </w:tr>
      <w:tr>
        <w:trPr/>
        <w:tc>
          <w:tcPr>
            <w:tcW w:w="312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Finance lease cost: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4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46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283"/>
              <w:ind w:left="0" w:right="0" w:firstLine="245"/>
              <w:rPr>
                <w:sz w:val="4"/>
                <w:szCs w:val="4"/>
              </w:rPr>
            </w:pPr>
            <w:r>
              <w:rPr>
                <w:sz w:val="4"/>
                <w:szCs w:val="4"/>
              </w:rPr>
            </w:r>
          </w:p>
        </w:tc>
      </w:tr>
      <w:tr>
        <w:trPr/>
        <w:tc>
          <w:tcPr>
            <w:tcW w:w="3121"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Amortization of right-of-use assets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46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348</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6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289</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5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994</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779</w:t>
            </w:r>
          </w:p>
        </w:tc>
        <w:tc>
          <w:tcPr>
            <w:tcW w:w="376" w:type="dxa"/>
            <w:tcBorders/>
            <w:shd w:fill="auto" w:val="clear"/>
            <w:vAlign w:val="center"/>
          </w:tcPr>
          <w:p>
            <w:pPr>
              <w:pStyle w:val="TableContents"/>
              <w:spacing w:before="0" w:after="283"/>
              <w:ind w:left="0" w:right="0" w:firstLine="245"/>
              <w:rPr>
                <w:sz w:val="4"/>
                <w:szCs w:val="4"/>
              </w:rPr>
            </w:pPr>
            <w:r>
              <w:rPr>
                <w:sz w:val="4"/>
                <w:szCs w:val="4"/>
              </w:rPr>
            </w:r>
          </w:p>
        </w:tc>
      </w:tr>
      <w:tr>
        <w:trPr/>
        <w:tc>
          <w:tcPr>
            <w:tcW w:w="3121"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Interest on lease liabilities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46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132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46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109</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364</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320</w:t>
            </w:r>
          </w:p>
        </w:tc>
        <w:tc>
          <w:tcPr>
            <w:tcW w:w="376" w:type="dxa"/>
            <w:tcBorders/>
            <w:shd w:fill="auto" w:val="clear"/>
            <w:vAlign w:val="center"/>
          </w:tcPr>
          <w:p>
            <w:pPr>
              <w:pStyle w:val="TableContents"/>
              <w:spacing w:before="0" w:after="283"/>
              <w:ind w:left="0" w:right="0" w:hanging="0"/>
              <w:rPr>
                <w:sz w:val="4"/>
                <w:szCs w:val="4"/>
              </w:rPr>
            </w:pPr>
            <w:r>
              <w:rPr>
                <w:sz w:val="4"/>
                <w:szCs w:val="4"/>
              </w:rPr>
            </w:r>
          </w:p>
        </w:tc>
      </w:tr>
      <w:tr>
        <w:trPr/>
        <w:tc>
          <w:tcPr>
            <w:tcW w:w="3478" w:type="dxa"/>
            <w:gridSpan w:val="3"/>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46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46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478" w:type="dxa"/>
            <w:gridSpan w:val="3"/>
            <w:tcBorders/>
            <w:shd w:fill="auto" w:val="clear"/>
            <w:vAlign w:val="center"/>
          </w:tcPr>
          <w:p>
            <w:pPr>
              <w:pStyle w:val="TableContents"/>
              <w:spacing w:before="0" w:after="283"/>
              <w:ind w:left="0" w:right="0" w:hanging="0"/>
              <w:rPr>
                <w:sz w:val="4"/>
                <w:szCs w:val="4"/>
              </w:rPr>
            </w:pPr>
            <w:r>
              <w:rPr>
                <w:sz w:val="4"/>
                <w:szCs w:val="4"/>
              </w:rPr>
            </w:r>
          </w:p>
        </w:tc>
        <w:tc>
          <w:tcPr>
            <w:tcW w:w="4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46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pPr>
            <w:r>
              <w:rPr/>
              <w:t> </w:t>
            </w:r>
          </w:p>
        </w:tc>
      </w:tr>
      <w:tr>
        <w:trPr/>
        <w:tc>
          <w:tcPr>
            <w:tcW w:w="312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Total finance lease cost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46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480</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6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398</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5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1,358</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1,099</w:t>
            </w:r>
          </w:p>
        </w:tc>
        <w:tc>
          <w:tcPr>
            <w:tcW w:w="376" w:type="dxa"/>
            <w:tcBorders/>
            <w:shd w:fill="auto" w:val="clear"/>
            <w:vAlign w:val="center"/>
          </w:tcPr>
          <w:p>
            <w:pPr>
              <w:pStyle w:val="TableContents"/>
              <w:spacing w:before="0" w:after="283"/>
              <w:ind w:left="0" w:right="0" w:hanging="0"/>
              <w:rPr>
                <w:sz w:val="4"/>
                <w:szCs w:val="4"/>
              </w:rPr>
            </w:pPr>
            <w:r>
              <w:rPr>
                <w:sz w:val="4"/>
                <w:szCs w:val="4"/>
              </w:rPr>
            </w:r>
          </w:p>
        </w:tc>
      </w:tr>
      <w:tr>
        <w:trPr/>
        <w:tc>
          <w:tcPr>
            <w:tcW w:w="312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466"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4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586"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586"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376"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r>
    </w:tbl>
    <w:p>
      <w:pPr>
        <w:pStyle w:val="TextBody"/>
        <w:spacing w:before="0" w:after="0"/>
        <w:jc w:val="both"/>
        <w:rPr/>
      </w:pPr>
      <w:r>
        <w:rPr/>
        <w:t> </w:t>
      </w:r>
    </w:p>
    <w:p>
      <w:pPr>
        <w:pStyle w:val="TextBody"/>
        <w:spacing w:before="240" w:after="0"/>
        <w:jc w:val="center"/>
        <w:rPr>
          <w:rFonts w:ascii="Arial;sans-serif" w:hAnsi="Arial;sans-serif"/>
          <w:b w:val="false"/>
          <w:sz w:val="16"/>
        </w:rPr>
      </w:pPr>
      <w:r>
        <w:rPr>
          <w:rFonts w:ascii="Arial;sans-serif" w:hAnsi="Arial;sans-serif"/>
          <w:b w:val="false"/>
          <w:sz w:val="16"/>
        </w:rPr>
        <w:t>23</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w:t>
      </w:r>
    </w:p>
    <w:p>
      <w:pPr>
        <w:pStyle w:val="TextBody"/>
        <w:spacing w:before="0" w:after="0"/>
        <w:jc w:val="center"/>
        <w:rPr>
          <w:rFonts w:ascii="Arial;sans-serif" w:hAnsi="Arial;sans-serif"/>
          <w:b w:val="false"/>
          <w:sz w:val="15"/>
        </w:rPr>
      </w:pPr>
      <w:r>
        <w:rPr>
          <w:rFonts w:ascii="Arial;sans-serif" w:hAnsi="Arial;sans-serif"/>
          <w:b w:val="false"/>
          <w:sz w:val="15"/>
        </w:rPr>
        <w:t>Item 1</w:t>
      </w:r>
    </w:p>
    <w:p>
      <w:pPr>
        <w:pStyle w:val="TextBody"/>
        <w:spacing w:before="0" w:after="0"/>
        <w:jc w:val="left"/>
        <w:rPr/>
      </w:pPr>
      <w:r>
        <w:rPr/>
        <w:t> </w:t>
      </w:r>
    </w:p>
    <w:p>
      <w:pPr>
        <w:pStyle w:val="TextBody"/>
        <w:spacing w:before="0" w:after="0"/>
        <w:jc w:val="both"/>
        <w:rPr>
          <w:rFonts w:ascii="Arial;sans-serif" w:hAnsi="Arial;sans-serif"/>
          <w:b w:val="false"/>
          <w:sz w:val="20"/>
        </w:rPr>
      </w:pPr>
      <w:r>
        <w:rPr>
          <w:rFonts w:ascii="Arial;sans-serif" w:hAnsi="Arial;sans-serif"/>
          <w:b w:val="false"/>
          <w:sz w:val="20"/>
        </w:rPr>
        <w:t>Supplemental cash flow information related to leases was as follows:</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5772"/>
        <w:gridCol w:w="146"/>
        <w:gridCol w:w="211"/>
        <w:gridCol w:w="586"/>
        <w:gridCol w:w="109"/>
        <w:gridCol w:w="109"/>
        <w:gridCol w:w="211"/>
        <w:gridCol w:w="586"/>
        <w:gridCol w:w="146"/>
        <w:gridCol w:w="146"/>
        <w:gridCol w:w="211"/>
        <w:gridCol w:w="586"/>
        <w:gridCol w:w="109"/>
        <w:gridCol w:w="109"/>
        <w:gridCol w:w="211"/>
        <w:gridCol w:w="586"/>
        <w:gridCol w:w="371"/>
      </w:tblGrid>
      <w:tr>
        <w:trPr/>
        <w:tc>
          <w:tcPr>
            <w:tcW w:w="577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r>
      <w:tr>
        <w:trPr/>
        <w:tc>
          <w:tcPr>
            <w:tcW w:w="5772"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(In millions)</w:t>
            </w:r>
          </w:p>
        </w:tc>
        <w:tc>
          <w:tcPr>
            <w:tcW w:w="146" w:type="dxa"/>
            <w:tcBorders/>
            <w:shd w:fill="auto" w:val="clear"/>
            <w:vAlign w:val="center"/>
          </w:tcPr>
          <w:p>
            <w:pPr>
              <w:pStyle w:val="TableContents"/>
              <w:spacing w:before="0" w:after="0"/>
              <w:ind w:left="0" w:right="0" w:hanging="0"/>
              <w:jc w:val="left"/>
              <w:rPr/>
            </w:pPr>
            <w:r>
              <w:rPr/>
              <w:t> </w:t>
            </w:r>
          </w:p>
        </w:tc>
        <w:tc>
          <w:tcPr>
            <w:tcW w:w="1812" w:type="dxa"/>
            <w:gridSpan w:val="6"/>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Three Months Ended</w:t>
            </w:r>
          </w:p>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2" w:type="dxa"/>
            <w:gridSpan w:val="6"/>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Nine Months Ended</w:t>
            </w:r>
          </w:p>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tc>
        <w:tc>
          <w:tcPr>
            <w:tcW w:w="371" w:type="dxa"/>
            <w:tcBorders/>
            <w:shd w:fill="auto" w:val="clear"/>
            <w:vAlign w:val="center"/>
          </w:tcPr>
          <w:p>
            <w:pPr>
              <w:pStyle w:val="TableContents"/>
              <w:spacing w:before="0" w:after="0"/>
              <w:ind w:left="0" w:right="0" w:hanging="0"/>
              <w:jc w:val="left"/>
              <w:rPr/>
            </w:pPr>
            <w:r>
              <w:rPr/>
              <w:t> </w:t>
            </w:r>
          </w:p>
        </w:tc>
      </w:tr>
      <w:tr>
        <w:trPr/>
        <w:tc>
          <w:tcPr>
            <w:tcW w:w="5772"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37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r>
      <w:tr>
        <w:trPr/>
        <w:tc>
          <w:tcPr>
            <w:tcW w:w="577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center"/>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283"/>
              <w:ind w:left="0" w:right="0" w:hanging="0"/>
              <w:rPr>
                <w:sz w:val="4"/>
                <w:szCs w:val="4"/>
              </w:rPr>
            </w:pPr>
            <w:r>
              <w:rPr>
                <w:sz w:val="4"/>
                <w:szCs w:val="4"/>
              </w:rPr>
            </w:r>
          </w:p>
        </w:tc>
        <w:tc>
          <w:tcPr>
            <w:tcW w:w="371" w:type="dxa"/>
            <w:tcBorders/>
            <w:shd w:fill="auto" w:val="clear"/>
            <w:vAlign w:val="center"/>
          </w:tcPr>
          <w:p>
            <w:pPr>
              <w:pStyle w:val="TableContents"/>
              <w:spacing w:before="0" w:after="283"/>
              <w:ind w:left="0" w:right="0" w:hanging="0"/>
              <w:rPr>
                <w:sz w:val="4"/>
                <w:szCs w:val="4"/>
              </w:rPr>
            </w:pPr>
            <w:r>
              <w:rPr>
                <w:sz w:val="4"/>
                <w:szCs w:val="4"/>
              </w:rPr>
            </w:r>
          </w:p>
        </w:tc>
      </w:tr>
      <w:tr>
        <w:trPr/>
        <w:tc>
          <w:tcPr>
            <w:tcW w:w="577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371" w:type="dxa"/>
            <w:tcBorders/>
            <w:shd w:fill="auto" w:val="clear"/>
            <w:vAlign w:val="center"/>
          </w:tcPr>
          <w:p>
            <w:pPr>
              <w:pStyle w:val="TableContents"/>
              <w:spacing w:before="0" w:after="283"/>
              <w:ind w:left="0" w:right="0" w:hanging="0"/>
              <w:rPr>
                <w:sz w:val="4"/>
                <w:szCs w:val="4"/>
              </w:rPr>
            </w:pPr>
            <w:r>
              <w:rPr>
                <w:sz w:val="4"/>
                <w:szCs w:val="4"/>
              </w:rPr>
            </w:r>
          </w:p>
        </w:tc>
      </w:tr>
      <w:tr>
        <w:trPr/>
        <w:tc>
          <w:tcPr>
            <w:tcW w:w="577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pPr>
            <w:r>
              <w:rPr/>
              <w:t> </w:t>
            </w:r>
          </w:p>
        </w:tc>
        <w:tc>
          <w:tcPr>
            <w:tcW w:w="371" w:type="dxa"/>
            <w:tcBorders/>
            <w:shd w:fill="auto" w:val="clear"/>
            <w:vAlign w:val="center"/>
          </w:tcPr>
          <w:p>
            <w:pPr>
              <w:pStyle w:val="TableContents"/>
              <w:spacing w:before="0" w:after="283"/>
              <w:ind w:left="0" w:right="0" w:hanging="0"/>
              <w:rPr>
                <w:sz w:val="4"/>
                <w:szCs w:val="4"/>
              </w:rPr>
            </w:pPr>
            <w:r>
              <w:rPr>
                <w:sz w:val="4"/>
                <w:szCs w:val="4"/>
              </w:rPr>
            </w:r>
          </w:p>
        </w:tc>
      </w:tr>
      <w:tr>
        <w:trPr/>
        <w:tc>
          <w:tcPr>
            <w:tcW w:w="577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Cash paid for amounts included in the measurement of lease liabilities: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pPr>
            <w:r>
              <w:rPr/>
              <w:t> </w:t>
            </w:r>
          </w:p>
        </w:tc>
        <w:tc>
          <w:tcPr>
            <w:tcW w:w="371" w:type="dxa"/>
            <w:tcBorders/>
            <w:shd w:fill="auto" w:val="clear"/>
            <w:vAlign w:val="center"/>
          </w:tcPr>
          <w:p>
            <w:pPr>
              <w:pStyle w:val="TableContents"/>
              <w:spacing w:before="0" w:after="283"/>
              <w:ind w:left="0" w:right="0" w:firstLine="240"/>
              <w:rPr>
                <w:sz w:val="4"/>
                <w:szCs w:val="4"/>
              </w:rPr>
            </w:pPr>
            <w:r>
              <w:rPr>
                <w:sz w:val="4"/>
                <w:szCs w:val="4"/>
              </w:rPr>
            </w:r>
          </w:p>
        </w:tc>
      </w:tr>
      <w:tr>
        <w:trPr/>
        <w:tc>
          <w:tcPr>
            <w:tcW w:w="5772" w:type="dxa"/>
            <w:tcBorders/>
            <w:shd w:fill="auto" w:val="clear"/>
            <w:vAlign w:val="center"/>
          </w:tcPr>
          <w:p>
            <w:pPr>
              <w:pStyle w:val="TableContents"/>
              <w:spacing w:before="0" w:after="0"/>
              <w:ind w:left="240" w:right="0" w:hanging="0"/>
              <w:jc w:val="left"/>
              <w:rPr>
                <w:rFonts w:ascii="Arial;sans-serif" w:hAnsi="Arial;sans-serif"/>
                <w:b w:val="false"/>
                <w:sz w:val="20"/>
              </w:rPr>
            </w:pPr>
            <w:r>
              <w:rPr>
                <w:rFonts w:ascii="Arial;sans-serif" w:hAnsi="Arial;sans-serif"/>
                <w:b w:val="false"/>
                <w:sz w:val="20"/>
              </w:rPr>
              <w:t>Operating cash flows from operating leases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5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690</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726</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5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1,989</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1,733</w:t>
            </w:r>
          </w:p>
        </w:tc>
        <w:tc>
          <w:tcPr>
            <w:tcW w:w="371" w:type="dxa"/>
            <w:tcBorders/>
            <w:shd w:fill="auto" w:val="clear"/>
            <w:vAlign w:val="center"/>
          </w:tcPr>
          <w:p>
            <w:pPr>
              <w:pStyle w:val="TableContents"/>
              <w:spacing w:before="0" w:after="283"/>
              <w:ind w:left="0" w:right="0" w:firstLine="240"/>
              <w:rPr>
                <w:sz w:val="4"/>
                <w:szCs w:val="4"/>
              </w:rPr>
            </w:pPr>
            <w:r>
              <w:rPr>
                <w:sz w:val="4"/>
                <w:szCs w:val="4"/>
              </w:rPr>
            </w:r>
          </w:p>
        </w:tc>
      </w:tr>
      <w:tr>
        <w:trPr/>
        <w:tc>
          <w:tcPr>
            <w:tcW w:w="5772" w:type="dxa"/>
            <w:tcBorders/>
            <w:shd w:fill="auto" w:val="clear"/>
            <w:vAlign w:val="center"/>
          </w:tcPr>
          <w:p>
            <w:pPr>
              <w:pStyle w:val="TableContents"/>
              <w:spacing w:before="0" w:after="0"/>
              <w:ind w:left="240" w:right="0" w:hanging="0"/>
              <w:jc w:val="left"/>
              <w:rPr>
                <w:rFonts w:ascii="Arial;sans-serif" w:hAnsi="Arial;sans-serif"/>
                <w:b w:val="false"/>
                <w:sz w:val="20"/>
              </w:rPr>
            </w:pPr>
            <w:r>
              <w:rPr>
                <w:rFonts w:ascii="Arial;sans-serif" w:hAnsi="Arial;sans-serif"/>
                <w:b w:val="false"/>
                <w:sz w:val="20"/>
              </w:rPr>
              <w:t>Operating cash flows from finance leases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132</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109</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364</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320</w:t>
            </w:r>
          </w:p>
        </w:tc>
        <w:tc>
          <w:tcPr>
            <w:tcW w:w="371" w:type="dxa"/>
            <w:tcBorders/>
            <w:shd w:fill="auto" w:val="clear"/>
            <w:vAlign w:val="center"/>
          </w:tcPr>
          <w:p>
            <w:pPr>
              <w:pStyle w:val="TableContents"/>
              <w:spacing w:before="0" w:after="283"/>
              <w:ind w:left="0" w:right="0" w:firstLine="240"/>
              <w:rPr>
                <w:sz w:val="4"/>
                <w:szCs w:val="4"/>
              </w:rPr>
            </w:pPr>
            <w:r>
              <w:rPr>
                <w:sz w:val="4"/>
                <w:szCs w:val="4"/>
              </w:rPr>
            </w:r>
          </w:p>
        </w:tc>
      </w:tr>
      <w:tr>
        <w:trPr/>
        <w:tc>
          <w:tcPr>
            <w:tcW w:w="5772" w:type="dxa"/>
            <w:tcBorders/>
            <w:shd w:fill="auto" w:val="clear"/>
            <w:vAlign w:val="center"/>
          </w:tcPr>
          <w:p>
            <w:pPr>
              <w:pStyle w:val="TableContents"/>
              <w:spacing w:before="0" w:after="0"/>
              <w:ind w:left="240" w:right="0" w:hanging="0"/>
              <w:jc w:val="left"/>
              <w:rPr>
                <w:rFonts w:ascii="Arial;sans-serif" w:hAnsi="Arial;sans-serif"/>
                <w:b w:val="false"/>
                <w:sz w:val="20"/>
              </w:rPr>
            </w:pPr>
            <w:r>
              <w:rPr>
                <w:rFonts w:ascii="Arial;sans-serif" w:hAnsi="Arial;sans-serif"/>
                <w:b w:val="false"/>
                <w:sz w:val="20"/>
              </w:rPr>
              <w:t>Financing cash flows from finance leases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272</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790</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655</w:t>
            </w:r>
          </w:p>
        </w:tc>
        <w:tc>
          <w:tcPr>
            <w:tcW w:w="371" w:type="dxa"/>
            <w:tcBorders/>
            <w:shd w:fill="auto" w:val="clear"/>
            <w:vAlign w:val="center"/>
          </w:tcPr>
          <w:p>
            <w:pPr>
              <w:pStyle w:val="TableContents"/>
              <w:spacing w:before="0" w:after="283"/>
              <w:ind w:left="0" w:right="0" w:hanging="0"/>
              <w:rPr>
                <w:sz w:val="4"/>
                <w:szCs w:val="4"/>
              </w:rPr>
            </w:pPr>
            <w:r>
              <w:rPr>
                <w:sz w:val="4"/>
                <w:szCs w:val="4"/>
              </w:rPr>
            </w:r>
          </w:p>
        </w:tc>
      </w:tr>
      <w:tr>
        <w:trPr/>
        <w:tc>
          <w:tcPr>
            <w:tcW w:w="577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pPr>
            <w:r>
              <w:rPr/>
              <w:t> </w:t>
            </w:r>
          </w:p>
        </w:tc>
        <w:tc>
          <w:tcPr>
            <w:tcW w:w="371" w:type="dxa"/>
            <w:tcBorders/>
            <w:shd w:fill="auto" w:val="clear"/>
            <w:vAlign w:val="center"/>
          </w:tcPr>
          <w:p>
            <w:pPr>
              <w:pStyle w:val="TableContents"/>
              <w:spacing w:before="0" w:after="283"/>
              <w:ind w:left="0" w:right="0" w:hanging="0"/>
              <w:rPr>
                <w:sz w:val="4"/>
                <w:szCs w:val="4"/>
              </w:rPr>
            </w:pPr>
            <w:r>
              <w:rPr>
                <w:sz w:val="4"/>
                <w:szCs w:val="4"/>
              </w:rPr>
            </w:r>
          </w:p>
        </w:tc>
      </w:tr>
      <w:tr>
        <w:trPr/>
        <w:tc>
          <w:tcPr>
            <w:tcW w:w="577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Right-of-use assets obtained in exchange for lease obligations: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pPr>
            <w:r>
              <w:rPr/>
              <w:t> </w:t>
            </w:r>
          </w:p>
        </w:tc>
        <w:tc>
          <w:tcPr>
            <w:tcW w:w="371" w:type="dxa"/>
            <w:tcBorders/>
            <w:shd w:fill="auto" w:val="clear"/>
            <w:vAlign w:val="center"/>
          </w:tcPr>
          <w:p>
            <w:pPr>
              <w:pStyle w:val="TableContents"/>
              <w:spacing w:before="0" w:after="283"/>
              <w:ind w:left="0" w:right="0" w:firstLine="240"/>
              <w:rPr>
                <w:sz w:val="4"/>
                <w:szCs w:val="4"/>
              </w:rPr>
            </w:pPr>
            <w:r>
              <w:rPr>
                <w:sz w:val="4"/>
                <w:szCs w:val="4"/>
              </w:rPr>
            </w:r>
          </w:p>
        </w:tc>
      </w:tr>
      <w:tr>
        <w:trPr/>
        <w:tc>
          <w:tcPr>
            <w:tcW w:w="5772" w:type="dxa"/>
            <w:tcBorders/>
            <w:shd w:fill="auto" w:val="clear"/>
            <w:vAlign w:val="center"/>
          </w:tcPr>
          <w:p>
            <w:pPr>
              <w:pStyle w:val="TableContents"/>
              <w:spacing w:before="0" w:after="0"/>
              <w:ind w:left="240" w:right="0" w:hanging="0"/>
              <w:jc w:val="left"/>
              <w:rPr>
                <w:rFonts w:ascii="Arial;sans-serif" w:hAnsi="Arial;sans-serif"/>
                <w:b w:val="false"/>
                <w:sz w:val="20"/>
              </w:rPr>
            </w:pPr>
            <w:r>
              <w:rPr>
                <w:rFonts w:ascii="Arial;sans-serif" w:hAnsi="Arial;sans-serif"/>
                <w:b w:val="false"/>
                <w:sz w:val="20"/>
              </w:rPr>
              <w:t>Operating leases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663</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1,421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2,377</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4,151</w:t>
            </w:r>
          </w:p>
        </w:tc>
        <w:tc>
          <w:tcPr>
            <w:tcW w:w="371" w:type="dxa"/>
            <w:tcBorders/>
            <w:shd w:fill="auto" w:val="clear"/>
            <w:vAlign w:val="center"/>
          </w:tcPr>
          <w:p>
            <w:pPr>
              <w:pStyle w:val="TableContents"/>
              <w:spacing w:before="0" w:after="283"/>
              <w:ind w:left="0" w:right="0" w:firstLine="240"/>
              <w:rPr>
                <w:sz w:val="4"/>
                <w:szCs w:val="4"/>
              </w:rPr>
            </w:pPr>
            <w:r>
              <w:rPr>
                <w:sz w:val="4"/>
                <w:szCs w:val="4"/>
              </w:rPr>
            </w:r>
          </w:p>
        </w:tc>
      </w:tr>
      <w:tr>
        <w:trPr/>
        <w:tc>
          <w:tcPr>
            <w:tcW w:w="5772" w:type="dxa"/>
            <w:tcBorders/>
            <w:shd w:fill="auto" w:val="clear"/>
            <w:vAlign w:val="center"/>
          </w:tcPr>
          <w:p>
            <w:pPr>
              <w:pStyle w:val="TableContents"/>
              <w:spacing w:before="0" w:after="0"/>
              <w:ind w:left="240" w:right="0" w:hanging="0"/>
              <w:jc w:val="left"/>
              <w:rPr>
                <w:rFonts w:ascii="Arial;sans-serif" w:hAnsi="Arial;sans-serif"/>
                <w:b w:val="false"/>
                <w:sz w:val="20"/>
              </w:rPr>
            </w:pPr>
            <w:r>
              <w:rPr>
                <w:rFonts w:ascii="Arial;sans-serif" w:hAnsi="Arial;sans-serif"/>
                <w:b w:val="false"/>
                <w:sz w:val="20"/>
              </w:rPr>
              <w:t>Finance leases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1,044</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720</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2,253</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3,094</w:t>
            </w:r>
          </w:p>
        </w:tc>
        <w:tc>
          <w:tcPr>
            <w:tcW w:w="371" w:type="dxa"/>
            <w:tcBorders/>
            <w:shd w:fill="auto" w:val="clear"/>
            <w:vAlign w:val="center"/>
          </w:tcPr>
          <w:p>
            <w:pPr>
              <w:pStyle w:val="TableContents"/>
              <w:spacing w:before="0" w:after="283"/>
              <w:ind w:left="0" w:right="0" w:hanging="0"/>
              <w:rPr>
                <w:sz w:val="4"/>
                <w:szCs w:val="4"/>
              </w:rPr>
            </w:pPr>
            <w:r>
              <w:rPr>
                <w:sz w:val="4"/>
                <w:szCs w:val="4"/>
              </w:rPr>
            </w:r>
          </w:p>
        </w:tc>
      </w:tr>
      <w:tr>
        <w:trPr/>
        <w:tc>
          <w:tcPr>
            <w:tcW w:w="5772"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37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r>
    </w:tbl>
    <w:p>
      <w:pPr>
        <w:pStyle w:val="TextBody"/>
        <w:spacing w:before="0" w:after="0"/>
        <w:jc w:val="both"/>
        <w:rPr/>
      </w:pPr>
      <w:r>
        <w:rPr/>
        <w:t> </w:t>
      </w:r>
    </w:p>
    <w:p>
      <w:pPr>
        <w:pStyle w:val="TextBody"/>
        <w:spacing w:before="0" w:after="0"/>
        <w:jc w:val="both"/>
        <w:rPr>
          <w:rFonts w:ascii="Arial;sans-serif" w:hAnsi="Arial;sans-serif"/>
          <w:b w:val="false"/>
          <w:sz w:val="20"/>
        </w:rPr>
      </w:pPr>
      <w:r>
        <w:rPr>
          <w:rFonts w:ascii="Arial;sans-serif" w:hAnsi="Arial;sans-serif"/>
          <w:b w:val="false"/>
          <w:sz w:val="20"/>
        </w:rPr>
        <w:t>Supplemental balance sheet information related to leases was as follows:</w:t>
      </w:r>
    </w:p>
    <w:p>
      <w:pPr>
        <w:pStyle w:val="TextBody"/>
        <w:spacing w:before="0" w:after="0"/>
        <w:jc w:val="both"/>
        <w:rPr/>
      </w:pPr>
      <w:r>
        <w:rPr/>
        <w:t> </w:t>
      </w:r>
    </w:p>
    <w:tbl>
      <w:tblPr>
        <w:tblW w:w="6659" w:type="dxa"/>
        <w:jc w:val="left"/>
        <w:tblInd w:w="0" w:type="dxa"/>
        <w:tblCellMar>
          <w:top w:w="28" w:type="dxa"/>
          <w:left w:w="28" w:type="dxa"/>
          <w:bottom w:w="28" w:type="dxa"/>
          <w:right w:w="28" w:type="dxa"/>
        </w:tblCellMar>
      </w:tblPr>
      <w:tblGrid>
        <w:gridCol w:w="3706"/>
        <w:gridCol w:w="146"/>
        <w:gridCol w:w="211"/>
        <w:gridCol w:w="856"/>
        <w:gridCol w:w="166"/>
        <w:gridCol w:w="146"/>
        <w:gridCol w:w="211"/>
        <w:gridCol w:w="841"/>
        <w:gridCol w:w="376"/>
      </w:tblGrid>
      <w:tr>
        <w:trPr/>
        <w:tc>
          <w:tcPr>
            <w:tcW w:w="37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r>
      <w:tr>
        <w:trPr/>
        <w:tc>
          <w:tcPr>
            <w:tcW w:w="3706"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(In millions, except lease term and discount rate)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67"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52" w:type="dxa"/>
            <w:gridSpan w:val="2"/>
            <w:tcBorders/>
            <w:shd w:fill="auto" w:val="clear"/>
            <w:vAlign w:val="center"/>
          </w:tcPr>
          <w:p>
            <w:pPr>
              <w:pStyle w:val="TableContents"/>
              <w:spacing w:before="0" w:after="283"/>
              <w:ind w:left="0" w:right="0" w:hanging="0"/>
              <w:rPr>
                <w:sz w:val="4"/>
                <w:szCs w:val="4"/>
              </w:rPr>
            </w:pPr>
            <w:r>
              <w:rPr>
                <w:sz w:val="4"/>
                <w:szCs w:val="4"/>
              </w:rPr>
            </w:r>
          </w:p>
        </w:tc>
        <w:tc>
          <w:tcPr>
            <w:tcW w:w="376" w:type="dxa"/>
            <w:tcBorders/>
            <w:shd w:fill="auto" w:val="clear"/>
            <w:vAlign w:val="center"/>
          </w:tcPr>
          <w:p>
            <w:pPr>
              <w:pStyle w:val="TableContents"/>
              <w:spacing w:before="0" w:after="283"/>
              <w:ind w:left="0" w:right="0" w:hanging="0"/>
              <w:rPr>
                <w:sz w:val="4"/>
                <w:szCs w:val="4"/>
              </w:rPr>
            </w:pPr>
            <w:r>
              <w:rPr>
                <w:sz w:val="4"/>
                <w:szCs w:val="4"/>
              </w:rPr>
            </w:r>
          </w:p>
        </w:tc>
      </w:tr>
      <w:tr>
        <w:trPr/>
        <w:tc>
          <w:tcPr>
            <w:tcW w:w="370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067" w:type="dxa"/>
            <w:gridSpan w:val="2"/>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r>
      <w:tr>
        <w:trPr/>
        <w:tc>
          <w:tcPr>
            <w:tcW w:w="3706" w:type="dxa"/>
            <w:tcBorders/>
            <w:shd w:fill="auto" w:val="clear"/>
            <w:vAlign w:val="center"/>
          </w:tcPr>
          <w:p>
            <w:pPr>
              <w:pStyle w:val="TableContents"/>
              <w:spacing w:before="0" w:after="283"/>
              <w:ind w:left="0" w:right="0" w:hanging="0"/>
              <w:rPr>
                <w:sz w:val="4"/>
                <w:szCs w:val="4"/>
              </w:rPr>
            </w:pPr>
            <w:r>
              <w:rPr>
                <w:sz w:val="4"/>
                <w:szCs w:val="4"/>
              </w:rPr>
            </w:r>
          </w:p>
        </w:tc>
        <w:tc>
          <w:tcPr>
            <w:tcW w:w="1379" w:type="dxa"/>
            <w:gridSpan w:val="4"/>
            <w:tcBorders/>
            <w:shd w:fill="auto" w:val="clear"/>
            <w:vAlign w:val="center"/>
          </w:tcPr>
          <w:p>
            <w:pPr>
              <w:pStyle w:val="TableContents"/>
              <w:spacing w:before="0" w:after="283"/>
              <w:ind w:left="0" w:right="0" w:hanging="0"/>
              <w:rPr>
                <w:sz w:val="4"/>
                <w:szCs w:val="4"/>
              </w:rPr>
            </w:pPr>
            <w:r>
              <w:rPr>
                <w:sz w:val="4"/>
                <w:szCs w:val="4"/>
              </w:rPr>
            </w:r>
          </w:p>
        </w:tc>
        <w:tc>
          <w:tcPr>
            <w:tcW w:w="1574" w:type="dxa"/>
            <w:gridSpan w:val="4"/>
            <w:tcBorders/>
            <w:shd w:fill="auto" w:val="clear"/>
            <w:vAlign w:val="center"/>
          </w:tcPr>
          <w:p>
            <w:pPr>
              <w:pStyle w:val="TableContents"/>
              <w:spacing w:before="0" w:after="283"/>
              <w:ind w:left="0" w:right="0" w:hanging="0"/>
              <w:rPr>
                <w:sz w:val="4"/>
                <w:szCs w:val="4"/>
              </w:rPr>
            </w:pPr>
            <w:r>
              <w:rPr>
                <w:sz w:val="4"/>
                <w:szCs w:val="4"/>
              </w:rPr>
            </w:r>
          </w:p>
        </w:tc>
      </w:tr>
      <w:tr>
        <w:trPr/>
        <w:tc>
          <w:tcPr>
            <w:tcW w:w="37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67"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52"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June 30,</w:t>
            </w:r>
          </w:p>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376" w:type="dxa"/>
            <w:tcBorders/>
            <w:shd w:fill="auto" w:val="clear"/>
            <w:vAlign w:val="center"/>
          </w:tcPr>
          <w:p>
            <w:pPr>
              <w:pStyle w:val="TableContents"/>
              <w:spacing w:before="0" w:after="283"/>
              <w:ind w:left="0" w:right="0" w:hanging="0"/>
              <w:rPr>
                <w:sz w:val="4"/>
                <w:szCs w:val="4"/>
              </w:rPr>
            </w:pPr>
            <w:r>
              <w:rPr>
                <w:sz w:val="4"/>
                <w:szCs w:val="4"/>
              </w:rPr>
            </w:r>
          </w:p>
        </w:tc>
      </w:tr>
      <w:tr>
        <w:trPr/>
        <w:tc>
          <w:tcPr>
            <w:tcW w:w="3706" w:type="dxa"/>
            <w:tcBorders/>
            <w:shd w:fill="auto" w:val="clear"/>
            <w:vAlign w:val="center"/>
          </w:tcPr>
          <w:p>
            <w:pPr>
              <w:pStyle w:val="TableContents"/>
              <w:spacing w:before="0" w:after="283"/>
              <w:ind w:left="0" w:right="0" w:hanging="0"/>
              <w:rPr>
                <w:sz w:val="4"/>
                <w:szCs w:val="4"/>
              </w:rPr>
            </w:pPr>
            <w:r>
              <w:rPr>
                <w:sz w:val="4"/>
                <w:szCs w:val="4"/>
              </w:rPr>
            </w:r>
          </w:p>
        </w:tc>
        <w:tc>
          <w:tcPr>
            <w:tcW w:w="1379" w:type="dxa"/>
            <w:gridSpan w:val="4"/>
            <w:tcBorders/>
            <w:shd w:fill="auto" w:val="clear"/>
            <w:vAlign w:val="center"/>
          </w:tcPr>
          <w:p>
            <w:pPr>
              <w:pStyle w:val="TableContents"/>
              <w:spacing w:before="0" w:after="283"/>
              <w:ind w:left="0" w:right="0" w:hanging="0"/>
              <w:rPr>
                <w:sz w:val="4"/>
                <w:szCs w:val="4"/>
              </w:rPr>
            </w:pPr>
            <w:r>
              <w:rPr>
                <w:sz w:val="4"/>
                <w:szCs w:val="4"/>
              </w:rPr>
            </w:r>
          </w:p>
        </w:tc>
        <w:tc>
          <w:tcPr>
            <w:tcW w:w="1574" w:type="dxa"/>
            <w:gridSpan w:val="4"/>
            <w:tcBorders/>
            <w:shd w:fill="auto" w:val="clear"/>
            <w:vAlign w:val="center"/>
          </w:tcPr>
          <w:p>
            <w:pPr>
              <w:pStyle w:val="TableContents"/>
              <w:spacing w:before="0" w:after="283"/>
              <w:ind w:left="0" w:right="0" w:hanging="0"/>
              <w:rPr>
                <w:sz w:val="4"/>
                <w:szCs w:val="4"/>
              </w:rPr>
            </w:pPr>
            <w:r>
              <w:rPr>
                <w:sz w:val="4"/>
                <w:szCs w:val="4"/>
              </w:rPr>
            </w:r>
          </w:p>
        </w:tc>
      </w:tr>
      <w:tr>
        <w:trPr/>
        <w:tc>
          <w:tcPr>
            <w:tcW w:w="3706"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Operating Leases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5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41"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283"/>
              <w:ind w:left="0" w:right="0" w:hanging="0"/>
              <w:rPr>
                <w:sz w:val="4"/>
                <w:szCs w:val="4"/>
              </w:rPr>
            </w:pPr>
            <w:r>
              <w:rPr>
                <w:sz w:val="4"/>
                <w:szCs w:val="4"/>
              </w:rPr>
            </w:r>
          </w:p>
        </w:tc>
      </w:tr>
      <w:tr>
        <w:trPr/>
        <w:tc>
          <w:tcPr>
            <w:tcW w:w="37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5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41"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283"/>
              <w:ind w:left="0" w:right="0" w:hanging="0"/>
              <w:rPr>
                <w:sz w:val="4"/>
                <w:szCs w:val="4"/>
              </w:rPr>
            </w:pPr>
            <w:r>
              <w:rPr>
                <w:sz w:val="4"/>
                <w:szCs w:val="4"/>
              </w:rPr>
            </w:r>
          </w:p>
        </w:tc>
      </w:tr>
      <w:tr>
        <w:trPr/>
        <w:tc>
          <w:tcPr>
            <w:tcW w:w="37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Operating lease right-of-use assets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85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13,879</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4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13,148</w:t>
            </w:r>
          </w:p>
        </w:tc>
        <w:tc>
          <w:tcPr>
            <w:tcW w:w="376" w:type="dxa"/>
            <w:tcBorders/>
            <w:shd w:fill="auto" w:val="clear"/>
            <w:vAlign w:val="center"/>
          </w:tcPr>
          <w:p>
            <w:pPr>
              <w:pStyle w:val="TableContents"/>
              <w:spacing w:before="0" w:after="283"/>
              <w:ind w:left="0" w:right="0" w:hanging="0"/>
              <w:rPr>
                <w:sz w:val="4"/>
                <w:szCs w:val="4"/>
              </w:rPr>
            </w:pPr>
            <w:r>
              <w:rPr>
                <w:sz w:val="4"/>
                <w:szCs w:val="4"/>
              </w:rPr>
            </w:r>
          </w:p>
        </w:tc>
      </w:tr>
      <w:tr>
        <w:trPr/>
        <w:tc>
          <w:tcPr>
            <w:tcW w:w="37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5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41" w:type="dxa"/>
            <w:tcBorders/>
            <w:shd w:fill="auto" w:val="clear"/>
            <w:vAlign w:val="center"/>
          </w:tcPr>
          <w:p>
            <w:pPr>
              <w:pStyle w:val="TableContents"/>
              <w:spacing w:before="0" w:after="0"/>
              <w:ind w:left="0" w:right="0" w:hanging="0"/>
              <w:jc w:val="right"/>
              <w:rPr/>
            </w:pPr>
            <w:r>
              <w:rPr/>
              <w:t> </w:t>
            </w:r>
          </w:p>
        </w:tc>
        <w:tc>
          <w:tcPr>
            <w:tcW w:w="376" w:type="dxa"/>
            <w:tcBorders/>
            <w:shd w:fill="auto" w:val="clear"/>
            <w:vAlign w:val="center"/>
          </w:tcPr>
          <w:p>
            <w:pPr>
              <w:pStyle w:val="TableContents"/>
              <w:spacing w:before="0" w:after="283"/>
              <w:ind w:left="0" w:right="0" w:hanging="0"/>
              <w:rPr>
                <w:sz w:val="4"/>
                <w:szCs w:val="4"/>
              </w:rPr>
            </w:pPr>
            <w:r>
              <w:rPr>
                <w:sz w:val="4"/>
                <w:szCs w:val="4"/>
              </w:rPr>
            </w:r>
          </w:p>
        </w:tc>
      </w:tr>
      <w:tr>
        <w:trPr/>
        <w:tc>
          <w:tcPr>
            <w:tcW w:w="37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top w:val="single" w:sz="12"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56" w:type="dxa"/>
            <w:tcBorders>
              <w:top w:val="single" w:sz="12"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166" w:type="dxa"/>
            <w:tcBorders>
              <w:top w:val="single" w:sz="12"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top w:val="single" w:sz="12"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41" w:type="dxa"/>
            <w:tcBorders>
              <w:top w:val="single" w:sz="12"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376" w:type="dxa"/>
            <w:tcBorders>
              <w:top w:val="single" w:sz="12"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37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Other current liabilities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85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2,327</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4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2,228</w:t>
            </w:r>
          </w:p>
        </w:tc>
        <w:tc>
          <w:tcPr>
            <w:tcW w:w="376" w:type="dxa"/>
            <w:tcBorders/>
            <w:shd w:fill="auto" w:val="clear"/>
            <w:vAlign w:val="center"/>
          </w:tcPr>
          <w:p>
            <w:pPr>
              <w:pStyle w:val="TableContents"/>
              <w:spacing w:before="0" w:after="283"/>
              <w:ind w:left="0" w:right="0" w:hanging="0"/>
              <w:rPr>
                <w:sz w:val="4"/>
                <w:szCs w:val="4"/>
              </w:rPr>
            </w:pPr>
            <w:r>
              <w:rPr>
                <w:sz w:val="4"/>
                <w:szCs w:val="4"/>
              </w:rPr>
            </w:r>
          </w:p>
        </w:tc>
      </w:tr>
      <w:tr>
        <w:trPr/>
        <w:tc>
          <w:tcPr>
            <w:tcW w:w="37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Operating lease liabilities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5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12,312</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4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11,489</w:t>
            </w:r>
          </w:p>
        </w:tc>
        <w:tc>
          <w:tcPr>
            <w:tcW w:w="376" w:type="dxa"/>
            <w:tcBorders/>
            <w:shd w:fill="auto" w:val="clear"/>
            <w:vAlign w:val="center"/>
          </w:tcPr>
          <w:p>
            <w:pPr>
              <w:pStyle w:val="TableContents"/>
              <w:spacing w:before="0" w:after="283"/>
              <w:ind w:left="0" w:right="0" w:hanging="0"/>
              <w:rPr>
                <w:sz w:val="4"/>
                <w:szCs w:val="4"/>
              </w:rPr>
            </w:pPr>
            <w:r>
              <w:rPr>
                <w:sz w:val="4"/>
                <w:szCs w:val="4"/>
              </w:rPr>
            </w:r>
          </w:p>
        </w:tc>
      </w:tr>
      <w:tr>
        <w:trPr/>
        <w:tc>
          <w:tcPr>
            <w:tcW w:w="370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8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r>
      <w:tr>
        <w:trPr/>
        <w:tc>
          <w:tcPr>
            <w:tcW w:w="37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5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41" w:type="dxa"/>
            <w:tcBorders/>
            <w:shd w:fill="auto" w:val="clear"/>
            <w:vAlign w:val="center"/>
          </w:tcPr>
          <w:p>
            <w:pPr>
              <w:pStyle w:val="TableContents"/>
              <w:spacing w:before="0" w:after="0"/>
              <w:ind w:left="0" w:right="0" w:hanging="0"/>
              <w:jc w:val="right"/>
              <w:rPr/>
            </w:pPr>
            <w:r>
              <w:rPr/>
              <w:t> </w:t>
            </w:r>
          </w:p>
        </w:tc>
        <w:tc>
          <w:tcPr>
            <w:tcW w:w="376" w:type="dxa"/>
            <w:tcBorders/>
            <w:shd w:fill="auto" w:val="clear"/>
            <w:vAlign w:val="center"/>
          </w:tcPr>
          <w:p>
            <w:pPr>
              <w:pStyle w:val="TableContents"/>
              <w:spacing w:before="0" w:after="283"/>
              <w:ind w:left="0" w:right="0" w:firstLine="245"/>
              <w:rPr>
                <w:sz w:val="4"/>
                <w:szCs w:val="4"/>
              </w:rPr>
            </w:pPr>
            <w:r>
              <w:rPr>
                <w:sz w:val="4"/>
                <w:szCs w:val="4"/>
              </w:rPr>
            </w:r>
          </w:p>
        </w:tc>
      </w:tr>
      <w:tr>
        <w:trPr/>
        <w:tc>
          <w:tcPr>
            <w:tcW w:w="3706"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Total 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85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14,639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4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13,717</w:t>
            </w:r>
          </w:p>
        </w:tc>
        <w:tc>
          <w:tcPr>
            <w:tcW w:w="376" w:type="dxa"/>
            <w:tcBorders/>
            <w:shd w:fill="auto" w:val="clear"/>
            <w:vAlign w:val="center"/>
          </w:tcPr>
          <w:p>
            <w:pPr>
              <w:pStyle w:val="TableContents"/>
              <w:spacing w:before="0" w:after="0"/>
              <w:ind w:left="0" w:right="0" w:hanging="0"/>
              <w:jc w:val="left"/>
              <w:rPr/>
            </w:pPr>
            <w:r>
              <w:rPr/>
              <w:t> </w:t>
            </w:r>
          </w:p>
        </w:tc>
      </w:tr>
      <w:tr>
        <w:trPr/>
        <w:tc>
          <w:tcPr>
            <w:tcW w:w="37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85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84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76"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r>
      <w:tr>
        <w:trPr/>
        <w:tc>
          <w:tcPr>
            <w:tcW w:w="37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5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41" w:type="dxa"/>
            <w:tcBorders/>
            <w:shd w:fill="auto" w:val="clear"/>
            <w:vAlign w:val="center"/>
          </w:tcPr>
          <w:p>
            <w:pPr>
              <w:pStyle w:val="TableContents"/>
              <w:spacing w:before="0" w:after="0"/>
              <w:ind w:left="0" w:right="0" w:hanging="0"/>
              <w:jc w:val="right"/>
              <w:rPr/>
            </w:pPr>
            <w:r>
              <w:rPr/>
              <w:t> </w:t>
            </w:r>
          </w:p>
        </w:tc>
        <w:tc>
          <w:tcPr>
            <w:tcW w:w="376" w:type="dxa"/>
            <w:tcBorders/>
            <w:shd w:fill="auto" w:val="clear"/>
            <w:vAlign w:val="center"/>
          </w:tcPr>
          <w:p>
            <w:pPr>
              <w:pStyle w:val="TableContents"/>
              <w:spacing w:before="0" w:after="283"/>
              <w:ind w:left="0" w:right="0" w:hanging="0"/>
              <w:rPr>
                <w:sz w:val="4"/>
                <w:szCs w:val="4"/>
              </w:rPr>
            </w:pPr>
            <w:r>
              <w:rPr>
                <w:sz w:val="4"/>
                <w:szCs w:val="4"/>
              </w:rPr>
            </w:r>
          </w:p>
        </w:tc>
      </w:tr>
      <w:tr>
        <w:trPr/>
        <w:tc>
          <w:tcPr>
            <w:tcW w:w="3706"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Finance Leases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5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41" w:type="dxa"/>
            <w:tcBorders/>
            <w:shd w:fill="auto" w:val="clear"/>
            <w:vAlign w:val="center"/>
          </w:tcPr>
          <w:p>
            <w:pPr>
              <w:pStyle w:val="TableContents"/>
              <w:spacing w:before="0" w:after="0"/>
              <w:ind w:left="0" w:right="0" w:hanging="0"/>
              <w:jc w:val="right"/>
              <w:rPr/>
            </w:pPr>
            <w:r>
              <w:rPr/>
              <w:t> </w:t>
            </w:r>
          </w:p>
        </w:tc>
        <w:tc>
          <w:tcPr>
            <w:tcW w:w="376" w:type="dxa"/>
            <w:tcBorders/>
            <w:shd w:fill="auto" w:val="clear"/>
            <w:vAlign w:val="center"/>
          </w:tcPr>
          <w:p>
            <w:pPr>
              <w:pStyle w:val="TableContents"/>
              <w:spacing w:before="0" w:after="283"/>
              <w:ind w:left="0" w:right="0" w:hanging="0"/>
              <w:rPr>
                <w:sz w:val="4"/>
                <w:szCs w:val="4"/>
              </w:rPr>
            </w:pPr>
            <w:r>
              <w:rPr>
                <w:sz w:val="4"/>
                <w:szCs w:val="4"/>
              </w:rPr>
            </w:r>
          </w:p>
        </w:tc>
      </w:tr>
      <w:tr>
        <w:trPr/>
        <w:tc>
          <w:tcPr>
            <w:tcW w:w="37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5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41" w:type="dxa"/>
            <w:tcBorders/>
            <w:shd w:fill="auto" w:val="clear"/>
            <w:vAlign w:val="center"/>
          </w:tcPr>
          <w:p>
            <w:pPr>
              <w:pStyle w:val="TableContents"/>
              <w:spacing w:before="0" w:after="0"/>
              <w:ind w:left="0" w:right="0" w:hanging="0"/>
              <w:jc w:val="right"/>
              <w:rPr/>
            </w:pPr>
            <w:r>
              <w:rPr/>
              <w:t> </w:t>
            </w:r>
          </w:p>
        </w:tc>
        <w:tc>
          <w:tcPr>
            <w:tcW w:w="376" w:type="dxa"/>
            <w:tcBorders/>
            <w:shd w:fill="auto" w:val="clear"/>
            <w:vAlign w:val="center"/>
          </w:tcPr>
          <w:p>
            <w:pPr>
              <w:pStyle w:val="TableContents"/>
              <w:spacing w:before="0" w:after="283"/>
              <w:ind w:left="0" w:right="0" w:hanging="0"/>
              <w:rPr>
                <w:sz w:val="4"/>
                <w:szCs w:val="4"/>
              </w:rPr>
            </w:pPr>
            <w:r>
              <w:rPr>
                <w:sz w:val="4"/>
                <w:szCs w:val="4"/>
              </w:rPr>
            </w:r>
          </w:p>
        </w:tc>
      </w:tr>
      <w:tr>
        <w:trPr/>
        <w:tc>
          <w:tcPr>
            <w:tcW w:w="37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Property and equipment, at cost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85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19,652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4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17,388</w:t>
            </w:r>
          </w:p>
        </w:tc>
        <w:tc>
          <w:tcPr>
            <w:tcW w:w="376" w:type="dxa"/>
            <w:tcBorders/>
            <w:shd w:fill="auto" w:val="clear"/>
            <w:vAlign w:val="center"/>
          </w:tcPr>
          <w:p>
            <w:pPr>
              <w:pStyle w:val="TableContents"/>
              <w:spacing w:before="0" w:after="0"/>
              <w:ind w:left="0" w:right="0" w:hanging="0"/>
              <w:jc w:val="left"/>
              <w:rPr/>
            </w:pPr>
            <w:r>
              <w:rPr/>
              <w:t> </w:t>
            </w:r>
          </w:p>
        </w:tc>
      </w:tr>
      <w:tr>
        <w:trPr/>
        <w:tc>
          <w:tcPr>
            <w:tcW w:w="37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Accumulated depreciation</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5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(4,287</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(3,285</w:t>
            </w:r>
          </w:p>
        </w:tc>
        <w:tc>
          <w:tcPr>
            <w:tcW w:w="37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70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8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r>
      <w:tr>
        <w:trPr/>
        <w:tc>
          <w:tcPr>
            <w:tcW w:w="37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5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41" w:type="dxa"/>
            <w:tcBorders/>
            <w:shd w:fill="auto" w:val="clear"/>
            <w:vAlign w:val="center"/>
          </w:tcPr>
          <w:p>
            <w:pPr>
              <w:pStyle w:val="TableContents"/>
              <w:spacing w:before="0" w:after="0"/>
              <w:ind w:left="0" w:right="0" w:hanging="0"/>
              <w:jc w:val="right"/>
              <w:rPr/>
            </w:pPr>
            <w:r>
              <w:rPr/>
              <w:t> </w:t>
            </w:r>
          </w:p>
        </w:tc>
        <w:tc>
          <w:tcPr>
            <w:tcW w:w="376" w:type="dxa"/>
            <w:tcBorders/>
            <w:shd w:fill="auto" w:val="clear"/>
            <w:vAlign w:val="center"/>
          </w:tcPr>
          <w:p>
            <w:pPr>
              <w:pStyle w:val="TableContents"/>
              <w:spacing w:before="0" w:after="283"/>
              <w:ind w:left="0" w:right="0" w:firstLine="245"/>
              <w:rPr>
                <w:sz w:val="4"/>
                <w:szCs w:val="4"/>
              </w:rPr>
            </w:pPr>
            <w:r>
              <w:rPr>
                <w:sz w:val="4"/>
                <w:szCs w:val="4"/>
              </w:rPr>
            </w:r>
          </w:p>
        </w:tc>
      </w:tr>
      <w:tr>
        <w:trPr/>
        <w:tc>
          <w:tcPr>
            <w:tcW w:w="3706"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Property and equipment, net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85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15,365</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4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14,103</w:t>
            </w:r>
          </w:p>
        </w:tc>
        <w:tc>
          <w:tcPr>
            <w:tcW w:w="376" w:type="dxa"/>
            <w:tcBorders/>
            <w:shd w:fill="auto" w:val="clear"/>
            <w:vAlign w:val="center"/>
          </w:tcPr>
          <w:p>
            <w:pPr>
              <w:pStyle w:val="TableContents"/>
              <w:spacing w:before="0" w:after="0"/>
              <w:ind w:left="0" w:right="0" w:hanging="0"/>
              <w:jc w:val="left"/>
              <w:rPr/>
            </w:pPr>
            <w:r>
              <w:rPr/>
              <w:t> </w:t>
            </w:r>
          </w:p>
        </w:tc>
      </w:tr>
      <w:tr>
        <w:trPr/>
        <w:tc>
          <w:tcPr>
            <w:tcW w:w="37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5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41" w:type="dxa"/>
            <w:tcBorders/>
            <w:shd w:fill="auto" w:val="clear"/>
            <w:vAlign w:val="center"/>
          </w:tcPr>
          <w:p>
            <w:pPr>
              <w:pStyle w:val="TableContents"/>
              <w:spacing w:before="0" w:after="0"/>
              <w:ind w:left="0" w:right="0" w:hanging="0"/>
              <w:jc w:val="right"/>
              <w:rPr/>
            </w:pPr>
            <w:r>
              <w:rPr/>
              <w:t> </w:t>
            </w:r>
          </w:p>
        </w:tc>
        <w:tc>
          <w:tcPr>
            <w:tcW w:w="376" w:type="dxa"/>
            <w:tcBorders/>
            <w:shd w:fill="auto" w:val="clear"/>
            <w:vAlign w:val="center"/>
          </w:tcPr>
          <w:p>
            <w:pPr>
              <w:pStyle w:val="TableContents"/>
              <w:spacing w:before="0" w:after="283"/>
              <w:ind w:left="0" w:right="0" w:hanging="0"/>
              <w:rPr>
                <w:sz w:val="4"/>
                <w:szCs w:val="4"/>
              </w:rPr>
            </w:pPr>
            <w:r>
              <w:rPr>
                <w:sz w:val="4"/>
                <w:szCs w:val="4"/>
              </w:rPr>
            </w:r>
          </w:p>
        </w:tc>
      </w:tr>
      <w:tr>
        <w:trPr/>
        <w:tc>
          <w:tcPr>
            <w:tcW w:w="37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top w:val="single" w:sz="12"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56" w:type="dxa"/>
            <w:tcBorders>
              <w:top w:val="single" w:sz="12"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166" w:type="dxa"/>
            <w:tcBorders>
              <w:top w:val="single" w:sz="12"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top w:val="single" w:sz="12"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41" w:type="dxa"/>
            <w:tcBorders>
              <w:top w:val="single" w:sz="12"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376" w:type="dxa"/>
            <w:tcBorders>
              <w:top w:val="single" w:sz="12"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37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85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1,153</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4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1,060</w:t>
            </w:r>
          </w:p>
        </w:tc>
        <w:tc>
          <w:tcPr>
            <w:tcW w:w="376" w:type="dxa"/>
            <w:tcBorders/>
            <w:shd w:fill="auto" w:val="clear"/>
            <w:vAlign w:val="center"/>
          </w:tcPr>
          <w:p>
            <w:pPr>
              <w:pStyle w:val="TableContents"/>
              <w:spacing w:before="0" w:after="283"/>
              <w:ind w:left="0" w:right="0" w:hanging="0"/>
              <w:rPr>
                <w:sz w:val="4"/>
                <w:szCs w:val="4"/>
              </w:rPr>
            </w:pPr>
            <w:r>
              <w:rPr>
                <w:sz w:val="4"/>
                <w:szCs w:val="4"/>
              </w:rPr>
            </w:r>
          </w:p>
        </w:tc>
      </w:tr>
      <w:tr>
        <w:trPr/>
        <w:tc>
          <w:tcPr>
            <w:tcW w:w="37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Other long-term liabilities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5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15,310</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4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13,842</w:t>
            </w:r>
          </w:p>
        </w:tc>
        <w:tc>
          <w:tcPr>
            <w:tcW w:w="376" w:type="dxa"/>
            <w:tcBorders/>
            <w:shd w:fill="auto" w:val="clear"/>
            <w:vAlign w:val="center"/>
          </w:tcPr>
          <w:p>
            <w:pPr>
              <w:pStyle w:val="TableContents"/>
              <w:spacing w:before="0" w:after="283"/>
              <w:ind w:left="0" w:right="0" w:hanging="0"/>
              <w:rPr>
                <w:sz w:val="4"/>
                <w:szCs w:val="4"/>
              </w:rPr>
            </w:pPr>
            <w:r>
              <w:rPr>
                <w:sz w:val="4"/>
                <w:szCs w:val="4"/>
              </w:rPr>
            </w:r>
          </w:p>
        </w:tc>
      </w:tr>
      <w:tr>
        <w:trPr/>
        <w:tc>
          <w:tcPr>
            <w:tcW w:w="370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8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r>
      <w:tr>
        <w:trPr/>
        <w:tc>
          <w:tcPr>
            <w:tcW w:w="37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5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41" w:type="dxa"/>
            <w:tcBorders/>
            <w:shd w:fill="auto" w:val="clear"/>
            <w:vAlign w:val="center"/>
          </w:tcPr>
          <w:p>
            <w:pPr>
              <w:pStyle w:val="TableContents"/>
              <w:spacing w:before="0" w:after="0"/>
              <w:ind w:left="0" w:right="0" w:hanging="0"/>
              <w:jc w:val="right"/>
              <w:rPr/>
            </w:pPr>
            <w:r>
              <w:rPr/>
              <w:t> </w:t>
            </w:r>
          </w:p>
        </w:tc>
        <w:tc>
          <w:tcPr>
            <w:tcW w:w="376" w:type="dxa"/>
            <w:tcBorders/>
            <w:shd w:fill="auto" w:val="clear"/>
            <w:vAlign w:val="center"/>
          </w:tcPr>
          <w:p>
            <w:pPr>
              <w:pStyle w:val="TableContents"/>
              <w:spacing w:before="0" w:after="283"/>
              <w:ind w:left="0" w:right="0" w:firstLine="245"/>
              <w:rPr>
                <w:sz w:val="4"/>
                <w:szCs w:val="4"/>
              </w:rPr>
            </w:pPr>
            <w:r>
              <w:rPr>
                <w:sz w:val="4"/>
                <w:szCs w:val="4"/>
              </w:rPr>
            </w:r>
          </w:p>
        </w:tc>
      </w:tr>
      <w:tr>
        <w:trPr/>
        <w:tc>
          <w:tcPr>
            <w:tcW w:w="3706"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Total finance lease liabilities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85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16,463</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4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14,902</w:t>
            </w:r>
          </w:p>
        </w:tc>
        <w:tc>
          <w:tcPr>
            <w:tcW w:w="376" w:type="dxa"/>
            <w:tcBorders/>
            <w:shd w:fill="auto" w:val="clear"/>
            <w:vAlign w:val="center"/>
          </w:tcPr>
          <w:p>
            <w:pPr>
              <w:pStyle w:val="TableContents"/>
              <w:spacing w:before="0" w:after="283"/>
              <w:ind w:left="0" w:right="0" w:hanging="0"/>
              <w:rPr>
                <w:sz w:val="4"/>
                <w:szCs w:val="4"/>
              </w:rPr>
            </w:pPr>
            <w:r>
              <w:rPr>
                <w:sz w:val="4"/>
                <w:szCs w:val="4"/>
              </w:rPr>
            </w:r>
          </w:p>
        </w:tc>
      </w:tr>
      <w:tr>
        <w:trPr/>
        <w:tc>
          <w:tcPr>
            <w:tcW w:w="37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5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41" w:type="dxa"/>
            <w:tcBorders/>
            <w:shd w:fill="auto" w:val="clear"/>
            <w:vAlign w:val="center"/>
          </w:tcPr>
          <w:p>
            <w:pPr>
              <w:pStyle w:val="TableContents"/>
              <w:spacing w:before="0" w:after="0"/>
              <w:ind w:left="0" w:right="0" w:hanging="0"/>
              <w:jc w:val="right"/>
              <w:rPr/>
            </w:pPr>
            <w:r>
              <w:rPr/>
              <w:t> </w:t>
            </w:r>
          </w:p>
        </w:tc>
        <w:tc>
          <w:tcPr>
            <w:tcW w:w="376" w:type="dxa"/>
            <w:tcBorders/>
            <w:shd w:fill="auto" w:val="clear"/>
            <w:vAlign w:val="center"/>
          </w:tcPr>
          <w:p>
            <w:pPr>
              <w:pStyle w:val="TableContents"/>
              <w:spacing w:before="0" w:after="283"/>
              <w:ind w:left="0" w:right="0" w:hanging="0"/>
              <w:rPr>
                <w:sz w:val="4"/>
                <w:szCs w:val="4"/>
              </w:rPr>
            </w:pPr>
            <w:r>
              <w:rPr>
                <w:sz w:val="4"/>
                <w:szCs w:val="4"/>
              </w:rPr>
            </w:r>
          </w:p>
        </w:tc>
      </w:tr>
      <w:tr>
        <w:trPr/>
        <w:tc>
          <w:tcPr>
            <w:tcW w:w="37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top w:val="single" w:sz="12"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56" w:type="dxa"/>
            <w:tcBorders>
              <w:top w:val="single" w:sz="12"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166" w:type="dxa"/>
            <w:tcBorders>
              <w:top w:val="single" w:sz="12"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top w:val="single" w:sz="12"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41" w:type="dxa"/>
            <w:tcBorders>
              <w:top w:val="single" w:sz="12"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376" w:type="dxa"/>
            <w:tcBorders>
              <w:top w:val="single" w:sz="12"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3706"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Weighted Average Remaining Lease Term</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5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41" w:type="dxa"/>
            <w:tcBorders/>
            <w:shd w:fill="auto" w:val="clear"/>
            <w:vAlign w:val="center"/>
          </w:tcPr>
          <w:p>
            <w:pPr>
              <w:pStyle w:val="TableContents"/>
              <w:spacing w:before="0" w:after="0"/>
              <w:ind w:left="0" w:right="0" w:hanging="0"/>
              <w:jc w:val="right"/>
              <w:rPr/>
            </w:pPr>
            <w:r>
              <w:rPr/>
              <w:t> </w:t>
            </w:r>
          </w:p>
        </w:tc>
        <w:tc>
          <w:tcPr>
            <w:tcW w:w="376" w:type="dxa"/>
            <w:tcBorders/>
            <w:shd w:fill="auto" w:val="clear"/>
            <w:vAlign w:val="center"/>
          </w:tcPr>
          <w:p>
            <w:pPr>
              <w:pStyle w:val="TableContents"/>
              <w:spacing w:before="0" w:after="283"/>
              <w:ind w:left="0" w:right="0" w:hanging="0"/>
              <w:rPr>
                <w:sz w:val="4"/>
                <w:szCs w:val="4"/>
              </w:rPr>
            </w:pPr>
            <w:r>
              <w:rPr>
                <w:sz w:val="4"/>
                <w:szCs w:val="4"/>
              </w:rPr>
            </w:r>
          </w:p>
        </w:tc>
      </w:tr>
      <w:tr>
        <w:trPr/>
        <w:tc>
          <w:tcPr>
            <w:tcW w:w="37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5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41" w:type="dxa"/>
            <w:tcBorders/>
            <w:shd w:fill="auto" w:val="clear"/>
            <w:vAlign w:val="center"/>
          </w:tcPr>
          <w:p>
            <w:pPr>
              <w:pStyle w:val="TableContents"/>
              <w:spacing w:before="0" w:after="0"/>
              <w:ind w:left="0" w:right="0" w:hanging="0"/>
              <w:jc w:val="right"/>
              <w:rPr/>
            </w:pPr>
            <w:r>
              <w:rPr/>
              <w:t> </w:t>
            </w:r>
          </w:p>
        </w:tc>
        <w:tc>
          <w:tcPr>
            <w:tcW w:w="376" w:type="dxa"/>
            <w:tcBorders/>
            <w:shd w:fill="auto" w:val="clear"/>
            <w:vAlign w:val="center"/>
          </w:tcPr>
          <w:p>
            <w:pPr>
              <w:pStyle w:val="TableContents"/>
              <w:spacing w:before="0" w:after="283"/>
              <w:ind w:left="0" w:right="0" w:firstLine="245"/>
              <w:rPr>
                <w:sz w:val="4"/>
                <w:szCs w:val="4"/>
              </w:rPr>
            </w:pPr>
            <w:r>
              <w:rPr>
                <w:sz w:val="4"/>
                <w:szCs w:val="4"/>
              </w:rPr>
            </w:r>
          </w:p>
        </w:tc>
      </w:tr>
      <w:tr>
        <w:trPr/>
        <w:tc>
          <w:tcPr>
            <w:tcW w:w="3706"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Operating leases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56" w:type="dxa"/>
            <w:tcBorders/>
            <w:shd w:fill="auto" w:val="clear"/>
            <w:vAlign w:val="center"/>
          </w:tcPr>
          <w:p>
            <w:pPr>
              <w:pStyle w:val="TableContents"/>
              <w:spacing w:before="0" w:after="0"/>
              <w:ind w:left="0" w:right="0" w:hanging="0"/>
              <w:jc w:val="right"/>
              <w:rPr>
                <w:rFonts w:ascii="Times New Roman" w:hAnsi="Times New Roman"/>
                <w:sz w:val="20"/>
              </w:rPr>
            </w:pPr>
            <w:r>
              <w:rPr>
                <w:rFonts w:ascii="Arial;sans-serif" w:hAnsi="Arial;sans-serif"/>
                <w:b/>
                <w:sz w:val="20"/>
              </w:rPr>
              <w:t>8</w:t>
            </w:r>
            <w:r>
              <w:rPr>
                <w:rFonts w:ascii="Times New Roman" w:hAnsi="Times New Roman"/>
                <w:sz w:val="20"/>
              </w:rPr>
              <w:t> </w:t>
            </w:r>
            <w:r>
              <w:rPr>
                <w:rFonts w:ascii="Arial;sans-serif" w:hAnsi="Arial;sans-serif"/>
                <w:b/>
                <w:sz w:val="20"/>
              </w:rPr>
              <w:t>years</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41" w:type="dxa"/>
            <w:tcBorders/>
            <w:shd w:fill="auto" w:val="clear"/>
            <w:vAlign w:val="center"/>
          </w:tcPr>
          <w:p>
            <w:pPr>
              <w:pStyle w:val="TableContents"/>
              <w:spacing w:before="0" w:after="0"/>
              <w:ind w:left="0" w:right="0" w:hanging="0"/>
              <w:jc w:val="right"/>
              <w:rPr>
                <w:rFonts w:ascii="Times New Roman" w:hAnsi="Times New Roman"/>
                <w:sz w:val="20"/>
              </w:rPr>
            </w:pPr>
            <w:r>
              <w:rPr>
                <w:rFonts w:ascii="Arial;sans-serif" w:hAnsi="Arial;sans-serif"/>
                <w:b w:val="false"/>
                <w:sz w:val="20"/>
              </w:rPr>
              <w:t>8</w:t>
            </w:r>
            <w:r>
              <w:rPr>
                <w:rFonts w:ascii="Times New Roman" w:hAnsi="Times New Roman"/>
                <w:sz w:val="20"/>
              </w:rPr>
              <w:t> </w:t>
            </w:r>
            <w:r>
              <w:rPr>
                <w:rFonts w:ascii="Arial;sans-serif" w:hAnsi="Arial;sans-serif"/>
                <w:b w:val="false"/>
                <w:sz w:val="20"/>
              </w:rPr>
              <w:t>years</w:t>
            </w:r>
          </w:p>
        </w:tc>
        <w:tc>
          <w:tcPr>
            <w:tcW w:w="376" w:type="dxa"/>
            <w:tcBorders/>
            <w:shd w:fill="auto" w:val="clear"/>
            <w:vAlign w:val="center"/>
          </w:tcPr>
          <w:p>
            <w:pPr>
              <w:pStyle w:val="TableContents"/>
              <w:spacing w:before="0" w:after="283"/>
              <w:ind w:left="0" w:right="0" w:firstLine="245"/>
              <w:rPr>
                <w:sz w:val="4"/>
                <w:szCs w:val="4"/>
              </w:rPr>
            </w:pPr>
            <w:r>
              <w:rPr>
                <w:sz w:val="4"/>
                <w:szCs w:val="4"/>
              </w:rPr>
            </w:r>
          </w:p>
        </w:tc>
      </w:tr>
      <w:tr>
        <w:trPr/>
        <w:tc>
          <w:tcPr>
            <w:tcW w:w="3706"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Finance leases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56" w:type="dxa"/>
            <w:tcBorders/>
            <w:shd w:fill="auto" w:val="clear"/>
            <w:vAlign w:val="center"/>
          </w:tcPr>
          <w:p>
            <w:pPr>
              <w:pStyle w:val="TableContents"/>
              <w:spacing w:before="0" w:after="0"/>
              <w:ind w:left="0" w:right="0" w:hanging="0"/>
              <w:jc w:val="right"/>
              <w:rPr>
                <w:rFonts w:ascii="Times New Roman" w:hAnsi="Times New Roman"/>
                <w:sz w:val="20"/>
              </w:rPr>
            </w:pPr>
            <w:r>
              <w:rPr>
                <w:rFonts w:ascii="Arial;sans-serif" w:hAnsi="Arial;sans-serif"/>
                <w:b/>
                <w:sz w:val="20"/>
              </w:rPr>
              <w:t>11</w:t>
            </w:r>
            <w:r>
              <w:rPr>
                <w:rFonts w:ascii="Times New Roman" w:hAnsi="Times New Roman"/>
                <w:sz w:val="20"/>
              </w:rPr>
              <w:t> </w:t>
            </w:r>
            <w:r>
              <w:rPr>
                <w:rFonts w:ascii="Arial;sans-serif" w:hAnsi="Arial;sans-serif"/>
                <w:b/>
                <w:sz w:val="20"/>
              </w:rPr>
              <w:t>years</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41" w:type="dxa"/>
            <w:tcBorders/>
            <w:shd w:fill="auto" w:val="clear"/>
            <w:vAlign w:val="center"/>
          </w:tcPr>
          <w:p>
            <w:pPr>
              <w:pStyle w:val="TableContents"/>
              <w:spacing w:before="0" w:after="0"/>
              <w:ind w:left="0" w:right="0" w:hanging="0"/>
              <w:jc w:val="right"/>
              <w:rPr>
                <w:rFonts w:ascii="Times New Roman" w:hAnsi="Times New Roman"/>
                <w:sz w:val="20"/>
              </w:rPr>
            </w:pPr>
            <w:r>
              <w:rPr>
                <w:rFonts w:ascii="Arial;sans-serif" w:hAnsi="Arial;sans-serif"/>
                <w:b w:val="false"/>
                <w:sz w:val="20"/>
              </w:rPr>
              <w:t>12</w:t>
            </w:r>
            <w:r>
              <w:rPr>
                <w:rFonts w:ascii="Times New Roman" w:hAnsi="Times New Roman"/>
                <w:sz w:val="20"/>
              </w:rPr>
              <w:t> </w:t>
            </w:r>
            <w:r>
              <w:rPr>
                <w:rFonts w:ascii="Arial;sans-serif" w:hAnsi="Arial;sans-serif"/>
                <w:b w:val="false"/>
                <w:sz w:val="20"/>
              </w:rPr>
              <w:t>years</w:t>
            </w:r>
          </w:p>
        </w:tc>
        <w:tc>
          <w:tcPr>
            <w:tcW w:w="376" w:type="dxa"/>
            <w:tcBorders/>
            <w:shd w:fill="auto" w:val="clear"/>
            <w:vAlign w:val="center"/>
          </w:tcPr>
          <w:p>
            <w:pPr>
              <w:pStyle w:val="TableContents"/>
              <w:spacing w:before="0" w:after="283"/>
              <w:ind w:left="0" w:right="0" w:hanging="0"/>
              <w:rPr>
                <w:sz w:val="4"/>
                <w:szCs w:val="4"/>
              </w:rPr>
            </w:pPr>
            <w:r>
              <w:rPr>
                <w:sz w:val="4"/>
                <w:szCs w:val="4"/>
              </w:rPr>
            </w:r>
          </w:p>
        </w:tc>
      </w:tr>
      <w:tr>
        <w:trPr/>
        <w:tc>
          <w:tcPr>
            <w:tcW w:w="37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5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41" w:type="dxa"/>
            <w:tcBorders/>
            <w:shd w:fill="auto" w:val="clear"/>
            <w:vAlign w:val="center"/>
          </w:tcPr>
          <w:p>
            <w:pPr>
              <w:pStyle w:val="TableContents"/>
              <w:spacing w:before="0" w:after="0"/>
              <w:ind w:left="0" w:right="0" w:hanging="0"/>
              <w:jc w:val="right"/>
              <w:rPr/>
            </w:pPr>
            <w:r>
              <w:rPr/>
              <w:t> </w:t>
            </w:r>
          </w:p>
        </w:tc>
        <w:tc>
          <w:tcPr>
            <w:tcW w:w="376" w:type="dxa"/>
            <w:tcBorders/>
            <w:shd w:fill="auto" w:val="clear"/>
            <w:vAlign w:val="center"/>
          </w:tcPr>
          <w:p>
            <w:pPr>
              <w:pStyle w:val="TableContents"/>
              <w:spacing w:before="0" w:after="283"/>
              <w:ind w:left="0" w:right="0" w:hanging="0"/>
              <w:rPr>
                <w:sz w:val="4"/>
                <w:szCs w:val="4"/>
              </w:rPr>
            </w:pPr>
            <w:r>
              <w:rPr>
                <w:sz w:val="4"/>
                <w:szCs w:val="4"/>
              </w:rPr>
            </w:r>
          </w:p>
        </w:tc>
      </w:tr>
      <w:tr>
        <w:trPr/>
        <w:tc>
          <w:tcPr>
            <w:tcW w:w="3706"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Weighted Average Discount Rate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5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41" w:type="dxa"/>
            <w:tcBorders/>
            <w:shd w:fill="auto" w:val="clear"/>
            <w:vAlign w:val="center"/>
          </w:tcPr>
          <w:p>
            <w:pPr>
              <w:pStyle w:val="TableContents"/>
              <w:spacing w:before="0" w:after="0"/>
              <w:ind w:left="0" w:right="0" w:hanging="0"/>
              <w:jc w:val="right"/>
              <w:rPr/>
            </w:pPr>
            <w:r>
              <w:rPr/>
              <w:t> </w:t>
            </w:r>
          </w:p>
        </w:tc>
        <w:tc>
          <w:tcPr>
            <w:tcW w:w="376" w:type="dxa"/>
            <w:tcBorders/>
            <w:shd w:fill="auto" w:val="clear"/>
            <w:vAlign w:val="center"/>
          </w:tcPr>
          <w:p>
            <w:pPr>
              <w:pStyle w:val="TableContents"/>
              <w:spacing w:before="0" w:after="283"/>
              <w:ind w:left="0" w:right="0" w:hanging="0"/>
              <w:rPr>
                <w:sz w:val="4"/>
                <w:szCs w:val="4"/>
              </w:rPr>
            </w:pPr>
            <w:r>
              <w:rPr>
                <w:sz w:val="4"/>
                <w:szCs w:val="4"/>
              </w:rPr>
            </w:r>
          </w:p>
        </w:tc>
      </w:tr>
      <w:tr>
        <w:trPr/>
        <w:tc>
          <w:tcPr>
            <w:tcW w:w="37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5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41" w:type="dxa"/>
            <w:tcBorders/>
            <w:shd w:fill="auto" w:val="clear"/>
            <w:vAlign w:val="center"/>
          </w:tcPr>
          <w:p>
            <w:pPr>
              <w:pStyle w:val="TableContents"/>
              <w:spacing w:before="0" w:after="0"/>
              <w:ind w:left="0" w:right="0" w:hanging="0"/>
              <w:jc w:val="right"/>
              <w:rPr/>
            </w:pPr>
            <w:r>
              <w:rPr/>
              <w:t> </w:t>
            </w:r>
          </w:p>
        </w:tc>
        <w:tc>
          <w:tcPr>
            <w:tcW w:w="376" w:type="dxa"/>
            <w:tcBorders/>
            <w:shd w:fill="auto" w:val="clear"/>
            <w:vAlign w:val="center"/>
          </w:tcPr>
          <w:p>
            <w:pPr>
              <w:pStyle w:val="TableContents"/>
              <w:spacing w:before="0" w:after="283"/>
              <w:ind w:left="0" w:right="0" w:firstLine="245"/>
              <w:rPr>
                <w:sz w:val="4"/>
                <w:szCs w:val="4"/>
              </w:rPr>
            </w:pPr>
            <w:r>
              <w:rPr>
                <w:sz w:val="4"/>
                <w:szCs w:val="4"/>
              </w:rPr>
            </w:r>
          </w:p>
        </w:tc>
      </w:tr>
      <w:tr>
        <w:trPr/>
        <w:tc>
          <w:tcPr>
            <w:tcW w:w="3706"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Operating leases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5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2.7%</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4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2.1%</w:t>
            </w:r>
          </w:p>
        </w:tc>
        <w:tc>
          <w:tcPr>
            <w:tcW w:w="376" w:type="dxa"/>
            <w:tcBorders/>
            <w:shd w:fill="auto" w:val="clear"/>
            <w:vAlign w:val="center"/>
          </w:tcPr>
          <w:p>
            <w:pPr>
              <w:pStyle w:val="TableContents"/>
              <w:spacing w:before="0" w:after="283"/>
              <w:ind w:left="0" w:right="0" w:firstLine="245"/>
              <w:rPr>
                <w:sz w:val="4"/>
                <w:szCs w:val="4"/>
              </w:rPr>
            </w:pPr>
            <w:r>
              <w:rPr>
                <w:sz w:val="4"/>
                <w:szCs w:val="4"/>
              </w:rPr>
            </w:r>
          </w:p>
        </w:tc>
      </w:tr>
      <w:tr>
        <w:trPr/>
        <w:tc>
          <w:tcPr>
            <w:tcW w:w="3706"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Finance leases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5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3.4%</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4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3.1%</w:t>
            </w:r>
          </w:p>
        </w:tc>
        <w:tc>
          <w:tcPr>
            <w:tcW w:w="376" w:type="dxa"/>
            <w:tcBorders/>
            <w:shd w:fill="auto" w:val="clear"/>
            <w:vAlign w:val="center"/>
          </w:tcPr>
          <w:p>
            <w:pPr>
              <w:pStyle w:val="TableContents"/>
              <w:spacing w:before="0" w:after="283"/>
              <w:ind w:left="0" w:right="0" w:hanging="0"/>
              <w:rPr>
                <w:sz w:val="4"/>
                <w:szCs w:val="4"/>
              </w:rPr>
            </w:pPr>
            <w:r>
              <w:rPr>
                <w:sz w:val="4"/>
                <w:szCs w:val="4"/>
              </w:rPr>
            </w:r>
          </w:p>
        </w:tc>
      </w:tr>
      <w:tr>
        <w:trPr/>
        <w:tc>
          <w:tcPr>
            <w:tcW w:w="370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8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r>
    </w:tbl>
    <w:p>
      <w:pPr>
        <w:pStyle w:val="TextBody"/>
        <w:spacing w:before="0" w:after="0"/>
        <w:jc w:val="both"/>
        <w:rPr/>
      </w:pPr>
      <w:r>
        <w:rPr/>
        <w:t> </w:t>
      </w:r>
    </w:p>
    <w:p>
      <w:pPr>
        <w:pStyle w:val="TextBody"/>
        <w:spacing w:before="0" w:after="0"/>
        <w:jc w:val="both"/>
        <w:rPr>
          <w:rFonts w:ascii="Arial;sans-serif" w:hAnsi="Arial;sans-serif"/>
          <w:b w:val="false"/>
          <w:sz w:val="20"/>
        </w:rPr>
      </w:pPr>
      <w:r>
        <w:rPr>
          <w:rFonts w:ascii="Arial;sans-serif" w:hAnsi="Arial;sans-serif"/>
          <w:b w:val="false"/>
          <w:sz w:val="20"/>
        </w:rPr>
        <w:t>The following table outlines maturities of our lease liabilities as of March 31, 2023:</w:t>
      </w:r>
    </w:p>
    <w:p>
      <w:pPr>
        <w:pStyle w:val="TextBody"/>
        <w:spacing w:before="0" w:after="0"/>
        <w:jc w:val="both"/>
        <w:rPr/>
      </w:pPr>
      <w:r>
        <w:rPr/>
        <w:t> </w:t>
      </w:r>
    </w:p>
    <w:tbl>
      <w:tblPr>
        <w:tblW w:w="8515" w:type="dxa"/>
        <w:jc w:val="left"/>
        <w:tblInd w:w="0" w:type="dxa"/>
        <w:tblCellMar>
          <w:top w:w="28" w:type="dxa"/>
          <w:left w:w="28" w:type="dxa"/>
          <w:bottom w:w="28" w:type="dxa"/>
          <w:right w:w="28" w:type="dxa"/>
        </w:tblCellMar>
      </w:tblPr>
      <w:tblGrid>
        <w:gridCol w:w="4996"/>
        <w:gridCol w:w="146"/>
        <w:gridCol w:w="330"/>
        <w:gridCol w:w="1080"/>
        <w:gridCol w:w="166"/>
        <w:gridCol w:w="146"/>
        <w:gridCol w:w="298"/>
        <w:gridCol w:w="977"/>
        <w:gridCol w:w="376"/>
      </w:tblGrid>
      <w:tr>
        <w:trPr/>
        <w:tc>
          <w:tcPr>
            <w:tcW w:w="49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108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r>
      <w:tr>
        <w:trPr/>
        <w:tc>
          <w:tcPr>
            <w:tcW w:w="4996"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(In millions)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10"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275" w:type="dxa"/>
            <w:gridSpan w:val="2"/>
            <w:tcBorders/>
            <w:shd w:fill="auto" w:val="clear"/>
            <w:vAlign w:val="center"/>
          </w:tcPr>
          <w:p>
            <w:pPr>
              <w:pStyle w:val="TableContents"/>
              <w:spacing w:before="0" w:after="283"/>
              <w:ind w:left="0" w:right="0" w:hanging="0"/>
              <w:rPr>
                <w:sz w:val="4"/>
                <w:szCs w:val="4"/>
              </w:rPr>
            </w:pPr>
            <w:r>
              <w:rPr>
                <w:sz w:val="4"/>
                <w:szCs w:val="4"/>
              </w:rPr>
            </w:r>
          </w:p>
        </w:tc>
        <w:tc>
          <w:tcPr>
            <w:tcW w:w="376" w:type="dxa"/>
            <w:tcBorders/>
            <w:shd w:fill="auto" w:val="clear"/>
            <w:vAlign w:val="center"/>
          </w:tcPr>
          <w:p>
            <w:pPr>
              <w:pStyle w:val="TableContents"/>
              <w:spacing w:before="0" w:after="283"/>
              <w:ind w:left="0" w:right="0" w:hanging="0"/>
              <w:rPr>
                <w:sz w:val="4"/>
                <w:szCs w:val="4"/>
              </w:rPr>
            </w:pPr>
            <w:r>
              <w:rPr>
                <w:sz w:val="4"/>
                <w:szCs w:val="4"/>
              </w:rPr>
            </w:r>
          </w:p>
        </w:tc>
      </w:tr>
      <w:tr>
        <w:trPr/>
        <w:tc>
          <w:tcPr>
            <w:tcW w:w="499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10" w:type="dxa"/>
            <w:gridSpan w:val="2"/>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275" w:type="dxa"/>
            <w:gridSpan w:val="2"/>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r>
      <w:tr>
        <w:trPr/>
        <w:tc>
          <w:tcPr>
            <w:tcW w:w="499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10"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275" w:type="dxa"/>
            <w:gridSpan w:val="2"/>
            <w:tcBorders/>
            <w:shd w:fill="auto" w:val="clear"/>
            <w:vAlign w:val="center"/>
          </w:tcPr>
          <w:p>
            <w:pPr>
              <w:pStyle w:val="TableContents"/>
              <w:spacing w:before="0" w:after="283"/>
              <w:ind w:left="0" w:right="0" w:hanging="0"/>
              <w:rPr>
                <w:sz w:val="4"/>
                <w:szCs w:val="4"/>
              </w:rPr>
            </w:pPr>
            <w:r>
              <w:rPr>
                <w:sz w:val="4"/>
                <w:szCs w:val="4"/>
              </w:rPr>
            </w:r>
          </w:p>
        </w:tc>
        <w:tc>
          <w:tcPr>
            <w:tcW w:w="376" w:type="dxa"/>
            <w:tcBorders/>
            <w:shd w:fill="auto" w:val="clear"/>
            <w:vAlign w:val="center"/>
          </w:tcPr>
          <w:p>
            <w:pPr>
              <w:pStyle w:val="TableContents"/>
              <w:spacing w:before="0" w:after="283"/>
              <w:ind w:left="0" w:right="0" w:hanging="0"/>
              <w:rPr>
                <w:sz w:val="4"/>
                <w:szCs w:val="4"/>
              </w:rPr>
            </w:pPr>
            <w:r>
              <w:rPr>
                <w:sz w:val="4"/>
                <w:szCs w:val="4"/>
              </w:rPr>
            </w:r>
          </w:p>
        </w:tc>
      </w:tr>
      <w:tr>
        <w:trPr/>
        <w:tc>
          <w:tcPr>
            <w:tcW w:w="4996"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Year Ending June 30,</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10"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Operating Leases</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275"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Finance Leases</w:t>
            </w:r>
          </w:p>
        </w:tc>
        <w:tc>
          <w:tcPr>
            <w:tcW w:w="376" w:type="dxa"/>
            <w:tcBorders/>
            <w:shd w:fill="auto" w:val="clear"/>
            <w:vAlign w:val="center"/>
          </w:tcPr>
          <w:p>
            <w:pPr>
              <w:pStyle w:val="TableContents"/>
              <w:spacing w:before="0" w:after="283"/>
              <w:ind w:left="0" w:right="0" w:hanging="0"/>
              <w:rPr>
                <w:sz w:val="4"/>
                <w:szCs w:val="4"/>
              </w:rPr>
            </w:pPr>
            <w:r>
              <w:rPr>
                <w:sz w:val="4"/>
                <w:szCs w:val="4"/>
              </w:rPr>
            </w:r>
          </w:p>
        </w:tc>
      </w:tr>
      <w:tr>
        <w:trPr/>
        <w:tc>
          <w:tcPr>
            <w:tcW w:w="4996" w:type="dxa"/>
            <w:tcBorders/>
            <w:shd w:fill="auto" w:val="clear"/>
            <w:vAlign w:val="center"/>
          </w:tcPr>
          <w:p>
            <w:pPr>
              <w:pStyle w:val="TableContents"/>
              <w:spacing w:before="0" w:after="283"/>
              <w:ind w:left="0" w:right="0" w:hanging="0"/>
              <w:rPr>
                <w:sz w:val="4"/>
                <w:szCs w:val="4"/>
              </w:rPr>
            </w:pPr>
            <w:r>
              <w:rPr>
                <w:sz w:val="4"/>
                <w:szCs w:val="4"/>
              </w:rPr>
            </w:r>
          </w:p>
        </w:tc>
        <w:tc>
          <w:tcPr>
            <w:tcW w:w="1722" w:type="dxa"/>
            <w:gridSpan w:val="4"/>
            <w:tcBorders/>
            <w:shd w:fill="auto" w:val="clear"/>
            <w:vAlign w:val="center"/>
          </w:tcPr>
          <w:p>
            <w:pPr>
              <w:pStyle w:val="TableContents"/>
              <w:spacing w:before="0" w:after="283"/>
              <w:ind w:left="0" w:right="0" w:hanging="0"/>
              <w:rPr>
                <w:sz w:val="4"/>
                <w:szCs w:val="4"/>
              </w:rPr>
            </w:pPr>
            <w:r>
              <w:rPr>
                <w:sz w:val="4"/>
                <w:szCs w:val="4"/>
              </w:rPr>
            </w:r>
          </w:p>
        </w:tc>
        <w:tc>
          <w:tcPr>
            <w:tcW w:w="1797" w:type="dxa"/>
            <w:gridSpan w:val="4"/>
            <w:tcBorders/>
            <w:shd w:fill="auto" w:val="clear"/>
            <w:vAlign w:val="center"/>
          </w:tcPr>
          <w:p>
            <w:pPr>
              <w:pStyle w:val="TableContents"/>
              <w:spacing w:before="0" w:after="283"/>
              <w:ind w:left="0" w:right="0" w:hanging="0"/>
              <w:rPr>
                <w:sz w:val="4"/>
                <w:szCs w:val="4"/>
              </w:rPr>
            </w:pPr>
            <w:r>
              <w:rPr>
                <w:sz w:val="4"/>
                <w:szCs w:val="4"/>
              </w:rPr>
            </w:r>
          </w:p>
        </w:tc>
      </w:tr>
      <w:tr>
        <w:trPr/>
        <w:tc>
          <w:tcPr>
            <w:tcW w:w="499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2023 (excluding the nine months ended March 31, 2023)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30"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08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683</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98"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977"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413</w:t>
            </w:r>
          </w:p>
        </w:tc>
        <w:tc>
          <w:tcPr>
            <w:tcW w:w="376" w:type="dxa"/>
            <w:tcBorders/>
            <w:shd w:fill="auto" w:val="clear"/>
            <w:vAlign w:val="center"/>
          </w:tcPr>
          <w:p>
            <w:pPr>
              <w:pStyle w:val="TableContents"/>
              <w:spacing w:before="0" w:after="283"/>
              <w:ind w:left="0" w:right="0" w:hanging="0"/>
              <w:rPr>
                <w:sz w:val="4"/>
                <w:szCs w:val="4"/>
              </w:rPr>
            </w:pPr>
            <w:r>
              <w:rPr>
                <w:sz w:val="4"/>
                <w:szCs w:val="4"/>
              </w:rPr>
            </w:r>
          </w:p>
        </w:tc>
      </w:tr>
      <w:tr>
        <w:trPr/>
        <w:tc>
          <w:tcPr>
            <w:tcW w:w="499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2024</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30" w:type="dxa"/>
            <w:tcBorders/>
            <w:shd w:fill="auto" w:val="clear"/>
            <w:vAlign w:val="center"/>
          </w:tcPr>
          <w:p>
            <w:pPr>
              <w:pStyle w:val="TableContents"/>
              <w:spacing w:before="0" w:after="283"/>
              <w:ind w:left="0" w:right="0" w:hanging="0"/>
              <w:rPr>
                <w:sz w:val="4"/>
                <w:szCs w:val="4"/>
              </w:rPr>
            </w:pPr>
            <w:r>
              <w:rPr>
                <w:sz w:val="4"/>
                <w:szCs w:val="4"/>
              </w:rPr>
            </w:r>
          </w:p>
        </w:tc>
        <w:tc>
          <w:tcPr>
            <w:tcW w:w="108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2,625</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98" w:type="dxa"/>
            <w:tcBorders/>
            <w:shd w:fill="auto" w:val="clear"/>
            <w:vAlign w:val="center"/>
          </w:tcPr>
          <w:p>
            <w:pPr>
              <w:pStyle w:val="TableContents"/>
              <w:spacing w:before="0" w:after="283"/>
              <w:ind w:left="0" w:right="0" w:hanging="0"/>
              <w:rPr>
                <w:sz w:val="4"/>
                <w:szCs w:val="4"/>
              </w:rPr>
            </w:pPr>
            <w:r>
              <w:rPr>
                <w:sz w:val="4"/>
                <w:szCs w:val="4"/>
              </w:rPr>
            </w:r>
          </w:p>
        </w:tc>
        <w:tc>
          <w:tcPr>
            <w:tcW w:w="977"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1,706</w:t>
            </w:r>
          </w:p>
        </w:tc>
        <w:tc>
          <w:tcPr>
            <w:tcW w:w="376" w:type="dxa"/>
            <w:tcBorders/>
            <w:shd w:fill="auto" w:val="clear"/>
            <w:vAlign w:val="center"/>
          </w:tcPr>
          <w:p>
            <w:pPr>
              <w:pStyle w:val="TableContents"/>
              <w:spacing w:before="0" w:after="283"/>
              <w:ind w:left="0" w:right="0" w:hanging="0"/>
              <w:rPr>
                <w:sz w:val="4"/>
                <w:szCs w:val="4"/>
              </w:rPr>
            </w:pPr>
            <w:r>
              <w:rPr>
                <w:sz w:val="4"/>
                <w:szCs w:val="4"/>
              </w:rPr>
            </w:r>
          </w:p>
        </w:tc>
      </w:tr>
      <w:tr>
        <w:trPr/>
        <w:tc>
          <w:tcPr>
            <w:tcW w:w="499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2025</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30" w:type="dxa"/>
            <w:tcBorders/>
            <w:shd w:fill="auto" w:val="clear"/>
            <w:vAlign w:val="center"/>
          </w:tcPr>
          <w:p>
            <w:pPr>
              <w:pStyle w:val="TableContents"/>
              <w:spacing w:before="0" w:after="0"/>
              <w:ind w:left="0" w:right="0" w:hanging="0"/>
              <w:jc w:val="left"/>
              <w:rPr/>
            </w:pPr>
            <w:r>
              <w:rPr/>
              <w:t> </w:t>
            </w:r>
          </w:p>
        </w:tc>
        <w:tc>
          <w:tcPr>
            <w:tcW w:w="108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2,334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98" w:type="dxa"/>
            <w:tcBorders/>
            <w:shd w:fill="auto" w:val="clear"/>
            <w:vAlign w:val="center"/>
          </w:tcPr>
          <w:p>
            <w:pPr>
              <w:pStyle w:val="TableContents"/>
              <w:spacing w:before="0" w:after="0"/>
              <w:ind w:left="0" w:right="0" w:hanging="0"/>
              <w:jc w:val="left"/>
              <w:rPr/>
            </w:pPr>
            <w:r>
              <w:rPr/>
              <w:t> </w:t>
            </w:r>
          </w:p>
        </w:tc>
        <w:tc>
          <w:tcPr>
            <w:tcW w:w="977"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2,025</w:t>
            </w:r>
          </w:p>
        </w:tc>
        <w:tc>
          <w:tcPr>
            <w:tcW w:w="376" w:type="dxa"/>
            <w:tcBorders/>
            <w:shd w:fill="auto" w:val="clear"/>
            <w:vAlign w:val="center"/>
          </w:tcPr>
          <w:p>
            <w:pPr>
              <w:pStyle w:val="TableContents"/>
              <w:spacing w:before="0" w:after="283"/>
              <w:ind w:left="0" w:right="0" w:hanging="0"/>
              <w:rPr>
                <w:sz w:val="4"/>
                <w:szCs w:val="4"/>
              </w:rPr>
            </w:pPr>
            <w:r>
              <w:rPr>
                <w:sz w:val="4"/>
                <w:szCs w:val="4"/>
              </w:rPr>
            </w:r>
          </w:p>
        </w:tc>
      </w:tr>
      <w:tr>
        <w:trPr/>
        <w:tc>
          <w:tcPr>
            <w:tcW w:w="499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2026</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30" w:type="dxa"/>
            <w:tcBorders/>
            <w:shd w:fill="auto" w:val="clear"/>
            <w:vAlign w:val="center"/>
          </w:tcPr>
          <w:p>
            <w:pPr>
              <w:pStyle w:val="TableContents"/>
              <w:spacing w:before="0" w:after="283"/>
              <w:ind w:left="0" w:right="0" w:hanging="0"/>
              <w:rPr>
                <w:sz w:val="4"/>
                <w:szCs w:val="4"/>
              </w:rPr>
            </w:pPr>
            <w:r>
              <w:rPr>
                <w:sz w:val="4"/>
                <w:szCs w:val="4"/>
              </w:rPr>
            </w:r>
          </w:p>
        </w:tc>
        <w:tc>
          <w:tcPr>
            <w:tcW w:w="108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1,964</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98" w:type="dxa"/>
            <w:tcBorders/>
            <w:shd w:fill="auto" w:val="clear"/>
            <w:vAlign w:val="center"/>
          </w:tcPr>
          <w:p>
            <w:pPr>
              <w:pStyle w:val="TableContents"/>
              <w:spacing w:before="0" w:after="283"/>
              <w:ind w:left="0" w:right="0" w:hanging="0"/>
              <w:rPr>
                <w:sz w:val="4"/>
                <w:szCs w:val="4"/>
              </w:rPr>
            </w:pPr>
            <w:r>
              <w:rPr>
                <w:sz w:val="4"/>
                <w:szCs w:val="4"/>
              </w:rPr>
            </w:r>
          </w:p>
        </w:tc>
        <w:tc>
          <w:tcPr>
            <w:tcW w:w="977"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1,710</w:t>
            </w:r>
          </w:p>
        </w:tc>
        <w:tc>
          <w:tcPr>
            <w:tcW w:w="376" w:type="dxa"/>
            <w:tcBorders/>
            <w:shd w:fill="auto" w:val="clear"/>
            <w:vAlign w:val="center"/>
          </w:tcPr>
          <w:p>
            <w:pPr>
              <w:pStyle w:val="TableContents"/>
              <w:spacing w:before="0" w:after="283"/>
              <w:ind w:left="0" w:right="0" w:hanging="0"/>
              <w:rPr>
                <w:sz w:val="4"/>
                <w:szCs w:val="4"/>
              </w:rPr>
            </w:pPr>
            <w:r>
              <w:rPr>
                <w:sz w:val="4"/>
                <w:szCs w:val="4"/>
              </w:rPr>
            </w:r>
          </w:p>
        </w:tc>
      </w:tr>
      <w:tr>
        <w:trPr/>
        <w:tc>
          <w:tcPr>
            <w:tcW w:w="499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2027</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shd w:fill="auto" w:val="clear"/>
            <w:vAlign w:val="center"/>
          </w:tcPr>
          <w:p>
            <w:pPr>
              <w:pStyle w:val="TableContents"/>
              <w:spacing w:before="0" w:after="283"/>
              <w:ind w:left="0" w:right="0" w:hanging="0"/>
              <w:rPr>
                <w:sz w:val="4"/>
                <w:szCs w:val="4"/>
              </w:rPr>
            </w:pPr>
            <w:r>
              <w:rPr>
                <w:sz w:val="4"/>
                <w:szCs w:val="4"/>
              </w:rPr>
            </w:r>
          </w:p>
        </w:tc>
        <w:tc>
          <w:tcPr>
            <w:tcW w:w="108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1,646</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283"/>
              <w:ind w:left="0" w:right="0" w:hanging="0"/>
              <w:rPr>
                <w:sz w:val="4"/>
                <w:szCs w:val="4"/>
              </w:rPr>
            </w:pPr>
            <w:r>
              <w:rPr>
                <w:sz w:val="4"/>
                <w:szCs w:val="4"/>
              </w:rPr>
            </w:r>
          </w:p>
        </w:tc>
        <w:tc>
          <w:tcPr>
            <w:tcW w:w="977"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1,720</w:t>
            </w:r>
          </w:p>
        </w:tc>
        <w:tc>
          <w:tcPr>
            <w:tcW w:w="376" w:type="dxa"/>
            <w:tcBorders/>
            <w:shd w:fill="auto" w:val="clear"/>
            <w:vAlign w:val="center"/>
          </w:tcPr>
          <w:p>
            <w:pPr>
              <w:pStyle w:val="TableContents"/>
              <w:spacing w:before="0" w:after="283"/>
              <w:ind w:left="0" w:right="0" w:hanging="0"/>
              <w:rPr>
                <w:sz w:val="4"/>
                <w:szCs w:val="4"/>
              </w:rPr>
            </w:pPr>
            <w:r>
              <w:rPr>
                <w:sz w:val="4"/>
                <w:szCs w:val="4"/>
              </w:rPr>
            </w:r>
          </w:p>
        </w:tc>
      </w:tr>
      <w:tr>
        <w:trPr/>
        <w:tc>
          <w:tcPr>
            <w:tcW w:w="499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Thereafter</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30" w:type="dxa"/>
            <w:tcBorders/>
            <w:shd w:fill="auto" w:val="clear"/>
            <w:vAlign w:val="center"/>
          </w:tcPr>
          <w:p>
            <w:pPr>
              <w:pStyle w:val="TableContents"/>
              <w:spacing w:before="0" w:after="283"/>
              <w:ind w:left="0" w:right="0" w:hanging="0"/>
              <w:rPr>
                <w:sz w:val="4"/>
                <w:szCs w:val="4"/>
              </w:rPr>
            </w:pPr>
            <w:r>
              <w:rPr>
                <w:sz w:val="4"/>
                <w:szCs w:val="4"/>
              </w:rPr>
            </w:r>
          </w:p>
        </w:tc>
        <w:tc>
          <w:tcPr>
            <w:tcW w:w="108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7,175</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98" w:type="dxa"/>
            <w:tcBorders/>
            <w:shd w:fill="auto" w:val="clear"/>
            <w:vAlign w:val="center"/>
          </w:tcPr>
          <w:p>
            <w:pPr>
              <w:pStyle w:val="TableContents"/>
              <w:spacing w:before="0" w:after="283"/>
              <w:ind w:left="0" w:right="0" w:hanging="0"/>
              <w:rPr>
                <w:sz w:val="4"/>
                <w:szCs w:val="4"/>
              </w:rPr>
            </w:pPr>
            <w:r>
              <w:rPr>
                <w:sz w:val="4"/>
                <w:szCs w:val="4"/>
              </w:rPr>
            </w:r>
          </w:p>
        </w:tc>
        <w:tc>
          <w:tcPr>
            <w:tcW w:w="977"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12,395</w:t>
            </w:r>
          </w:p>
        </w:tc>
        <w:tc>
          <w:tcPr>
            <w:tcW w:w="376" w:type="dxa"/>
            <w:tcBorders/>
            <w:shd w:fill="auto" w:val="clear"/>
            <w:vAlign w:val="center"/>
          </w:tcPr>
          <w:p>
            <w:pPr>
              <w:pStyle w:val="TableContents"/>
              <w:spacing w:before="0" w:after="283"/>
              <w:ind w:left="0" w:right="0" w:hanging="0"/>
              <w:rPr>
                <w:sz w:val="4"/>
                <w:szCs w:val="4"/>
              </w:rPr>
            </w:pPr>
            <w:r>
              <w:rPr>
                <w:sz w:val="4"/>
                <w:szCs w:val="4"/>
              </w:rPr>
            </w:r>
          </w:p>
        </w:tc>
      </w:tr>
      <w:tr>
        <w:trPr/>
        <w:tc>
          <w:tcPr>
            <w:tcW w:w="499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330"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0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98"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9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r>
      <w:tr>
        <w:trPr/>
        <w:tc>
          <w:tcPr>
            <w:tcW w:w="499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30" w:type="dxa"/>
            <w:tcBorders/>
            <w:shd w:fill="auto" w:val="clear"/>
            <w:vAlign w:val="center"/>
          </w:tcPr>
          <w:p>
            <w:pPr>
              <w:pStyle w:val="TableContents"/>
              <w:spacing w:before="0" w:after="283"/>
              <w:ind w:left="0" w:right="0" w:hanging="0"/>
              <w:rPr>
                <w:sz w:val="4"/>
                <w:szCs w:val="4"/>
              </w:rPr>
            </w:pPr>
            <w:r>
              <w:rPr>
                <w:sz w:val="4"/>
                <w:szCs w:val="4"/>
              </w:rPr>
            </w:r>
          </w:p>
        </w:tc>
        <w:tc>
          <w:tcPr>
            <w:tcW w:w="1080"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98" w:type="dxa"/>
            <w:tcBorders/>
            <w:shd w:fill="auto" w:val="clear"/>
            <w:vAlign w:val="center"/>
          </w:tcPr>
          <w:p>
            <w:pPr>
              <w:pStyle w:val="TableContents"/>
              <w:spacing w:before="0" w:after="283"/>
              <w:ind w:left="0" w:right="0" w:hanging="0"/>
              <w:rPr>
                <w:sz w:val="4"/>
                <w:szCs w:val="4"/>
              </w:rPr>
            </w:pPr>
            <w:r>
              <w:rPr>
                <w:sz w:val="4"/>
                <w:szCs w:val="4"/>
              </w:rPr>
            </w:r>
          </w:p>
        </w:tc>
        <w:tc>
          <w:tcPr>
            <w:tcW w:w="977" w:type="dxa"/>
            <w:tcBorders/>
            <w:shd w:fill="auto" w:val="clear"/>
            <w:vAlign w:val="center"/>
          </w:tcPr>
          <w:p>
            <w:pPr>
              <w:pStyle w:val="TableContents"/>
              <w:spacing w:before="0" w:after="0"/>
              <w:ind w:left="0" w:right="0" w:hanging="0"/>
              <w:jc w:val="right"/>
              <w:rPr/>
            </w:pPr>
            <w:r>
              <w:rPr/>
              <w:t> </w:t>
            </w:r>
          </w:p>
        </w:tc>
        <w:tc>
          <w:tcPr>
            <w:tcW w:w="376" w:type="dxa"/>
            <w:tcBorders/>
            <w:shd w:fill="auto" w:val="clear"/>
            <w:vAlign w:val="center"/>
          </w:tcPr>
          <w:p>
            <w:pPr>
              <w:pStyle w:val="TableContents"/>
              <w:spacing w:before="0" w:after="283"/>
              <w:ind w:left="0" w:right="0" w:firstLine="245"/>
              <w:rPr>
                <w:sz w:val="4"/>
                <w:szCs w:val="4"/>
              </w:rPr>
            </w:pPr>
            <w:r>
              <w:rPr>
                <w:sz w:val="4"/>
                <w:szCs w:val="4"/>
              </w:rPr>
            </w:r>
          </w:p>
        </w:tc>
      </w:tr>
      <w:tr>
        <w:trPr/>
        <w:tc>
          <w:tcPr>
            <w:tcW w:w="4996"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Total lease payments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30" w:type="dxa"/>
            <w:tcBorders/>
            <w:shd w:fill="auto" w:val="clear"/>
            <w:vAlign w:val="center"/>
          </w:tcPr>
          <w:p>
            <w:pPr>
              <w:pStyle w:val="TableContents"/>
              <w:spacing w:before="0" w:after="283"/>
              <w:ind w:left="0" w:right="0" w:hanging="0"/>
              <w:rPr>
                <w:sz w:val="4"/>
                <w:szCs w:val="4"/>
              </w:rPr>
            </w:pPr>
            <w:r>
              <w:rPr>
                <w:sz w:val="4"/>
                <w:szCs w:val="4"/>
              </w:rPr>
            </w:r>
          </w:p>
        </w:tc>
        <w:tc>
          <w:tcPr>
            <w:tcW w:w="108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16,427</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98" w:type="dxa"/>
            <w:tcBorders/>
            <w:shd w:fill="auto" w:val="clear"/>
            <w:vAlign w:val="center"/>
          </w:tcPr>
          <w:p>
            <w:pPr>
              <w:pStyle w:val="TableContents"/>
              <w:spacing w:before="0" w:after="0"/>
              <w:ind w:left="0" w:right="0" w:hanging="0"/>
              <w:jc w:val="left"/>
              <w:rPr/>
            </w:pPr>
            <w:r>
              <w:rPr/>
              <w:t> </w:t>
            </w:r>
          </w:p>
        </w:tc>
        <w:tc>
          <w:tcPr>
            <w:tcW w:w="977"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19,969</w:t>
            </w:r>
          </w:p>
        </w:tc>
        <w:tc>
          <w:tcPr>
            <w:tcW w:w="376" w:type="dxa"/>
            <w:tcBorders/>
            <w:shd w:fill="auto" w:val="clear"/>
            <w:vAlign w:val="center"/>
          </w:tcPr>
          <w:p>
            <w:pPr>
              <w:pStyle w:val="TableContents"/>
              <w:spacing w:before="0" w:after="283"/>
              <w:ind w:left="0" w:right="0" w:hanging="0"/>
              <w:rPr>
                <w:sz w:val="4"/>
                <w:szCs w:val="4"/>
              </w:rPr>
            </w:pPr>
            <w:r>
              <w:rPr>
                <w:sz w:val="4"/>
                <w:szCs w:val="4"/>
              </w:rPr>
            </w:r>
          </w:p>
        </w:tc>
      </w:tr>
      <w:tr>
        <w:trPr/>
        <w:tc>
          <w:tcPr>
            <w:tcW w:w="499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Less imputed interest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30" w:type="dxa"/>
            <w:tcBorders/>
            <w:shd w:fill="auto" w:val="clear"/>
            <w:vAlign w:val="center"/>
          </w:tcPr>
          <w:p>
            <w:pPr>
              <w:pStyle w:val="TableContents"/>
              <w:spacing w:before="0" w:after="283"/>
              <w:ind w:left="0" w:right="0" w:hanging="0"/>
              <w:rPr>
                <w:sz w:val="4"/>
                <w:szCs w:val="4"/>
              </w:rPr>
            </w:pPr>
            <w:r>
              <w:rPr>
                <w:sz w:val="4"/>
                <w:szCs w:val="4"/>
              </w:rPr>
            </w:r>
          </w:p>
        </w:tc>
        <w:tc>
          <w:tcPr>
            <w:tcW w:w="108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(1,788</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98" w:type="dxa"/>
            <w:tcBorders/>
            <w:shd w:fill="auto" w:val="clear"/>
            <w:vAlign w:val="center"/>
          </w:tcPr>
          <w:p>
            <w:pPr>
              <w:pStyle w:val="TableContents"/>
              <w:spacing w:before="0" w:after="283"/>
              <w:ind w:left="0" w:right="0" w:hanging="0"/>
              <w:rPr>
                <w:sz w:val="4"/>
                <w:szCs w:val="4"/>
              </w:rPr>
            </w:pPr>
            <w:r>
              <w:rPr>
                <w:sz w:val="4"/>
                <w:szCs w:val="4"/>
              </w:rPr>
            </w:r>
          </w:p>
        </w:tc>
        <w:tc>
          <w:tcPr>
            <w:tcW w:w="977"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(3,506</w:t>
            </w:r>
          </w:p>
        </w:tc>
        <w:tc>
          <w:tcPr>
            <w:tcW w:w="37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r>
      <w:tr>
        <w:trPr/>
        <w:tc>
          <w:tcPr>
            <w:tcW w:w="499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330"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0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98"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9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r>
      <w:tr>
        <w:trPr/>
        <w:tc>
          <w:tcPr>
            <w:tcW w:w="499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30" w:type="dxa"/>
            <w:tcBorders/>
            <w:shd w:fill="auto" w:val="clear"/>
            <w:vAlign w:val="center"/>
          </w:tcPr>
          <w:p>
            <w:pPr>
              <w:pStyle w:val="TableContents"/>
              <w:spacing w:before="0" w:after="283"/>
              <w:ind w:left="0" w:right="0" w:hanging="0"/>
              <w:rPr>
                <w:sz w:val="4"/>
                <w:szCs w:val="4"/>
              </w:rPr>
            </w:pPr>
            <w:r>
              <w:rPr>
                <w:sz w:val="4"/>
                <w:szCs w:val="4"/>
              </w:rPr>
            </w:r>
          </w:p>
        </w:tc>
        <w:tc>
          <w:tcPr>
            <w:tcW w:w="1080"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98" w:type="dxa"/>
            <w:tcBorders/>
            <w:shd w:fill="auto" w:val="clear"/>
            <w:vAlign w:val="center"/>
          </w:tcPr>
          <w:p>
            <w:pPr>
              <w:pStyle w:val="TableContents"/>
              <w:spacing w:before="0" w:after="283"/>
              <w:ind w:left="0" w:right="0" w:hanging="0"/>
              <w:rPr>
                <w:sz w:val="4"/>
                <w:szCs w:val="4"/>
              </w:rPr>
            </w:pPr>
            <w:r>
              <w:rPr>
                <w:sz w:val="4"/>
                <w:szCs w:val="4"/>
              </w:rPr>
            </w:r>
          </w:p>
        </w:tc>
        <w:tc>
          <w:tcPr>
            <w:tcW w:w="977" w:type="dxa"/>
            <w:tcBorders/>
            <w:shd w:fill="auto" w:val="clear"/>
            <w:vAlign w:val="center"/>
          </w:tcPr>
          <w:p>
            <w:pPr>
              <w:pStyle w:val="TableContents"/>
              <w:spacing w:before="0" w:after="0"/>
              <w:ind w:left="0" w:right="0" w:hanging="0"/>
              <w:jc w:val="right"/>
              <w:rPr/>
            </w:pPr>
            <w:r>
              <w:rPr/>
              <w:t> </w:t>
            </w:r>
          </w:p>
        </w:tc>
        <w:tc>
          <w:tcPr>
            <w:tcW w:w="376" w:type="dxa"/>
            <w:tcBorders/>
            <w:shd w:fill="auto" w:val="clear"/>
            <w:vAlign w:val="center"/>
          </w:tcPr>
          <w:p>
            <w:pPr>
              <w:pStyle w:val="TableContents"/>
              <w:spacing w:before="0" w:after="283"/>
              <w:ind w:left="0" w:right="0" w:firstLine="245"/>
              <w:rPr>
                <w:sz w:val="4"/>
                <w:szCs w:val="4"/>
              </w:rPr>
            </w:pPr>
            <w:r>
              <w:rPr>
                <w:sz w:val="4"/>
                <w:szCs w:val="4"/>
              </w:rPr>
            </w:r>
          </w:p>
        </w:tc>
      </w:tr>
      <w:tr>
        <w:trPr/>
        <w:tc>
          <w:tcPr>
            <w:tcW w:w="4996"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Total</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30"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08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14,639</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98"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977"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16,463</w:t>
            </w:r>
          </w:p>
        </w:tc>
        <w:tc>
          <w:tcPr>
            <w:tcW w:w="376" w:type="dxa"/>
            <w:tcBorders/>
            <w:shd w:fill="auto" w:val="clear"/>
            <w:vAlign w:val="center"/>
          </w:tcPr>
          <w:p>
            <w:pPr>
              <w:pStyle w:val="TableContents"/>
              <w:spacing w:before="0" w:after="283"/>
              <w:ind w:left="0" w:right="0" w:hanging="0"/>
              <w:rPr>
                <w:sz w:val="4"/>
                <w:szCs w:val="4"/>
              </w:rPr>
            </w:pPr>
            <w:r>
              <w:rPr>
                <w:sz w:val="4"/>
                <w:szCs w:val="4"/>
              </w:rPr>
            </w:r>
          </w:p>
        </w:tc>
      </w:tr>
      <w:tr>
        <w:trPr/>
        <w:tc>
          <w:tcPr>
            <w:tcW w:w="499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30"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080"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98"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977"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r>
    </w:tbl>
    <w:p>
      <w:pPr>
        <w:pStyle w:val="TextBody"/>
        <w:spacing w:before="0" w:after="0"/>
        <w:jc w:val="both"/>
        <w:rPr/>
      </w:pPr>
      <w:r>
        <w:rPr/>
        <w:t> </w:t>
      </w:r>
    </w:p>
    <w:p>
      <w:pPr>
        <w:pStyle w:val="TextBody"/>
        <w:spacing w:before="240" w:after="0"/>
        <w:jc w:val="center"/>
        <w:rPr>
          <w:rFonts w:ascii="Arial;sans-serif" w:hAnsi="Arial;sans-serif"/>
          <w:b w:val="false"/>
          <w:sz w:val="16"/>
        </w:rPr>
      </w:pPr>
      <w:r>
        <w:rPr>
          <w:rFonts w:ascii="Arial;sans-serif" w:hAnsi="Arial;sans-serif"/>
          <w:b w:val="false"/>
          <w:sz w:val="16"/>
        </w:rPr>
        <w:t>24</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w:t>
      </w:r>
    </w:p>
    <w:p>
      <w:pPr>
        <w:pStyle w:val="TextBody"/>
        <w:spacing w:before="0" w:after="0"/>
        <w:jc w:val="center"/>
        <w:rPr>
          <w:rFonts w:ascii="Arial;sans-serif" w:hAnsi="Arial;sans-serif"/>
          <w:b w:val="false"/>
          <w:sz w:val="15"/>
        </w:rPr>
      </w:pPr>
      <w:r>
        <w:rPr>
          <w:rFonts w:ascii="Arial;sans-serif" w:hAnsi="Arial;sans-serif"/>
          <w:b w:val="false"/>
          <w:sz w:val="15"/>
        </w:rPr>
        <w:t>Item 1</w:t>
      </w:r>
    </w:p>
    <w:p>
      <w:pPr>
        <w:pStyle w:val="TextBody"/>
        <w:spacing w:before="0" w:after="0"/>
        <w:jc w:val="left"/>
        <w:rPr/>
      </w:pPr>
      <w:r>
        <w:rPr/>
        <w:t> </w:t>
      </w:r>
    </w:p>
    <w:p>
      <w:pPr>
        <w:pStyle w:val="TextBody"/>
        <w:spacing w:before="0" w:after="0"/>
        <w:jc w:val="both"/>
        <w:rPr>
          <w:rFonts w:ascii="Times New Roman" w:hAnsi="Times New Roman"/>
          <w:sz w:val="20"/>
        </w:rPr>
      </w:pPr>
      <w:r>
        <w:rPr>
          <w:rFonts w:ascii="Arial;sans-serif" w:hAnsi="Arial;sans-serif"/>
          <w:b w:val="false"/>
          <w:sz w:val="20"/>
        </w:rPr>
        <w:t>As of March 31, 2023, we have additional operating and finance leases, primarily for datacenters, that have not yet commenced of $5.0</w:t>
      </w:r>
      <w:r>
        <w:rPr>
          <w:rFonts w:ascii="Times New Roman" w:hAnsi="Times New Roman"/>
          <w:sz w:val="20"/>
        </w:rPr>
        <w:t xml:space="preserve"> </w:t>
      </w:r>
      <w:r>
        <w:rPr>
          <w:rFonts w:ascii="Arial;sans-serif" w:hAnsi="Arial;sans-serif"/>
          <w:b w:val="false"/>
          <w:sz w:val="20"/>
        </w:rPr>
        <w:t>billion and $21.9</w:t>
      </w:r>
      <w:r>
        <w:rPr>
          <w:rFonts w:ascii="Times New Roman" w:hAnsi="Times New Roman"/>
          <w:sz w:val="20"/>
        </w:rPr>
        <w:t xml:space="preserve"> </w:t>
      </w:r>
      <w:r>
        <w:rPr>
          <w:rFonts w:ascii="Arial;sans-serif" w:hAnsi="Arial;sans-serif"/>
          <w:b w:val="false"/>
          <w:sz w:val="20"/>
        </w:rPr>
        <w:t>billion, respectively. These operating and finance leases will commence between fiscal year 2023 and fiscal year 2030 with lease terms of 1</w:t>
      </w:r>
      <w:r>
        <w:rPr>
          <w:rFonts w:ascii="Times New Roman" w:hAnsi="Times New Roman"/>
          <w:sz w:val="20"/>
        </w:rPr>
        <w:t xml:space="preserve"> </w:t>
      </w:r>
      <w:r>
        <w:rPr>
          <w:rFonts w:ascii="Arial;sans-serif" w:hAnsi="Arial;sans-serif"/>
          <w:b w:val="false"/>
          <w:sz w:val="20"/>
        </w:rPr>
        <w:t>year to 18</w:t>
      </w:r>
      <w:r>
        <w:rPr>
          <w:rFonts w:ascii="Times New Roman" w:hAnsi="Times New Roman"/>
          <w:sz w:val="20"/>
        </w:rPr>
        <w:t xml:space="preserve"> </w:t>
      </w:r>
      <w:r>
        <w:rPr>
          <w:rFonts w:ascii="Arial;sans-serif" w:hAnsi="Arial;sans-serif"/>
          <w:b w:val="false"/>
          <w:sz w:val="20"/>
        </w:rPr>
        <w:t>years.</w:t>
      </w:r>
    </w:p>
    <w:p>
      <w:pPr>
        <w:pStyle w:val="TextBody"/>
        <w:spacing w:before="270" w:after="0"/>
        <w:jc w:val="center"/>
        <w:rPr>
          <w:rFonts w:ascii="Arial;sans-serif" w:hAnsi="Arial;sans-serif"/>
          <w:b w:val="false"/>
          <w:sz w:val="20"/>
          <w:u w:val="single"/>
        </w:rPr>
      </w:pPr>
      <w:r>
        <w:rPr>
          <w:rFonts w:ascii="Arial;sans-serif" w:hAnsi="Arial;sans-serif"/>
          <w:b w:val="false"/>
          <w:sz w:val="20"/>
          <w:u w:val="single"/>
        </w:rPr>
        <w:t>NOTE 14 — CONTINGENCIES</w:t>
      </w:r>
    </w:p>
    <w:p>
      <w:pPr>
        <w:pStyle w:val="TextBody"/>
        <w:spacing w:before="180" w:after="0"/>
        <w:jc w:val="both"/>
        <w:rPr>
          <w:rFonts w:ascii="Arial;sans-serif" w:hAnsi="Arial;sans-serif"/>
          <w:b/>
          <w:sz w:val="20"/>
        </w:rPr>
      </w:pPr>
      <w:r>
        <w:rPr>
          <w:rFonts w:ascii="Arial;sans-serif" w:hAnsi="Arial;sans-serif"/>
          <w:b/>
          <w:sz w:val="20"/>
        </w:rPr>
        <w:t>U.S. Cell Phone Litigation</w:t>
      </w:r>
    </w:p>
    <w:p>
      <w:pPr>
        <w:pStyle w:val="TextBody"/>
        <w:spacing w:before="180" w:after="0"/>
        <w:jc w:val="both"/>
        <w:rPr>
          <w:rFonts w:ascii="Arial;sans-serif" w:hAnsi="Arial;sans-serif"/>
          <w:b w:val="false"/>
          <w:sz w:val="20"/>
        </w:rPr>
      </w:pPr>
      <w:r>
        <w:rPr>
          <w:rFonts w:ascii="Arial;sans-serif" w:hAnsi="Arial;sans-serif"/>
          <w:b w:val="false"/>
          <w:sz w:val="20"/>
        </w:rPr>
        <w:t>Microsoft Mobile Oy, a subsidiary of Microsoft, along with other handset manufacturers and network operators, is a defendant in 46 lawsuits, including 45 lawsuits filed in the Superior Court for the District of Columbia by individual plaintiffs who allege that radio emissions from cellular handsets caused their brain tumors and other adverse health effects. We assumed responsibility for these claims in our agreement to acquire Nokia’s Devices and Services business and have been substituted for the Nokia defendants. Nine of these cases were filed in 2002 and are consolidated for certain pre-trial proceedings; the remaining cases are stayed. In a separate 2009 decision, the Court of Appeals for the District of Columbia held that adverse health effect claims arising from the use of cellular handsets that operate within the U.S. Federal Communications Commission radio frequency emission guidelines (“FCC Guidelines”) are pre-empted by federal law. The plaintiffs allege that their handsets either operated outside the FCC Guidelines or were manufactured before the FCC Guidelines went into effect. The lawsuits also allege an industry-wide conspiracy to manipulate the science and testing around emission guidelines.</w:t>
      </w:r>
    </w:p>
    <w:p>
      <w:pPr>
        <w:pStyle w:val="TextBody"/>
        <w:spacing w:before="180" w:after="0"/>
        <w:jc w:val="both"/>
        <w:rPr>
          <w:rFonts w:ascii="Arial;sans-serif" w:hAnsi="Arial;sans-serif"/>
          <w:b w:val="false"/>
          <w:sz w:val="20"/>
        </w:rPr>
      </w:pPr>
      <w:r>
        <w:rPr>
          <w:rFonts w:ascii="Arial;sans-serif" w:hAnsi="Arial;sans-serif"/>
          <w:b w:val="false"/>
          <w:sz w:val="20"/>
        </w:rPr>
        <w:t>In 2013, the defendants in the consolidated cases moved to exclude the plaintiffs’ expert evidence of general causation on the basis of flawed scientific methodologies. In 2014, the trial court granted in part and denied in part the defendants’ motion to exclude the plaintiffs’ general causation experts. The defendants filed an interlocutory appeal to the District of Columbia Court of Appeals challenging the standard for evaluating expert scientific evidence. In October 2016, the Court of Appeals issued its decision adopting the standard advocated by the defendants and remanding the cases to the trial court for further proceedings under that standard. The plaintiffs have filed supplemental expert evidence, portions of which were stricken by the court. A hearing on general causation took place in September of 2022.</w:t>
      </w:r>
    </w:p>
    <w:p>
      <w:pPr>
        <w:pStyle w:val="TextBody"/>
        <w:spacing w:before="270" w:after="0"/>
        <w:jc w:val="both"/>
        <w:rPr>
          <w:rFonts w:ascii="Arial;sans-serif" w:hAnsi="Arial;sans-serif"/>
          <w:b/>
          <w:sz w:val="20"/>
        </w:rPr>
      </w:pPr>
      <w:r>
        <w:rPr>
          <w:rFonts w:ascii="Arial;sans-serif" w:hAnsi="Arial;sans-serif"/>
          <w:b/>
          <w:sz w:val="20"/>
        </w:rPr>
        <w:t>Other Contingencies</w:t>
      </w:r>
    </w:p>
    <w:p>
      <w:pPr>
        <w:pStyle w:val="TextBody"/>
        <w:spacing w:before="180" w:after="0"/>
        <w:jc w:val="both"/>
        <w:rPr>
          <w:rFonts w:ascii="Arial;sans-serif" w:hAnsi="Arial;sans-serif"/>
          <w:b w:val="false"/>
          <w:sz w:val="20"/>
        </w:rPr>
      </w:pPr>
      <w:r>
        <w:rPr>
          <w:rFonts w:ascii="Arial;sans-serif" w:hAnsi="Arial;sans-serif"/>
          <w:b w:val="false"/>
          <w:sz w:val="20"/>
        </w:rPr>
        <w:t>We also are subject to a variety of other claims and suits that arise from time to time in the ordinary course of our business. Although management currently believes that resolving claims against us, individually or in aggregate, will not have a material adverse impact in our consolidated financial statements, these matters are subject to inherent uncertainties and management’s view of these matters may change in the future.</w:t>
      </w:r>
    </w:p>
    <w:p>
      <w:pPr>
        <w:pStyle w:val="TextBody"/>
        <w:spacing w:before="180" w:after="0"/>
        <w:jc w:val="both"/>
        <w:rPr>
          <w:rFonts w:ascii="Times New Roman" w:hAnsi="Times New Roman"/>
          <w:sz w:val="20"/>
        </w:rPr>
      </w:pPr>
      <w:r>
        <w:rPr>
          <w:rFonts w:ascii="Arial;sans-serif" w:hAnsi="Arial;sans-serif"/>
          <w:b w:val="false"/>
          <w:sz w:val="20"/>
        </w:rPr>
        <w:t>As of March 31, 2023, we accrued aggregate legal liabilities of $177</w:t>
      </w:r>
      <w:r>
        <w:rPr>
          <w:rFonts w:ascii="Times New Roman" w:hAnsi="Times New Roman"/>
          <w:sz w:val="20"/>
        </w:rPr>
        <w:t xml:space="preserve"> </w:t>
      </w:r>
      <w:r>
        <w:rPr>
          <w:rFonts w:ascii="Arial;sans-serif" w:hAnsi="Arial;sans-serif"/>
          <w:b w:val="false"/>
          <w:sz w:val="20"/>
        </w:rPr>
        <w:t>million. While we intend to defend these matters vigorously, adverse outcomes that we estimate could reach approximately $600</w:t>
      </w:r>
      <w:r>
        <w:rPr>
          <w:rFonts w:ascii="Times New Roman" w:hAnsi="Times New Roman"/>
          <w:sz w:val="20"/>
        </w:rPr>
        <w:t xml:space="preserve"> </w:t>
      </w:r>
      <w:r>
        <w:rPr>
          <w:rFonts w:ascii="Arial;sans-serif" w:hAnsi="Arial;sans-serif"/>
          <w:b w:val="false"/>
          <w:sz w:val="20"/>
        </w:rPr>
        <w:t>million in aggregate beyond recorded amounts are reasonably possible. Were unfavorable final outcomes to occur, there exists the possibility of a material adverse impact in our consolidated financial statements for the period in which the effects become reasonably estimable.</w:t>
      </w:r>
    </w:p>
    <w:p>
      <w:pPr>
        <w:pStyle w:val="TextBody"/>
        <w:spacing w:before="270" w:after="0"/>
        <w:jc w:val="center"/>
        <w:rPr>
          <w:rFonts w:ascii="Times New Roman" w:hAnsi="Times New Roman"/>
          <w:sz w:val="20"/>
        </w:rPr>
      </w:pPr>
      <w:r>
        <w:rPr>
          <w:rFonts w:ascii="Arial;sans-serif" w:hAnsi="Arial;sans-serif"/>
          <w:b w:val="false"/>
          <w:sz w:val="20"/>
          <w:u w:val="single"/>
        </w:rPr>
        <w:t xml:space="preserve">NOTE 15 </w:t>
      </w:r>
      <w:r>
        <w:rPr>
          <w:rFonts w:ascii="Times New Roman" w:hAnsi="Times New Roman"/>
          <w:caps/>
          <w:sz w:val="20"/>
          <w:u w:val="single"/>
        </w:rPr>
        <w:t>—</w:t>
      </w:r>
      <w:r>
        <w:rPr>
          <w:rFonts w:ascii="Times New Roman" w:hAnsi="Times New Roman"/>
          <w:sz w:val="20"/>
          <w:u w:val="single"/>
        </w:rPr>
        <w:t xml:space="preserve"> </w:t>
      </w:r>
      <w:r>
        <w:rPr>
          <w:rFonts w:ascii="Arial;sans-serif" w:hAnsi="Arial;sans-serif"/>
          <w:b w:val="false"/>
          <w:sz w:val="20"/>
          <w:u w:val="single"/>
        </w:rPr>
        <w:t>STOCKHOLDERS’ EQUITY</w:t>
      </w:r>
    </w:p>
    <w:p>
      <w:pPr>
        <w:pStyle w:val="TextBody"/>
        <w:spacing w:before="180" w:after="0"/>
        <w:jc w:val="both"/>
        <w:rPr>
          <w:rFonts w:ascii="Arial;sans-serif" w:hAnsi="Arial;sans-serif"/>
          <w:b/>
          <w:sz w:val="20"/>
        </w:rPr>
      </w:pPr>
      <w:r>
        <w:rPr>
          <w:rFonts w:ascii="Arial;sans-serif" w:hAnsi="Arial;sans-serif"/>
          <w:b/>
          <w:sz w:val="20"/>
        </w:rPr>
        <w:t>Share Repurchases</w:t>
      </w:r>
    </w:p>
    <w:p>
      <w:pPr>
        <w:pStyle w:val="TextBody"/>
        <w:spacing w:before="180" w:after="0"/>
        <w:jc w:val="both"/>
        <w:rPr>
          <w:rFonts w:ascii="Times New Roman" w:hAnsi="Times New Roman"/>
          <w:sz w:val="20"/>
        </w:rPr>
      </w:pPr>
      <w:r>
        <w:rPr>
          <w:rFonts w:ascii="Arial;sans-serif" w:hAnsi="Arial;sans-serif"/>
          <w:b w:val="false"/>
          <w:sz w:val="20"/>
        </w:rPr>
        <w:t>On September 18, 2019, our Board of Directors approved a share repurchase program authorizing up to $40.0</w:t>
      </w:r>
      <w:r>
        <w:rPr>
          <w:rFonts w:ascii="Times New Roman" w:hAnsi="Times New Roman"/>
          <w:sz w:val="20"/>
        </w:rPr>
        <w:t xml:space="preserve"> </w:t>
      </w:r>
      <w:r>
        <w:rPr>
          <w:rFonts w:ascii="Arial;sans-serif" w:hAnsi="Arial;sans-serif"/>
          <w:b w:val="false"/>
          <w:sz w:val="20"/>
        </w:rPr>
        <w:t>billion in share repurchases. This share repurchase program commenced in February 2020 and was completed in November 2021.</w:t>
      </w:r>
    </w:p>
    <w:p>
      <w:pPr>
        <w:pStyle w:val="TextBody"/>
        <w:spacing w:before="180" w:after="0"/>
        <w:jc w:val="both"/>
        <w:rPr>
          <w:rFonts w:ascii="Times New Roman" w:hAnsi="Times New Roman"/>
          <w:sz w:val="20"/>
        </w:rPr>
      </w:pPr>
      <w:r>
        <w:rPr>
          <w:rFonts w:ascii="Arial;sans-serif" w:hAnsi="Arial;sans-serif"/>
          <w:b w:val="false"/>
          <w:sz w:val="20"/>
        </w:rPr>
        <w:t>On September 14, 2021, our Board of Directors approved a share repurchase program authorizing up to $60.0</w:t>
      </w:r>
      <w:r>
        <w:rPr>
          <w:rFonts w:ascii="Times New Roman" w:hAnsi="Times New Roman"/>
          <w:sz w:val="20"/>
        </w:rPr>
        <w:t xml:space="preserve"> </w:t>
      </w:r>
      <w:r>
        <w:rPr>
          <w:rFonts w:ascii="Arial;sans-serif" w:hAnsi="Arial;sans-serif"/>
          <w:b w:val="false"/>
          <w:sz w:val="20"/>
        </w:rPr>
        <w:t>billion in share repurchases. This share repurchase program commenced in November 2021, following completion of the program approved on September 18, 2019, has no expiration date, and may be terminated at any time. As of March 31, 2023, $26.9</w:t>
      </w:r>
      <w:r>
        <w:rPr>
          <w:rFonts w:ascii="Times New Roman" w:hAnsi="Times New Roman"/>
          <w:sz w:val="20"/>
        </w:rPr>
        <w:t xml:space="preserve"> </w:t>
      </w:r>
      <w:r>
        <w:rPr>
          <w:rFonts w:ascii="Arial;sans-serif" w:hAnsi="Arial;sans-serif"/>
          <w:b w:val="false"/>
          <w:sz w:val="20"/>
        </w:rPr>
        <w:t>billion remained of this $60.0</w:t>
      </w:r>
      <w:r>
        <w:rPr>
          <w:rFonts w:ascii="Times New Roman" w:hAnsi="Times New Roman"/>
          <w:sz w:val="20"/>
        </w:rPr>
        <w:t xml:space="preserve"> </w:t>
      </w:r>
      <w:r>
        <w:rPr>
          <w:rFonts w:ascii="Arial;sans-serif" w:hAnsi="Arial;sans-serif"/>
          <w:b w:val="false"/>
          <w:sz w:val="20"/>
        </w:rPr>
        <w:t>billion share repurchase program.</w:t>
      </w:r>
    </w:p>
    <w:p>
      <w:pPr>
        <w:pStyle w:val="TextBody"/>
        <w:spacing w:before="240" w:after="0"/>
        <w:jc w:val="center"/>
        <w:rPr>
          <w:rFonts w:ascii="Arial;sans-serif" w:hAnsi="Arial;sans-serif"/>
          <w:b w:val="false"/>
          <w:sz w:val="16"/>
        </w:rPr>
      </w:pPr>
      <w:r>
        <w:rPr>
          <w:rFonts w:ascii="Arial;sans-serif" w:hAnsi="Arial;sans-serif"/>
          <w:b w:val="false"/>
          <w:sz w:val="16"/>
        </w:rPr>
        <w:t>25</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w:t>
      </w:r>
    </w:p>
    <w:p>
      <w:pPr>
        <w:pStyle w:val="TextBody"/>
        <w:spacing w:before="0" w:after="0"/>
        <w:jc w:val="center"/>
        <w:rPr>
          <w:rFonts w:ascii="Arial;sans-serif" w:hAnsi="Arial;sans-serif"/>
          <w:b w:val="false"/>
          <w:sz w:val="15"/>
        </w:rPr>
      </w:pPr>
      <w:r>
        <w:rPr>
          <w:rFonts w:ascii="Arial;sans-serif" w:hAnsi="Arial;sans-serif"/>
          <w:b w:val="false"/>
          <w:sz w:val="15"/>
        </w:rPr>
        <w:t>Item 1</w:t>
      </w:r>
    </w:p>
    <w:p>
      <w:pPr>
        <w:pStyle w:val="TextBody"/>
        <w:spacing w:before="0" w:after="0"/>
        <w:jc w:val="left"/>
        <w:rPr/>
      </w:pPr>
      <w:r>
        <w:rPr/>
        <w:t> </w:t>
      </w:r>
    </w:p>
    <w:p>
      <w:pPr>
        <w:pStyle w:val="TextBody"/>
        <w:spacing w:before="180" w:after="0"/>
        <w:jc w:val="both"/>
        <w:rPr>
          <w:rFonts w:ascii="Arial;sans-serif" w:hAnsi="Arial;sans-serif"/>
          <w:b w:val="false"/>
          <w:sz w:val="20"/>
        </w:rPr>
      </w:pPr>
      <w:r>
        <w:rPr>
          <w:rFonts w:ascii="Arial;sans-serif" w:hAnsi="Arial;sans-serif"/>
          <w:b w:val="false"/>
          <w:sz w:val="20"/>
        </w:rPr>
        <w:t>We repurchased the following shares of common stock under the share repurchase programs:</w:t>
      </w:r>
    </w:p>
    <w:p>
      <w:pPr>
        <w:pStyle w:val="TextBody"/>
        <w:spacing w:before="0" w:after="0"/>
        <w:jc w:val="both"/>
        <w:rPr/>
      </w:pPr>
      <w:r>
        <w:rPr/>
        <w:t> </w:t>
      </w:r>
    </w:p>
    <w:tbl>
      <w:tblPr>
        <w:tblW w:w="5950" w:type="dxa"/>
        <w:jc w:val="left"/>
        <w:tblInd w:w="0" w:type="dxa"/>
        <w:tblCellMar>
          <w:top w:w="28" w:type="dxa"/>
          <w:left w:w="28" w:type="dxa"/>
          <w:bottom w:w="28" w:type="dxa"/>
          <w:right w:w="28" w:type="dxa"/>
        </w:tblCellMar>
      </w:tblPr>
      <w:tblGrid>
        <w:gridCol w:w="1486"/>
        <w:gridCol w:w="146"/>
        <w:gridCol w:w="199"/>
        <w:gridCol w:w="432"/>
        <w:gridCol w:w="146"/>
        <w:gridCol w:w="146"/>
        <w:gridCol w:w="211"/>
        <w:gridCol w:w="691"/>
        <w:gridCol w:w="146"/>
        <w:gridCol w:w="146"/>
        <w:gridCol w:w="199"/>
        <w:gridCol w:w="432"/>
        <w:gridCol w:w="146"/>
        <w:gridCol w:w="146"/>
        <w:gridCol w:w="211"/>
        <w:gridCol w:w="691"/>
        <w:gridCol w:w="376"/>
      </w:tblGrid>
      <w:tr>
        <w:trPr/>
        <w:tc>
          <w:tcPr>
            <w:tcW w:w="148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99" w:type="dxa"/>
            <w:tcBorders/>
            <w:shd w:fill="FFFFFF" w:val="clear"/>
            <w:vAlign w:val="center"/>
          </w:tcPr>
          <w:p>
            <w:pPr>
              <w:pStyle w:val="TableContents"/>
              <w:spacing w:before="0" w:after="283"/>
              <w:rPr>
                <w:sz w:val="4"/>
                <w:szCs w:val="4"/>
              </w:rPr>
            </w:pPr>
            <w:r>
              <w:rPr>
                <w:sz w:val="4"/>
                <w:szCs w:val="4"/>
              </w:rPr>
            </w:r>
          </w:p>
        </w:tc>
        <w:tc>
          <w:tcPr>
            <w:tcW w:w="432"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99" w:type="dxa"/>
            <w:tcBorders/>
            <w:shd w:fill="FFFFFF" w:val="clear"/>
            <w:vAlign w:val="center"/>
          </w:tcPr>
          <w:p>
            <w:pPr>
              <w:pStyle w:val="TableContents"/>
              <w:spacing w:before="0" w:after="283"/>
              <w:rPr>
                <w:sz w:val="4"/>
                <w:szCs w:val="4"/>
              </w:rPr>
            </w:pPr>
            <w:r>
              <w:rPr>
                <w:sz w:val="4"/>
                <w:szCs w:val="4"/>
              </w:rPr>
            </w:r>
          </w:p>
        </w:tc>
        <w:tc>
          <w:tcPr>
            <w:tcW w:w="432"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376" w:type="dxa"/>
            <w:tcBorders/>
            <w:shd w:fill="FFFFFF" w:val="clear"/>
            <w:vAlign w:val="center"/>
          </w:tcPr>
          <w:p>
            <w:pPr>
              <w:pStyle w:val="TableContents"/>
              <w:spacing w:before="0" w:after="283"/>
              <w:rPr>
                <w:sz w:val="4"/>
                <w:szCs w:val="4"/>
              </w:rPr>
            </w:pPr>
            <w:r>
              <w:rPr>
                <w:sz w:val="4"/>
                <w:szCs w:val="4"/>
              </w:rPr>
            </w:r>
          </w:p>
        </w:tc>
      </w:tr>
      <w:tr>
        <w:trPr/>
        <w:tc>
          <w:tcPr>
            <w:tcW w:w="1486"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(In millions)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31"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Shares</w:t>
            </w:r>
          </w:p>
        </w:tc>
        <w:tc>
          <w:tcPr>
            <w:tcW w:w="146" w:type="dxa"/>
            <w:tcBorders/>
            <w:shd w:fill="auto" w:val="clear"/>
            <w:vAlign w:val="center"/>
          </w:tcPr>
          <w:p>
            <w:pPr>
              <w:pStyle w:val="TableContents"/>
              <w:spacing w:before="0" w:after="0"/>
              <w:ind w:left="0" w:right="0" w:hanging="0"/>
              <w:jc w:val="right"/>
              <w:rPr/>
            </w:pPr>
            <w:r>
              <w:rPr/>
              <w:t> </w:t>
            </w:r>
          </w:p>
        </w:tc>
        <w:tc>
          <w:tcPr>
            <w:tcW w:w="1048" w:type="dxa"/>
            <w:gridSpan w:val="3"/>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Amount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31"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Shares</w:t>
            </w:r>
          </w:p>
        </w:tc>
        <w:tc>
          <w:tcPr>
            <w:tcW w:w="146" w:type="dxa"/>
            <w:tcBorders/>
            <w:shd w:fill="auto" w:val="clear"/>
            <w:vAlign w:val="center"/>
          </w:tcPr>
          <w:p>
            <w:pPr>
              <w:pStyle w:val="TableContents"/>
              <w:spacing w:before="0" w:after="0"/>
              <w:ind w:left="0" w:right="0" w:hanging="0"/>
              <w:jc w:val="right"/>
              <w:rPr/>
            </w:pPr>
            <w:r>
              <w:rPr/>
              <w:t> </w:t>
            </w:r>
          </w:p>
        </w:tc>
        <w:tc>
          <w:tcPr>
            <w:tcW w:w="1048" w:type="dxa"/>
            <w:gridSpan w:val="3"/>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Amount</w:t>
            </w:r>
          </w:p>
        </w:tc>
        <w:tc>
          <w:tcPr>
            <w:tcW w:w="376" w:type="dxa"/>
            <w:tcBorders/>
            <w:shd w:fill="auto" w:val="clear"/>
            <w:vAlign w:val="center"/>
          </w:tcPr>
          <w:p>
            <w:pPr>
              <w:pStyle w:val="TableContents"/>
              <w:spacing w:before="0" w:after="283"/>
              <w:ind w:left="0" w:right="0" w:hanging="0"/>
              <w:rPr>
                <w:sz w:val="4"/>
                <w:szCs w:val="4"/>
              </w:rPr>
            </w:pPr>
            <w:r>
              <w:rPr>
                <w:sz w:val="4"/>
                <w:szCs w:val="4"/>
              </w:rPr>
            </w:r>
          </w:p>
        </w:tc>
      </w:tr>
      <w:tr>
        <w:trPr/>
        <w:tc>
          <w:tcPr>
            <w:tcW w:w="148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82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82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r>
      <w:tr>
        <w:trPr/>
        <w:tc>
          <w:tcPr>
            <w:tcW w:w="148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825" w:type="dxa"/>
            <w:gridSpan w:val="6"/>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825" w:type="dxa"/>
            <w:gridSpan w:val="6"/>
            <w:tcBorders/>
            <w:shd w:fill="auto" w:val="clear"/>
            <w:vAlign w:val="center"/>
          </w:tcPr>
          <w:p>
            <w:pPr>
              <w:pStyle w:val="TableContents"/>
              <w:spacing w:before="0" w:after="0"/>
              <w:ind w:left="0" w:right="0" w:hanging="0"/>
              <w:jc w:val="right"/>
              <w:rPr/>
            </w:pPr>
            <w:r>
              <w:rPr/>
              <w:t> </w:t>
            </w:r>
          </w:p>
        </w:tc>
        <w:tc>
          <w:tcPr>
            <w:tcW w:w="376" w:type="dxa"/>
            <w:tcBorders/>
            <w:shd w:fill="auto" w:val="clear"/>
            <w:vAlign w:val="center"/>
          </w:tcPr>
          <w:p>
            <w:pPr>
              <w:pStyle w:val="TableContents"/>
              <w:spacing w:before="0" w:after="283"/>
              <w:ind w:left="0" w:right="0" w:hanging="0"/>
              <w:rPr>
                <w:sz w:val="4"/>
                <w:szCs w:val="4"/>
              </w:rPr>
            </w:pPr>
            <w:r>
              <w:rPr>
                <w:sz w:val="4"/>
                <w:szCs w:val="4"/>
              </w:rPr>
            </w:r>
          </w:p>
        </w:tc>
      </w:tr>
      <w:tr>
        <w:trPr/>
        <w:tc>
          <w:tcPr>
            <w:tcW w:w="1486"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Fiscal Year</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3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02"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3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02"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376" w:type="dxa"/>
            <w:tcBorders/>
            <w:shd w:fill="auto" w:val="clear"/>
            <w:vAlign w:val="center"/>
          </w:tcPr>
          <w:p>
            <w:pPr>
              <w:pStyle w:val="TableContents"/>
              <w:spacing w:before="0" w:after="283"/>
              <w:ind w:left="0" w:right="0" w:hanging="0"/>
              <w:rPr>
                <w:sz w:val="4"/>
                <w:szCs w:val="4"/>
              </w:rPr>
            </w:pPr>
            <w:r>
              <w:rPr>
                <w:sz w:val="4"/>
                <w:szCs w:val="4"/>
              </w:rPr>
            </w:r>
          </w:p>
        </w:tc>
      </w:tr>
      <w:tr>
        <w:trPr/>
        <w:tc>
          <w:tcPr>
            <w:tcW w:w="1486" w:type="dxa"/>
            <w:tcBorders/>
            <w:shd w:fill="auto" w:val="clear"/>
            <w:vAlign w:val="center"/>
          </w:tcPr>
          <w:p>
            <w:pPr>
              <w:pStyle w:val="TableContents"/>
              <w:spacing w:before="0" w:after="283"/>
              <w:ind w:left="0" w:right="0" w:hanging="0"/>
              <w:rPr>
                <w:sz w:val="4"/>
                <w:szCs w:val="4"/>
              </w:rPr>
            </w:pPr>
            <w:r>
              <w:rPr>
                <w:sz w:val="4"/>
                <w:szCs w:val="4"/>
              </w:rPr>
            </w:r>
          </w:p>
        </w:tc>
        <w:tc>
          <w:tcPr>
            <w:tcW w:w="923" w:type="dxa"/>
            <w:gridSpan w:val="4"/>
            <w:tcBorders/>
            <w:shd w:fill="auto" w:val="clear"/>
            <w:vAlign w:val="center"/>
          </w:tcPr>
          <w:p>
            <w:pPr>
              <w:pStyle w:val="TableContents"/>
              <w:spacing w:before="0" w:after="283"/>
              <w:ind w:left="0" w:right="0" w:hanging="0"/>
              <w:rPr>
                <w:sz w:val="4"/>
                <w:szCs w:val="4"/>
              </w:rPr>
            </w:pPr>
            <w:r>
              <w:rPr>
                <w:sz w:val="4"/>
                <w:szCs w:val="4"/>
              </w:rPr>
            </w:r>
          </w:p>
        </w:tc>
        <w:tc>
          <w:tcPr>
            <w:tcW w:w="1194" w:type="dxa"/>
            <w:gridSpan w:val="4"/>
            <w:tcBorders/>
            <w:shd w:fill="auto" w:val="clear"/>
            <w:vAlign w:val="center"/>
          </w:tcPr>
          <w:p>
            <w:pPr>
              <w:pStyle w:val="TableContents"/>
              <w:spacing w:before="0" w:after="283"/>
              <w:ind w:left="0" w:right="0" w:hanging="0"/>
              <w:rPr>
                <w:sz w:val="4"/>
                <w:szCs w:val="4"/>
              </w:rPr>
            </w:pPr>
            <w:r>
              <w:rPr>
                <w:sz w:val="4"/>
                <w:szCs w:val="4"/>
              </w:rPr>
            </w:r>
          </w:p>
        </w:tc>
        <w:tc>
          <w:tcPr>
            <w:tcW w:w="923" w:type="dxa"/>
            <w:gridSpan w:val="4"/>
            <w:tcBorders/>
            <w:shd w:fill="auto" w:val="clear"/>
            <w:vAlign w:val="center"/>
          </w:tcPr>
          <w:p>
            <w:pPr>
              <w:pStyle w:val="TableContents"/>
              <w:spacing w:before="0" w:after="283"/>
              <w:ind w:left="0" w:right="0" w:hanging="0"/>
              <w:rPr>
                <w:sz w:val="4"/>
                <w:szCs w:val="4"/>
              </w:rPr>
            </w:pPr>
            <w:r>
              <w:rPr>
                <w:sz w:val="4"/>
                <w:szCs w:val="4"/>
              </w:rPr>
            </w:r>
          </w:p>
        </w:tc>
        <w:tc>
          <w:tcPr>
            <w:tcW w:w="1424" w:type="dxa"/>
            <w:gridSpan w:val="4"/>
            <w:tcBorders/>
            <w:shd w:fill="auto" w:val="clear"/>
            <w:vAlign w:val="center"/>
          </w:tcPr>
          <w:p>
            <w:pPr>
              <w:pStyle w:val="TableContents"/>
              <w:spacing w:before="0" w:after="283"/>
              <w:ind w:left="0" w:right="0" w:hanging="0"/>
              <w:rPr>
                <w:sz w:val="4"/>
                <w:szCs w:val="4"/>
              </w:rPr>
            </w:pPr>
            <w:r>
              <w:rPr>
                <w:sz w:val="4"/>
                <w:szCs w:val="4"/>
              </w:rPr>
            </w:r>
          </w:p>
        </w:tc>
      </w:tr>
      <w:tr>
        <w:trPr/>
        <w:tc>
          <w:tcPr>
            <w:tcW w:w="14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First Quarter</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99" w:type="dxa"/>
            <w:tcBorders/>
            <w:shd w:fill="auto" w:val="clear"/>
            <w:vAlign w:val="center"/>
          </w:tcPr>
          <w:p>
            <w:pPr>
              <w:pStyle w:val="TableContents"/>
              <w:spacing w:before="0" w:after="283"/>
              <w:ind w:left="0" w:right="0" w:hanging="0"/>
              <w:rPr>
                <w:sz w:val="4"/>
                <w:szCs w:val="4"/>
              </w:rPr>
            </w:pPr>
            <w:r>
              <w:rPr>
                <w:sz w:val="4"/>
                <w:szCs w:val="4"/>
              </w:rPr>
            </w:r>
          </w:p>
        </w:tc>
        <w:tc>
          <w:tcPr>
            <w:tcW w:w="432"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17</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4,600</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99" w:type="dxa"/>
            <w:tcBorders/>
            <w:shd w:fill="auto" w:val="clear"/>
            <w:vAlign w:val="center"/>
          </w:tcPr>
          <w:p>
            <w:pPr>
              <w:pStyle w:val="TableContents"/>
              <w:spacing w:before="0" w:after="283"/>
              <w:ind w:left="0" w:right="0" w:hanging="0"/>
              <w:rPr>
                <w:sz w:val="4"/>
                <w:szCs w:val="4"/>
              </w:rPr>
            </w:pPr>
            <w:r>
              <w:rPr>
                <w:sz w:val="4"/>
                <w:szCs w:val="4"/>
              </w:rPr>
            </w:r>
          </w:p>
        </w:tc>
        <w:tc>
          <w:tcPr>
            <w:tcW w:w="43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6,200</w:t>
            </w:r>
          </w:p>
        </w:tc>
        <w:tc>
          <w:tcPr>
            <w:tcW w:w="376" w:type="dxa"/>
            <w:tcBorders/>
            <w:shd w:fill="auto" w:val="clear"/>
            <w:vAlign w:val="center"/>
          </w:tcPr>
          <w:p>
            <w:pPr>
              <w:pStyle w:val="TableContents"/>
              <w:spacing w:before="0" w:after="283"/>
              <w:ind w:left="0" w:right="0" w:hanging="0"/>
              <w:rPr>
                <w:sz w:val="4"/>
                <w:szCs w:val="4"/>
              </w:rPr>
            </w:pPr>
            <w:r>
              <w:rPr>
                <w:sz w:val="4"/>
                <w:szCs w:val="4"/>
              </w:rPr>
            </w:r>
          </w:p>
        </w:tc>
      </w:tr>
      <w:tr>
        <w:trPr/>
        <w:tc>
          <w:tcPr>
            <w:tcW w:w="14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Second Quarter</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99" w:type="dxa"/>
            <w:tcBorders/>
            <w:shd w:fill="auto" w:val="clear"/>
            <w:vAlign w:val="center"/>
          </w:tcPr>
          <w:p>
            <w:pPr>
              <w:pStyle w:val="TableContents"/>
              <w:spacing w:before="0" w:after="283"/>
              <w:ind w:left="0" w:right="0" w:hanging="0"/>
              <w:rPr>
                <w:sz w:val="4"/>
                <w:szCs w:val="4"/>
              </w:rPr>
            </w:pPr>
            <w:r>
              <w:rPr>
                <w:sz w:val="4"/>
                <w:szCs w:val="4"/>
              </w:rPr>
            </w:r>
          </w:p>
        </w:tc>
        <w:tc>
          <w:tcPr>
            <w:tcW w:w="432"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20</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4,600</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99" w:type="dxa"/>
            <w:tcBorders/>
            <w:shd w:fill="auto" w:val="clear"/>
            <w:vAlign w:val="center"/>
          </w:tcPr>
          <w:p>
            <w:pPr>
              <w:pStyle w:val="TableContents"/>
              <w:spacing w:before="0" w:after="283"/>
              <w:ind w:left="0" w:right="0" w:hanging="0"/>
              <w:rPr>
                <w:sz w:val="4"/>
                <w:szCs w:val="4"/>
              </w:rPr>
            </w:pPr>
            <w:r>
              <w:rPr>
                <w:sz w:val="4"/>
                <w:szCs w:val="4"/>
              </w:rPr>
            </w:r>
          </w:p>
        </w:tc>
        <w:tc>
          <w:tcPr>
            <w:tcW w:w="43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6,233</w:t>
            </w:r>
          </w:p>
        </w:tc>
        <w:tc>
          <w:tcPr>
            <w:tcW w:w="376" w:type="dxa"/>
            <w:tcBorders/>
            <w:shd w:fill="auto" w:val="clear"/>
            <w:vAlign w:val="center"/>
          </w:tcPr>
          <w:p>
            <w:pPr>
              <w:pStyle w:val="TableContents"/>
              <w:spacing w:before="0" w:after="0"/>
              <w:ind w:left="0" w:right="0" w:hanging="0"/>
              <w:jc w:val="left"/>
              <w:rPr/>
            </w:pPr>
            <w:r>
              <w:rPr/>
              <w:t> </w:t>
            </w:r>
          </w:p>
        </w:tc>
      </w:tr>
      <w:tr>
        <w:trPr/>
        <w:tc>
          <w:tcPr>
            <w:tcW w:w="14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Third Quarter</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right"/>
              <w:rPr/>
            </w:pPr>
            <w:r>
              <w:rPr/>
              <w:t> </w:t>
            </w:r>
          </w:p>
        </w:tc>
        <w:tc>
          <w:tcPr>
            <w:tcW w:w="432"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4,600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3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7,800</w:t>
            </w:r>
          </w:p>
        </w:tc>
        <w:tc>
          <w:tcPr>
            <w:tcW w:w="376" w:type="dxa"/>
            <w:tcBorders/>
            <w:shd w:fill="auto" w:val="clear"/>
            <w:vAlign w:val="center"/>
          </w:tcPr>
          <w:p>
            <w:pPr>
              <w:pStyle w:val="TableContents"/>
              <w:spacing w:before="0" w:after="0"/>
              <w:ind w:left="0" w:right="0" w:hanging="0"/>
              <w:jc w:val="left"/>
              <w:rPr/>
            </w:pPr>
            <w:r>
              <w:rPr/>
              <w:t> </w:t>
            </w:r>
          </w:p>
        </w:tc>
      </w:tr>
      <w:tr>
        <w:trPr/>
        <w:tc>
          <w:tcPr>
            <w:tcW w:w="148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99"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432"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99"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432"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r>
      <w:tr>
        <w:trPr/>
        <w:tc>
          <w:tcPr>
            <w:tcW w:w="148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99" w:type="dxa"/>
            <w:tcBorders/>
            <w:shd w:fill="auto" w:val="clear"/>
            <w:vAlign w:val="center"/>
          </w:tcPr>
          <w:p>
            <w:pPr>
              <w:pStyle w:val="TableContents"/>
              <w:spacing w:before="0" w:after="283"/>
              <w:ind w:left="0" w:right="0" w:hanging="0"/>
              <w:rPr>
                <w:sz w:val="4"/>
                <w:szCs w:val="4"/>
              </w:rPr>
            </w:pPr>
            <w:r>
              <w:rPr>
                <w:sz w:val="4"/>
                <w:szCs w:val="4"/>
              </w:rPr>
            </w:r>
          </w:p>
        </w:tc>
        <w:tc>
          <w:tcPr>
            <w:tcW w:w="43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99" w:type="dxa"/>
            <w:tcBorders/>
            <w:shd w:fill="auto" w:val="clear"/>
            <w:vAlign w:val="center"/>
          </w:tcPr>
          <w:p>
            <w:pPr>
              <w:pStyle w:val="TableContents"/>
              <w:spacing w:before="0" w:after="283"/>
              <w:ind w:left="0" w:right="0" w:hanging="0"/>
              <w:rPr>
                <w:sz w:val="4"/>
                <w:szCs w:val="4"/>
              </w:rPr>
            </w:pPr>
            <w:r>
              <w:rPr>
                <w:sz w:val="4"/>
                <w:szCs w:val="4"/>
              </w:rPr>
            </w:r>
          </w:p>
        </w:tc>
        <w:tc>
          <w:tcPr>
            <w:tcW w:w="43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283"/>
              <w:ind w:left="0" w:right="0" w:hanging="0"/>
              <w:rPr>
                <w:sz w:val="4"/>
                <w:szCs w:val="4"/>
              </w:rPr>
            </w:pPr>
            <w:r>
              <w:rPr>
                <w:sz w:val="4"/>
                <w:szCs w:val="4"/>
              </w:rPr>
            </w:r>
          </w:p>
        </w:tc>
        <w:tc>
          <w:tcPr>
            <w:tcW w:w="376" w:type="dxa"/>
            <w:tcBorders/>
            <w:shd w:fill="auto" w:val="clear"/>
            <w:vAlign w:val="center"/>
          </w:tcPr>
          <w:p>
            <w:pPr>
              <w:pStyle w:val="TableContents"/>
              <w:spacing w:before="0" w:after="283"/>
              <w:ind w:left="0" w:right="0" w:firstLine="245"/>
              <w:rPr>
                <w:sz w:val="4"/>
                <w:szCs w:val="4"/>
              </w:rPr>
            </w:pPr>
            <w:r>
              <w:rPr>
                <w:sz w:val="4"/>
                <w:szCs w:val="4"/>
              </w:rPr>
            </w:r>
          </w:p>
        </w:tc>
      </w:tr>
      <w:tr>
        <w:trPr/>
        <w:tc>
          <w:tcPr>
            <w:tcW w:w="1486"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Total</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99" w:type="dxa"/>
            <w:tcBorders/>
            <w:shd w:fill="auto" w:val="clear"/>
            <w:vAlign w:val="center"/>
          </w:tcPr>
          <w:p>
            <w:pPr>
              <w:pStyle w:val="TableContents"/>
              <w:spacing w:before="0" w:after="283"/>
              <w:ind w:left="0" w:right="0" w:hanging="0"/>
              <w:rPr>
                <w:sz w:val="4"/>
                <w:szCs w:val="4"/>
              </w:rPr>
            </w:pPr>
            <w:r>
              <w:rPr>
                <w:sz w:val="4"/>
                <w:szCs w:val="4"/>
              </w:rPr>
            </w:r>
          </w:p>
        </w:tc>
        <w:tc>
          <w:tcPr>
            <w:tcW w:w="432"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55</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13,800</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99" w:type="dxa"/>
            <w:tcBorders/>
            <w:shd w:fill="auto" w:val="clear"/>
            <w:vAlign w:val="center"/>
          </w:tcPr>
          <w:p>
            <w:pPr>
              <w:pStyle w:val="TableContents"/>
              <w:spacing w:before="0" w:after="283"/>
              <w:ind w:left="0" w:right="0" w:hanging="0"/>
              <w:rPr>
                <w:sz w:val="4"/>
                <w:szCs w:val="4"/>
              </w:rPr>
            </w:pPr>
            <w:r>
              <w:rPr>
                <w:sz w:val="4"/>
                <w:szCs w:val="4"/>
              </w:rPr>
            </w:r>
          </w:p>
        </w:tc>
        <w:tc>
          <w:tcPr>
            <w:tcW w:w="43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67</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20,233</w:t>
            </w:r>
          </w:p>
        </w:tc>
        <w:tc>
          <w:tcPr>
            <w:tcW w:w="376" w:type="dxa"/>
            <w:tcBorders/>
            <w:shd w:fill="auto" w:val="clear"/>
            <w:vAlign w:val="center"/>
          </w:tcPr>
          <w:p>
            <w:pPr>
              <w:pStyle w:val="TableContents"/>
              <w:spacing w:before="0" w:after="283"/>
              <w:ind w:left="0" w:right="0" w:hanging="0"/>
              <w:rPr>
                <w:sz w:val="4"/>
                <w:szCs w:val="4"/>
              </w:rPr>
            </w:pPr>
            <w:r>
              <w:rPr>
                <w:sz w:val="4"/>
                <w:szCs w:val="4"/>
              </w:rPr>
            </w:r>
          </w:p>
        </w:tc>
      </w:tr>
      <w:tr>
        <w:trPr/>
        <w:tc>
          <w:tcPr>
            <w:tcW w:w="148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99"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432"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99"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432"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376"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Arial;sans-serif" w:hAnsi="Arial;sans-serif"/>
          <w:b w:val="false"/>
          <w:sz w:val="20"/>
        </w:rPr>
        <w:t>All repurchases were made using cash resources. Shares repurchased during fiscal year 2023 and the third quarter of fiscal year 2022 were under the share repurchase program approved on September 14, 2021. Shares repurchased during the second quarter of fiscal year 2022 were under the share repurchase programs approved on both September 14, 2021 and September 18, 2019. Shares repurchased during the first quarter of fiscal year 2022 were under the share repurchase program approved on September 18, 2019. The above table excludes shares repurchased to settle employee tax withholding related to the vesting of stock awards of $909</w:t>
      </w:r>
      <w:r>
        <w:rPr>
          <w:rFonts w:ascii="Times New Roman" w:hAnsi="Times New Roman"/>
          <w:sz w:val="20"/>
        </w:rPr>
        <w:t xml:space="preserve"> </w:t>
      </w:r>
      <w:r>
        <w:rPr>
          <w:rFonts w:ascii="Arial;sans-serif" w:hAnsi="Arial;sans-serif"/>
          <w:b w:val="false"/>
          <w:sz w:val="20"/>
        </w:rPr>
        <w:t>million and $2.7</w:t>
      </w:r>
      <w:r>
        <w:rPr>
          <w:rFonts w:ascii="Times New Roman" w:hAnsi="Times New Roman"/>
          <w:sz w:val="20"/>
        </w:rPr>
        <w:t xml:space="preserve"> </w:t>
      </w:r>
      <w:r>
        <w:rPr>
          <w:rFonts w:ascii="Arial;sans-serif" w:hAnsi="Arial;sans-serif"/>
          <w:b w:val="false"/>
          <w:sz w:val="20"/>
        </w:rPr>
        <w:t>billion for the three and nine months ended March 31, 2023, respectively, and $1.0</w:t>
      </w:r>
      <w:r>
        <w:rPr>
          <w:rFonts w:ascii="Times New Roman" w:hAnsi="Times New Roman"/>
          <w:sz w:val="20"/>
        </w:rPr>
        <w:t xml:space="preserve"> </w:t>
      </w:r>
      <w:r>
        <w:rPr>
          <w:rFonts w:ascii="Arial;sans-serif" w:hAnsi="Arial;sans-serif"/>
          <w:b w:val="false"/>
          <w:sz w:val="20"/>
        </w:rPr>
        <w:t>billion and $3.7</w:t>
      </w:r>
      <w:r>
        <w:rPr>
          <w:rFonts w:ascii="Times New Roman" w:hAnsi="Times New Roman"/>
          <w:sz w:val="20"/>
        </w:rPr>
        <w:t xml:space="preserve"> </w:t>
      </w:r>
      <w:r>
        <w:rPr>
          <w:rFonts w:ascii="Arial;sans-serif" w:hAnsi="Arial;sans-serif"/>
          <w:b w:val="false"/>
          <w:sz w:val="20"/>
        </w:rPr>
        <w:t>billion for the three and nine months ended March 31, 2022, respectively.</w:t>
      </w:r>
    </w:p>
    <w:p>
      <w:pPr>
        <w:pStyle w:val="TextBody"/>
        <w:spacing w:before="270" w:after="0"/>
        <w:jc w:val="both"/>
        <w:rPr>
          <w:rFonts w:ascii="Arial;sans-serif" w:hAnsi="Arial;sans-serif"/>
          <w:b/>
          <w:sz w:val="20"/>
        </w:rPr>
      </w:pPr>
      <w:r>
        <w:rPr>
          <w:rFonts w:ascii="Arial;sans-serif" w:hAnsi="Arial;sans-serif"/>
          <w:b/>
          <w:sz w:val="20"/>
        </w:rPr>
        <w:t>Dividends</w:t>
      </w:r>
    </w:p>
    <w:p>
      <w:pPr>
        <w:pStyle w:val="TextBody"/>
        <w:spacing w:before="180" w:after="0"/>
        <w:jc w:val="both"/>
        <w:rPr>
          <w:rFonts w:ascii="Arial;sans-serif" w:hAnsi="Arial;sans-serif"/>
          <w:b w:val="false"/>
          <w:sz w:val="20"/>
        </w:rPr>
      </w:pPr>
      <w:r>
        <w:rPr>
          <w:rFonts w:ascii="Arial;sans-serif" w:hAnsi="Arial;sans-serif"/>
          <w:b w:val="false"/>
          <w:sz w:val="20"/>
        </w:rPr>
        <w:t>Our Board of Directors declared the following dividends:</w:t>
      </w:r>
    </w:p>
    <w:p>
      <w:pPr>
        <w:pStyle w:val="TextBody"/>
        <w:spacing w:before="0" w:after="0"/>
        <w:jc w:val="both"/>
        <w:rPr/>
      </w:pPr>
      <w:r>
        <w:rPr/>
        <w:t> </w:t>
      </w:r>
    </w:p>
    <w:tbl>
      <w:tblPr>
        <w:tblW w:w="9452" w:type="dxa"/>
        <w:jc w:val="left"/>
        <w:tblInd w:w="0" w:type="dxa"/>
        <w:tblCellMar>
          <w:top w:w="28" w:type="dxa"/>
          <w:left w:w="28" w:type="dxa"/>
          <w:bottom w:w="28" w:type="dxa"/>
          <w:right w:w="28" w:type="dxa"/>
        </w:tblCellMar>
      </w:tblPr>
      <w:tblGrid>
        <w:gridCol w:w="1936"/>
        <w:gridCol w:w="146"/>
        <w:gridCol w:w="146"/>
        <w:gridCol w:w="1861"/>
        <w:gridCol w:w="146"/>
        <w:gridCol w:w="146"/>
        <w:gridCol w:w="146"/>
        <w:gridCol w:w="1741"/>
        <w:gridCol w:w="146"/>
        <w:gridCol w:w="146"/>
        <w:gridCol w:w="211"/>
        <w:gridCol w:w="841"/>
        <w:gridCol w:w="146"/>
        <w:gridCol w:w="146"/>
        <w:gridCol w:w="211"/>
        <w:gridCol w:w="961"/>
        <w:gridCol w:w="376"/>
      </w:tblGrid>
      <w:tr>
        <w:trPr/>
        <w:tc>
          <w:tcPr>
            <w:tcW w:w="193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86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74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4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961" w:type="dxa"/>
            <w:tcBorders/>
            <w:shd w:fill="FFFFFF" w:val="clear"/>
            <w:vAlign w:val="center"/>
          </w:tcPr>
          <w:p>
            <w:pPr>
              <w:pStyle w:val="TableContents"/>
              <w:spacing w:before="0" w:after="283"/>
              <w:rPr>
                <w:sz w:val="4"/>
                <w:szCs w:val="4"/>
              </w:rPr>
            </w:pPr>
            <w:r>
              <w:rPr>
                <w:sz w:val="4"/>
                <w:szCs w:val="4"/>
              </w:rPr>
            </w:r>
          </w:p>
        </w:tc>
        <w:tc>
          <w:tcPr>
            <w:tcW w:w="376" w:type="dxa"/>
            <w:tcBorders/>
            <w:shd w:fill="FFFFFF" w:val="clear"/>
            <w:vAlign w:val="center"/>
          </w:tcPr>
          <w:p>
            <w:pPr>
              <w:pStyle w:val="TableContents"/>
              <w:spacing w:before="0" w:after="283"/>
              <w:rPr>
                <w:sz w:val="4"/>
                <w:szCs w:val="4"/>
              </w:rPr>
            </w:pPr>
            <w:r>
              <w:rPr>
                <w:sz w:val="4"/>
                <w:szCs w:val="4"/>
              </w:rPr>
            </w:r>
          </w:p>
        </w:tc>
      </w:tr>
      <w:tr>
        <w:trPr/>
        <w:tc>
          <w:tcPr>
            <w:tcW w:w="1936"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Declaration Date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861"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Record Date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741"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Payment Date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41"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Dividend</w:t>
            </w:r>
          </w:p>
          <w:p>
            <w:pPr>
              <w:pStyle w:val="TableContents"/>
              <w:spacing w:before="0" w:after="0"/>
              <w:ind w:left="0" w:right="0" w:hanging="0"/>
              <w:jc w:val="right"/>
              <w:rPr>
                <w:rFonts w:ascii="Arial;sans-serif" w:hAnsi="Arial;sans-serif"/>
                <w:b/>
                <w:sz w:val="15"/>
              </w:rPr>
            </w:pPr>
            <w:r>
              <w:rPr>
                <w:rFonts w:ascii="Arial;sans-serif" w:hAnsi="Arial;sans-serif"/>
                <w:b/>
                <w:sz w:val="15"/>
              </w:rPr>
              <w:t>Per Share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961"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Amount</w:t>
            </w:r>
          </w:p>
        </w:tc>
        <w:tc>
          <w:tcPr>
            <w:tcW w:w="376" w:type="dxa"/>
            <w:tcBorders/>
            <w:shd w:fill="auto" w:val="clear"/>
            <w:vAlign w:val="center"/>
          </w:tcPr>
          <w:p>
            <w:pPr>
              <w:pStyle w:val="TableContents"/>
              <w:spacing w:before="0" w:after="283"/>
              <w:ind w:left="0" w:right="0" w:hanging="0"/>
              <w:rPr>
                <w:sz w:val="4"/>
                <w:szCs w:val="4"/>
              </w:rPr>
            </w:pPr>
            <w:r>
              <w:rPr>
                <w:sz w:val="4"/>
                <w:szCs w:val="4"/>
              </w:rPr>
            </w:r>
          </w:p>
        </w:tc>
      </w:tr>
      <w:tr>
        <w:trPr/>
        <w:tc>
          <w:tcPr>
            <w:tcW w:w="193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86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74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r>
      <w:tr>
        <w:trPr/>
        <w:tc>
          <w:tcPr>
            <w:tcW w:w="193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86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74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4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961" w:type="dxa"/>
            <w:tcBorders/>
            <w:shd w:fill="auto" w:val="clear"/>
            <w:vAlign w:val="center"/>
          </w:tcPr>
          <w:p>
            <w:pPr>
              <w:pStyle w:val="TableContents"/>
              <w:spacing w:before="0" w:after="283"/>
              <w:ind w:left="0" w:right="0" w:hanging="0"/>
              <w:rPr>
                <w:sz w:val="4"/>
                <w:szCs w:val="4"/>
              </w:rPr>
            </w:pPr>
            <w:r>
              <w:rPr>
                <w:sz w:val="4"/>
                <w:szCs w:val="4"/>
              </w:rPr>
            </w:r>
          </w:p>
        </w:tc>
        <w:tc>
          <w:tcPr>
            <w:tcW w:w="376" w:type="dxa"/>
            <w:tcBorders/>
            <w:shd w:fill="auto" w:val="clear"/>
            <w:vAlign w:val="center"/>
          </w:tcPr>
          <w:p>
            <w:pPr>
              <w:pStyle w:val="TableContents"/>
              <w:spacing w:before="0" w:after="283"/>
              <w:ind w:left="0" w:right="0" w:hanging="0"/>
              <w:rPr>
                <w:sz w:val="4"/>
                <w:szCs w:val="4"/>
              </w:rPr>
            </w:pPr>
            <w:r>
              <w:rPr>
                <w:sz w:val="4"/>
                <w:szCs w:val="4"/>
              </w:rPr>
            </w:r>
          </w:p>
        </w:tc>
      </w:tr>
      <w:tr>
        <w:trPr/>
        <w:tc>
          <w:tcPr>
            <w:tcW w:w="1936"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Fiscal Year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961"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(In millions)</w:t>
            </w:r>
          </w:p>
        </w:tc>
        <w:tc>
          <w:tcPr>
            <w:tcW w:w="376" w:type="dxa"/>
            <w:tcBorders/>
            <w:shd w:fill="auto" w:val="clear"/>
            <w:vAlign w:val="center"/>
          </w:tcPr>
          <w:p>
            <w:pPr>
              <w:pStyle w:val="TableContents"/>
              <w:spacing w:before="0" w:after="0"/>
              <w:ind w:left="0" w:right="0" w:hanging="0"/>
              <w:jc w:val="left"/>
              <w:rPr/>
            </w:pPr>
            <w:r>
              <w:rPr/>
              <w:t> </w:t>
            </w:r>
          </w:p>
        </w:tc>
      </w:tr>
      <w:tr>
        <w:trPr/>
        <w:tc>
          <w:tcPr>
            <w:tcW w:w="193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86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74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4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961" w:type="dxa"/>
            <w:tcBorders/>
            <w:shd w:fill="auto" w:val="clear"/>
            <w:vAlign w:val="center"/>
          </w:tcPr>
          <w:p>
            <w:pPr>
              <w:pStyle w:val="TableContents"/>
              <w:spacing w:before="0" w:after="283"/>
              <w:ind w:left="0" w:right="0" w:hanging="0"/>
              <w:rPr>
                <w:sz w:val="4"/>
                <w:szCs w:val="4"/>
              </w:rPr>
            </w:pPr>
            <w:r>
              <w:rPr>
                <w:sz w:val="4"/>
                <w:szCs w:val="4"/>
              </w:rPr>
            </w:r>
          </w:p>
        </w:tc>
        <w:tc>
          <w:tcPr>
            <w:tcW w:w="376" w:type="dxa"/>
            <w:tcBorders/>
            <w:shd w:fill="auto" w:val="clear"/>
            <w:vAlign w:val="center"/>
          </w:tcPr>
          <w:p>
            <w:pPr>
              <w:pStyle w:val="TableContents"/>
              <w:spacing w:before="0" w:after="283"/>
              <w:ind w:left="0" w:right="0" w:hanging="0"/>
              <w:rPr>
                <w:sz w:val="4"/>
                <w:szCs w:val="4"/>
              </w:rPr>
            </w:pPr>
            <w:r>
              <w:rPr>
                <w:sz w:val="4"/>
                <w:szCs w:val="4"/>
              </w:rPr>
            </w:r>
          </w:p>
        </w:tc>
      </w:tr>
      <w:tr>
        <w:trPr/>
        <w:tc>
          <w:tcPr>
            <w:tcW w:w="193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September 20,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November 17,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4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December 8,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84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96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5,066</w:t>
            </w:r>
          </w:p>
        </w:tc>
        <w:tc>
          <w:tcPr>
            <w:tcW w:w="376" w:type="dxa"/>
            <w:tcBorders/>
            <w:shd w:fill="auto" w:val="clear"/>
            <w:vAlign w:val="center"/>
          </w:tcPr>
          <w:p>
            <w:pPr>
              <w:pStyle w:val="TableContents"/>
              <w:spacing w:before="0" w:after="0"/>
              <w:ind w:left="0" w:right="0" w:hanging="0"/>
              <w:jc w:val="left"/>
              <w:rPr/>
            </w:pPr>
            <w:r>
              <w:rPr/>
              <w:t> </w:t>
            </w:r>
          </w:p>
        </w:tc>
      </w:tr>
      <w:tr>
        <w:trPr/>
        <w:tc>
          <w:tcPr>
            <w:tcW w:w="193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November 29,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February 16,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4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March 9,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5,059</w:t>
            </w:r>
          </w:p>
        </w:tc>
        <w:tc>
          <w:tcPr>
            <w:tcW w:w="376" w:type="dxa"/>
            <w:tcBorders/>
            <w:shd w:fill="auto" w:val="clear"/>
            <w:vAlign w:val="center"/>
          </w:tcPr>
          <w:p>
            <w:pPr>
              <w:pStyle w:val="TableContents"/>
              <w:spacing w:before="0" w:after="0"/>
              <w:ind w:left="0" w:right="0" w:hanging="0"/>
              <w:jc w:val="left"/>
              <w:rPr/>
            </w:pPr>
            <w:r>
              <w:rPr/>
              <w:t> </w:t>
            </w:r>
          </w:p>
        </w:tc>
      </w:tr>
      <w:tr>
        <w:trPr/>
        <w:tc>
          <w:tcPr>
            <w:tcW w:w="193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March 14,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May 18,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4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June 8,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5,057</w:t>
            </w:r>
          </w:p>
        </w:tc>
        <w:tc>
          <w:tcPr>
            <w:tcW w:w="376" w:type="dxa"/>
            <w:tcBorders/>
            <w:shd w:fill="auto" w:val="clear"/>
            <w:vAlign w:val="center"/>
          </w:tcPr>
          <w:p>
            <w:pPr>
              <w:pStyle w:val="TableContents"/>
              <w:spacing w:before="0" w:after="0"/>
              <w:ind w:left="0" w:right="0" w:hanging="0"/>
              <w:jc w:val="left"/>
              <w:rPr/>
            </w:pPr>
            <w:r>
              <w:rPr/>
              <w:t> </w:t>
            </w:r>
          </w:p>
        </w:tc>
      </w:tr>
      <w:tr>
        <w:trPr/>
        <w:tc>
          <w:tcPr>
            <w:tcW w:w="193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86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74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r>
      <w:tr>
        <w:trPr/>
        <w:tc>
          <w:tcPr>
            <w:tcW w:w="193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86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74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4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961" w:type="dxa"/>
            <w:tcBorders/>
            <w:shd w:fill="auto" w:val="clear"/>
            <w:vAlign w:val="center"/>
          </w:tcPr>
          <w:p>
            <w:pPr>
              <w:pStyle w:val="TableContents"/>
              <w:spacing w:before="0" w:after="283"/>
              <w:ind w:left="0" w:right="0" w:hanging="0"/>
              <w:rPr>
                <w:sz w:val="4"/>
                <w:szCs w:val="4"/>
              </w:rPr>
            </w:pPr>
            <w:r>
              <w:rPr>
                <w:sz w:val="4"/>
                <w:szCs w:val="4"/>
              </w:rPr>
            </w:r>
          </w:p>
        </w:tc>
        <w:tc>
          <w:tcPr>
            <w:tcW w:w="376" w:type="dxa"/>
            <w:tcBorders/>
            <w:shd w:fill="auto" w:val="clear"/>
            <w:vAlign w:val="center"/>
          </w:tcPr>
          <w:p>
            <w:pPr>
              <w:pStyle w:val="TableContents"/>
              <w:spacing w:before="0" w:after="283"/>
              <w:ind w:left="0" w:right="0" w:firstLine="245"/>
              <w:rPr>
                <w:sz w:val="4"/>
                <w:szCs w:val="4"/>
              </w:rPr>
            </w:pPr>
            <w:r>
              <w:rPr>
                <w:sz w:val="4"/>
                <w:szCs w:val="4"/>
              </w:rPr>
            </w:r>
          </w:p>
        </w:tc>
      </w:tr>
      <w:tr>
        <w:trPr/>
        <w:tc>
          <w:tcPr>
            <w:tcW w:w="1936" w:type="dxa"/>
            <w:tcBorders/>
            <w:shd w:fill="auto" w:val="clear"/>
            <w:vAlign w:val="center"/>
          </w:tcPr>
          <w:p>
            <w:pPr>
              <w:pStyle w:val="TableContents"/>
              <w:spacing w:before="0" w:after="0"/>
              <w:ind w:left="245" w:right="0" w:hanging="0"/>
              <w:jc w:val="left"/>
              <w:rPr>
                <w:rFonts w:ascii="Arial;sans-serif" w:hAnsi="Arial;sans-serif"/>
                <w:b/>
                <w:sz w:val="20"/>
              </w:rPr>
            </w:pPr>
            <w:r>
              <w:rPr>
                <w:rFonts w:ascii="Arial;sans-serif" w:hAnsi="Arial;sans-serif"/>
                <w:b/>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84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96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15,182</w:t>
            </w:r>
          </w:p>
        </w:tc>
        <w:tc>
          <w:tcPr>
            <w:tcW w:w="376" w:type="dxa"/>
            <w:tcBorders/>
            <w:shd w:fill="auto" w:val="clear"/>
            <w:vAlign w:val="center"/>
          </w:tcPr>
          <w:p>
            <w:pPr>
              <w:pStyle w:val="TableContents"/>
              <w:spacing w:before="0" w:after="0"/>
              <w:ind w:left="0" w:right="0" w:hanging="0"/>
              <w:jc w:val="left"/>
              <w:rPr/>
            </w:pPr>
            <w:r>
              <w:rPr/>
              <w:t> </w:t>
            </w:r>
          </w:p>
        </w:tc>
      </w:tr>
      <w:tr>
        <w:trPr/>
        <w:tc>
          <w:tcPr>
            <w:tcW w:w="193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86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74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84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96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376"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r>
      <w:tr>
        <w:trPr/>
        <w:tc>
          <w:tcPr>
            <w:tcW w:w="193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86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74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4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961" w:type="dxa"/>
            <w:tcBorders/>
            <w:shd w:fill="auto" w:val="clear"/>
            <w:vAlign w:val="center"/>
          </w:tcPr>
          <w:p>
            <w:pPr>
              <w:pStyle w:val="TableContents"/>
              <w:spacing w:before="0" w:after="283"/>
              <w:ind w:left="0" w:right="0" w:hanging="0"/>
              <w:rPr>
                <w:sz w:val="4"/>
                <w:szCs w:val="4"/>
              </w:rPr>
            </w:pPr>
            <w:r>
              <w:rPr>
                <w:sz w:val="4"/>
                <w:szCs w:val="4"/>
              </w:rPr>
            </w:r>
          </w:p>
        </w:tc>
        <w:tc>
          <w:tcPr>
            <w:tcW w:w="376" w:type="dxa"/>
            <w:tcBorders/>
            <w:shd w:fill="auto" w:val="clear"/>
            <w:vAlign w:val="center"/>
          </w:tcPr>
          <w:p>
            <w:pPr>
              <w:pStyle w:val="TableContents"/>
              <w:spacing w:before="0" w:after="283"/>
              <w:ind w:left="0" w:right="0" w:hanging="0"/>
              <w:rPr>
                <w:sz w:val="4"/>
                <w:szCs w:val="4"/>
              </w:rPr>
            </w:pPr>
            <w:r>
              <w:rPr>
                <w:sz w:val="4"/>
                <w:szCs w:val="4"/>
              </w:rPr>
            </w:r>
          </w:p>
        </w:tc>
      </w:tr>
      <w:tr>
        <w:trPr/>
        <w:tc>
          <w:tcPr>
            <w:tcW w:w="1936"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Fiscal Year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pPr>
            <w:r>
              <w:rPr/>
              <w:t> </w:t>
            </w:r>
          </w:p>
        </w:tc>
        <w:tc>
          <w:tcPr>
            <w:tcW w:w="376" w:type="dxa"/>
            <w:tcBorders/>
            <w:shd w:fill="auto" w:val="clear"/>
            <w:vAlign w:val="center"/>
          </w:tcPr>
          <w:p>
            <w:pPr>
              <w:pStyle w:val="TableContents"/>
              <w:spacing w:before="0" w:after="0"/>
              <w:ind w:left="0" w:right="0" w:hanging="0"/>
              <w:jc w:val="left"/>
              <w:rPr/>
            </w:pPr>
            <w:r>
              <w:rPr/>
              <w:t> </w:t>
            </w:r>
          </w:p>
        </w:tc>
      </w:tr>
      <w:tr>
        <w:trPr/>
        <w:tc>
          <w:tcPr>
            <w:tcW w:w="193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86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74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4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961" w:type="dxa"/>
            <w:tcBorders/>
            <w:shd w:fill="auto" w:val="clear"/>
            <w:vAlign w:val="center"/>
          </w:tcPr>
          <w:p>
            <w:pPr>
              <w:pStyle w:val="TableContents"/>
              <w:spacing w:before="0" w:after="283"/>
              <w:ind w:left="0" w:right="0" w:hanging="0"/>
              <w:rPr>
                <w:sz w:val="4"/>
                <w:szCs w:val="4"/>
              </w:rPr>
            </w:pPr>
            <w:r>
              <w:rPr>
                <w:sz w:val="4"/>
                <w:szCs w:val="4"/>
              </w:rPr>
            </w:r>
          </w:p>
        </w:tc>
        <w:tc>
          <w:tcPr>
            <w:tcW w:w="376" w:type="dxa"/>
            <w:tcBorders/>
            <w:shd w:fill="auto" w:val="clear"/>
            <w:vAlign w:val="center"/>
          </w:tcPr>
          <w:p>
            <w:pPr>
              <w:pStyle w:val="TableContents"/>
              <w:spacing w:before="0" w:after="283"/>
              <w:ind w:left="0" w:right="0" w:hanging="0"/>
              <w:rPr>
                <w:sz w:val="4"/>
                <w:szCs w:val="4"/>
              </w:rPr>
            </w:pPr>
            <w:r>
              <w:rPr>
                <w:sz w:val="4"/>
                <w:szCs w:val="4"/>
              </w:rPr>
            </w:r>
          </w:p>
        </w:tc>
      </w:tr>
      <w:tr>
        <w:trPr/>
        <w:tc>
          <w:tcPr>
            <w:tcW w:w="19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September 14, 2021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86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November 18, 2021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74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December 9, 2021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4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0.62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4,652</w:t>
            </w:r>
          </w:p>
        </w:tc>
        <w:tc>
          <w:tcPr>
            <w:tcW w:w="376" w:type="dxa"/>
            <w:tcBorders/>
            <w:shd w:fill="auto" w:val="clear"/>
            <w:vAlign w:val="center"/>
          </w:tcPr>
          <w:p>
            <w:pPr>
              <w:pStyle w:val="TableContents"/>
              <w:spacing w:before="0" w:after="0"/>
              <w:ind w:left="0" w:right="0" w:hanging="0"/>
              <w:jc w:val="left"/>
              <w:rPr/>
            </w:pPr>
            <w:r>
              <w:rPr/>
              <w:t> </w:t>
            </w:r>
          </w:p>
        </w:tc>
      </w:tr>
      <w:tr>
        <w:trPr/>
        <w:tc>
          <w:tcPr>
            <w:tcW w:w="19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December 7, 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February 17,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4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March 10,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4,645</w:t>
            </w:r>
          </w:p>
        </w:tc>
        <w:tc>
          <w:tcPr>
            <w:tcW w:w="376" w:type="dxa"/>
            <w:tcBorders/>
            <w:shd w:fill="auto" w:val="clear"/>
            <w:vAlign w:val="center"/>
          </w:tcPr>
          <w:p>
            <w:pPr>
              <w:pStyle w:val="TableContents"/>
              <w:spacing w:before="0" w:after="0"/>
              <w:ind w:left="0" w:right="0" w:hanging="0"/>
              <w:jc w:val="left"/>
              <w:rPr/>
            </w:pPr>
            <w:r>
              <w:rPr/>
              <w:t> </w:t>
            </w:r>
          </w:p>
        </w:tc>
      </w:tr>
      <w:tr>
        <w:trPr/>
        <w:tc>
          <w:tcPr>
            <w:tcW w:w="19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March 14,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May 19,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4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June 9,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4,632</w:t>
            </w:r>
          </w:p>
        </w:tc>
        <w:tc>
          <w:tcPr>
            <w:tcW w:w="376" w:type="dxa"/>
            <w:tcBorders/>
            <w:shd w:fill="auto" w:val="clear"/>
            <w:vAlign w:val="center"/>
          </w:tcPr>
          <w:p>
            <w:pPr>
              <w:pStyle w:val="TableContents"/>
              <w:spacing w:before="0" w:after="0"/>
              <w:ind w:left="0" w:right="0" w:hanging="0"/>
              <w:jc w:val="left"/>
              <w:rPr/>
            </w:pPr>
            <w:r>
              <w:rPr/>
              <w:t> </w:t>
            </w:r>
          </w:p>
        </w:tc>
      </w:tr>
      <w:tr>
        <w:trPr/>
        <w:tc>
          <w:tcPr>
            <w:tcW w:w="193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86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74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r>
      <w:tr>
        <w:trPr/>
        <w:tc>
          <w:tcPr>
            <w:tcW w:w="193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86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74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84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961" w:type="dxa"/>
            <w:tcBorders/>
            <w:shd w:fill="auto" w:val="clear"/>
            <w:vAlign w:val="center"/>
          </w:tcPr>
          <w:p>
            <w:pPr>
              <w:pStyle w:val="TableContents"/>
              <w:spacing w:before="0" w:after="283"/>
              <w:ind w:left="0" w:right="0" w:hanging="0"/>
              <w:rPr>
                <w:sz w:val="4"/>
                <w:szCs w:val="4"/>
              </w:rPr>
            </w:pPr>
            <w:r>
              <w:rPr>
                <w:sz w:val="4"/>
                <w:szCs w:val="4"/>
              </w:rPr>
            </w:r>
          </w:p>
        </w:tc>
        <w:tc>
          <w:tcPr>
            <w:tcW w:w="376" w:type="dxa"/>
            <w:tcBorders/>
            <w:shd w:fill="auto" w:val="clear"/>
            <w:vAlign w:val="center"/>
          </w:tcPr>
          <w:p>
            <w:pPr>
              <w:pStyle w:val="TableContents"/>
              <w:spacing w:before="0" w:after="283"/>
              <w:ind w:left="0" w:right="0" w:firstLine="245"/>
              <w:rPr>
                <w:sz w:val="4"/>
                <w:szCs w:val="4"/>
              </w:rPr>
            </w:pPr>
            <w:r>
              <w:rPr>
                <w:sz w:val="4"/>
                <w:szCs w:val="4"/>
              </w:rPr>
            </w:r>
          </w:p>
        </w:tc>
      </w:tr>
      <w:tr>
        <w:trPr/>
        <w:tc>
          <w:tcPr>
            <w:tcW w:w="1936"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4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13,929</w:t>
            </w:r>
          </w:p>
        </w:tc>
        <w:tc>
          <w:tcPr>
            <w:tcW w:w="376" w:type="dxa"/>
            <w:tcBorders/>
            <w:shd w:fill="auto" w:val="clear"/>
            <w:vAlign w:val="center"/>
          </w:tcPr>
          <w:p>
            <w:pPr>
              <w:pStyle w:val="TableContents"/>
              <w:spacing w:before="0" w:after="0"/>
              <w:ind w:left="0" w:right="0" w:hanging="0"/>
              <w:jc w:val="left"/>
              <w:rPr/>
            </w:pPr>
            <w:r>
              <w:rPr/>
              <w:t> </w:t>
            </w:r>
          </w:p>
        </w:tc>
      </w:tr>
      <w:tr>
        <w:trPr/>
        <w:tc>
          <w:tcPr>
            <w:tcW w:w="193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86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74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84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96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376"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r>
    </w:tbl>
    <w:p>
      <w:pPr>
        <w:pStyle w:val="TextBody"/>
        <w:spacing w:before="0" w:after="0"/>
        <w:jc w:val="both"/>
        <w:rPr/>
      </w:pPr>
      <w:r>
        <w:rPr/>
        <w:t> </w:t>
      </w:r>
    </w:p>
    <w:p>
      <w:pPr>
        <w:pStyle w:val="TextBody"/>
        <w:spacing w:before="0" w:after="0"/>
        <w:jc w:val="both"/>
        <w:rPr>
          <w:rFonts w:ascii="Arial;sans-serif" w:hAnsi="Arial;sans-serif"/>
          <w:b w:val="false"/>
          <w:sz w:val="20"/>
        </w:rPr>
      </w:pPr>
      <w:r>
        <w:rPr>
          <w:rFonts w:ascii="Arial;sans-serif" w:hAnsi="Arial;sans-serif"/>
          <w:b w:val="false"/>
          <w:sz w:val="20"/>
        </w:rPr>
        <w:t>The dividend declared on March 14, 2023 was included in other current liabilities as of March 31, 2023.</w:t>
      </w:r>
    </w:p>
    <w:p>
      <w:pPr>
        <w:pStyle w:val="TextBody"/>
        <w:spacing w:before="0" w:after="0"/>
        <w:jc w:val="both"/>
        <w:rPr/>
      </w:pPr>
      <w:r>
        <w:rPr/>
        <w:t> </w:t>
      </w:r>
    </w:p>
    <w:p>
      <w:pPr>
        <w:pStyle w:val="TextBody"/>
        <w:spacing w:before="240" w:after="0"/>
        <w:jc w:val="center"/>
        <w:rPr>
          <w:rFonts w:ascii="Arial;sans-serif" w:hAnsi="Arial;sans-serif"/>
          <w:b w:val="false"/>
          <w:sz w:val="16"/>
        </w:rPr>
      </w:pPr>
      <w:r>
        <w:rPr>
          <w:rFonts w:ascii="Arial;sans-serif" w:hAnsi="Arial;sans-serif"/>
          <w:b w:val="false"/>
          <w:sz w:val="16"/>
        </w:rPr>
        <w:t>26</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w:t>
      </w:r>
    </w:p>
    <w:p>
      <w:pPr>
        <w:pStyle w:val="TextBody"/>
        <w:spacing w:before="0" w:after="0"/>
        <w:jc w:val="center"/>
        <w:rPr>
          <w:rFonts w:ascii="Arial;sans-serif" w:hAnsi="Arial;sans-serif"/>
          <w:b w:val="false"/>
          <w:sz w:val="15"/>
        </w:rPr>
      </w:pPr>
      <w:r>
        <w:rPr>
          <w:rFonts w:ascii="Arial;sans-serif" w:hAnsi="Arial;sans-serif"/>
          <w:b w:val="false"/>
          <w:sz w:val="15"/>
        </w:rPr>
        <w:t>Item 1</w:t>
      </w:r>
    </w:p>
    <w:p>
      <w:pPr>
        <w:pStyle w:val="TextBody"/>
        <w:spacing w:before="0" w:after="0"/>
        <w:jc w:val="left"/>
        <w:rPr/>
      </w:pPr>
      <w:r>
        <w:rPr/>
        <w:t> </w:t>
      </w:r>
    </w:p>
    <w:p>
      <w:pPr>
        <w:pStyle w:val="TextBody"/>
        <w:spacing w:before="90" w:after="0"/>
        <w:jc w:val="center"/>
        <w:rPr>
          <w:rFonts w:ascii="Arial;sans-serif" w:hAnsi="Arial;sans-serif"/>
          <w:b w:val="false"/>
          <w:sz w:val="20"/>
          <w:u w:val="single"/>
        </w:rPr>
      </w:pPr>
      <w:r>
        <w:rPr>
          <w:rFonts w:ascii="Arial;sans-serif" w:hAnsi="Arial;sans-serif"/>
          <w:b w:val="false"/>
          <w:sz w:val="20"/>
          <w:u w:val="single"/>
        </w:rPr>
        <w:t>NOTE 16 — ACCUMULATED OTHER COMPREHENSIVE INCOME (LOSS)</w:t>
      </w:r>
    </w:p>
    <w:p>
      <w:pPr>
        <w:pStyle w:val="TextBody"/>
        <w:spacing w:before="180" w:after="0"/>
        <w:jc w:val="both"/>
        <w:rPr>
          <w:rFonts w:ascii="Arial;sans-serif" w:hAnsi="Arial;sans-serif"/>
          <w:b w:val="false"/>
          <w:sz w:val="20"/>
        </w:rPr>
      </w:pPr>
      <w:r>
        <w:rPr>
          <w:rFonts w:ascii="Arial;sans-serif" w:hAnsi="Arial;sans-serif"/>
          <w:b w:val="false"/>
          <w:sz w:val="20"/>
        </w:rPr>
        <w:t>The following table summarizes the changes in accumulated other comprehensive income (loss) by component:</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5231"/>
        <w:gridCol w:w="146"/>
        <w:gridCol w:w="211"/>
        <w:gridCol w:w="646"/>
        <w:gridCol w:w="166"/>
        <w:gridCol w:w="146"/>
        <w:gridCol w:w="211"/>
        <w:gridCol w:w="646"/>
        <w:gridCol w:w="166"/>
        <w:gridCol w:w="146"/>
        <w:gridCol w:w="238"/>
        <w:gridCol w:w="646"/>
        <w:gridCol w:w="166"/>
        <w:gridCol w:w="146"/>
        <w:gridCol w:w="211"/>
        <w:gridCol w:w="646"/>
        <w:gridCol w:w="437"/>
      </w:tblGrid>
      <w:tr>
        <w:trPr/>
        <w:tc>
          <w:tcPr>
            <w:tcW w:w="52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r>
      <w:tr>
        <w:trPr/>
        <w:tc>
          <w:tcPr>
            <w:tcW w:w="5231"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(In millions)</w:t>
            </w:r>
          </w:p>
        </w:tc>
        <w:tc>
          <w:tcPr>
            <w:tcW w:w="146" w:type="dxa"/>
            <w:tcBorders/>
            <w:shd w:fill="auto" w:val="clear"/>
            <w:vAlign w:val="center"/>
          </w:tcPr>
          <w:p>
            <w:pPr>
              <w:pStyle w:val="TableContents"/>
              <w:spacing w:before="0" w:after="0"/>
              <w:ind w:left="0" w:right="0" w:hanging="0"/>
              <w:jc w:val="left"/>
              <w:rPr/>
            </w:pPr>
            <w:r>
              <w:rPr/>
              <w:t> </w:t>
            </w:r>
          </w:p>
        </w:tc>
        <w:tc>
          <w:tcPr>
            <w:tcW w:w="2026" w:type="dxa"/>
            <w:gridSpan w:val="6"/>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Three Months Ended</w:t>
            </w:r>
          </w:p>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1815" w:type="dxa"/>
            <w:gridSpan w:val="5"/>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Nine Months Ended</w:t>
            </w:r>
          </w:p>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tc>
        <w:tc>
          <w:tcPr>
            <w:tcW w:w="437" w:type="dxa"/>
            <w:tcBorders/>
            <w:shd w:fill="auto" w:val="clear"/>
            <w:vAlign w:val="center"/>
          </w:tcPr>
          <w:p>
            <w:pPr>
              <w:pStyle w:val="TableContents"/>
              <w:spacing w:before="0" w:after="0"/>
              <w:ind w:left="0" w:right="0" w:hanging="0"/>
              <w:jc w:val="left"/>
              <w:rPr/>
            </w:pPr>
            <w:r>
              <w:rPr/>
              <w:t> </w:t>
            </w:r>
          </w:p>
        </w:tc>
      </w:tr>
      <w:tr>
        <w:trPr/>
        <w:tc>
          <w:tcPr>
            <w:tcW w:w="523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2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left"/>
              <w:rPr/>
            </w:pPr>
            <w:r>
              <w:rPr/>
              <w:t> </w:t>
            </w:r>
          </w:p>
        </w:tc>
      </w:tr>
      <w:tr>
        <w:trPr/>
        <w:tc>
          <w:tcPr>
            <w:tcW w:w="52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46"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437" w:type="dxa"/>
            <w:tcBorders/>
            <w:shd w:fill="auto" w:val="clear"/>
            <w:vAlign w:val="center"/>
          </w:tcPr>
          <w:p>
            <w:pPr>
              <w:pStyle w:val="TableContents"/>
              <w:spacing w:before="0" w:after="0"/>
              <w:ind w:left="0" w:right="0" w:hanging="0"/>
              <w:jc w:val="left"/>
              <w:rPr/>
            </w:pPr>
            <w:r>
              <w:rPr/>
              <w:t> </w:t>
            </w:r>
          </w:p>
        </w:tc>
      </w:tr>
      <w:tr>
        <w:trPr/>
        <w:tc>
          <w:tcPr>
            <w:tcW w:w="52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left"/>
              <w:rPr/>
            </w:pPr>
            <w:r>
              <w:rPr/>
              <w:t> </w:t>
            </w:r>
          </w:p>
        </w:tc>
      </w:tr>
      <w:tr>
        <w:trPr/>
        <w:tc>
          <w:tcPr>
            <w:tcW w:w="5231"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Derivatives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46" w:type="dxa"/>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46" w:type="dxa"/>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left"/>
              <w:rPr/>
            </w:pPr>
            <w:r>
              <w:rPr/>
              <w:t> </w:t>
            </w:r>
          </w:p>
        </w:tc>
      </w:tr>
      <w:tr>
        <w:trPr/>
        <w:tc>
          <w:tcPr>
            <w:tcW w:w="52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left"/>
              <w:rPr/>
            </w:pPr>
            <w:r>
              <w:rPr/>
              <w:t> </w:t>
            </w:r>
          </w:p>
        </w:tc>
      </w:tr>
      <w:tr>
        <w:trPr/>
        <w:tc>
          <w:tcPr>
            <w:tcW w:w="52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Balance, beginning of period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4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(38</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(17</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4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(13</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w:t>
            </w:r>
          </w:p>
        </w:tc>
        <w:tc>
          <w:tcPr>
            <w:tcW w:w="43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231"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 xml:space="preserve">Unrealized gains (losses), net of tax of </w:t>
            </w:r>
            <w:r>
              <w:rPr>
                <w:rFonts w:ascii="Arial;sans-serif" w:hAnsi="Arial;sans-serif"/>
                <w:b/>
                <w:sz w:val="20"/>
              </w:rPr>
              <w:t>$1</w:t>
            </w:r>
            <w:r>
              <w:rPr>
                <w:rFonts w:ascii="Arial;sans-serif" w:hAnsi="Arial;sans-serif"/>
                <w:b w:val="false"/>
                <w:sz w:val="20"/>
              </w:rPr>
              <w:t>, $(1),</w:t>
            </w:r>
            <w:r>
              <w:rPr>
                <w:rFonts w:ascii="Times New Roman" w:hAnsi="Times New Roman"/>
                <w:sz w:val="20"/>
              </w:rPr>
              <w:t> </w:t>
            </w:r>
            <w:r>
              <w:rPr>
                <w:rFonts w:ascii="Arial;sans-serif" w:hAnsi="Arial;sans-serif"/>
                <w:b/>
                <w:sz w:val="20"/>
              </w:rPr>
              <w:t>$3</w:t>
            </w:r>
            <w:r>
              <w:rPr>
                <w:rFonts w:ascii="Arial;sans-serif" w:hAnsi="Arial;sans-serif"/>
                <w:b w:val="false"/>
                <w:sz w:val="20"/>
              </w:rPr>
              <w:t>, and $(7)</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4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(27</w:t>
            </w:r>
          </w:p>
        </w:tc>
        <w:tc>
          <w:tcPr>
            <w:tcW w:w="43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2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437" w:type="dxa"/>
            <w:tcBorders/>
            <w:shd w:fill="auto" w:val="clear"/>
            <w:vAlign w:val="center"/>
          </w:tcPr>
          <w:p>
            <w:pPr>
              <w:pStyle w:val="TableContents"/>
              <w:spacing w:before="0" w:after="0"/>
              <w:ind w:left="0" w:right="0" w:hanging="0"/>
              <w:jc w:val="left"/>
              <w:rPr/>
            </w:pPr>
            <w:r>
              <w:rPr/>
              <w:t> </w:t>
            </w:r>
          </w:p>
        </w:tc>
      </w:tr>
      <w:tr>
        <w:trPr/>
        <w:tc>
          <w:tcPr>
            <w:tcW w:w="52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Reclassification adjustments for (gains) losses included in other income (expense), net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4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(18</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(62</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44</w:t>
            </w:r>
          </w:p>
        </w:tc>
        <w:tc>
          <w:tcPr>
            <w:tcW w:w="437" w:type="dxa"/>
            <w:tcBorders/>
            <w:shd w:fill="auto" w:val="clear"/>
            <w:vAlign w:val="center"/>
          </w:tcPr>
          <w:p>
            <w:pPr>
              <w:pStyle w:val="TableContents"/>
              <w:spacing w:before="0" w:after="0"/>
              <w:ind w:left="0" w:right="0" w:hanging="0"/>
              <w:jc w:val="left"/>
              <w:rPr/>
            </w:pPr>
            <w:r>
              <w:rPr/>
              <w:t> </w:t>
            </w:r>
          </w:p>
        </w:tc>
      </w:tr>
      <w:tr>
        <w:trPr/>
        <w:tc>
          <w:tcPr>
            <w:tcW w:w="52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Tax expense (benefit) included in provision for income taxes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4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w:t>
            </w:r>
          </w:p>
        </w:tc>
        <w:tc>
          <w:tcPr>
            <w:tcW w:w="43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23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2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437" w:type="dxa"/>
            <w:tcBorders/>
            <w:shd w:fill="auto" w:val="clear"/>
            <w:vAlign w:val="center"/>
          </w:tcPr>
          <w:p>
            <w:pPr>
              <w:pStyle w:val="TableContents"/>
              <w:spacing w:before="0" w:after="0"/>
              <w:ind w:left="0" w:right="0" w:firstLine="245"/>
              <w:jc w:val="left"/>
              <w:rPr/>
            </w:pPr>
            <w:r>
              <w:rPr/>
              <w:t> </w:t>
            </w:r>
          </w:p>
        </w:tc>
      </w:tr>
      <w:tr>
        <w:trPr/>
        <w:tc>
          <w:tcPr>
            <w:tcW w:w="5231"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Amounts reclassified from accumulated other comprehensive loss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4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(14</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(48</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35</w:t>
            </w:r>
          </w:p>
        </w:tc>
        <w:tc>
          <w:tcPr>
            <w:tcW w:w="437" w:type="dxa"/>
            <w:tcBorders/>
            <w:shd w:fill="auto" w:val="clear"/>
            <w:vAlign w:val="center"/>
          </w:tcPr>
          <w:p>
            <w:pPr>
              <w:pStyle w:val="TableContents"/>
              <w:spacing w:before="0" w:after="0"/>
              <w:ind w:left="0" w:right="0" w:hanging="0"/>
              <w:jc w:val="left"/>
              <w:rPr/>
            </w:pPr>
            <w:r>
              <w:rPr/>
              <w:t> </w:t>
            </w:r>
          </w:p>
        </w:tc>
      </w:tr>
      <w:tr>
        <w:trPr/>
        <w:tc>
          <w:tcPr>
            <w:tcW w:w="523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2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437" w:type="dxa"/>
            <w:tcBorders/>
            <w:shd w:fill="auto" w:val="clear"/>
            <w:vAlign w:val="center"/>
          </w:tcPr>
          <w:p>
            <w:pPr>
              <w:pStyle w:val="TableContents"/>
              <w:spacing w:before="0" w:after="0"/>
              <w:ind w:left="0" w:right="0" w:hanging="0"/>
              <w:jc w:val="left"/>
              <w:rPr/>
            </w:pPr>
            <w:r>
              <w:rPr/>
              <w:t> </w:t>
            </w:r>
          </w:p>
        </w:tc>
      </w:tr>
      <w:tr>
        <w:trPr/>
        <w:tc>
          <w:tcPr>
            <w:tcW w:w="5231"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 xml:space="preserve">Net change related to derivatives, net of tax of </w:t>
            </w:r>
            <w:r>
              <w:rPr>
                <w:rFonts w:ascii="Arial;sans-serif" w:hAnsi="Arial;sans-serif"/>
                <w:b/>
                <w:sz w:val="20"/>
              </w:rPr>
              <w:t>$(3)</w:t>
            </w:r>
            <w:r>
              <w:rPr>
                <w:rFonts w:ascii="Arial;sans-serif" w:hAnsi="Arial;sans-serif"/>
                <w:b w:val="false"/>
                <w:sz w:val="20"/>
              </w:rPr>
              <w:t>, $2</w:t>
            </w:r>
            <w:r>
              <w:rPr>
                <w:rFonts w:ascii="Arial;sans-serif" w:hAnsi="Arial;sans-serif"/>
                <w:b/>
                <w:sz w:val="20"/>
              </w:rPr>
              <w:t>, $(11)</w:t>
            </w:r>
            <w:r>
              <w:rPr>
                <w:rFonts w:ascii="Arial;sans-serif" w:hAnsi="Arial;sans-serif"/>
                <w:b w:val="false"/>
                <w:sz w:val="20"/>
              </w:rPr>
              <w:t>, and $2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4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(34</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w:t>
            </w:r>
          </w:p>
        </w:tc>
        <w:tc>
          <w:tcPr>
            <w:tcW w:w="437" w:type="dxa"/>
            <w:tcBorders/>
            <w:shd w:fill="auto" w:val="clear"/>
            <w:vAlign w:val="center"/>
          </w:tcPr>
          <w:p>
            <w:pPr>
              <w:pStyle w:val="TableContents"/>
              <w:spacing w:before="0" w:after="0"/>
              <w:ind w:left="0" w:right="0" w:hanging="0"/>
              <w:jc w:val="left"/>
              <w:rPr/>
            </w:pPr>
            <w:r>
              <w:rPr/>
              <w:t> </w:t>
            </w:r>
          </w:p>
        </w:tc>
      </w:tr>
      <w:tr>
        <w:trPr/>
        <w:tc>
          <w:tcPr>
            <w:tcW w:w="523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2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437" w:type="dxa"/>
            <w:tcBorders/>
            <w:shd w:fill="auto" w:val="clear"/>
            <w:vAlign w:val="center"/>
          </w:tcPr>
          <w:p>
            <w:pPr>
              <w:pStyle w:val="TableContents"/>
              <w:spacing w:before="0" w:after="0"/>
              <w:ind w:left="0" w:right="0" w:hanging="0"/>
              <w:jc w:val="left"/>
              <w:rPr/>
            </w:pPr>
            <w:r>
              <w:rPr/>
              <w:t> </w:t>
            </w:r>
          </w:p>
        </w:tc>
      </w:tr>
      <w:tr>
        <w:trPr/>
        <w:tc>
          <w:tcPr>
            <w:tcW w:w="52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Balance, end of period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4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(47</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4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(47</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w:t>
            </w:r>
          </w:p>
        </w:tc>
        <w:tc>
          <w:tcPr>
            <w:tcW w:w="43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23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2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437" w:type="dxa"/>
            <w:tcBorders/>
            <w:shd w:fill="auto" w:val="clear"/>
            <w:vAlign w:val="center"/>
          </w:tcPr>
          <w:p>
            <w:pPr>
              <w:pStyle w:val="TableContents"/>
              <w:spacing w:before="0" w:after="0"/>
              <w:ind w:left="0" w:right="0" w:hanging="0"/>
              <w:jc w:val="left"/>
              <w:rPr/>
            </w:pPr>
            <w:r>
              <w:rPr/>
              <w:t> </w:t>
            </w:r>
          </w:p>
        </w:tc>
      </w:tr>
      <w:tr>
        <w:trPr/>
        <w:tc>
          <w:tcPr>
            <w:tcW w:w="5231"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Investments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46" w:type="dxa"/>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437" w:type="dxa"/>
            <w:tcBorders/>
            <w:shd w:fill="auto" w:val="clear"/>
            <w:vAlign w:val="center"/>
          </w:tcPr>
          <w:p>
            <w:pPr>
              <w:pStyle w:val="TableContents"/>
              <w:spacing w:before="0" w:after="0"/>
              <w:ind w:left="0" w:right="0" w:hanging="0"/>
              <w:jc w:val="left"/>
              <w:rPr/>
            </w:pPr>
            <w:r>
              <w:rPr/>
              <w:t> </w:t>
            </w:r>
          </w:p>
        </w:tc>
      </w:tr>
      <w:tr>
        <w:trPr/>
        <w:tc>
          <w:tcPr>
            <w:tcW w:w="52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437" w:type="dxa"/>
            <w:tcBorders/>
            <w:shd w:fill="auto" w:val="clear"/>
            <w:vAlign w:val="center"/>
          </w:tcPr>
          <w:p>
            <w:pPr>
              <w:pStyle w:val="TableContents"/>
              <w:spacing w:before="0" w:after="0"/>
              <w:ind w:left="0" w:right="0" w:hanging="0"/>
              <w:jc w:val="left"/>
              <w:rPr/>
            </w:pPr>
            <w:r>
              <w:rPr/>
              <w:t> </w:t>
            </w:r>
          </w:p>
        </w:tc>
      </w:tr>
      <w:tr>
        <w:trPr/>
        <w:tc>
          <w:tcPr>
            <w:tcW w:w="52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Balance, beginning of period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4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(3,687</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2,057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4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(2,138</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3,222</w:t>
            </w:r>
          </w:p>
        </w:tc>
        <w:tc>
          <w:tcPr>
            <w:tcW w:w="437" w:type="dxa"/>
            <w:tcBorders/>
            <w:shd w:fill="auto" w:val="clear"/>
            <w:vAlign w:val="center"/>
          </w:tcPr>
          <w:p>
            <w:pPr>
              <w:pStyle w:val="TableContents"/>
              <w:spacing w:before="0" w:after="0"/>
              <w:ind w:left="0" w:right="0" w:hanging="0"/>
              <w:jc w:val="left"/>
              <w:rPr/>
            </w:pPr>
            <w:r>
              <w:rPr/>
              <w:t> </w:t>
            </w:r>
          </w:p>
        </w:tc>
      </w:tr>
      <w:tr>
        <w:trPr/>
        <w:tc>
          <w:tcPr>
            <w:tcW w:w="5231"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Unrealized gains (losses), net of tax of</w:t>
            </w:r>
            <w:r>
              <w:rPr>
                <w:rFonts w:ascii="Times New Roman" w:hAnsi="Times New Roman"/>
                <w:sz w:val="20"/>
              </w:rPr>
              <w:t> </w:t>
            </w:r>
            <w:r>
              <w:rPr>
                <w:rFonts w:ascii="Arial;sans-serif" w:hAnsi="Arial;sans-serif"/>
                <w:b/>
                <w:sz w:val="20"/>
              </w:rPr>
              <w:t>$194</w:t>
            </w:r>
            <w:r>
              <w:rPr>
                <w:rFonts w:ascii="Arial;sans-serif" w:hAnsi="Arial;sans-serif"/>
                <w:b w:val="false"/>
                <w:sz w:val="20"/>
              </w:rPr>
              <w:t xml:space="preserve">, $(769), </w:t>
            </w:r>
            <w:r>
              <w:rPr>
                <w:rFonts w:ascii="Arial;sans-serif" w:hAnsi="Arial;sans-serif"/>
                <w:b/>
                <w:sz w:val="20"/>
              </w:rPr>
              <w:t>$(225)</w:t>
            </w:r>
            <w:r>
              <w:rPr>
                <w:rFonts w:ascii="Arial;sans-serif" w:hAnsi="Arial;sans-serif"/>
                <w:b w:val="false"/>
                <w:sz w:val="20"/>
              </w:rPr>
              <w:t>, and $(1,076)</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4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732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(2,894</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(851</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(4,051</w:t>
            </w:r>
          </w:p>
        </w:tc>
        <w:tc>
          <w:tcPr>
            <w:tcW w:w="43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2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437" w:type="dxa"/>
            <w:tcBorders/>
            <w:shd w:fill="auto" w:val="clear"/>
            <w:vAlign w:val="center"/>
          </w:tcPr>
          <w:p>
            <w:pPr>
              <w:pStyle w:val="TableContents"/>
              <w:spacing w:before="0" w:after="0"/>
              <w:ind w:left="0" w:right="0" w:hanging="0"/>
              <w:jc w:val="left"/>
              <w:rPr/>
            </w:pPr>
            <w:r>
              <w:rPr/>
              <w:t> </w:t>
            </w:r>
          </w:p>
        </w:tc>
      </w:tr>
      <w:tr>
        <w:trPr/>
        <w:tc>
          <w:tcPr>
            <w:tcW w:w="52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Reclassification adjustments for losses included in other income (expense), net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4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w:t>
            </w:r>
          </w:p>
        </w:tc>
        <w:tc>
          <w:tcPr>
            <w:tcW w:w="437" w:type="dxa"/>
            <w:tcBorders/>
            <w:shd w:fill="auto" w:val="clear"/>
            <w:vAlign w:val="center"/>
          </w:tcPr>
          <w:p>
            <w:pPr>
              <w:pStyle w:val="TableContents"/>
              <w:spacing w:before="0" w:after="0"/>
              <w:ind w:left="0" w:right="0" w:hanging="0"/>
              <w:jc w:val="left"/>
              <w:rPr/>
            </w:pPr>
            <w:r>
              <w:rPr/>
              <w:t> </w:t>
            </w:r>
          </w:p>
        </w:tc>
      </w:tr>
      <w:tr>
        <w:trPr/>
        <w:tc>
          <w:tcPr>
            <w:tcW w:w="52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Tax benefit included in provision for income taxes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4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(13</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43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23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2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437" w:type="dxa"/>
            <w:tcBorders/>
            <w:shd w:fill="auto" w:val="clear"/>
            <w:vAlign w:val="center"/>
          </w:tcPr>
          <w:p>
            <w:pPr>
              <w:pStyle w:val="TableContents"/>
              <w:spacing w:before="0" w:after="0"/>
              <w:ind w:left="0" w:right="0" w:firstLine="245"/>
              <w:jc w:val="left"/>
              <w:rPr/>
            </w:pPr>
            <w:r>
              <w:rPr/>
              <w:t> </w:t>
            </w:r>
          </w:p>
        </w:tc>
      </w:tr>
      <w:tr>
        <w:trPr/>
        <w:tc>
          <w:tcPr>
            <w:tcW w:w="5231"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Amounts reclassified from accumulated other comprehensive loss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4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w:t>
            </w:r>
          </w:p>
        </w:tc>
        <w:tc>
          <w:tcPr>
            <w:tcW w:w="437" w:type="dxa"/>
            <w:tcBorders/>
            <w:shd w:fill="auto" w:val="clear"/>
            <w:vAlign w:val="center"/>
          </w:tcPr>
          <w:p>
            <w:pPr>
              <w:pStyle w:val="TableContents"/>
              <w:spacing w:before="0" w:after="0"/>
              <w:ind w:left="0" w:right="0" w:hanging="0"/>
              <w:jc w:val="left"/>
              <w:rPr/>
            </w:pPr>
            <w:r>
              <w:rPr/>
              <w:t> </w:t>
            </w:r>
          </w:p>
        </w:tc>
      </w:tr>
      <w:tr>
        <w:trPr/>
        <w:tc>
          <w:tcPr>
            <w:tcW w:w="523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2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437" w:type="dxa"/>
            <w:tcBorders/>
            <w:shd w:fill="auto" w:val="clear"/>
            <w:vAlign w:val="center"/>
          </w:tcPr>
          <w:p>
            <w:pPr>
              <w:pStyle w:val="TableContents"/>
              <w:spacing w:before="0" w:after="0"/>
              <w:ind w:left="0" w:right="0" w:hanging="0"/>
              <w:jc w:val="left"/>
              <w:rPr/>
            </w:pPr>
            <w:r>
              <w:rPr/>
              <w:t> </w:t>
            </w:r>
          </w:p>
        </w:tc>
      </w:tr>
      <w:tr>
        <w:trPr/>
        <w:tc>
          <w:tcPr>
            <w:tcW w:w="5231"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 xml:space="preserve">Net change related to investments, net of tax of </w:t>
            </w:r>
            <w:r>
              <w:rPr>
                <w:rFonts w:ascii="Arial;sans-serif" w:hAnsi="Arial;sans-serif"/>
                <w:b/>
                <w:sz w:val="20"/>
              </w:rPr>
              <w:t>$199</w:t>
            </w:r>
            <w:r>
              <w:rPr>
                <w:rFonts w:ascii="Arial;sans-serif" w:hAnsi="Arial;sans-serif"/>
                <w:b w:val="false"/>
                <w:sz w:val="20"/>
              </w:rPr>
              <w:t>, $(766),</w:t>
            </w:r>
            <w:r>
              <w:rPr>
                <w:rFonts w:ascii="Times New Roman" w:hAnsi="Times New Roman"/>
                <w:sz w:val="20"/>
              </w:rPr>
              <w:t> </w:t>
            </w:r>
            <w:r>
              <w:rPr>
                <w:rFonts w:ascii="Arial;sans-serif" w:hAnsi="Arial;sans-serif"/>
                <w:b/>
                <w:sz w:val="20"/>
              </w:rPr>
              <w:t>$(212)</w:t>
            </w:r>
            <w:r>
              <w:rPr>
                <w:rFonts w:ascii="Arial;sans-serif" w:hAnsi="Arial;sans-serif"/>
                <w:b w:val="false"/>
                <w:sz w:val="20"/>
              </w:rPr>
              <w:t>, and $(1,075)</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4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753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(2,882</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(796</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(4,047</w:t>
            </w:r>
          </w:p>
        </w:tc>
        <w:tc>
          <w:tcPr>
            <w:tcW w:w="43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23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2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437" w:type="dxa"/>
            <w:tcBorders/>
            <w:shd w:fill="auto" w:val="clear"/>
            <w:vAlign w:val="center"/>
          </w:tcPr>
          <w:p>
            <w:pPr>
              <w:pStyle w:val="TableContents"/>
              <w:spacing w:before="0" w:after="0"/>
              <w:ind w:left="0" w:right="0" w:hanging="0"/>
              <w:jc w:val="left"/>
              <w:rPr/>
            </w:pPr>
            <w:r>
              <w:rPr/>
              <w:t> </w:t>
            </w:r>
          </w:p>
        </w:tc>
      </w:tr>
      <w:tr>
        <w:trPr/>
        <w:tc>
          <w:tcPr>
            <w:tcW w:w="52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Balance, end of period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4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(2,934</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(825</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sz w:val="20"/>
              </w:rPr>
              <w:t>$</w:t>
            </w:r>
            <w:r>
              <w:rPr>
                <w:rFonts w:ascii="Times New Roman" w:hAnsi="Times New Roman"/>
                <w:sz w:val="20"/>
              </w:rPr>
              <w:t xml:space="preserve"> </w:t>
            </w:r>
          </w:p>
        </w:tc>
        <w:tc>
          <w:tcPr>
            <w:tcW w:w="64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(2,934</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(825</w:t>
            </w:r>
          </w:p>
        </w:tc>
        <w:tc>
          <w:tcPr>
            <w:tcW w:w="437"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w:t>
            </w:r>
            <w:r>
              <w:rPr>
                <w:rFonts w:ascii="Times New Roman" w:hAnsi="Times New Roman"/>
                <w:sz w:val="20"/>
              </w:rPr>
              <w:t xml:space="preserve"> </w:t>
            </w:r>
          </w:p>
        </w:tc>
      </w:tr>
      <w:tr>
        <w:trPr/>
        <w:tc>
          <w:tcPr>
            <w:tcW w:w="523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2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437" w:type="dxa"/>
            <w:tcBorders/>
            <w:shd w:fill="auto" w:val="clear"/>
            <w:vAlign w:val="center"/>
          </w:tcPr>
          <w:p>
            <w:pPr>
              <w:pStyle w:val="TableContents"/>
              <w:spacing w:before="0" w:after="0"/>
              <w:ind w:left="0" w:right="0" w:hanging="0"/>
              <w:jc w:val="left"/>
              <w:rPr/>
            </w:pPr>
            <w:r>
              <w:rPr/>
              <w:t> </w:t>
            </w:r>
          </w:p>
        </w:tc>
      </w:tr>
      <w:tr>
        <w:trPr/>
        <w:tc>
          <w:tcPr>
            <w:tcW w:w="5231"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Translation Adjustments and Other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437" w:type="dxa"/>
            <w:tcBorders/>
            <w:shd w:fill="auto" w:val="clear"/>
            <w:vAlign w:val="center"/>
          </w:tcPr>
          <w:p>
            <w:pPr>
              <w:pStyle w:val="TableContents"/>
              <w:spacing w:before="0" w:after="0"/>
              <w:ind w:left="0" w:right="0" w:hanging="0"/>
              <w:jc w:val="left"/>
              <w:rPr/>
            </w:pPr>
            <w:r>
              <w:rPr/>
              <w:t> </w:t>
            </w:r>
          </w:p>
        </w:tc>
      </w:tr>
      <w:tr>
        <w:trPr/>
        <w:tc>
          <w:tcPr>
            <w:tcW w:w="52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46" w:type="dxa"/>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437" w:type="dxa"/>
            <w:tcBorders/>
            <w:shd w:fill="auto" w:val="clear"/>
            <w:vAlign w:val="center"/>
          </w:tcPr>
          <w:p>
            <w:pPr>
              <w:pStyle w:val="TableContents"/>
              <w:spacing w:before="0" w:after="0"/>
              <w:ind w:left="0" w:right="0" w:hanging="0"/>
              <w:jc w:val="left"/>
              <w:rPr/>
            </w:pPr>
            <w:r>
              <w:rPr/>
              <w:t> </w:t>
            </w:r>
          </w:p>
        </w:tc>
      </w:tr>
      <w:tr>
        <w:trPr/>
        <w:tc>
          <w:tcPr>
            <w:tcW w:w="52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Balance, beginning of period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4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(2,732</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(1,603</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4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(2,527</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(1,381</w:t>
            </w:r>
          </w:p>
        </w:tc>
        <w:tc>
          <w:tcPr>
            <w:tcW w:w="43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231"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 xml:space="preserve">Translation adjustments and other, net of tax of </w:t>
            </w:r>
            <w:r>
              <w:rPr>
                <w:rFonts w:ascii="Arial;sans-serif" w:hAnsi="Arial;sans-serif"/>
                <w:b/>
                <w:sz w:val="20"/>
              </w:rPr>
              <w:t>$0</w:t>
            </w:r>
            <w:r>
              <w:rPr>
                <w:rFonts w:ascii="Arial;sans-serif" w:hAnsi="Arial;sans-serif"/>
                <w:b w:val="false"/>
                <w:sz w:val="20"/>
              </w:rPr>
              <w:t xml:space="preserve">, $0, </w:t>
            </w:r>
            <w:r>
              <w:rPr>
                <w:rFonts w:ascii="Arial;sans-serif" w:hAnsi="Arial;sans-serif"/>
                <w:b/>
                <w:sz w:val="20"/>
              </w:rPr>
              <w:t>$0</w:t>
            </w:r>
            <w:r>
              <w:rPr>
                <w:rFonts w:ascii="Arial;sans-serif" w:hAnsi="Arial;sans-serif"/>
                <w:b w:val="false"/>
                <w:sz w:val="20"/>
              </w:rPr>
              <w:t>, and $0</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4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(37</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(136</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(259</w:t>
            </w:r>
          </w:p>
        </w:tc>
        <w:tc>
          <w:tcPr>
            <w:tcW w:w="43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23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2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437" w:type="dxa"/>
            <w:tcBorders/>
            <w:shd w:fill="auto" w:val="clear"/>
            <w:vAlign w:val="center"/>
          </w:tcPr>
          <w:p>
            <w:pPr>
              <w:pStyle w:val="TableContents"/>
              <w:spacing w:before="0" w:after="0"/>
              <w:ind w:left="0" w:right="0" w:hanging="0"/>
              <w:jc w:val="left"/>
              <w:rPr/>
            </w:pPr>
            <w:r>
              <w:rPr/>
              <w:t> </w:t>
            </w:r>
          </w:p>
        </w:tc>
      </w:tr>
      <w:tr>
        <w:trPr/>
        <w:tc>
          <w:tcPr>
            <w:tcW w:w="52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Balance, end of period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4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(2,663</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(1,640</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sz w:val="20"/>
              </w:rPr>
              <w:t>$</w:t>
            </w:r>
            <w:r>
              <w:rPr>
                <w:rFonts w:ascii="Times New Roman" w:hAnsi="Times New Roman"/>
                <w:sz w:val="20"/>
              </w:rPr>
              <w:t xml:space="preserve"> </w:t>
            </w:r>
          </w:p>
        </w:tc>
        <w:tc>
          <w:tcPr>
            <w:tcW w:w="64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(2,663</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(1,640</w:t>
            </w:r>
          </w:p>
        </w:tc>
        <w:tc>
          <w:tcPr>
            <w:tcW w:w="43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23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2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437" w:type="dxa"/>
            <w:tcBorders/>
            <w:shd w:fill="auto" w:val="clear"/>
            <w:vAlign w:val="center"/>
          </w:tcPr>
          <w:p>
            <w:pPr>
              <w:pStyle w:val="TableContents"/>
              <w:spacing w:before="0" w:after="0"/>
              <w:ind w:left="0" w:right="0" w:hanging="0"/>
              <w:jc w:val="left"/>
              <w:rPr/>
            </w:pPr>
            <w:r>
              <w:rPr/>
              <w:t> </w:t>
            </w:r>
          </w:p>
        </w:tc>
      </w:tr>
      <w:tr>
        <w:trPr/>
        <w:tc>
          <w:tcPr>
            <w:tcW w:w="52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Accumulated other comprehensive loss, end of period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4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(5,644</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(2,476</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4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(5,644</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(2,476</w:t>
            </w:r>
          </w:p>
        </w:tc>
        <w:tc>
          <w:tcPr>
            <w:tcW w:w="437"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w:t>
            </w:r>
            <w:r>
              <w:rPr>
                <w:rFonts w:ascii="Times New Roman" w:hAnsi="Times New Roman"/>
                <w:sz w:val="20"/>
              </w:rPr>
              <w:t xml:space="preserve"> </w:t>
            </w:r>
          </w:p>
        </w:tc>
      </w:tr>
      <w:tr>
        <w:trPr/>
        <w:tc>
          <w:tcPr>
            <w:tcW w:w="52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7"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240" w:after="0"/>
        <w:jc w:val="center"/>
        <w:rPr>
          <w:rFonts w:ascii="Arial;sans-serif" w:hAnsi="Arial;sans-serif"/>
          <w:b w:val="false"/>
          <w:sz w:val="16"/>
        </w:rPr>
      </w:pPr>
      <w:r>
        <w:rPr>
          <w:rFonts w:ascii="Arial;sans-serif" w:hAnsi="Arial;sans-serif"/>
          <w:b w:val="false"/>
          <w:sz w:val="16"/>
        </w:rPr>
        <w:t>27</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w:t>
      </w:r>
    </w:p>
    <w:p>
      <w:pPr>
        <w:pStyle w:val="TextBody"/>
        <w:spacing w:before="0" w:after="0"/>
        <w:jc w:val="center"/>
        <w:rPr>
          <w:rFonts w:ascii="Arial;sans-serif" w:hAnsi="Arial;sans-serif"/>
          <w:b w:val="false"/>
          <w:sz w:val="15"/>
        </w:rPr>
      </w:pPr>
      <w:r>
        <w:rPr>
          <w:rFonts w:ascii="Arial;sans-serif" w:hAnsi="Arial;sans-serif"/>
          <w:b w:val="false"/>
          <w:sz w:val="15"/>
        </w:rPr>
        <w:t>Item 1</w:t>
      </w:r>
    </w:p>
    <w:p>
      <w:pPr>
        <w:pStyle w:val="TextBody"/>
        <w:spacing w:before="0" w:after="0"/>
        <w:jc w:val="left"/>
        <w:rPr/>
      </w:pPr>
      <w:r>
        <w:rPr/>
        <w:t> </w:t>
      </w:r>
    </w:p>
    <w:p>
      <w:pPr>
        <w:pStyle w:val="TextBody"/>
        <w:spacing w:before="90" w:after="0"/>
        <w:jc w:val="center"/>
        <w:rPr>
          <w:rFonts w:ascii="Times New Roman" w:hAnsi="Times New Roman"/>
          <w:sz w:val="20"/>
        </w:rPr>
      </w:pPr>
      <w:r>
        <w:rPr>
          <w:rFonts w:ascii="Arial;sans-serif" w:hAnsi="Arial;sans-serif"/>
          <w:b w:val="false"/>
          <w:sz w:val="20"/>
          <w:u w:val="single"/>
        </w:rPr>
        <w:t xml:space="preserve">NOTE 17 </w:t>
      </w:r>
      <w:r>
        <w:rPr>
          <w:rFonts w:ascii="Times New Roman" w:hAnsi="Times New Roman"/>
          <w:caps/>
          <w:sz w:val="20"/>
          <w:u w:val="single"/>
        </w:rPr>
        <w:t>—</w:t>
      </w:r>
      <w:r>
        <w:rPr>
          <w:rFonts w:ascii="Times New Roman" w:hAnsi="Times New Roman"/>
          <w:sz w:val="20"/>
          <w:u w:val="single"/>
        </w:rPr>
        <w:t xml:space="preserve"> </w:t>
      </w:r>
      <w:r>
        <w:rPr>
          <w:rFonts w:ascii="Arial;sans-serif" w:hAnsi="Arial;sans-serif"/>
          <w:b w:val="false"/>
          <w:sz w:val="20"/>
          <w:u w:val="single"/>
        </w:rPr>
        <w:t>SEGMENT INFORMATION AND GEOGRAPHIC DATA</w:t>
      </w:r>
    </w:p>
    <w:p>
      <w:pPr>
        <w:pStyle w:val="TextBody"/>
        <w:spacing w:before="180" w:after="0"/>
        <w:jc w:val="both"/>
        <w:rPr>
          <w:rFonts w:ascii="Arial;sans-serif" w:hAnsi="Arial;sans-serif"/>
          <w:b w:val="false"/>
          <w:sz w:val="20"/>
        </w:rPr>
      </w:pPr>
      <w:r>
        <w:rPr>
          <w:rFonts w:ascii="Arial;sans-serif" w:hAnsi="Arial;sans-serif"/>
          <w:b w:val="false"/>
          <w:sz w:val="20"/>
        </w:rPr>
        <w:t>In its operation of the business, management, including our chief operating decision maker, who is also our Chief Executive Officer, reviews certain financial information, including segmented internal profit and loss statements prepared on a basis not consistent with GAAP. During the periods presented, we reported our financial performance based on the following segments: Productivity and Business Processes, Intelligent Cloud, and More Personal Computing.</w:t>
      </w:r>
    </w:p>
    <w:p>
      <w:pPr>
        <w:pStyle w:val="TextBody"/>
        <w:spacing w:before="180" w:after="0"/>
        <w:jc w:val="both"/>
        <w:rPr>
          <w:rFonts w:ascii="Arial;sans-serif" w:hAnsi="Arial;sans-serif"/>
          <w:b w:val="false"/>
          <w:sz w:val="20"/>
        </w:rPr>
      </w:pPr>
      <w:r>
        <w:rPr>
          <w:rFonts w:ascii="Arial;sans-serif" w:hAnsi="Arial;sans-serif"/>
          <w:b w:val="false"/>
          <w:sz w:val="20"/>
        </w:rPr>
        <w:t>We have recast certain prior period amounts to conform to the way we internally manage and monitor our business.</w:t>
      </w:r>
    </w:p>
    <w:p>
      <w:pPr>
        <w:pStyle w:val="TextBody"/>
        <w:spacing w:before="180" w:after="0"/>
        <w:jc w:val="both"/>
        <w:rPr>
          <w:rFonts w:ascii="Arial;sans-serif" w:hAnsi="Arial;sans-serif"/>
          <w:b w:val="false"/>
          <w:sz w:val="20"/>
        </w:rPr>
      </w:pPr>
      <w:r>
        <w:rPr>
          <w:rFonts w:ascii="Arial;sans-serif" w:hAnsi="Arial;sans-serif"/>
          <w:b w:val="false"/>
          <w:sz w:val="20"/>
        </w:rPr>
        <w:t>Our reportable segments are described below.</w:t>
      </w:r>
    </w:p>
    <w:p>
      <w:pPr>
        <w:pStyle w:val="TextBody"/>
        <w:spacing w:before="270" w:after="0"/>
        <w:jc w:val="both"/>
        <w:rPr>
          <w:rFonts w:ascii="Arial;sans-serif" w:hAnsi="Arial;sans-serif"/>
          <w:b/>
          <w:sz w:val="20"/>
        </w:rPr>
      </w:pPr>
      <w:r>
        <w:rPr>
          <w:rFonts w:ascii="Arial;sans-serif" w:hAnsi="Arial;sans-serif"/>
          <w:b/>
          <w:sz w:val="20"/>
        </w:rPr>
        <w:t>Productivity and Business Processes</w:t>
      </w:r>
    </w:p>
    <w:p>
      <w:pPr>
        <w:pStyle w:val="TextBody"/>
        <w:spacing w:before="180" w:after="0"/>
        <w:jc w:val="both"/>
        <w:rPr>
          <w:rFonts w:ascii="Arial;sans-serif" w:hAnsi="Arial;sans-serif"/>
          <w:b w:val="false"/>
          <w:sz w:val="20"/>
        </w:rPr>
      </w:pPr>
      <w:r>
        <w:rPr>
          <w:rFonts w:ascii="Arial;sans-serif" w:hAnsi="Arial;sans-serif"/>
          <w:b w:val="false"/>
          <w:sz w:val="20"/>
        </w:rPr>
        <w:t>Our Productivity and Business Processes segment consists of products and services in our portfolio of productivity, communication, and information services, spanning a variety of devices and platforms. This segment primarily comprises:</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Office Commercial (Office 365 subscriptions, the Office 365 portion of Microsoft 365 Commercial subscriptions, and Office licensed on-premises), comprising Office, Exchange, SharePoint, Microsoft Teams, Office 365 Security and Compliance, and Microsoft Viva.</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Office Consumer, including Microsoft 365 Consumer subscriptions, Office licensed on-premises, and other Office services.</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LinkedIn, including Talent Solutions, Marketing Solutions, Premium Subscriptions, and Sales Solutions.</w:t>
      </w:r>
    </w:p>
    <w:p>
      <w:pPr>
        <w:pStyle w:val="TextBody"/>
        <w:spacing w:before="90" w:after="0"/>
        <w:jc w:val="both"/>
        <w:rPr/>
      </w:pPr>
      <w:r>
        <w:rPr/>
        <w:t>•</w:t>
      </w:r>
    </w:p>
    <w:p>
      <w:pPr>
        <w:pStyle w:val="TextBody"/>
        <w:spacing w:before="90" w:after="283"/>
        <w:jc w:val="both"/>
        <w:rPr>
          <w:rFonts w:ascii="Arial;sans-serif" w:hAnsi="Arial;sans-serif"/>
          <w:b w:val="false"/>
          <w:sz w:val="20"/>
        </w:rPr>
      </w:pPr>
      <w:r>
        <w:rPr>
          <w:rFonts w:ascii="Arial;sans-serif" w:hAnsi="Arial;sans-serif"/>
          <w:b w:val="false"/>
          <w:sz w:val="20"/>
        </w:rPr>
        <w:t>Dynamics business solutions, including Dynamics 365, comprising a set of intelligent, cloud-based applications across ERP, CRM, Customer Insights, Power Apps, and Power Automate; and on-premises ERP and CRM applications.</w:t>
      </w:r>
    </w:p>
    <w:p>
      <w:pPr>
        <w:pStyle w:val="TextBody"/>
        <w:spacing w:before="270" w:after="0"/>
        <w:jc w:val="both"/>
        <w:rPr>
          <w:rFonts w:ascii="Arial;sans-serif" w:hAnsi="Arial;sans-serif"/>
          <w:b/>
          <w:sz w:val="20"/>
        </w:rPr>
      </w:pPr>
      <w:r>
        <w:rPr>
          <w:rFonts w:ascii="Arial;sans-serif" w:hAnsi="Arial;sans-serif"/>
          <w:b/>
          <w:sz w:val="20"/>
        </w:rPr>
        <w:t>Intelligent Cloud</w:t>
      </w:r>
    </w:p>
    <w:p>
      <w:pPr>
        <w:pStyle w:val="TextBody"/>
        <w:spacing w:before="180" w:after="0"/>
        <w:jc w:val="both"/>
        <w:rPr>
          <w:rFonts w:ascii="Arial;sans-serif" w:hAnsi="Arial;sans-serif"/>
          <w:b w:val="false"/>
          <w:sz w:val="20"/>
        </w:rPr>
      </w:pPr>
      <w:r>
        <w:rPr>
          <w:rFonts w:ascii="Arial;sans-serif" w:hAnsi="Arial;sans-serif"/>
          <w:b w:val="false"/>
          <w:sz w:val="20"/>
        </w:rPr>
        <w:t>Our Intelligent Cloud segment consists of our public, private, and hybrid server products and cloud services that can power modern business and developers. This segment primarily comprises:</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Server products and cloud services, including Azure and other cloud services; SQL Server, Windows Server, Visual Studio, System Center, and related Client Access Licenses (“CALs”); and Nuance and GitHub.</w:t>
      </w:r>
    </w:p>
    <w:p>
      <w:pPr>
        <w:pStyle w:val="TextBody"/>
        <w:spacing w:before="90" w:after="0"/>
        <w:jc w:val="both"/>
        <w:rPr/>
      </w:pPr>
      <w:r>
        <w:rPr/>
        <w:t>•</w:t>
      </w:r>
    </w:p>
    <w:p>
      <w:pPr>
        <w:pStyle w:val="TextBody"/>
        <w:spacing w:before="90" w:after="283"/>
        <w:jc w:val="both"/>
        <w:rPr>
          <w:rFonts w:ascii="Arial;sans-serif" w:hAnsi="Arial;sans-serif"/>
          <w:b w:val="false"/>
          <w:sz w:val="20"/>
        </w:rPr>
      </w:pPr>
      <w:r>
        <w:rPr>
          <w:rFonts w:ascii="Arial;sans-serif" w:hAnsi="Arial;sans-serif"/>
          <w:b w:val="false"/>
          <w:sz w:val="20"/>
        </w:rPr>
        <w:t>Enterprise Services, including Enterprise Support Services, Microsoft Consulting Services, and Nuance professional services.</w:t>
      </w:r>
    </w:p>
    <w:p>
      <w:pPr>
        <w:pStyle w:val="TextBody"/>
        <w:spacing w:before="270" w:after="0"/>
        <w:jc w:val="both"/>
        <w:rPr>
          <w:rFonts w:ascii="Arial;sans-serif" w:hAnsi="Arial;sans-serif"/>
          <w:b/>
          <w:sz w:val="20"/>
        </w:rPr>
      </w:pPr>
      <w:r>
        <w:rPr>
          <w:rFonts w:ascii="Arial;sans-serif" w:hAnsi="Arial;sans-serif"/>
          <w:b/>
          <w:sz w:val="20"/>
        </w:rPr>
        <w:t>More Personal Computing</w:t>
      </w:r>
    </w:p>
    <w:p>
      <w:pPr>
        <w:pStyle w:val="TextBody"/>
        <w:spacing w:before="180" w:after="0"/>
        <w:jc w:val="both"/>
        <w:rPr>
          <w:rFonts w:ascii="Arial;sans-serif" w:hAnsi="Arial;sans-serif"/>
          <w:b w:val="false"/>
          <w:sz w:val="20"/>
        </w:rPr>
      </w:pPr>
      <w:r>
        <w:rPr>
          <w:rFonts w:ascii="Arial;sans-serif" w:hAnsi="Arial;sans-serif"/>
          <w:b w:val="false"/>
          <w:sz w:val="20"/>
        </w:rPr>
        <w:t>Our More Personal Computing segment consists of products and services that put customers at the center of the experience with our technology. This segment primarily comprises:</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Windows, including Windows original equipment manufacturer (“OEM”) licensing and other non-volume licensing of the Windows operating system; Windows Commercial, comprising volume licensing of the Windows operating system, Windows cloud services, and other Windows commercial offerings; patent licensing; and Windows Internet of Things.</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Devices, including Surface, HoloLens, and PC accessories.</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Gaming, including Xbox hardware and Xbox content and services, comprising first- and third-party content (including games and in-game content), Xbox Game Pass and other subscriptions, Xbox Cloud Gaming, third-party disc royalties, advertising, and other cloud services.</w:t>
      </w:r>
    </w:p>
    <w:p>
      <w:pPr>
        <w:pStyle w:val="TextBody"/>
        <w:spacing w:before="90" w:after="0"/>
        <w:jc w:val="both"/>
        <w:rPr/>
      </w:pPr>
      <w:r>
        <w:rPr/>
        <w:t>•</w:t>
      </w:r>
    </w:p>
    <w:p>
      <w:pPr>
        <w:pStyle w:val="TextBody"/>
        <w:spacing w:before="90" w:after="283"/>
        <w:jc w:val="both"/>
        <w:rPr>
          <w:rFonts w:ascii="Arial;sans-serif" w:hAnsi="Arial;sans-serif"/>
          <w:b w:val="false"/>
          <w:sz w:val="20"/>
        </w:rPr>
      </w:pPr>
      <w:r>
        <w:rPr>
          <w:rFonts w:ascii="Arial;sans-serif" w:hAnsi="Arial;sans-serif"/>
          <w:b w:val="false"/>
          <w:sz w:val="20"/>
        </w:rPr>
        <w:t>Search and news advertising, comprising Bing (including Chat), Microsoft News, Microsoft Edge, and third-party affiliates.</w:t>
      </w:r>
    </w:p>
    <w:p>
      <w:pPr>
        <w:pStyle w:val="TextBody"/>
        <w:spacing w:before="240" w:after="0"/>
        <w:jc w:val="center"/>
        <w:rPr>
          <w:rFonts w:ascii="Arial;sans-serif" w:hAnsi="Arial;sans-serif"/>
          <w:b w:val="false"/>
          <w:sz w:val="16"/>
        </w:rPr>
      </w:pPr>
      <w:r>
        <w:rPr>
          <w:rFonts w:ascii="Arial;sans-serif" w:hAnsi="Arial;sans-serif"/>
          <w:b w:val="false"/>
          <w:sz w:val="16"/>
        </w:rPr>
        <w:t>28</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w:t>
      </w:r>
    </w:p>
    <w:p>
      <w:pPr>
        <w:pStyle w:val="TextBody"/>
        <w:spacing w:before="0" w:after="0"/>
        <w:jc w:val="center"/>
        <w:rPr>
          <w:rFonts w:ascii="Arial;sans-serif" w:hAnsi="Arial;sans-serif"/>
          <w:b w:val="false"/>
          <w:sz w:val="15"/>
        </w:rPr>
      </w:pPr>
      <w:r>
        <w:rPr>
          <w:rFonts w:ascii="Arial;sans-serif" w:hAnsi="Arial;sans-serif"/>
          <w:b w:val="false"/>
          <w:sz w:val="15"/>
        </w:rPr>
        <w:t>Item 1</w:t>
      </w:r>
    </w:p>
    <w:p>
      <w:pPr>
        <w:pStyle w:val="TextBody"/>
        <w:spacing w:before="0" w:after="0"/>
        <w:jc w:val="left"/>
        <w:rPr/>
      </w:pPr>
      <w:r>
        <w:rPr/>
        <w:t> </w:t>
      </w:r>
    </w:p>
    <w:p>
      <w:pPr>
        <w:pStyle w:val="TextBody"/>
        <w:spacing w:before="180" w:after="0"/>
        <w:jc w:val="both"/>
        <w:rPr>
          <w:rFonts w:ascii="Arial;sans-serif" w:hAnsi="Arial;sans-serif"/>
          <w:b w:val="false"/>
          <w:sz w:val="20"/>
        </w:rPr>
      </w:pPr>
      <w:r>
        <w:rPr>
          <w:rFonts w:ascii="Arial;sans-serif" w:hAnsi="Arial;sans-serif"/>
          <w:b w:val="false"/>
          <w:sz w:val="20"/>
        </w:rPr>
        <w:t>Revenue and costs are generally directly attributed to our segments. However, due to the integrated structure of our business, certain revenue recognized and costs incurred by one segment may benefit other segments. Revenue from certain contracts is allocated among the segments based on the relative value of the underlying products and services, which can include allocation based on actual prices charged, prices when sold separately, or estimated costs plus a profit margin. Cost of revenue is allocated in certain cases based on a relative revenue methodology. Operating expenses that are allocated primarily include those relating to marketing of products and services from which multiple segments benefit and are generally allocated based on relative gross margin.</w:t>
      </w:r>
    </w:p>
    <w:p>
      <w:pPr>
        <w:pStyle w:val="TextBody"/>
        <w:spacing w:before="180" w:after="0"/>
        <w:jc w:val="both"/>
        <w:rPr>
          <w:rFonts w:ascii="Arial;sans-serif" w:hAnsi="Arial;sans-serif"/>
          <w:b w:val="false"/>
          <w:sz w:val="20"/>
        </w:rPr>
      </w:pPr>
      <w:r>
        <w:rPr>
          <w:rFonts w:ascii="Arial;sans-serif" w:hAnsi="Arial;sans-serif"/>
          <w:b w:val="false"/>
          <w:sz w:val="20"/>
        </w:rPr>
        <w:t>In addition, certain costs are incurred at a corporate level and allocated to our segments. These allocated costs generally include legal, including settlements and fines, information technology, human resources, finance, excise taxes, field selling, shared facilities services, customer service and support, and severance incurred as part of a corporate program. Each allocation is measured differently based on the specific facts and circumstances of the costs being allocated and is generally based on relative gross margin or relative headcount.</w:t>
      </w:r>
    </w:p>
    <w:p>
      <w:pPr>
        <w:pStyle w:val="TextBody"/>
        <w:spacing w:before="180" w:after="0"/>
        <w:jc w:val="both"/>
        <w:rPr>
          <w:rFonts w:ascii="Arial;sans-serif" w:hAnsi="Arial;sans-serif"/>
          <w:b w:val="false"/>
          <w:sz w:val="20"/>
        </w:rPr>
      </w:pPr>
      <w:r>
        <w:rPr>
          <w:rFonts w:ascii="Arial;sans-serif" w:hAnsi="Arial;sans-serif"/>
          <w:b w:val="false"/>
          <w:sz w:val="20"/>
        </w:rPr>
        <w:t>Segment revenue and operating income were as follows during the periods presented:</w:t>
      </w:r>
    </w:p>
    <w:p>
      <w:pPr>
        <w:pStyle w:val="TextBody"/>
        <w:spacing w:before="0" w:after="0"/>
        <w:jc w:val="left"/>
        <w:rPr/>
      </w:pPr>
      <w:r>
        <w:rPr/>
        <w:t> </w:t>
      </w:r>
    </w:p>
    <w:tbl>
      <w:tblPr>
        <w:tblW w:w="8556" w:type="dxa"/>
        <w:jc w:val="left"/>
        <w:tblInd w:w="0" w:type="dxa"/>
        <w:tblCellMar>
          <w:top w:w="28" w:type="dxa"/>
          <w:left w:w="28" w:type="dxa"/>
          <w:bottom w:w="28" w:type="dxa"/>
          <w:right w:w="28" w:type="dxa"/>
        </w:tblCellMar>
      </w:tblPr>
      <w:tblGrid>
        <w:gridCol w:w="3391"/>
        <w:gridCol w:w="109"/>
        <w:gridCol w:w="211"/>
        <w:gridCol w:w="691"/>
        <w:gridCol w:w="146"/>
        <w:gridCol w:w="109"/>
        <w:gridCol w:w="211"/>
        <w:gridCol w:w="691"/>
        <w:gridCol w:w="146"/>
        <w:gridCol w:w="146"/>
        <w:gridCol w:w="211"/>
        <w:gridCol w:w="796"/>
        <w:gridCol w:w="146"/>
        <w:gridCol w:w="109"/>
        <w:gridCol w:w="211"/>
        <w:gridCol w:w="796"/>
        <w:gridCol w:w="436"/>
      </w:tblGrid>
      <w:tr>
        <w:trPr/>
        <w:tc>
          <w:tcPr>
            <w:tcW w:w="339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9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96" w:type="dxa"/>
            <w:tcBorders/>
            <w:shd w:fill="FFFFFF" w:val="clear"/>
            <w:vAlign w:val="center"/>
          </w:tcPr>
          <w:p>
            <w:pPr>
              <w:pStyle w:val="TableContents"/>
              <w:spacing w:before="0" w:after="283"/>
              <w:rPr>
                <w:sz w:val="4"/>
                <w:szCs w:val="4"/>
              </w:rPr>
            </w:pPr>
            <w:r>
              <w:rPr>
                <w:sz w:val="4"/>
                <w:szCs w:val="4"/>
              </w:rPr>
            </w:r>
          </w:p>
        </w:tc>
        <w:tc>
          <w:tcPr>
            <w:tcW w:w="436" w:type="dxa"/>
            <w:tcBorders/>
            <w:shd w:fill="FFFFFF" w:val="clear"/>
            <w:vAlign w:val="center"/>
          </w:tcPr>
          <w:p>
            <w:pPr>
              <w:pStyle w:val="TableContents"/>
              <w:spacing w:before="0" w:after="283"/>
              <w:rPr>
                <w:sz w:val="4"/>
                <w:szCs w:val="4"/>
              </w:rPr>
            </w:pPr>
            <w:r>
              <w:rPr>
                <w:sz w:val="4"/>
                <w:szCs w:val="4"/>
              </w:rPr>
            </w:r>
          </w:p>
        </w:tc>
      </w:tr>
      <w:tr>
        <w:trPr/>
        <w:tc>
          <w:tcPr>
            <w:tcW w:w="3391"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(In millions)</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059" w:type="dxa"/>
            <w:gridSpan w:val="6"/>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Three Months Ended</w:t>
            </w:r>
          </w:p>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269" w:type="dxa"/>
            <w:gridSpan w:val="6"/>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Nine Months Ended</w:t>
            </w:r>
          </w:p>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339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205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226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391"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059" w:type="dxa"/>
            <w:gridSpan w:val="6"/>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269" w:type="dxa"/>
            <w:gridSpan w:val="6"/>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3391"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902" w:type="dxa"/>
            <w:gridSpan w:val="2"/>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902" w:type="dxa"/>
            <w:gridSpan w:val="2"/>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07" w:type="dxa"/>
            <w:gridSpan w:val="2"/>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07" w:type="dxa"/>
            <w:gridSpan w:val="2"/>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3391"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902" w:type="dxa"/>
            <w:gridSpan w:val="2"/>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902" w:type="dxa"/>
            <w:gridSpan w:val="2"/>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07" w:type="dxa"/>
            <w:gridSpan w:val="2"/>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07" w:type="dxa"/>
            <w:gridSpan w:val="2"/>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36" w:type="dxa"/>
            <w:tcBorders/>
            <w:shd w:fill="auto" w:val="clear"/>
            <w:vAlign w:val="center"/>
          </w:tcPr>
          <w:p>
            <w:pPr>
              <w:pStyle w:val="TableContents"/>
              <w:spacing w:before="0" w:after="0"/>
              <w:ind w:left="0" w:right="0" w:hanging="0"/>
              <w:jc w:val="left"/>
              <w:rPr/>
            </w:pPr>
            <w:r>
              <w:rPr/>
              <w:t> </w:t>
            </w:r>
          </w:p>
        </w:tc>
      </w:tr>
      <w:tr>
        <w:trPr/>
        <w:tc>
          <w:tcPr>
            <w:tcW w:w="5559" w:type="dxa"/>
            <w:gridSpan w:val="8"/>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Revenue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283"/>
              <w:ind w:left="0" w:right="0" w:hanging="0"/>
              <w:rPr>
                <w:sz w:val="4"/>
                <w:szCs w:val="4"/>
              </w:rPr>
            </w:pPr>
            <w:r>
              <w:rPr>
                <w:sz w:val="4"/>
                <w:szCs w:val="4"/>
              </w:rPr>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3391" w:type="dxa"/>
            <w:tcBorders/>
            <w:shd w:fill="auto" w:val="clear"/>
            <w:vAlign w:val="center"/>
          </w:tcPr>
          <w:p>
            <w:pPr>
              <w:pStyle w:val="TableContents"/>
              <w:spacing w:before="0" w:after="283"/>
              <w:ind w:left="0" w:right="0" w:hanging="0"/>
              <w:rPr>
                <w:sz w:val="4"/>
                <w:szCs w:val="4"/>
              </w:rPr>
            </w:pPr>
            <w:r>
              <w:rPr>
                <w:sz w:val="4"/>
                <w:szCs w:val="4"/>
              </w:rPr>
            </w:r>
          </w:p>
        </w:tc>
        <w:tc>
          <w:tcPr>
            <w:tcW w:w="1157" w:type="dxa"/>
            <w:gridSpan w:val="4"/>
            <w:tcBorders/>
            <w:shd w:fill="auto" w:val="clear"/>
            <w:vAlign w:val="center"/>
          </w:tcPr>
          <w:p>
            <w:pPr>
              <w:pStyle w:val="TableContents"/>
              <w:spacing w:before="0" w:after="0"/>
              <w:ind w:left="0" w:right="0" w:hanging="0"/>
              <w:jc w:val="left"/>
              <w:rPr/>
            </w:pPr>
            <w:r>
              <w:rPr/>
              <w:t> </w:t>
            </w:r>
          </w:p>
        </w:tc>
        <w:tc>
          <w:tcPr>
            <w:tcW w:w="1157" w:type="dxa"/>
            <w:gridSpan w:val="4"/>
            <w:tcBorders/>
            <w:shd w:fill="auto" w:val="clear"/>
            <w:vAlign w:val="center"/>
          </w:tcPr>
          <w:p>
            <w:pPr>
              <w:pStyle w:val="TableContents"/>
              <w:spacing w:before="0" w:after="0"/>
              <w:ind w:left="0" w:right="0" w:hanging="0"/>
              <w:jc w:val="left"/>
              <w:rPr/>
            </w:pPr>
            <w:r>
              <w:rPr/>
              <w:t> </w:t>
            </w:r>
          </w:p>
        </w:tc>
        <w:tc>
          <w:tcPr>
            <w:tcW w:w="1299" w:type="dxa"/>
            <w:gridSpan w:val="4"/>
            <w:tcBorders/>
            <w:shd w:fill="auto" w:val="clear"/>
            <w:vAlign w:val="center"/>
          </w:tcPr>
          <w:p>
            <w:pPr>
              <w:pStyle w:val="TableContents"/>
              <w:spacing w:before="0" w:after="0"/>
              <w:ind w:left="0" w:right="0" w:hanging="0"/>
              <w:jc w:val="left"/>
              <w:rPr/>
            </w:pPr>
            <w:r>
              <w:rPr/>
              <w:t> </w:t>
            </w:r>
          </w:p>
        </w:tc>
        <w:tc>
          <w:tcPr>
            <w:tcW w:w="1552" w:type="dxa"/>
            <w:gridSpan w:val="4"/>
            <w:tcBorders/>
            <w:shd w:fill="auto" w:val="clear"/>
            <w:vAlign w:val="center"/>
          </w:tcPr>
          <w:p>
            <w:pPr>
              <w:pStyle w:val="TableContents"/>
              <w:spacing w:before="0" w:after="0"/>
              <w:ind w:left="0" w:right="0" w:hanging="0"/>
              <w:jc w:val="left"/>
              <w:rPr/>
            </w:pPr>
            <w:r>
              <w:rPr/>
              <w:t> </w:t>
            </w:r>
          </w:p>
        </w:tc>
      </w:tr>
      <w:tr>
        <w:trPr/>
        <w:tc>
          <w:tcPr>
            <w:tcW w:w="33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Productivity and Business Processes</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17,516</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15,789</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50,983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46,764</w:t>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33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Intelligent Cloud</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22,081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18,987</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63,914</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54,161</w:t>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33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More Personal Computing</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13,260</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14,584</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40,829</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45,480</w:t>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4402" w:type="dxa"/>
            <w:gridSpan w:val="4"/>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402" w:type="dxa"/>
            <w:gridSpan w:val="4"/>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firstLine="245"/>
              <w:jc w:val="left"/>
              <w:rPr/>
            </w:pPr>
            <w:r>
              <w:rPr/>
              <w:t> </w:t>
            </w:r>
          </w:p>
        </w:tc>
      </w:tr>
      <w:tr>
        <w:trPr/>
        <w:tc>
          <w:tcPr>
            <w:tcW w:w="3391"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Total</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52,857</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49,360</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155,726</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146,405</w:t>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3391"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796"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796"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43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559" w:type="dxa"/>
            <w:gridSpan w:val="8"/>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5559" w:type="dxa"/>
            <w:gridSpan w:val="8"/>
            <w:tcBorders/>
            <w:shd w:fill="auto" w:val="clear"/>
            <w:vAlign w:val="center"/>
          </w:tcPr>
          <w:p>
            <w:pPr>
              <w:pStyle w:val="TableContents"/>
              <w:spacing w:before="0" w:after="0"/>
              <w:ind w:left="0" w:right="0" w:hanging="0"/>
              <w:jc w:val="left"/>
              <w:rPr>
                <w:rFonts w:ascii="Times New Roman" w:hAnsi="Times New Roman"/>
                <w:sz w:val="15"/>
              </w:rPr>
            </w:pPr>
            <w:r>
              <w:rPr>
                <w:rFonts w:ascii="Arial;sans-serif" w:hAnsi="Arial;sans-serif"/>
                <w:b/>
                <w:sz w:val="15"/>
              </w:rPr>
              <w:t>Operating Income</w:t>
            </w:r>
            <w:r>
              <w:rPr>
                <w:rFonts w:ascii="Times New Roman" w:hAnsi="Times New Roman"/>
                <w:sz w:val="15"/>
              </w:rPr>
              <w:t xml:space="preserve">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283"/>
              <w:ind w:left="0" w:right="0" w:hanging="0"/>
              <w:rPr>
                <w:sz w:val="4"/>
                <w:szCs w:val="4"/>
              </w:rPr>
            </w:pPr>
            <w:r>
              <w:rPr>
                <w:sz w:val="4"/>
                <w:szCs w:val="4"/>
              </w:rPr>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3391" w:type="dxa"/>
            <w:tcBorders/>
            <w:shd w:fill="auto" w:val="clear"/>
            <w:vAlign w:val="center"/>
          </w:tcPr>
          <w:p>
            <w:pPr>
              <w:pStyle w:val="TableContents"/>
              <w:spacing w:before="0" w:after="283"/>
              <w:ind w:left="0" w:right="0" w:hanging="0"/>
              <w:rPr>
                <w:sz w:val="4"/>
                <w:szCs w:val="4"/>
              </w:rPr>
            </w:pPr>
            <w:r>
              <w:rPr>
                <w:sz w:val="4"/>
                <w:szCs w:val="4"/>
              </w:rPr>
            </w:r>
          </w:p>
        </w:tc>
        <w:tc>
          <w:tcPr>
            <w:tcW w:w="1157" w:type="dxa"/>
            <w:gridSpan w:val="4"/>
            <w:tcBorders/>
            <w:shd w:fill="auto" w:val="clear"/>
            <w:vAlign w:val="center"/>
          </w:tcPr>
          <w:p>
            <w:pPr>
              <w:pStyle w:val="TableContents"/>
              <w:spacing w:before="0" w:after="0"/>
              <w:ind w:left="0" w:right="0" w:hanging="0"/>
              <w:jc w:val="left"/>
              <w:rPr/>
            </w:pPr>
            <w:r>
              <w:rPr/>
              <w:t> </w:t>
            </w:r>
          </w:p>
        </w:tc>
        <w:tc>
          <w:tcPr>
            <w:tcW w:w="1157" w:type="dxa"/>
            <w:gridSpan w:val="4"/>
            <w:tcBorders/>
            <w:shd w:fill="auto" w:val="clear"/>
            <w:vAlign w:val="center"/>
          </w:tcPr>
          <w:p>
            <w:pPr>
              <w:pStyle w:val="TableContents"/>
              <w:spacing w:before="0" w:after="0"/>
              <w:ind w:left="0" w:right="0" w:hanging="0"/>
              <w:jc w:val="left"/>
              <w:rPr/>
            </w:pPr>
            <w:r>
              <w:rPr/>
              <w:t> </w:t>
            </w:r>
          </w:p>
        </w:tc>
        <w:tc>
          <w:tcPr>
            <w:tcW w:w="1299" w:type="dxa"/>
            <w:gridSpan w:val="4"/>
            <w:tcBorders/>
            <w:shd w:fill="auto" w:val="clear"/>
            <w:vAlign w:val="center"/>
          </w:tcPr>
          <w:p>
            <w:pPr>
              <w:pStyle w:val="TableContents"/>
              <w:spacing w:before="0" w:after="0"/>
              <w:ind w:left="0" w:right="0" w:hanging="0"/>
              <w:jc w:val="left"/>
              <w:rPr/>
            </w:pPr>
            <w:r>
              <w:rPr/>
              <w:t> </w:t>
            </w:r>
          </w:p>
        </w:tc>
        <w:tc>
          <w:tcPr>
            <w:tcW w:w="1552" w:type="dxa"/>
            <w:gridSpan w:val="4"/>
            <w:tcBorders/>
            <w:shd w:fill="auto" w:val="clear"/>
            <w:vAlign w:val="center"/>
          </w:tcPr>
          <w:p>
            <w:pPr>
              <w:pStyle w:val="TableContents"/>
              <w:spacing w:before="0" w:after="0"/>
              <w:ind w:left="0" w:right="0" w:hanging="0"/>
              <w:jc w:val="left"/>
              <w:rPr/>
            </w:pPr>
            <w:r>
              <w:rPr/>
              <w:t> </w:t>
            </w:r>
          </w:p>
        </w:tc>
      </w:tr>
      <w:tr>
        <w:trPr/>
        <w:tc>
          <w:tcPr>
            <w:tcW w:w="33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Productivity and Business Processes</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8,639</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7,185</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25,137</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22,454</w:t>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33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Intelligent Cloud</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9,476</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8,391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27,358</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24,395</w:t>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33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More Personal Computing</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4,237</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4,788</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11,774</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16,000</w:t>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339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391"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firstLine="245"/>
              <w:jc w:val="left"/>
              <w:rPr/>
            </w:pPr>
            <w:r>
              <w:rPr/>
              <w:t> </w:t>
            </w:r>
          </w:p>
        </w:tc>
      </w:tr>
      <w:tr>
        <w:trPr/>
        <w:tc>
          <w:tcPr>
            <w:tcW w:w="3391" w:type="dxa"/>
            <w:tcBorders/>
            <w:shd w:fill="auto" w:val="clear"/>
            <w:vAlign w:val="center"/>
          </w:tcPr>
          <w:p>
            <w:pPr>
              <w:pStyle w:val="TableContents"/>
              <w:spacing w:before="0" w:after="0"/>
              <w:ind w:left="245" w:right="0" w:hanging="0"/>
              <w:jc w:val="left"/>
              <w:rPr>
                <w:rFonts w:ascii="Times New Roman" w:hAnsi="Times New Roman"/>
                <w:sz w:val="20"/>
              </w:rPr>
            </w:pPr>
            <w:r>
              <w:rPr>
                <w:rFonts w:ascii="Arial;sans-serif" w:hAnsi="Arial;sans-serif"/>
                <w:b w:val="false"/>
                <w:sz w:val="20"/>
              </w:rPr>
              <w:t>Total</w:t>
            </w:r>
            <w:r>
              <w:rPr>
                <w:rFonts w:ascii="Times New Roman" w:hAnsi="Times New Roman"/>
                <w:sz w:val="20"/>
              </w:rPr>
              <w:t xml:space="preserve">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22,352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20,364</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64,269</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62,849</w:t>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3391"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796"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796"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43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both"/>
        <w:rPr/>
      </w:pPr>
      <w:r>
        <w:rPr/>
        <w:t> </w:t>
      </w:r>
    </w:p>
    <w:p>
      <w:pPr>
        <w:pStyle w:val="TextBody"/>
        <w:spacing w:before="0" w:after="0"/>
        <w:jc w:val="both"/>
        <w:rPr>
          <w:rFonts w:ascii="Times New Roman" w:hAnsi="Times New Roman"/>
          <w:sz w:val="20"/>
        </w:rPr>
      </w:pPr>
      <w:r>
        <w:rPr>
          <w:rFonts w:ascii="Arial;sans-serif" w:hAnsi="Arial;sans-serif"/>
          <w:b w:val="false"/>
          <w:sz w:val="20"/>
        </w:rPr>
        <w:t>No sales to an individual customer or country other than the United States accounted for more than 10% of revenue for the three or nine months ended March 31, 2023 or 2022.</w:t>
      </w:r>
      <w:r>
        <w:rPr>
          <w:rFonts w:ascii="Times New Roman" w:hAnsi="Times New Roman"/>
          <w:sz w:val="20"/>
        </w:rPr>
        <w:t xml:space="preserve"> </w:t>
      </w:r>
      <w:r>
        <w:rPr>
          <w:rFonts w:ascii="Arial;sans-serif" w:hAnsi="Arial;sans-serif"/>
          <w:b w:val="false"/>
          <w:sz w:val="20"/>
        </w:rPr>
        <w:t>Revenue, classified by the major geographic areas in which our customers were located, was as follows:</w:t>
      </w:r>
    </w:p>
    <w:p>
      <w:pPr>
        <w:pStyle w:val="TextBody"/>
        <w:spacing w:before="0" w:after="0"/>
        <w:jc w:val="both"/>
        <w:rPr/>
      </w:pPr>
      <w:r>
        <w:rPr/>
        <w:t> </w:t>
      </w:r>
    </w:p>
    <w:tbl>
      <w:tblPr>
        <w:tblW w:w="6659" w:type="dxa"/>
        <w:jc w:val="left"/>
        <w:tblInd w:w="0" w:type="dxa"/>
        <w:tblCellMar>
          <w:top w:w="28" w:type="dxa"/>
          <w:left w:w="28" w:type="dxa"/>
          <w:bottom w:w="28" w:type="dxa"/>
          <w:right w:w="28" w:type="dxa"/>
        </w:tblCellMar>
      </w:tblPr>
      <w:tblGrid>
        <w:gridCol w:w="1531"/>
        <w:gridCol w:w="109"/>
        <w:gridCol w:w="211"/>
        <w:gridCol w:w="691"/>
        <w:gridCol w:w="146"/>
        <w:gridCol w:w="109"/>
        <w:gridCol w:w="211"/>
        <w:gridCol w:w="691"/>
        <w:gridCol w:w="146"/>
        <w:gridCol w:w="109"/>
        <w:gridCol w:w="211"/>
        <w:gridCol w:w="796"/>
        <w:gridCol w:w="146"/>
        <w:gridCol w:w="109"/>
        <w:gridCol w:w="211"/>
        <w:gridCol w:w="796"/>
        <w:gridCol w:w="436"/>
      </w:tblGrid>
      <w:tr>
        <w:trPr/>
        <w:tc>
          <w:tcPr>
            <w:tcW w:w="153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9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96" w:type="dxa"/>
            <w:tcBorders/>
            <w:shd w:fill="FFFFFF" w:val="clear"/>
            <w:vAlign w:val="center"/>
          </w:tcPr>
          <w:p>
            <w:pPr>
              <w:pStyle w:val="TableContents"/>
              <w:spacing w:before="0" w:after="283"/>
              <w:rPr>
                <w:sz w:val="4"/>
                <w:szCs w:val="4"/>
              </w:rPr>
            </w:pPr>
            <w:r>
              <w:rPr>
                <w:sz w:val="4"/>
                <w:szCs w:val="4"/>
              </w:rPr>
            </w:r>
          </w:p>
        </w:tc>
        <w:tc>
          <w:tcPr>
            <w:tcW w:w="436" w:type="dxa"/>
            <w:tcBorders/>
            <w:shd w:fill="FFFFFF" w:val="clear"/>
            <w:vAlign w:val="center"/>
          </w:tcPr>
          <w:p>
            <w:pPr>
              <w:pStyle w:val="TableContents"/>
              <w:spacing w:before="0" w:after="283"/>
              <w:rPr>
                <w:sz w:val="4"/>
                <w:szCs w:val="4"/>
              </w:rPr>
            </w:pPr>
            <w:r>
              <w:rPr>
                <w:sz w:val="4"/>
                <w:szCs w:val="4"/>
              </w:rPr>
            </w:r>
          </w:p>
        </w:tc>
      </w:tr>
      <w:tr>
        <w:trPr/>
        <w:tc>
          <w:tcPr>
            <w:tcW w:w="15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(In millions)</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059" w:type="dxa"/>
            <w:gridSpan w:val="6"/>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Three Months Ended</w:t>
            </w:r>
          </w:p>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269" w:type="dxa"/>
            <w:gridSpan w:val="6"/>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Nine Months Ended</w:t>
            </w:r>
          </w:p>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tc>
        <w:tc>
          <w:tcPr>
            <w:tcW w:w="4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6223" w:type="dxa"/>
            <w:gridSpan w:val="16"/>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53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157" w:type="dxa"/>
            <w:gridSpan w:val="4"/>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157" w:type="dxa"/>
            <w:gridSpan w:val="4"/>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262" w:type="dxa"/>
            <w:gridSpan w:val="4"/>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552" w:type="dxa"/>
            <w:gridSpan w:val="4"/>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5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02" w:type="dxa"/>
            <w:gridSpan w:val="2"/>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02" w:type="dxa"/>
            <w:gridSpan w:val="2"/>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07" w:type="dxa"/>
            <w:gridSpan w:val="2"/>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07" w:type="dxa"/>
            <w:gridSpan w:val="2"/>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4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53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157" w:type="dxa"/>
            <w:gridSpan w:val="4"/>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157" w:type="dxa"/>
            <w:gridSpan w:val="4"/>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262" w:type="dxa"/>
            <w:gridSpan w:val="4"/>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552" w:type="dxa"/>
            <w:gridSpan w:val="4"/>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5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 xml:space="preserve">United States </w:t>
            </w:r>
            <w:r>
              <w:rPr>
                <w:rFonts w:ascii="Arial;sans-serif" w:hAnsi="Arial;sans-serif"/>
                <w:b w:val="false"/>
                <w:sz w:val="13"/>
              </w:rPr>
              <w:t>(a)</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26,007</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24,771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9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78,850</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74,064</w:t>
            </w:r>
          </w:p>
        </w:tc>
        <w:tc>
          <w:tcPr>
            <w:tcW w:w="4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5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Other countries</w:t>
            </w:r>
            <w:r>
              <w:rPr>
                <w:rFonts w:ascii="Times New Roman" w:hAnsi="Times New Roman"/>
                <w:sz w:val="20"/>
              </w:rPr>
              <w:t xml:space="preserve"> </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26,850</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24,589</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9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76,876</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9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72,341</w:t>
            </w:r>
          </w:p>
        </w:tc>
        <w:tc>
          <w:tcPr>
            <w:tcW w:w="4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2542" w:type="dxa"/>
            <w:gridSpan w:val="4"/>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542" w:type="dxa"/>
            <w:gridSpan w:val="4"/>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9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9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9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36" w:type="dxa"/>
            <w:tcBorders/>
            <w:shd w:fill="auto" w:val="clear"/>
            <w:tcMar>
              <w:top w:w="0" w:type="dxa"/>
              <w:left w:w="0" w:type="dxa"/>
              <w:bottom w:w="0" w:type="dxa"/>
              <w:right w:w="0" w:type="dxa"/>
            </w:tcMar>
            <w:vAlign w:val="center"/>
          </w:tcPr>
          <w:p>
            <w:pPr>
              <w:pStyle w:val="TableContents"/>
              <w:spacing w:before="0" w:after="0"/>
              <w:ind w:left="0" w:right="0" w:firstLine="245"/>
              <w:jc w:val="left"/>
              <w:rPr/>
            </w:pPr>
            <w:r>
              <w:rPr/>
              <w:t> </w:t>
            </w:r>
          </w:p>
        </w:tc>
      </w:tr>
      <w:tr>
        <w:trPr/>
        <w:tc>
          <w:tcPr>
            <w:tcW w:w="1531" w:type="dxa"/>
            <w:tcBorders/>
            <w:shd w:fill="auto" w:val="clear"/>
            <w:tcMar>
              <w:top w:w="0" w:type="dxa"/>
              <w:left w:w="0" w:type="dxa"/>
              <w:bottom w:w="0" w:type="dxa"/>
              <w:right w:w="0" w:type="dxa"/>
            </w:tcM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Total</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52,857</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49,360</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9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155,726</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146,405</w:t>
            </w:r>
          </w:p>
        </w:tc>
        <w:tc>
          <w:tcPr>
            <w:tcW w:w="4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53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796"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796"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43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both"/>
        <w:rPr>
          <w:rFonts w:ascii="Arial" w:hAnsi="Arial"/>
          <w:b w:val="false"/>
          <w:sz w:val="20"/>
        </w:rPr>
      </w:pPr>
      <w:r>
        <w:rPr>
          <w:rFonts w:ascii="Arial" w:hAnsi="Arial"/>
          <w:b w:val="false"/>
          <w:sz w:val="20"/>
        </w:rPr>
        <w:t>(a)</w:t>
      </w:r>
    </w:p>
    <w:p>
      <w:pPr>
        <w:pStyle w:val="TextBody"/>
        <w:jc w:val="both"/>
        <w:rPr>
          <w:rFonts w:ascii="Arial;sans-serif" w:hAnsi="Arial;sans-serif"/>
          <w:b w:val="false"/>
          <w:i/>
          <w:sz w:val="20"/>
        </w:rPr>
      </w:pPr>
      <w:r>
        <w:rPr>
          <w:rFonts w:ascii="Arial;sans-serif" w:hAnsi="Arial;sans-serif"/>
          <w:b w:val="false"/>
          <w:i/>
          <w:sz w:val="20"/>
        </w:rPr>
        <w:t>Includes billings to OEMs and certain multinational organizations because of the nature of these businesses and the impracticability of determining the geographic source of the revenue.</w:t>
      </w:r>
    </w:p>
    <w:p>
      <w:pPr>
        <w:pStyle w:val="TextBody"/>
        <w:spacing w:before="240" w:after="0"/>
        <w:jc w:val="center"/>
        <w:rPr>
          <w:rFonts w:ascii="Arial;sans-serif" w:hAnsi="Arial;sans-serif"/>
          <w:b w:val="false"/>
          <w:sz w:val="16"/>
        </w:rPr>
      </w:pPr>
      <w:r>
        <w:rPr>
          <w:rFonts w:ascii="Arial;sans-serif" w:hAnsi="Arial;sans-serif"/>
          <w:b w:val="false"/>
          <w:sz w:val="16"/>
        </w:rPr>
        <w:t>29</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w:t>
      </w:r>
    </w:p>
    <w:p>
      <w:pPr>
        <w:pStyle w:val="TextBody"/>
        <w:spacing w:before="0" w:after="0"/>
        <w:jc w:val="center"/>
        <w:rPr>
          <w:rFonts w:ascii="Arial;sans-serif" w:hAnsi="Arial;sans-serif"/>
          <w:b w:val="false"/>
          <w:sz w:val="15"/>
        </w:rPr>
      </w:pPr>
      <w:r>
        <w:rPr>
          <w:rFonts w:ascii="Arial;sans-serif" w:hAnsi="Arial;sans-serif"/>
          <w:b w:val="false"/>
          <w:sz w:val="15"/>
        </w:rPr>
        <w:t>Item 1</w:t>
      </w:r>
    </w:p>
    <w:p>
      <w:pPr>
        <w:pStyle w:val="TextBody"/>
        <w:spacing w:before="0" w:after="0"/>
        <w:jc w:val="left"/>
        <w:rPr/>
      </w:pPr>
      <w:r>
        <w:rPr/>
        <w:t> </w:t>
      </w:r>
    </w:p>
    <w:p>
      <w:pPr>
        <w:pStyle w:val="TextBody"/>
        <w:spacing w:before="180" w:after="0"/>
        <w:jc w:val="both"/>
        <w:rPr>
          <w:rFonts w:ascii="Arial;sans-serif" w:hAnsi="Arial;sans-serif"/>
          <w:b w:val="false"/>
          <w:sz w:val="20"/>
        </w:rPr>
      </w:pPr>
      <w:r>
        <w:rPr>
          <w:rFonts w:ascii="Arial;sans-serif" w:hAnsi="Arial;sans-serif"/>
          <w:b w:val="false"/>
          <w:sz w:val="20"/>
        </w:rPr>
        <w:t>Revenue, classified by significant product and service offerings, was as follows:</w:t>
      </w:r>
    </w:p>
    <w:p>
      <w:pPr>
        <w:pStyle w:val="TextBody"/>
        <w:spacing w:before="0" w:after="0"/>
        <w:jc w:val="left"/>
        <w:rPr/>
      </w:pPr>
      <w:r>
        <w:rPr/>
        <w:t> </w:t>
      </w:r>
    </w:p>
    <w:tbl>
      <w:tblPr>
        <w:tblW w:w="8571" w:type="dxa"/>
        <w:jc w:val="left"/>
        <w:tblInd w:w="0" w:type="dxa"/>
        <w:tblCellMar>
          <w:top w:w="28" w:type="dxa"/>
          <w:left w:w="28" w:type="dxa"/>
          <w:bottom w:w="28" w:type="dxa"/>
          <w:right w:w="28" w:type="dxa"/>
        </w:tblCellMar>
      </w:tblPr>
      <w:tblGrid>
        <w:gridCol w:w="3196"/>
        <w:gridCol w:w="146"/>
        <w:gridCol w:w="211"/>
        <w:gridCol w:w="691"/>
        <w:gridCol w:w="146"/>
        <w:gridCol w:w="146"/>
        <w:gridCol w:w="211"/>
        <w:gridCol w:w="691"/>
        <w:gridCol w:w="146"/>
        <w:gridCol w:w="146"/>
        <w:gridCol w:w="211"/>
        <w:gridCol w:w="264"/>
        <w:gridCol w:w="264"/>
        <w:gridCol w:w="268"/>
        <w:gridCol w:w="157"/>
        <w:gridCol w:w="157"/>
        <w:gridCol w:w="227"/>
        <w:gridCol w:w="857"/>
        <w:gridCol w:w="436"/>
      </w:tblGrid>
      <w:tr>
        <w:trPr/>
        <w:tc>
          <w:tcPr>
            <w:tcW w:w="319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264" w:type="dxa"/>
            <w:tcBorders/>
            <w:shd w:fill="FFFFFF" w:val="clear"/>
            <w:vAlign w:val="center"/>
          </w:tcPr>
          <w:p>
            <w:pPr>
              <w:pStyle w:val="TableContents"/>
              <w:spacing w:before="0" w:after="283"/>
              <w:rPr>
                <w:sz w:val="4"/>
                <w:szCs w:val="4"/>
              </w:rPr>
            </w:pPr>
            <w:r>
              <w:rPr>
                <w:sz w:val="4"/>
                <w:szCs w:val="4"/>
              </w:rPr>
            </w:r>
          </w:p>
        </w:tc>
        <w:tc>
          <w:tcPr>
            <w:tcW w:w="264" w:type="dxa"/>
            <w:tcBorders/>
            <w:shd w:fill="FFFFFF" w:val="clear"/>
            <w:vAlign w:val="center"/>
          </w:tcPr>
          <w:p>
            <w:pPr>
              <w:pStyle w:val="TableContents"/>
              <w:spacing w:before="0" w:after="283"/>
              <w:rPr>
                <w:sz w:val="4"/>
                <w:szCs w:val="4"/>
              </w:rPr>
            </w:pPr>
            <w:r>
              <w:rPr>
                <w:sz w:val="4"/>
                <w:szCs w:val="4"/>
              </w:rPr>
            </w:r>
          </w:p>
        </w:tc>
        <w:tc>
          <w:tcPr>
            <w:tcW w:w="268" w:type="dxa"/>
            <w:tcBorders/>
            <w:shd w:fill="FFFFFF" w:val="clear"/>
            <w:vAlign w:val="center"/>
          </w:tcPr>
          <w:p>
            <w:pPr>
              <w:pStyle w:val="TableContents"/>
              <w:spacing w:before="0" w:after="283"/>
              <w:rPr>
                <w:sz w:val="4"/>
                <w:szCs w:val="4"/>
              </w:rPr>
            </w:pPr>
            <w:r>
              <w:rPr>
                <w:sz w:val="4"/>
                <w:szCs w:val="4"/>
              </w:rPr>
            </w:r>
          </w:p>
        </w:tc>
        <w:tc>
          <w:tcPr>
            <w:tcW w:w="157" w:type="dxa"/>
            <w:tcBorders/>
            <w:shd w:fill="FFFFFF" w:val="clear"/>
            <w:vAlign w:val="center"/>
          </w:tcPr>
          <w:p>
            <w:pPr>
              <w:pStyle w:val="TableContents"/>
              <w:spacing w:before="0" w:after="283"/>
              <w:rPr>
                <w:sz w:val="4"/>
                <w:szCs w:val="4"/>
              </w:rPr>
            </w:pPr>
            <w:r>
              <w:rPr>
                <w:sz w:val="4"/>
                <w:szCs w:val="4"/>
              </w:rPr>
            </w:r>
          </w:p>
        </w:tc>
        <w:tc>
          <w:tcPr>
            <w:tcW w:w="157" w:type="dxa"/>
            <w:tcBorders/>
            <w:shd w:fill="FFFFFF" w:val="clear"/>
            <w:vAlign w:val="center"/>
          </w:tcPr>
          <w:p>
            <w:pPr>
              <w:pStyle w:val="TableContents"/>
              <w:spacing w:before="0" w:after="283"/>
              <w:rPr>
                <w:sz w:val="4"/>
                <w:szCs w:val="4"/>
              </w:rPr>
            </w:pPr>
            <w:r>
              <w:rPr>
                <w:sz w:val="4"/>
                <w:szCs w:val="4"/>
              </w:rPr>
            </w:r>
          </w:p>
        </w:tc>
        <w:tc>
          <w:tcPr>
            <w:tcW w:w="227" w:type="dxa"/>
            <w:tcBorders/>
            <w:shd w:fill="FFFFFF" w:val="clear"/>
            <w:vAlign w:val="center"/>
          </w:tcPr>
          <w:p>
            <w:pPr>
              <w:pStyle w:val="TableContents"/>
              <w:spacing w:before="0" w:after="283"/>
              <w:rPr>
                <w:sz w:val="4"/>
                <w:szCs w:val="4"/>
              </w:rPr>
            </w:pPr>
            <w:r>
              <w:rPr>
                <w:sz w:val="4"/>
                <w:szCs w:val="4"/>
              </w:rPr>
            </w:r>
          </w:p>
        </w:tc>
        <w:tc>
          <w:tcPr>
            <w:tcW w:w="857" w:type="dxa"/>
            <w:tcBorders/>
            <w:shd w:fill="FFFFFF" w:val="clear"/>
            <w:vAlign w:val="center"/>
          </w:tcPr>
          <w:p>
            <w:pPr>
              <w:pStyle w:val="TableContents"/>
              <w:spacing w:before="0" w:after="283"/>
              <w:rPr>
                <w:sz w:val="4"/>
                <w:szCs w:val="4"/>
              </w:rPr>
            </w:pPr>
            <w:r>
              <w:rPr>
                <w:sz w:val="4"/>
                <w:szCs w:val="4"/>
              </w:rPr>
            </w:r>
          </w:p>
        </w:tc>
        <w:tc>
          <w:tcPr>
            <w:tcW w:w="436" w:type="dxa"/>
            <w:tcBorders/>
            <w:shd w:fill="FFFFFF" w:val="clear"/>
            <w:vAlign w:val="center"/>
          </w:tcPr>
          <w:p>
            <w:pPr>
              <w:pStyle w:val="TableContents"/>
              <w:spacing w:before="0" w:after="283"/>
              <w:rPr>
                <w:sz w:val="4"/>
                <w:szCs w:val="4"/>
              </w:rPr>
            </w:pPr>
            <w:r>
              <w:rPr>
                <w:sz w:val="4"/>
                <w:szCs w:val="4"/>
              </w:rPr>
            </w:r>
          </w:p>
        </w:tc>
      </w:tr>
      <w:tr>
        <w:trPr/>
        <w:tc>
          <w:tcPr>
            <w:tcW w:w="319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(In millions)</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096" w:type="dxa"/>
            <w:gridSpan w:val="6"/>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Three Months Ended</w:t>
            </w:r>
          </w:p>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tc>
        <w:tc>
          <w:tcPr>
            <w:tcW w:w="767" w:type="dxa"/>
            <w:gridSpan w:val="4"/>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64"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666" w:type="dxa"/>
            <w:gridSpan w:val="5"/>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Nine Months Ended</w:t>
            </w:r>
          </w:p>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tc>
        <w:tc>
          <w:tcPr>
            <w:tcW w:w="4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8135" w:type="dxa"/>
            <w:gridSpan w:val="18"/>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8135" w:type="dxa"/>
            <w:gridSpan w:val="18"/>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319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02" w:type="dxa"/>
            <w:gridSpan w:val="2"/>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02" w:type="dxa"/>
            <w:gridSpan w:val="2"/>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07" w:type="dxa"/>
            <w:gridSpan w:val="4"/>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57"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57"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84" w:type="dxa"/>
            <w:gridSpan w:val="2"/>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4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319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194" w:type="dxa"/>
            <w:gridSpan w:val="4"/>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194" w:type="dxa"/>
            <w:gridSpan w:val="4"/>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310" w:type="dxa"/>
            <w:gridSpan w:val="6"/>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677" w:type="dxa"/>
            <w:gridSpan w:val="4"/>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319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Server products and cloud services</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20,025</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17,046</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96" w:type="dxa"/>
            <w:gridSpan w:val="3"/>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58,007</w:t>
            </w:r>
          </w:p>
        </w:tc>
        <w:tc>
          <w:tcPr>
            <w:tcW w:w="157"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57"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2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57"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48,498</w:t>
            </w:r>
          </w:p>
        </w:tc>
        <w:tc>
          <w:tcPr>
            <w:tcW w:w="4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319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Office products and cloud services</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12,438</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11,164</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35,823</w:t>
            </w:r>
          </w:p>
        </w:tc>
        <w:tc>
          <w:tcPr>
            <w:tcW w:w="157"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57"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27"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57"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33,223</w:t>
            </w:r>
          </w:p>
        </w:tc>
        <w:tc>
          <w:tcPr>
            <w:tcW w:w="4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319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Windows</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5,328</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6,069</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15,449</w:t>
            </w:r>
          </w:p>
        </w:tc>
        <w:tc>
          <w:tcPr>
            <w:tcW w:w="157"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57"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27"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57"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18,337</w:t>
            </w:r>
          </w:p>
        </w:tc>
        <w:tc>
          <w:tcPr>
            <w:tcW w:w="4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319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Gaming</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3,607</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3,740</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11,975</w:t>
            </w:r>
          </w:p>
        </w:tc>
        <w:tc>
          <w:tcPr>
            <w:tcW w:w="157"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57"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27"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57"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12,775</w:t>
            </w:r>
          </w:p>
        </w:tc>
        <w:tc>
          <w:tcPr>
            <w:tcW w:w="4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319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LinkedIn</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3,697</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3,437</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11,236</w:t>
            </w:r>
          </w:p>
        </w:tc>
        <w:tc>
          <w:tcPr>
            <w:tcW w:w="157"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57"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27"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57"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10,104</w:t>
            </w:r>
          </w:p>
        </w:tc>
        <w:tc>
          <w:tcPr>
            <w:tcW w:w="4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319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Search and news advertising</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3,045</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2,945</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96" w:type="dxa"/>
            <w:gridSpan w:val="3"/>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9,196</w:t>
            </w:r>
          </w:p>
        </w:tc>
        <w:tc>
          <w:tcPr>
            <w:tcW w:w="157"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57"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27"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7"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8,665</w:t>
            </w:r>
          </w:p>
        </w:tc>
        <w:tc>
          <w:tcPr>
            <w:tcW w:w="4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319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Enterprise Services</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2,007</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1,891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96" w:type="dxa"/>
            <w:gridSpan w:val="3"/>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5,745</w:t>
            </w:r>
          </w:p>
        </w:tc>
        <w:tc>
          <w:tcPr>
            <w:tcW w:w="157"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57"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27"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7"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5,505</w:t>
            </w:r>
          </w:p>
        </w:tc>
        <w:tc>
          <w:tcPr>
            <w:tcW w:w="4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319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Devices</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1,282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1,835</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4,160</w:t>
            </w:r>
          </w:p>
        </w:tc>
        <w:tc>
          <w:tcPr>
            <w:tcW w:w="157"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57"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27"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57"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5,606</w:t>
            </w:r>
          </w:p>
        </w:tc>
        <w:tc>
          <w:tcPr>
            <w:tcW w:w="4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319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Other</w:t>
            </w:r>
            <w:r>
              <w:rPr>
                <w:rFonts w:ascii="Times New Roman" w:hAnsi="Times New Roman"/>
                <w:sz w:val="20"/>
              </w:rPr>
              <w:t xml:space="preserve"> </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1,428</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1,233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4,135</w:t>
            </w:r>
          </w:p>
        </w:tc>
        <w:tc>
          <w:tcPr>
            <w:tcW w:w="157"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57"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27"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57"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3,692</w:t>
            </w:r>
          </w:p>
        </w:tc>
        <w:tc>
          <w:tcPr>
            <w:tcW w:w="4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4244" w:type="dxa"/>
            <w:gridSpan w:val="4"/>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7"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8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244" w:type="dxa"/>
            <w:gridSpan w:val="4"/>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57"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57"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27"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57"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36" w:type="dxa"/>
            <w:tcBorders/>
            <w:shd w:fill="auto" w:val="clear"/>
            <w:tcMar>
              <w:top w:w="0" w:type="dxa"/>
              <w:left w:w="0" w:type="dxa"/>
              <w:bottom w:w="0" w:type="dxa"/>
              <w:right w:w="0" w:type="dxa"/>
            </w:tcMar>
            <w:vAlign w:val="center"/>
          </w:tcPr>
          <w:p>
            <w:pPr>
              <w:pStyle w:val="TableContents"/>
              <w:spacing w:before="0" w:after="0"/>
              <w:ind w:left="0" w:right="0" w:firstLine="245"/>
              <w:jc w:val="left"/>
              <w:rPr/>
            </w:pPr>
            <w:r>
              <w:rPr/>
              <w:t> </w:t>
            </w:r>
          </w:p>
        </w:tc>
      </w:tr>
      <w:tr>
        <w:trPr/>
        <w:tc>
          <w:tcPr>
            <w:tcW w:w="3196" w:type="dxa"/>
            <w:tcBorders/>
            <w:shd w:fill="auto" w:val="clear"/>
            <w:tcMar>
              <w:top w:w="0" w:type="dxa"/>
              <w:left w:w="0" w:type="dxa"/>
              <w:bottom w:w="0" w:type="dxa"/>
              <w:right w:w="0" w:type="dxa"/>
            </w:tcM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Total</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52,857</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49,360</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96" w:type="dxa"/>
            <w:gridSpan w:val="3"/>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155,726</w:t>
            </w:r>
          </w:p>
        </w:tc>
        <w:tc>
          <w:tcPr>
            <w:tcW w:w="157"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57"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2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57"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146,405</w:t>
            </w:r>
          </w:p>
        </w:tc>
        <w:tc>
          <w:tcPr>
            <w:tcW w:w="4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319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796" w:type="dxa"/>
            <w:gridSpan w:val="3"/>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57"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7"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27"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857"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43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both"/>
        <w:rPr>
          <w:rFonts w:ascii="Times New Roman" w:hAnsi="Times New Roman"/>
          <w:sz w:val="20"/>
        </w:rPr>
      </w:pPr>
      <w:r>
        <w:rPr>
          <w:rFonts w:ascii="Arial;sans-serif" w:hAnsi="Arial;sans-serif"/>
          <w:b w:val="false"/>
          <w:sz w:val="20"/>
        </w:rPr>
        <w:t>Our Microsoft Cloud revenue, which includes Azure and other cloud services, Office 365 Commercial, the commercial portion of LinkedIn, Dynamics 365, and other commercial cloud properties, was $28.5</w:t>
      </w:r>
      <w:r>
        <w:rPr>
          <w:rFonts w:ascii="Times New Roman" w:hAnsi="Times New Roman"/>
          <w:sz w:val="20"/>
        </w:rPr>
        <w:t xml:space="preserve"> </w:t>
      </w:r>
      <w:r>
        <w:rPr>
          <w:rFonts w:ascii="Arial;sans-serif" w:hAnsi="Arial;sans-serif"/>
          <w:b w:val="false"/>
          <w:sz w:val="20"/>
        </w:rPr>
        <w:t>billion and $81.3</w:t>
      </w:r>
      <w:r>
        <w:rPr>
          <w:rFonts w:ascii="Times New Roman" w:hAnsi="Times New Roman"/>
          <w:sz w:val="20"/>
        </w:rPr>
        <w:t xml:space="preserve"> </w:t>
      </w:r>
      <w:r>
        <w:rPr>
          <w:rFonts w:ascii="Arial;sans-serif" w:hAnsi="Arial;sans-serif"/>
          <w:b w:val="false"/>
          <w:sz w:val="20"/>
        </w:rPr>
        <w:t>billion for the three and nine months ended March 31, 2023, respectively, and $23.4</w:t>
      </w:r>
      <w:r>
        <w:rPr>
          <w:rFonts w:ascii="Times New Roman" w:hAnsi="Times New Roman"/>
          <w:sz w:val="20"/>
        </w:rPr>
        <w:t xml:space="preserve"> </w:t>
      </w:r>
      <w:r>
        <w:rPr>
          <w:rFonts w:ascii="Arial;sans-serif" w:hAnsi="Arial;sans-serif"/>
          <w:b w:val="false"/>
          <w:sz w:val="20"/>
        </w:rPr>
        <w:t>billion and $66.3</w:t>
      </w:r>
      <w:r>
        <w:rPr>
          <w:rFonts w:ascii="Times New Roman" w:hAnsi="Times New Roman"/>
          <w:sz w:val="20"/>
        </w:rPr>
        <w:t xml:space="preserve"> </w:t>
      </w:r>
      <w:r>
        <w:rPr>
          <w:rFonts w:ascii="Arial;sans-serif" w:hAnsi="Arial;sans-serif"/>
          <w:b w:val="false"/>
          <w:sz w:val="20"/>
        </w:rPr>
        <w:t>billion for the three and nine months ended March 31, 2022, respectively. These amounts are primarily included in Server products and cloud services, Office products and cloud services, and LinkedIn in the table above.</w:t>
      </w:r>
    </w:p>
    <w:p>
      <w:pPr>
        <w:pStyle w:val="TextBody"/>
        <w:spacing w:before="180" w:after="0"/>
        <w:jc w:val="both"/>
        <w:rPr>
          <w:rFonts w:ascii="Arial;sans-serif" w:hAnsi="Arial;sans-serif"/>
          <w:b w:val="false"/>
          <w:sz w:val="20"/>
        </w:rPr>
      </w:pPr>
      <w:r>
        <w:rPr>
          <w:rFonts w:ascii="Arial;sans-serif" w:hAnsi="Arial;sans-serif"/>
          <w:b w:val="false"/>
          <w:sz w:val="20"/>
        </w:rPr>
        <w:t>Assets are not allocated to segments for internal reporting presentations. A portion of amortization and depreciation is included with various other costs in an overhead allocation to each segment. It is impracticable for us to separately identify the amount of amortization and depreciation by segment that is included in the measure of segment profit or loss.</w:t>
      </w:r>
    </w:p>
    <w:p>
      <w:pPr>
        <w:pStyle w:val="TextBody"/>
        <w:spacing w:before="240" w:after="0"/>
        <w:jc w:val="center"/>
        <w:rPr>
          <w:rFonts w:ascii="Arial;sans-serif" w:hAnsi="Arial;sans-serif"/>
          <w:b w:val="false"/>
          <w:sz w:val="16"/>
        </w:rPr>
      </w:pPr>
      <w:r>
        <w:rPr>
          <w:rFonts w:ascii="Arial;sans-serif" w:hAnsi="Arial;sans-serif"/>
          <w:b w:val="false"/>
          <w:sz w:val="16"/>
        </w:rPr>
        <w:t>30</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w:t>
      </w:r>
    </w:p>
    <w:p>
      <w:pPr>
        <w:pStyle w:val="TextBody"/>
        <w:spacing w:before="0" w:after="0"/>
        <w:jc w:val="center"/>
        <w:rPr>
          <w:rFonts w:ascii="Arial;sans-serif" w:hAnsi="Arial;sans-serif"/>
          <w:b w:val="false"/>
          <w:sz w:val="15"/>
        </w:rPr>
      </w:pPr>
      <w:r>
        <w:rPr>
          <w:rFonts w:ascii="Arial;sans-serif" w:hAnsi="Arial;sans-serif"/>
          <w:b w:val="false"/>
          <w:sz w:val="15"/>
        </w:rPr>
        <w:t>Item 1</w:t>
      </w:r>
    </w:p>
    <w:p>
      <w:pPr>
        <w:pStyle w:val="TextBody"/>
        <w:spacing w:before="0" w:after="0"/>
        <w:jc w:val="left"/>
        <w:rPr/>
      </w:pPr>
      <w:r>
        <w:rPr/>
        <w:t> </w:t>
      </w:r>
    </w:p>
    <w:p>
      <w:pPr>
        <w:pStyle w:val="TextBody"/>
        <w:spacing w:before="0" w:after="0"/>
        <w:jc w:val="both"/>
        <w:rPr>
          <w:rFonts w:ascii="Arial;sans-serif" w:hAnsi="Arial;sans-serif"/>
          <w:b/>
          <w:sz w:val="20"/>
        </w:rPr>
      </w:pPr>
      <w:bookmarkStart w:id="11" w:name="report_independent_registered_public_acc"/>
      <w:bookmarkEnd w:id="11"/>
      <w:r>
        <w:rPr>
          <w:rFonts w:ascii="Arial;sans-serif" w:hAnsi="Arial;sans-serif"/>
          <w:b/>
          <w:sz w:val="20"/>
        </w:rPr>
        <w:t>REPORT OF INDEPENDENT REGISTERED PUBLIC ACCOUNTING FIRM</w:t>
      </w:r>
    </w:p>
    <w:p>
      <w:pPr>
        <w:pStyle w:val="TextBody"/>
        <w:spacing w:before="180" w:after="0"/>
        <w:jc w:val="both"/>
        <w:rPr>
          <w:rFonts w:ascii="Arial;sans-serif" w:hAnsi="Arial;sans-serif"/>
          <w:b w:val="false"/>
          <w:sz w:val="20"/>
        </w:rPr>
      </w:pPr>
      <w:r>
        <w:rPr>
          <w:rFonts w:ascii="Arial;sans-serif" w:hAnsi="Arial;sans-serif"/>
          <w:b w:val="false"/>
          <w:sz w:val="20"/>
        </w:rPr>
        <w:t>To the Stockholders and the Board of Directors of Microsoft Corporation</w:t>
      </w:r>
    </w:p>
    <w:p>
      <w:pPr>
        <w:pStyle w:val="TextBody"/>
        <w:spacing w:before="0" w:after="0"/>
        <w:jc w:val="both"/>
        <w:rPr/>
      </w:pPr>
      <w:r>
        <w:rPr/>
        <w:t> </w:t>
      </w:r>
    </w:p>
    <w:p>
      <w:pPr>
        <w:pStyle w:val="TextBody"/>
        <w:spacing w:before="0" w:after="0"/>
        <w:jc w:val="both"/>
        <w:rPr>
          <w:rFonts w:ascii="Arial;sans-serif" w:hAnsi="Arial;sans-serif"/>
          <w:b/>
          <w:sz w:val="20"/>
        </w:rPr>
      </w:pPr>
      <w:r>
        <w:rPr>
          <w:rFonts w:ascii="Arial;sans-serif" w:hAnsi="Arial;sans-serif"/>
          <w:b/>
          <w:sz w:val="20"/>
        </w:rPr>
        <w:t>Results of Review of Interim Financial Information</w:t>
      </w:r>
    </w:p>
    <w:p>
      <w:pPr>
        <w:pStyle w:val="TextBody"/>
        <w:spacing w:before="180" w:after="0"/>
        <w:jc w:val="both"/>
        <w:rPr>
          <w:rFonts w:ascii="Arial;sans-serif" w:hAnsi="Arial;sans-serif"/>
          <w:b w:val="false"/>
          <w:sz w:val="20"/>
        </w:rPr>
      </w:pPr>
      <w:r>
        <w:rPr>
          <w:rFonts w:ascii="Arial;sans-serif" w:hAnsi="Arial;sans-serif"/>
          <w:b w:val="false"/>
          <w:sz w:val="20"/>
        </w:rPr>
        <w:t>We have reviewed the accompanying consolidated balance sheet of Microsoft Corporation and subsidiaries (the "Company") as of March 31, 2023, the related consolidated statements of income, comprehensive income, cash flows, and stockholders’ equity for the three-month and nine-month periods ended March 31, 2023 and 2022, and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pStyle w:val="TextBody"/>
        <w:spacing w:before="0" w:after="0"/>
        <w:jc w:val="both"/>
        <w:rPr/>
      </w:pPr>
      <w:r>
        <w:rPr/>
        <w:t> </w:t>
      </w:r>
    </w:p>
    <w:p>
      <w:pPr>
        <w:pStyle w:val="TextBody"/>
        <w:spacing w:before="0" w:after="0"/>
        <w:jc w:val="both"/>
        <w:rPr>
          <w:rFonts w:ascii="Arial;sans-serif" w:hAnsi="Arial;sans-serif"/>
          <w:b w:val="false"/>
          <w:sz w:val="20"/>
        </w:rPr>
      </w:pPr>
      <w:r>
        <w:rPr>
          <w:rFonts w:ascii="Arial;sans-serif" w:hAnsi="Arial;sans-serif"/>
          <w:b w:val="false"/>
          <w:sz w:val="20"/>
        </w:rPr>
        <w:t>We have previously audited, in accordance with the standards of the Public Company Accounting Oversight Board (United States) (PCAOB), the consolidated balance sheet of the Company as of June 30, 2022, and the related consolidated statements of income, comprehensive income, cash flows, and stockholders' equity for the year then ended (not presented herein); and in our report dated July 28, 2022, we expressed an unqualified opinion on those consolidated financial statements. In our opinion, the information set forth in the accompanying consolidated balance sheet as of June 30, 2022, is fairly stated, in all material respects, in relation to the consolidated balance sheet from which it has been derived.</w:t>
      </w:r>
    </w:p>
    <w:p>
      <w:pPr>
        <w:pStyle w:val="TextBody"/>
        <w:spacing w:before="0" w:after="0"/>
        <w:jc w:val="both"/>
        <w:rPr/>
      </w:pPr>
      <w:r>
        <w:rPr/>
        <w:t> </w:t>
      </w:r>
    </w:p>
    <w:p>
      <w:pPr>
        <w:pStyle w:val="TextBody"/>
        <w:spacing w:before="0" w:after="0"/>
        <w:jc w:val="both"/>
        <w:rPr>
          <w:rFonts w:ascii="Arial;sans-serif" w:hAnsi="Arial;sans-serif"/>
          <w:b/>
          <w:sz w:val="20"/>
        </w:rPr>
      </w:pPr>
      <w:r>
        <w:rPr>
          <w:rFonts w:ascii="Arial;sans-serif" w:hAnsi="Arial;sans-serif"/>
          <w:b/>
          <w:sz w:val="20"/>
        </w:rPr>
        <w:t>Basis for Review Results</w:t>
      </w:r>
    </w:p>
    <w:p>
      <w:pPr>
        <w:pStyle w:val="TextBody"/>
        <w:spacing w:before="180" w:after="0"/>
        <w:jc w:val="both"/>
        <w:rPr>
          <w:rFonts w:ascii="Arial;sans-serif" w:hAnsi="Arial;sans-serif"/>
          <w:b w:val="false"/>
          <w:sz w:val="20"/>
        </w:rPr>
      </w:pPr>
      <w:r>
        <w:rPr>
          <w:rFonts w:ascii="Arial;sans-serif" w:hAnsi="Arial;sans-serif"/>
          <w:b w:val="false"/>
          <w:sz w:val="20"/>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jc w:val="both"/>
        <w:rPr/>
      </w:pPr>
      <w:r>
        <w:rPr/>
        <w:t> </w:t>
      </w:r>
    </w:p>
    <w:p>
      <w:pPr>
        <w:pStyle w:val="TextBody"/>
        <w:spacing w:before="0" w:after="180"/>
        <w:jc w:val="both"/>
        <w:rPr>
          <w:rFonts w:ascii="Arial;sans-serif" w:hAnsi="Arial;sans-serif"/>
          <w:b w:val="false"/>
          <w:sz w:val="20"/>
        </w:rPr>
      </w:pPr>
      <w:r>
        <w:rPr>
          <w:rFonts w:ascii="Arial;sans-serif" w:hAnsi="Arial;sans-serif"/>
          <w:b w:val="false"/>
          <w:sz w:val="20"/>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pStyle w:val="TextBody"/>
        <w:spacing w:before="0" w:after="0"/>
        <w:jc w:val="both"/>
        <w:rPr/>
      </w:pPr>
      <w:r>
        <w:rPr/>
        <w:t> </w:t>
      </w:r>
    </w:p>
    <w:p>
      <w:pPr>
        <w:pStyle w:val="TextBody"/>
        <w:spacing w:before="0" w:after="0"/>
        <w:jc w:val="both"/>
        <w:rPr>
          <w:rFonts w:ascii="Times New Roman" w:hAnsi="Times New Roman"/>
          <w:sz w:val="20"/>
        </w:rPr>
      </w:pPr>
      <w:r>
        <w:rPr>
          <w:rFonts w:ascii="Arial;sans-serif" w:hAnsi="Arial;sans-serif"/>
          <w:b w:val="false"/>
          <w:sz w:val="20"/>
        </w:rPr>
        <w:t>/</w:t>
      </w:r>
      <w:r>
        <w:rPr>
          <w:rFonts w:ascii="Arial;sans-serif" w:hAnsi="Arial;sans-serif"/>
          <w:b w:val="false"/>
          <w:sz w:val="15"/>
        </w:rPr>
        <w:t>S</w:t>
      </w:r>
      <w:r>
        <w:rPr>
          <w:rFonts w:ascii="Arial;sans-serif" w:hAnsi="Arial;sans-serif"/>
          <w:b w:val="false"/>
          <w:sz w:val="20"/>
        </w:rPr>
        <w:t>/ D</w:t>
      </w:r>
      <w:r>
        <w:rPr>
          <w:rFonts w:ascii="Arial;sans-serif" w:hAnsi="Arial;sans-serif"/>
          <w:b w:val="false"/>
          <w:sz w:val="15"/>
        </w:rPr>
        <w:t>ELOITTE</w:t>
      </w:r>
      <w:r>
        <w:rPr>
          <w:rFonts w:ascii="Times New Roman" w:hAnsi="Times New Roman"/>
          <w:sz w:val="20"/>
        </w:rPr>
        <w:t xml:space="preserve"> </w:t>
      </w:r>
      <w:r>
        <w:rPr>
          <w:rFonts w:ascii="Arial;sans-serif" w:hAnsi="Arial;sans-serif"/>
          <w:b w:val="false"/>
          <w:sz w:val="20"/>
        </w:rPr>
        <w:t>&amp; T</w:t>
      </w:r>
      <w:r>
        <w:rPr>
          <w:rFonts w:ascii="Arial;sans-serif" w:hAnsi="Arial;sans-serif"/>
          <w:b w:val="false"/>
          <w:sz w:val="15"/>
        </w:rPr>
        <w:t>OUCHE</w:t>
      </w:r>
      <w:r>
        <w:rPr>
          <w:rFonts w:ascii="Times New Roman" w:hAnsi="Times New Roman"/>
          <w:sz w:val="20"/>
        </w:rPr>
        <w:t xml:space="preserve"> </w:t>
      </w:r>
      <w:r>
        <w:rPr>
          <w:rFonts w:ascii="Arial;sans-serif" w:hAnsi="Arial;sans-serif"/>
          <w:b w:val="false"/>
          <w:sz w:val="20"/>
        </w:rPr>
        <w:t>LLP</w:t>
      </w:r>
    </w:p>
    <w:p>
      <w:pPr>
        <w:pStyle w:val="TextBody"/>
        <w:spacing w:before="0" w:after="0"/>
        <w:jc w:val="left"/>
        <w:rPr/>
      </w:pPr>
      <w:r>
        <w:rPr/>
        <w:t> </w:t>
      </w:r>
    </w:p>
    <w:p>
      <w:pPr>
        <w:pStyle w:val="TextBody"/>
        <w:spacing w:before="0" w:after="0"/>
        <w:jc w:val="both"/>
        <w:rPr>
          <w:rFonts w:ascii="Arial;sans-serif" w:hAnsi="Arial;sans-serif"/>
          <w:b w:val="false"/>
          <w:sz w:val="20"/>
        </w:rPr>
      </w:pPr>
      <w:r>
        <w:rPr>
          <w:rFonts w:ascii="Arial;sans-serif" w:hAnsi="Arial;sans-serif"/>
          <w:b w:val="false"/>
          <w:sz w:val="20"/>
        </w:rPr>
        <w:t>Seattle, Washington</w:t>
      </w:r>
    </w:p>
    <w:p>
      <w:pPr>
        <w:pStyle w:val="TextBody"/>
        <w:spacing w:before="0" w:after="0"/>
        <w:jc w:val="both"/>
        <w:rPr>
          <w:rFonts w:ascii="Arial;sans-serif" w:hAnsi="Arial;sans-serif"/>
          <w:b w:val="false"/>
          <w:sz w:val="20"/>
        </w:rPr>
      </w:pPr>
      <w:r>
        <w:rPr>
          <w:rFonts w:ascii="Arial;sans-serif" w:hAnsi="Arial;sans-serif"/>
          <w:b w:val="false"/>
          <w:sz w:val="20"/>
        </w:rPr>
        <w:t>April 25, 2023</w:t>
      </w:r>
    </w:p>
    <w:p>
      <w:pPr>
        <w:pStyle w:val="TextBody"/>
        <w:spacing w:before="240" w:after="0"/>
        <w:jc w:val="center"/>
        <w:rPr>
          <w:rFonts w:ascii="Arial;sans-serif" w:hAnsi="Arial;sans-serif"/>
          <w:b w:val="false"/>
          <w:sz w:val="16"/>
        </w:rPr>
      </w:pPr>
      <w:r>
        <w:rPr>
          <w:rFonts w:ascii="Arial;sans-serif" w:hAnsi="Arial;sans-serif"/>
          <w:b w:val="false"/>
          <w:sz w:val="16"/>
        </w:rPr>
        <w:t>31</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w:t>
      </w:r>
    </w:p>
    <w:p>
      <w:pPr>
        <w:pStyle w:val="TextBody"/>
        <w:spacing w:before="0" w:after="0"/>
        <w:jc w:val="center"/>
        <w:rPr>
          <w:rFonts w:ascii="Arial;sans-serif" w:hAnsi="Arial;sans-serif"/>
          <w:b w:val="false"/>
          <w:sz w:val="15"/>
        </w:rPr>
      </w:pPr>
      <w:r>
        <w:rPr>
          <w:rFonts w:ascii="Arial;sans-serif" w:hAnsi="Arial;sans-serif"/>
          <w:b w:val="false"/>
          <w:sz w:val="15"/>
        </w:rPr>
        <w:t>Item 2</w:t>
      </w:r>
    </w:p>
    <w:p>
      <w:pPr>
        <w:pStyle w:val="TextBody"/>
        <w:spacing w:before="0" w:after="0"/>
        <w:jc w:val="left"/>
        <w:rPr/>
      </w:pPr>
      <w:r>
        <w:rPr/>
        <w:t> </w:t>
      </w:r>
    </w:p>
    <w:p>
      <w:pPr>
        <w:pStyle w:val="TextBody"/>
        <w:spacing w:before="0" w:after="0"/>
        <w:jc w:val="center"/>
        <w:rPr>
          <w:rFonts w:ascii="Times New Roman" w:hAnsi="Times New Roman"/>
          <w:sz w:val="20"/>
        </w:rPr>
      </w:pPr>
      <w:bookmarkStart w:id="12" w:name="item_2_managements_discussion_analysis_f"/>
      <w:bookmarkEnd w:id="12"/>
      <w:r>
        <w:rPr>
          <w:rFonts w:ascii="Arial;sans-serif" w:hAnsi="Arial;sans-serif"/>
          <w:b/>
          <w:sz w:val="24"/>
        </w:rPr>
        <w:t>ITEM 2. MANAGEMENT’S DISCUSSION AND ANALYSIS OF</w:t>
      </w:r>
      <w:r>
        <w:rPr>
          <w:rFonts w:ascii="Times New Roman" w:hAnsi="Times New Roman"/>
          <w:sz w:val="20"/>
        </w:rPr>
        <w:t xml:space="preserve"> </w:t>
      </w:r>
      <w:r>
        <w:rPr>
          <w:rFonts w:ascii="Arial;sans-serif" w:hAnsi="Arial;sans-serif"/>
          <w:b/>
          <w:sz w:val="24"/>
        </w:rPr>
        <w:t>FINANCIAL CONDITION AND RESULTS OF OPERATIONS</w:t>
      </w:r>
    </w:p>
    <w:p>
      <w:pPr>
        <w:pStyle w:val="TextBody"/>
        <w:spacing w:before="180" w:after="0"/>
        <w:jc w:val="center"/>
        <w:rPr>
          <w:rFonts w:ascii="Arial;sans-serif" w:hAnsi="Arial;sans-serif"/>
          <w:b/>
          <w:sz w:val="20"/>
        </w:rPr>
      </w:pPr>
      <w:r>
        <w:rPr>
          <w:rFonts w:ascii="Arial;sans-serif" w:hAnsi="Arial;sans-serif"/>
          <w:b/>
          <w:sz w:val="20"/>
        </w:rPr>
        <w:t>Note About Forward-Looking Statements</w:t>
      </w:r>
    </w:p>
    <w:p>
      <w:pPr>
        <w:pStyle w:val="TextBody"/>
        <w:spacing w:before="180" w:after="0"/>
        <w:jc w:val="both"/>
        <w:rPr>
          <w:rFonts w:ascii="Arial;sans-serif" w:hAnsi="Arial;sans-serif"/>
          <w:b w:val="false"/>
          <w:sz w:val="20"/>
        </w:rPr>
      </w:pPr>
      <w:r>
        <w:rPr>
          <w:rFonts w:ascii="Arial;sans-serif" w:hAnsi="Arial;sans-serif"/>
          <w:b w:val="false"/>
          <w:sz w:val="20"/>
        </w:rPr>
        <w:t>This report includes estimates, projections, statements relating to our business plans, objectives, and expected operating results that are “forward-looking statements” within the meaning of the Private Securities Litigation Reform Act of 1995, Section 27A of the Securities Act of 1933, and Section 21E of the Securities Exchange Act of 1934. Forward-looking statements may appear throughout this report, including the following sections: “Management’s Discussion and Analysis of Financial Condition and Results of Operations” and “Risk Factors” (Part II, Item 1A of this Form 10-Q). These forward-looking statements generally are identified by the words “believe,” “project,” “expect,” “anticipate,” “estimate,” “intend,” “strategy,” “future,” “opportunity,” “plan,” “may,” “should,” “will,” “would,” “will be,” “will continue,” “will likely result,” and similar expressions. Forward-looking statements are based on current expectations and assumptions that are subject to risks and uncertainties that may cause actual results to differ materially. We describe risks and uncertainties that could cause actual results and events to differ materially in “Management’s Discussion and Analysis of Financial Condition and Results of Operations,” “Quantitative and Qualitative Disclosures about Market Risk” (Part I, Item 3 of this Form 10-Q), and “Risk Factors”. We undertake no obligation to update or revise publicly any forward-looking statements, whether because of new information, future events, or otherwise.</w:t>
      </w:r>
    </w:p>
    <w:p>
      <w:pPr>
        <w:pStyle w:val="TextBody"/>
        <w:spacing w:before="180" w:after="0"/>
        <w:jc w:val="both"/>
        <w:rPr>
          <w:rFonts w:ascii="Arial;sans-serif" w:hAnsi="Arial;sans-serif"/>
          <w:b w:val="false"/>
          <w:sz w:val="20"/>
        </w:rPr>
      </w:pPr>
      <w:r>
        <w:rPr>
          <w:rFonts w:ascii="Arial;sans-serif" w:hAnsi="Arial;sans-serif"/>
          <w:b w:val="false"/>
          <w:sz w:val="20"/>
        </w:rPr>
        <w:t>The following Management’s Discussion and Analysis of Financial Condition and Results of Operations (“MD&amp;A”) is intended to help the reader understand the results of operations and financial condition of Microsoft Corporation. MD&amp;A is provided as a supplement to, and should be read in conjunction with, our Annual Report on Form 10-K for the year ended June 30, 2022, and our financial statements and the accompanying Notes to Financial Statements (Part I, Item 1 of this Form 10-Q).</w:t>
      </w:r>
    </w:p>
    <w:p>
      <w:pPr>
        <w:pStyle w:val="TextBody"/>
        <w:spacing w:before="270" w:after="0"/>
        <w:jc w:val="center"/>
        <w:rPr>
          <w:rFonts w:ascii="Arial;sans-serif" w:hAnsi="Arial;sans-serif"/>
          <w:b w:val="false"/>
          <w:sz w:val="20"/>
          <w:u w:val="single"/>
        </w:rPr>
      </w:pPr>
      <w:r>
        <w:rPr>
          <w:rFonts w:ascii="Arial;sans-serif" w:hAnsi="Arial;sans-serif"/>
          <w:b w:val="false"/>
          <w:sz w:val="20"/>
          <w:u w:val="single"/>
        </w:rPr>
        <w:t>OVERVIEW</w:t>
      </w:r>
    </w:p>
    <w:p>
      <w:pPr>
        <w:pStyle w:val="TextBody"/>
        <w:spacing w:before="180" w:after="0"/>
        <w:jc w:val="both"/>
        <w:rPr>
          <w:rFonts w:ascii="Arial;sans-serif" w:hAnsi="Arial;sans-serif"/>
          <w:b w:val="false"/>
          <w:sz w:val="20"/>
        </w:rPr>
      </w:pPr>
      <w:r>
        <w:rPr>
          <w:rFonts w:ascii="Arial;sans-serif" w:hAnsi="Arial;sans-serif"/>
          <w:b w:val="false"/>
          <w:sz w:val="20"/>
        </w:rPr>
        <w:t>Microsoft is a technology company whose mission is to empower every person and every organization on the planet to achieve more. We strive to create local opportunity, growth, and impact in every country around the world. Our platforms and tools help drive small business productivity, large business competitiveness, and public-sector efficiency. We are creating the platforms and tools that deliver better, faster, and more effective solutions to support new startups, improve educational and health outcomes, and empower human ingenuity.</w:t>
      </w:r>
    </w:p>
    <w:p>
      <w:pPr>
        <w:pStyle w:val="TextBody"/>
        <w:spacing w:before="180" w:after="0"/>
        <w:jc w:val="both"/>
        <w:rPr>
          <w:rFonts w:ascii="Arial;sans-serif" w:hAnsi="Arial;sans-serif"/>
          <w:b w:val="false"/>
          <w:sz w:val="20"/>
        </w:rPr>
      </w:pPr>
      <w:r>
        <w:rPr>
          <w:rFonts w:ascii="Arial;sans-serif" w:hAnsi="Arial;sans-serif"/>
          <w:b w:val="false"/>
          <w:sz w:val="20"/>
        </w:rPr>
        <w:t>We generate revenue by offering a wide range of cloud-based and other services to people and businesses; licensing and supporting an array of software products; designing, manufacturing, and selling devices; and delivering relevant online advertising to a global audience. Our most significant expenses are related to compensating employees; designing, manufacturing, marketing, and selling our products and services; datacenter costs in support of our cloud-based services; and income taxes.</w:t>
      </w:r>
    </w:p>
    <w:p>
      <w:pPr>
        <w:pStyle w:val="TextBody"/>
        <w:spacing w:before="180" w:after="0"/>
        <w:jc w:val="both"/>
        <w:rPr>
          <w:rFonts w:ascii="Arial;sans-serif" w:hAnsi="Arial;sans-serif"/>
          <w:b w:val="false"/>
          <w:sz w:val="20"/>
        </w:rPr>
      </w:pPr>
      <w:r>
        <w:rPr>
          <w:rFonts w:ascii="Arial;sans-serif" w:hAnsi="Arial;sans-serif"/>
          <w:b w:val="false"/>
          <w:sz w:val="20"/>
        </w:rPr>
        <w:t>Highlights from the third quarter of fiscal year 2023 compared with the third quarter of fiscal year 2022 included:</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Microsoft Cloud revenue increased 22% to $28.5 billion.</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Office Commercial products and cloud services revenue increased 13% driven by Office 365 Commercial growth of 14%.</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Office Consumer products and cloud services revenue increased 1% and Microsoft 365 Consumer subscribers increased to 65.4 million.</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LinkedIn revenue increased 8%.</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Dynamics products and cloud services revenue increased 17% driven by Dynamics 365 growth of 25%.</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Server products and cloud services revenue increased 17% driven by Azure and other cloud services growth of 27%.</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Windows original equipment manufacturer licensing (“Windows OEM”) revenue decreased 28%.</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Devices revenue decreased 30%.</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Windows Commercial products and cloud services revenue increased 14%.</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Xbox content and services revenue increased 3%.</w:t>
      </w:r>
    </w:p>
    <w:p>
      <w:pPr>
        <w:pStyle w:val="TextBody"/>
        <w:spacing w:before="90" w:after="0"/>
        <w:jc w:val="both"/>
        <w:rPr/>
      </w:pPr>
      <w:r>
        <w:rPr/>
        <w:t>•</w:t>
      </w:r>
    </w:p>
    <w:p>
      <w:pPr>
        <w:pStyle w:val="TextBody"/>
        <w:spacing w:before="90" w:after="283"/>
        <w:jc w:val="both"/>
        <w:rPr>
          <w:rFonts w:ascii="Arial;sans-serif" w:hAnsi="Arial;sans-serif"/>
          <w:b w:val="false"/>
          <w:sz w:val="20"/>
        </w:rPr>
      </w:pPr>
      <w:r>
        <w:rPr>
          <w:rFonts w:ascii="Arial;sans-serif" w:hAnsi="Arial;sans-serif"/>
          <w:b w:val="false"/>
          <w:sz w:val="20"/>
        </w:rPr>
        <w:t>Search and news advertising revenue excluding traffic acquisition costs increased 10%.</w:t>
      </w:r>
    </w:p>
    <w:p>
      <w:pPr>
        <w:pStyle w:val="TextBody"/>
        <w:spacing w:before="240" w:after="0"/>
        <w:jc w:val="center"/>
        <w:rPr>
          <w:rFonts w:ascii="Arial;sans-serif" w:hAnsi="Arial;sans-serif"/>
          <w:b w:val="false"/>
          <w:sz w:val="16"/>
        </w:rPr>
      </w:pPr>
      <w:r>
        <w:rPr>
          <w:rFonts w:ascii="Arial;sans-serif" w:hAnsi="Arial;sans-serif"/>
          <w:b w:val="false"/>
          <w:sz w:val="16"/>
        </w:rPr>
        <w:t>32</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w:t>
      </w:r>
    </w:p>
    <w:p>
      <w:pPr>
        <w:pStyle w:val="TextBody"/>
        <w:spacing w:before="0" w:after="0"/>
        <w:jc w:val="center"/>
        <w:rPr>
          <w:rFonts w:ascii="Arial;sans-serif" w:hAnsi="Arial;sans-serif"/>
          <w:b w:val="false"/>
          <w:sz w:val="15"/>
        </w:rPr>
      </w:pPr>
      <w:r>
        <w:rPr>
          <w:rFonts w:ascii="Arial;sans-serif" w:hAnsi="Arial;sans-serif"/>
          <w:b w:val="false"/>
          <w:sz w:val="15"/>
        </w:rPr>
        <w:t>Item 2</w:t>
      </w:r>
    </w:p>
    <w:p>
      <w:pPr>
        <w:pStyle w:val="TextBody"/>
        <w:spacing w:before="0" w:after="0"/>
        <w:jc w:val="left"/>
        <w:rPr/>
      </w:pPr>
      <w:r>
        <w:rPr/>
        <w:t> </w:t>
      </w:r>
    </w:p>
    <w:p>
      <w:pPr>
        <w:pStyle w:val="TextBody"/>
        <w:spacing w:before="270" w:after="0"/>
        <w:jc w:val="both"/>
        <w:rPr>
          <w:rFonts w:ascii="Arial;sans-serif" w:hAnsi="Arial;sans-serif"/>
          <w:b/>
          <w:sz w:val="20"/>
        </w:rPr>
      </w:pPr>
      <w:r>
        <w:rPr>
          <w:rFonts w:ascii="Arial;sans-serif" w:hAnsi="Arial;sans-serif"/>
          <w:b/>
          <w:sz w:val="20"/>
        </w:rPr>
        <w:t>Industry Trends</w:t>
      </w:r>
    </w:p>
    <w:p>
      <w:pPr>
        <w:pStyle w:val="TextBody"/>
        <w:spacing w:before="180" w:after="0"/>
        <w:jc w:val="both"/>
        <w:rPr>
          <w:rFonts w:ascii="Arial;sans-serif" w:hAnsi="Arial;sans-serif"/>
          <w:b w:val="false"/>
          <w:sz w:val="20"/>
        </w:rPr>
      </w:pPr>
      <w:r>
        <w:rPr>
          <w:rFonts w:ascii="Arial;sans-serif" w:hAnsi="Arial;sans-serif"/>
          <w:b w:val="false"/>
          <w:sz w:val="20"/>
        </w:rPr>
        <w:t>Our industry is dynamic and highly competitive, with frequent changes in both technologies and business models. Each industry shift is an opportunity to conceive new products, new technologies, or new ideas that can further transform the industry and our business. At Microsoft, we push the boundaries of what is possible through a broad range of research and development activities that seek to identify and address the changing demands of customers and users, industry trends, and competitive forces.</w:t>
      </w:r>
    </w:p>
    <w:p>
      <w:pPr>
        <w:pStyle w:val="TextBody"/>
        <w:spacing w:before="270" w:after="0"/>
        <w:jc w:val="both"/>
        <w:rPr>
          <w:rFonts w:ascii="Arial;sans-serif" w:hAnsi="Arial;sans-serif"/>
          <w:b/>
          <w:sz w:val="20"/>
        </w:rPr>
      </w:pPr>
      <w:r>
        <w:rPr>
          <w:rFonts w:ascii="Arial;sans-serif" w:hAnsi="Arial;sans-serif"/>
          <w:b/>
          <w:sz w:val="20"/>
        </w:rPr>
        <w:t>Economic Conditions, Challenges, and Risks</w:t>
      </w:r>
    </w:p>
    <w:p>
      <w:pPr>
        <w:pStyle w:val="TextBody"/>
        <w:spacing w:before="180" w:after="0"/>
        <w:jc w:val="both"/>
        <w:rPr>
          <w:rFonts w:ascii="Arial;sans-serif" w:hAnsi="Arial;sans-serif"/>
          <w:b w:val="false"/>
          <w:sz w:val="20"/>
        </w:rPr>
      </w:pPr>
      <w:r>
        <w:rPr>
          <w:rFonts w:ascii="Arial;sans-serif" w:hAnsi="Arial;sans-serif"/>
          <w:b w:val="false"/>
          <w:sz w:val="20"/>
        </w:rPr>
        <w:t>The markets for software, devices, and cloud-based services are dynamic and highly competitive. Our competitors are developing new software and devices, while also deploying competing cloud-based services for consumers and businesses. The devices and form factors customers prefer evolve rapidly, and influence how users access services in the cloud, and in some cases, the user’s choice of which suite of cloud-based services to use. We must continue to evolve and adapt over an extended time in pace with this changing environment. The investments we are making in infrastructure and devices will continue to increase our operating costs and may decrease our operating margins.</w:t>
      </w:r>
    </w:p>
    <w:p>
      <w:pPr>
        <w:pStyle w:val="TextBody"/>
        <w:spacing w:before="180" w:after="0"/>
        <w:jc w:val="both"/>
        <w:rPr>
          <w:rFonts w:ascii="Arial;sans-serif" w:hAnsi="Arial;sans-serif"/>
          <w:b w:val="false"/>
          <w:sz w:val="20"/>
        </w:rPr>
      </w:pPr>
      <w:r>
        <w:rPr>
          <w:rFonts w:ascii="Arial;sans-serif" w:hAnsi="Arial;sans-serif"/>
          <w:b w:val="false"/>
          <w:sz w:val="20"/>
        </w:rPr>
        <w:t>Our success is highly dependent on our ability to attract and retain qualified employees. We hire a mix of university and industry talent worldwide. We compete for talented individuals globally by offering an exceptional working environment, broad customer reach, scale in resources, the ability to grow one’s career across many different products and businesses, and competitive compensation and benefits. Aggregate demand for our software, services, and devices is correlated to global macroeconomic and geopolitical factors, which remain dynamic.</w:t>
      </w:r>
    </w:p>
    <w:p>
      <w:pPr>
        <w:pStyle w:val="TextBody"/>
        <w:spacing w:before="180" w:after="0"/>
        <w:jc w:val="both"/>
        <w:rPr>
          <w:rFonts w:ascii="Arial;sans-serif" w:hAnsi="Arial;sans-serif"/>
          <w:b w:val="false"/>
          <w:sz w:val="20"/>
        </w:rPr>
      </w:pPr>
      <w:r>
        <w:rPr>
          <w:rFonts w:ascii="Arial;sans-serif" w:hAnsi="Arial;sans-serif"/>
          <w:b w:val="false"/>
          <w:sz w:val="20"/>
        </w:rPr>
        <w:t>Our devices are primarily manufactured by third-party contract manufacturers, some of which contain certain components for which there are very few qualified suppliers. For these components, we have limited near-term flexibility to use other manufacturers if a current vendor becomes unavailable or is unable to meet our requirements. Extended disruptions at these suppliers and/or manufacturers could lead to a similar disruption in our ability to manufacture devices on time to meet consumer demand.</w:t>
      </w:r>
    </w:p>
    <w:p>
      <w:pPr>
        <w:pStyle w:val="TextBody"/>
        <w:spacing w:before="180" w:after="0"/>
        <w:jc w:val="both"/>
        <w:rPr>
          <w:rFonts w:ascii="Times New Roman" w:hAnsi="Times New Roman"/>
          <w:sz w:val="20"/>
        </w:rPr>
      </w:pPr>
      <w:r>
        <w:rPr>
          <w:rFonts w:ascii="Arial;sans-serif" w:hAnsi="Arial;sans-serif"/>
          <w:b w:val="false"/>
          <w:sz w:val="20"/>
        </w:rPr>
        <w:t>Our international operations provide a significant portion of our total revenue and expenses. Many of these revenue and expenses are denominated in currencies other than the U.S. dollar. As a result, changes in foreign exchange rates may significantly affect revenue and expenses. Fluctuations in the U.S. dollar relative to certain foreign currencies reduced reported revenue and expenses from our international operations for the three and nine months ended March 31, 2023.</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On January 18, 2023, we announced decisions we made to align our cost structure with our revenue and customer demand, prioritize our investments in strategic areas, and consolidate office space. As a result, we recorded a $1.2 billion charge in the second quarter of fiscal year 2023 (“Q2 charge”), which included employee severance expenses of $800 million, impairment charges resulting from changes to our hardware portfolio, and costs related to lease consolidation activities. First, we reduced our overall workforce by approximately 10,000 jobs through the third quarter of fiscal year 2023, which represents less than 5% of our total employee base. While we eliminated roles in some areas, we will continue to hire in key strategic areas. Second, we are allocating both our capital and talent to areas of secular growth and long-term competitiveness, while divesting in other areas. Third, we are consolidating our leases to create higher density across our workspaces, which will also impact our financial results through the remainder of fiscal year 2023, and we may make similar decisions in future periods as we continue to evaluate our real estate needs.</w:t>
      </w:r>
      <w:r>
        <w:rPr>
          <w:rFonts w:ascii="Times New Roman" w:hAnsi="Times New Roman"/>
          <w:sz w:val="20"/>
        </w:rPr>
        <w:t xml:space="preserve"> </w:t>
      </w:r>
    </w:p>
    <w:p>
      <w:pPr>
        <w:pStyle w:val="TextBody"/>
        <w:spacing w:before="180" w:after="0"/>
        <w:jc w:val="both"/>
        <w:rPr>
          <w:rFonts w:ascii="Arial;sans-serif" w:hAnsi="Arial;sans-serif"/>
          <w:b w:val="false"/>
          <w:sz w:val="20"/>
        </w:rPr>
      </w:pPr>
      <w:r>
        <w:rPr>
          <w:rFonts w:ascii="Arial;sans-serif" w:hAnsi="Arial;sans-serif"/>
          <w:b w:val="false"/>
          <w:sz w:val="20"/>
        </w:rPr>
        <w:t>Refer to Risk Factors (Part II, Item 1A of this Form 10-Q) for a discussion of these factors and other risks.</w:t>
      </w:r>
    </w:p>
    <w:p>
      <w:pPr>
        <w:pStyle w:val="TextBody"/>
        <w:spacing w:before="270" w:after="0"/>
        <w:jc w:val="both"/>
        <w:rPr>
          <w:rFonts w:ascii="Arial;sans-serif" w:hAnsi="Arial;sans-serif"/>
          <w:b/>
          <w:sz w:val="20"/>
        </w:rPr>
      </w:pPr>
      <w:r>
        <w:rPr>
          <w:rFonts w:ascii="Arial;sans-serif" w:hAnsi="Arial;sans-serif"/>
          <w:b/>
          <w:sz w:val="20"/>
        </w:rPr>
        <w:t>Seasonality</w:t>
      </w:r>
    </w:p>
    <w:p>
      <w:pPr>
        <w:pStyle w:val="TextBody"/>
        <w:spacing w:before="180" w:after="0"/>
        <w:jc w:val="both"/>
        <w:rPr>
          <w:rFonts w:ascii="Arial;sans-serif" w:hAnsi="Arial;sans-serif"/>
          <w:b w:val="false"/>
          <w:sz w:val="20"/>
        </w:rPr>
      </w:pPr>
      <w:r>
        <w:rPr>
          <w:rFonts w:ascii="Arial;sans-serif" w:hAnsi="Arial;sans-serif"/>
          <w:b w:val="false"/>
          <w:sz w:val="20"/>
        </w:rPr>
        <w:t>Our revenue fluctuates quarterly and is generally higher in the second and fourth quarters of our fiscal year. Second quarter revenue is driven by corporate year-end spending trends in our major markets and holiday season spending by consumers, and fourth quarter revenue is driven by the volume of multi-year on-premises contracts executed during the period.</w:t>
      </w:r>
    </w:p>
    <w:p>
      <w:pPr>
        <w:pStyle w:val="TextBody"/>
        <w:spacing w:before="240" w:after="0"/>
        <w:jc w:val="center"/>
        <w:rPr>
          <w:rFonts w:ascii="Arial;sans-serif" w:hAnsi="Arial;sans-serif"/>
          <w:b w:val="false"/>
          <w:sz w:val="16"/>
        </w:rPr>
      </w:pPr>
      <w:r>
        <w:rPr>
          <w:rFonts w:ascii="Arial;sans-serif" w:hAnsi="Arial;sans-serif"/>
          <w:b w:val="false"/>
          <w:sz w:val="16"/>
        </w:rPr>
        <w:t>33</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w:t>
      </w:r>
    </w:p>
    <w:p>
      <w:pPr>
        <w:pStyle w:val="TextBody"/>
        <w:spacing w:before="0" w:after="0"/>
        <w:jc w:val="center"/>
        <w:rPr>
          <w:rFonts w:ascii="Arial;sans-serif" w:hAnsi="Arial;sans-serif"/>
          <w:b w:val="false"/>
          <w:sz w:val="15"/>
        </w:rPr>
      </w:pPr>
      <w:r>
        <w:rPr>
          <w:rFonts w:ascii="Arial;sans-serif" w:hAnsi="Arial;sans-serif"/>
          <w:b w:val="false"/>
          <w:sz w:val="15"/>
        </w:rPr>
        <w:t>Item 2</w:t>
      </w:r>
    </w:p>
    <w:p>
      <w:pPr>
        <w:pStyle w:val="TextBody"/>
        <w:spacing w:before="0" w:after="0"/>
        <w:jc w:val="left"/>
        <w:rPr/>
      </w:pPr>
      <w:r>
        <w:rPr/>
        <w:t> </w:t>
      </w:r>
    </w:p>
    <w:p>
      <w:pPr>
        <w:pStyle w:val="TextBody"/>
        <w:spacing w:before="270" w:after="0"/>
        <w:jc w:val="both"/>
        <w:rPr>
          <w:rFonts w:ascii="Arial;sans-serif" w:hAnsi="Arial;sans-serif"/>
          <w:b/>
          <w:sz w:val="20"/>
        </w:rPr>
      </w:pPr>
      <w:r>
        <w:rPr>
          <w:rFonts w:ascii="Arial;sans-serif" w:hAnsi="Arial;sans-serif"/>
          <w:b/>
          <w:sz w:val="20"/>
        </w:rPr>
        <w:t>Change in Accounting Estimate</w:t>
      </w:r>
    </w:p>
    <w:p>
      <w:pPr>
        <w:pStyle w:val="TextBody"/>
        <w:spacing w:before="180" w:after="0"/>
        <w:jc w:val="both"/>
        <w:rPr>
          <w:rFonts w:ascii="Arial;sans-serif" w:hAnsi="Arial;sans-serif"/>
          <w:b w:val="false"/>
          <w:sz w:val="20"/>
        </w:rPr>
      </w:pPr>
      <w:r>
        <w:rPr>
          <w:rFonts w:ascii="Arial;sans-serif" w:hAnsi="Arial;sans-serif"/>
          <w:b w:val="false"/>
          <w:sz w:val="20"/>
        </w:rPr>
        <w:t>In July 2022, we completed an assessment of the useful lives of our server and network equipment. Due to investments in software that increased efficiencies in how we operate our server and network equipment, as well as advances in technology, we determined we should increase the estimated useful lives of both server and network equipment from four years to six years. This change in accounting estimate was effective beginning fiscal year 2023. Based on the carrying amount of server and network equipment included in property and equipment, net as of June 30, 2022, the effect of this change in estimate for the three months ended March 31, 2023 was an increase in operating income of $885 million and net income of $720 million, or $0.10 per both basic and diluted share. The effect of this change for the nine months ended March 31, 2023 was an increase in operating income of $2.9 billion and net income of $2.3 billion, or $0.32 and $0.31 per basic and diluted share, respectively. It is estimated this change will increase our fiscal year 2023 annual operating income by $3.7 billion.</w:t>
      </w:r>
    </w:p>
    <w:p>
      <w:pPr>
        <w:pStyle w:val="TextBody"/>
        <w:spacing w:before="270" w:after="0"/>
        <w:jc w:val="both"/>
        <w:rPr>
          <w:rFonts w:ascii="Arial;sans-serif" w:hAnsi="Arial;sans-serif"/>
          <w:b/>
          <w:sz w:val="20"/>
        </w:rPr>
      </w:pPr>
      <w:r>
        <w:rPr>
          <w:rFonts w:ascii="Arial;sans-serif" w:hAnsi="Arial;sans-serif"/>
          <w:b/>
          <w:sz w:val="20"/>
        </w:rPr>
        <w:t>Reportable Segments</w:t>
      </w:r>
    </w:p>
    <w:p>
      <w:pPr>
        <w:pStyle w:val="TextBody"/>
        <w:spacing w:before="180" w:after="0"/>
        <w:jc w:val="both"/>
        <w:rPr>
          <w:rFonts w:ascii="Arial;sans-serif" w:hAnsi="Arial;sans-serif"/>
          <w:b w:val="false"/>
          <w:sz w:val="20"/>
        </w:rPr>
      </w:pPr>
      <w:r>
        <w:rPr>
          <w:rFonts w:ascii="Arial;sans-serif" w:hAnsi="Arial;sans-serif"/>
          <w:b w:val="false"/>
          <w:sz w:val="20"/>
        </w:rPr>
        <w:t>We report our financial performance based on the following segments: Productivity and Business Processes, Intelligent Cloud, and More Personal Computing. The segment amounts included in MD&amp;A are presented on a basis consistent with our internal management reporting. We have recast certain prior period amounts to conform to the way we internally manage and monitor our business.</w:t>
      </w:r>
    </w:p>
    <w:p>
      <w:pPr>
        <w:pStyle w:val="TextBody"/>
        <w:spacing w:before="180" w:after="0"/>
        <w:jc w:val="both"/>
        <w:rPr>
          <w:rFonts w:ascii="Arial;sans-serif" w:hAnsi="Arial;sans-serif"/>
          <w:b w:val="false"/>
          <w:sz w:val="20"/>
        </w:rPr>
      </w:pPr>
      <w:r>
        <w:rPr>
          <w:rFonts w:ascii="Arial;sans-serif" w:hAnsi="Arial;sans-serif"/>
          <w:b w:val="false"/>
          <w:sz w:val="20"/>
        </w:rPr>
        <w:t>Additional information on our reportable segments is contained in Note 17 – Segment Information and Geographic Data of the Notes to Financial Statements (Part I, Item 1 of this Form 10-Q).</w:t>
      </w:r>
    </w:p>
    <w:p>
      <w:pPr>
        <w:pStyle w:val="TextBody"/>
        <w:spacing w:before="270" w:after="0"/>
        <w:jc w:val="both"/>
        <w:rPr>
          <w:rFonts w:ascii="Arial;sans-serif" w:hAnsi="Arial;sans-serif"/>
          <w:b/>
          <w:sz w:val="20"/>
        </w:rPr>
      </w:pPr>
      <w:r>
        <w:rPr>
          <w:rFonts w:ascii="Arial;sans-serif" w:hAnsi="Arial;sans-serif"/>
          <w:b/>
          <w:sz w:val="20"/>
        </w:rPr>
        <w:t>Metrics</w:t>
      </w:r>
    </w:p>
    <w:p>
      <w:pPr>
        <w:pStyle w:val="TextBody"/>
        <w:spacing w:before="180" w:after="0"/>
        <w:jc w:val="both"/>
        <w:rPr>
          <w:rFonts w:ascii="Arial;sans-serif" w:hAnsi="Arial;sans-serif"/>
          <w:b w:val="false"/>
          <w:sz w:val="20"/>
        </w:rPr>
      </w:pPr>
      <w:r>
        <w:rPr>
          <w:rFonts w:ascii="Arial;sans-serif" w:hAnsi="Arial;sans-serif"/>
          <w:b w:val="false"/>
          <w:sz w:val="20"/>
        </w:rPr>
        <w:t>We use metrics in assessing the performance of our business and to make informed decisions regarding the allocation of resources. We disclose metrics to enable investors to evaluate progress against our ambitions, provide transparency into performance trends, and reflect the continued evolution of our products and services. Our commercial and other business metrics are fundamentally connected based on how customers use our products and services. The metrics are disclosed in the MD&amp;A or the Notes to Financial Statements (Part I, Item 1 of this Form 10-Q). Financial metrics are calculated based on financial results prepared in accordance with accounting principles generally accepted in the United States of America (“GAAP”), and growth comparisons relate to the corresponding period of last fiscal year.</w:t>
      </w:r>
    </w:p>
    <w:p>
      <w:pPr>
        <w:pStyle w:val="TextBody"/>
        <w:spacing w:before="180" w:after="0"/>
        <w:jc w:val="both"/>
        <w:rPr>
          <w:rFonts w:ascii="Times New Roman" w:hAnsi="Times New Roman"/>
          <w:sz w:val="20"/>
        </w:rPr>
      </w:pPr>
      <w:r>
        <w:rPr>
          <w:rFonts w:ascii="Arial;sans-serif" w:hAnsi="Arial;sans-serif"/>
          <w:b w:val="false"/>
          <w:sz w:val="20"/>
        </w:rPr>
        <w:t>In the first quarter of fiscal year 2023, we made updates to the presentation and method of calculation for certain metrics, most notably expanding our Surface metric into a broader Devices metric to incorporate additional revenue streams, along with other minor changes to align with how we manage our businesses.</w:t>
      </w:r>
      <w:r>
        <w:rPr>
          <w:rFonts w:ascii="Times New Roman" w:hAnsi="Times New Roman"/>
          <w:sz w:val="20"/>
        </w:rPr>
        <w:t xml:space="preserve"> </w:t>
      </w:r>
    </w:p>
    <w:p>
      <w:pPr>
        <w:pStyle w:val="TextBody"/>
        <w:spacing w:before="270" w:after="0"/>
        <w:jc w:val="both"/>
        <w:rPr>
          <w:rFonts w:ascii="Arial;sans-serif" w:hAnsi="Arial;sans-serif"/>
          <w:b/>
          <w:i/>
          <w:sz w:val="20"/>
        </w:rPr>
      </w:pPr>
      <w:r>
        <w:rPr>
          <w:rFonts w:ascii="Arial;sans-serif" w:hAnsi="Arial;sans-serif"/>
          <w:b/>
          <w:i/>
          <w:sz w:val="20"/>
        </w:rPr>
        <w:t>Commercial</w:t>
      </w:r>
    </w:p>
    <w:p>
      <w:pPr>
        <w:pStyle w:val="TextBody"/>
        <w:spacing w:before="180" w:after="0"/>
        <w:jc w:val="both"/>
        <w:rPr>
          <w:rFonts w:ascii="Arial;sans-serif" w:hAnsi="Arial;sans-serif"/>
          <w:b w:val="false"/>
          <w:sz w:val="20"/>
        </w:rPr>
      </w:pPr>
      <w:r>
        <w:rPr>
          <w:rFonts w:ascii="Arial;sans-serif" w:hAnsi="Arial;sans-serif"/>
          <w:b w:val="false"/>
          <w:sz w:val="20"/>
        </w:rPr>
        <w:t>Our commercial business primarily consists of Server products and cloud services, Office Commercial, Windows Commercial, the commercial portion of LinkedIn, Enterprise Services, and Dynamics. Our commercial metrics allow management and investors to assess the overall health of our commercial business and include leading indicators of future performance.</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2366"/>
        <w:gridCol w:w="146"/>
        <w:gridCol w:w="7693"/>
      </w:tblGrid>
      <w:tr>
        <w:trPr/>
        <w:tc>
          <w:tcPr>
            <w:tcW w:w="23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693" w:type="dxa"/>
            <w:tcBorders/>
            <w:shd w:fill="auto" w:val="clear"/>
            <w:vAlign w:val="center"/>
          </w:tcPr>
          <w:p>
            <w:pPr>
              <w:pStyle w:val="TableContents"/>
              <w:spacing w:before="0" w:after="283"/>
              <w:ind w:left="0" w:right="0" w:firstLine="187"/>
              <w:rPr>
                <w:sz w:val="4"/>
                <w:szCs w:val="4"/>
              </w:rPr>
            </w:pPr>
            <w:r>
              <w:rPr>
                <w:sz w:val="4"/>
                <w:szCs w:val="4"/>
              </w:rPr>
            </w:r>
          </w:p>
        </w:tc>
      </w:tr>
      <w:tr>
        <w:trPr/>
        <w:tc>
          <w:tcPr>
            <w:tcW w:w="2366" w:type="dxa"/>
            <w:tcBorders/>
            <w:shd w:fill="auto" w:val="clear"/>
            <w:vAlign w:val="center"/>
          </w:tcPr>
          <w:p>
            <w:pPr>
              <w:pStyle w:val="TableContents"/>
              <w:spacing w:before="0" w:after="0"/>
              <w:ind w:left="187" w:right="0" w:hanging="0"/>
              <w:jc w:val="left"/>
              <w:rPr>
                <w:rFonts w:ascii="Arial;sans-serif" w:hAnsi="Arial;sans-serif"/>
                <w:b w:val="false"/>
                <w:sz w:val="20"/>
              </w:rPr>
            </w:pPr>
            <w:r>
              <w:rPr>
                <w:rFonts w:ascii="Arial;sans-serif" w:hAnsi="Arial;sans-serif"/>
                <w:b w:val="false"/>
                <w:sz w:val="20"/>
              </w:rPr>
              <w:t>Commercial remaining performance obligation</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693" w:type="dxa"/>
            <w:tcBorders/>
            <w:shd w:fill="auto" w:val="clear"/>
            <w:vAlign w:val="center"/>
          </w:tcPr>
          <w:p>
            <w:pPr>
              <w:pStyle w:val="TableContents"/>
              <w:spacing w:before="0" w:after="0"/>
              <w:ind w:left="0" w:right="0" w:firstLine="187"/>
              <w:jc w:val="left"/>
              <w:rPr>
                <w:rFonts w:ascii="Arial;sans-serif" w:hAnsi="Arial;sans-serif"/>
                <w:b w:val="false"/>
                <w:sz w:val="20"/>
              </w:rPr>
            </w:pPr>
            <w:r>
              <w:rPr>
                <w:rFonts w:ascii="Arial;sans-serif" w:hAnsi="Arial;sans-serif"/>
                <w:b w:val="false"/>
                <w:sz w:val="20"/>
              </w:rPr>
              <w:t>Commercial portion of revenue allocated to remaining performance obligations, which includes unearned revenue and amounts that will be invoiced and recognized as revenue in future periods</w:t>
            </w:r>
          </w:p>
        </w:tc>
      </w:tr>
      <w:tr>
        <w:trPr/>
        <w:tc>
          <w:tcPr>
            <w:tcW w:w="2366" w:type="dxa"/>
            <w:tcBorders/>
            <w:shd w:fill="auto" w:val="clear"/>
            <w:vAlign w:val="center"/>
          </w:tcPr>
          <w:p>
            <w:pPr>
              <w:pStyle w:val="TableContents"/>
              <w:spacing w:before="0" w:after="283"/>
              <w:ind w:left="0" w:right="0" w:firstLine="187"/>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7693" w:type="dxa"/>
            <w:tcBorders/>
            <w:shd w:fill="auto" w:val="clear"/>
            <w:vAlign w:val="center"/>
          </w:tcPr>
          <w:p>
            <w:pPr>
              <w:pStyle w:val="TableContents"/>
              <w:spacing w:before="0" w:after="0"/>
              <w:ind w:left="0" w:right="0" w:firstLine="187"/>
              <w:jc w:val="left"/>
              <w:rPr/>
            </w:pPr>
            <w:r>
              <w:rPr/>
              <w:t> </w:t>
            </w:r>
          </w:p>
        </w:tc>
      </w:tr>
      <w:tr>
        <w:trPr/>
        <w:tc>
          <w:tcPr>
            <w:tcW w:w="2366" w:type="dxa"/>
            <w:tcBorders/>
            <w:shd w:fill="auto" w:val="clear"/>
            <w:vAlign w:val="center"/>
          </w:tcPr>
          <w:p>
            <w:pPr>
              <w:pStyle w:val="TableContents"/>
              <w:spacing w:before="0" w:after="0"/>
              <w:ind w:left="187" w:right="0" w:hanging="0"/>
              <w:jc w:val="left"/>
              <w:rPr>
                <w:rFonts w:ascii="Arial;sans-serif" w:hAnsi="Arial;sans-serif"/>
                <w:b w:val="false"/>
                <w:sz w:val="20"/>
              </w:rPr>
            </w:pPr>
            <w:r>
              <w:rPr>
                <w:rFonts w:ascii="Arial;sans-serif" w:hAnsi="Arial;sans-serif"/>
                <w:b w:val="false"/>
                <w:sz w:val="20"/>
              </w:rPr>
              <w:t>Microsoft Cloud revenue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693" w:type="dxa"/>
            <w:tcBorders/>
            <w:shd w:fill="auto" w:val="clear"/>
            <w:vAlign w:val="center"/>
          </w:tcPr>
          <w:p>
            <w:pPr>
              <w:pStyle w:val="TableContents"/>
              <w:spacing w:before="0" w:after="0"/>
              <w:ind w:left="0" w:right="0" w:firstLine="187"/>
              <w:jc w:val="left"/>
              <w:rPr>
                <w:rFonts w:ascii="Arial;sans-serif" w:hAnsi="Arial;sans-serif"/>
                <w:b w:val="false"/>
                <w:sz w:val="20"/>
              </w:rPr>
            </w:pPr>
            <w:r>
              <w:rPr>
                <w:rFonts w:ascii="Arial;sans-serif" w:hAnsi="Arial;sans-serif"/>
                <w:b w:val="false"/>
                <w:sz w:val="20"/>
              </w:rPr>
              <w:t>Revenue from Azure and other cloud services, Office 365 Commercial, the commercial portion of LinkedIn, Dynamics 365, and other commercial cloud properties</w:t>
            </w:r>
          </w:p>
        </w:tc>
      </w:tr>
      <w:tr>
        <w:trPr/>
        <w:tc>
          <w:tcPr>
            <w:tcW w:w="2366" w:type="dxa"/>
            <w:tcBorders/>
            <w:shd w:fill="auto" w:val="clear"/>
            <w:vAlign w:val="center"/>
          </w:tcPr>
          <w:p>
            <w:pPr>
              <w:pStyle w:val="TableContents"/>
              <w:spacing w:before="0" w:after="283"/>
              <w:ind w:left="0" w:right="0" w:firstLine="187"/>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7693" w:type="dxa"/>
            <w:tcBorders/>
            <w:shd w:fill="auto" w:val="clear"/>
            <w:vAlign w:val="center"/>
          </w:tcPr>
          <w:p>
            <w:pPr>
              <w:pStyle w:val="TableContents"/>
              <w:spacing w:before="0" w:after="0"/>
              <w:ind w:left="0" w:right="0" w:firstLine="187"/>
              <w:jc w:val="left"/>
              <w:rPr/>
            </w:pPr>
            <w:r>
              <w:rPr/>
              <w:t> </w:t>
            </w:r>
          </w:p>
        </w:tc>
      </w:tr>
      <w:tr>
        <w:trPr/>
        <w:tc>
          <w:tcPr>
            <w:tcW w:w="2366" w:type="dxa"/>
            <w:tcBorders/>
            <w:shd w:fill="auto" w:val="clear"/>
            <w:vAlign w:val="center"/>
          </w:tcPr>
          <w:p>
            <w:pPr>
              <w:pStyle w:val="TableContents"/>
              <w:spacing w:before="0" w:after="0"/>
              <w:ind w:left="187" w:right="0" w:hanging="0"/>
              <w:jc w:val="left"/>
              <w:rPr>
                <w:rFonts w:ascii="Arial;sans-serif" w:hAnsi="Arial;sans-serif"/>
                <w:b w:val="false"/>
                <w:sz w:val="20"/>
              </w:rPr>
            </w:pPr>
            <w:r>
              <w:rPr>
                <w:rFonts w:ascii="Arial;sans-serif" w:hAnsi="Arial;sans-serif"/>
                <w:b w:val="false"/>
                <w:sz w:val="20"/>
              </w:rPr>
              <w:t>Microsoft Cloud gross margin percentage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693"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Gross margin percentage for our Microsoft Cloud business</w:t>
            </w:r>
          </w:p>
        </w:tc>
      </w:tr>
    </w:tbl>
    <w:p>
      <w:pPr>
        <w:pStyle w:val="TextBody"/>
        <w:spacing w:before="0" w:after="0"/>
        <w:jc w:val="both"/>
        <w:rPr/>
      </w:pPr>
      <w:r>
        <w:rPr/>
        <w:t> </w:t>
      </w:r>
    </w:p>
    <w:p>
      <w:pPr>
        <w:pStyle w:val="TextBody"/>
        <w:spacing w:before="240" w:after="0"/>
        <w:jc w:val="center"/>
        <w:rPr>
          <w:rFonts w:ascii="Arial;sans-serif" w:hAnsi="Arial;sans-serif"/>
          <w:b w:val="false"/>
          <w:sz w:val="16"/>
        </w:rPr>
      </w:pPr>
      <w:r>
        <w:rPr>
          <w:rFonts w:ascii="Arial;sans-serif" w:hAnsi="Arial;sans-serif"/>
          <w:b w:val="false"/>
          <w:sz w:val="16"/>
        </w:rPr>
        <w:t>34</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w:t>
      </w:r>
    </w:p>
    <w:p>
      <w:pPr>
        <w:pStyle w:val="TextBody"/>
        <w:spacing w:before="0" w:after="0"/>
        <w:jc w:val="center"/>
        <w:rPr>
          <w:rFonts w:ascii="Arial;sans-serif" w:hAnsi="Arial;sans-serif"/>
          <w:b w:val="false"/>
          <w:sz w:val="15"/>
        </w:rPr>
      </w:pPr>
      <w:r>
        <w:rPr>
          <w:rFonts w:ascii="Arial;sans-serif" w:hAnsi="Arial;sans-serif"/>
          <w:b w:val="false"/>
          <w:sz w:val="15"/>
        </w:rPr>
        <w:t>Item 2</w:t>
      </w:r>
    </w:p>
    <w:p>
      <w:pPr>
        <w:pStyle w:val="TextBody"/>
        <w:spacing w:before="0" w:after="0"/>
        <w:jc w:val="left"/>
        <w:rPr/>
      </w:pPr>
      <w:r>
        <w:rPr/>
        <w:t> </w:t>
      </w:r>
    </w:p>
    <w:p>
      <w:pPr>
        <w:pStyle w:val="TextBody"/>
        <w:spacing w:before="90" w:after="0"/>
        <w:jc w:val="both"/>
        <w:rPr>
          <w:rFonts w:ascii="Arial;sans-serif" w:hAnsi="Arial;sans-serif"/>
          <w:b/>
          <w:i/>
          <w:sz w:val="20"/>
        </w:rPr>
      </w:pPr>
      <w:r>
        <w:rPr>
          <w:rFonts w:ascii="Arial;sans-serif" w:hAnsi="Arial;sans-serif"/>
          <w:b/>
          <w:i/>
          <w:sz w:val="20"/>
        </w:rPr>
        <w:t>Productivity and Business Processes and Intelligent Cloud</w:t>
      </w:r>
    </w:p>
    <w:p>
      <w:pPr>
        <w:pStyle w:val="TextBody"/>
        <w:spacing w:before="180" w:after="0"/>
        <w:jc w:val="both"/>
        <w:rPr>
          <w:rFonts w:ascii="Arial;sans-serif" w:hAnsi="Arial;sans-serif"/>
          <w:b w:val="false"/>
          <w:sz w:val="20"/>
        </w:rPr>
      </w:pPr>
      <w:r>
        <w:rPr>
          <w:rFonts w:ascii="Arial;sans-serif" w:hAnsi="Arial;sans-serif"/>
          <w:b w:val="false"/>
          <w:sz w:val="20"/>
        </w:rPr>
        <w:t>Metrics related to our Productivity and Business Processes and Intelligent Cloud segments assess the health of our core businesses within these segments. The metrics reflect our cloud and on-premises product strategies and trends.</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2248"/>
        <w:gridCol w:w="146"/>
        <w:gridCol w:w="7811"/>
      </w:tblGrid>
      <w:tr>
        <w:trPr/>
        <w:tc>
          <w:tcPr>
            <w:tcW w:w="224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1" w:type="dxa"/>
            <w:tcBorders/>
            <w:shd w:fill="auto" w:val="clear"/>
            <w:vAlign w:val="center"/>
          </w:tcPr>
          <w:p>
            <w:pPr>
              <w:pStyle w:val="TableContents"/>
              <w:spacing w:before="0" w:after="283"/>
              <w:ind w:left="0" w:right="0" w:firstLine="187"/>
              <w:rPr>
                <w:sz w:val="4"/>
                <w:szCs w:val="4"/>
              </w:rPr>
            </w:pPr>
            <w:r>
              <w:rPr>
                <w:sz w:val="4"/>
                <w:szCs w:val="4"/>
              </w:rPr>
            </w:r>
          </w:p>
        </w:tc>
      </w:tr>
      <w:tr>
        <w:trPr/>
        <w:tc>
          <w:tcPr>
            <w:tcW w:w="2248" w:type="dxa"/>
            <w:tcBorders/>
            <w:shd w:fill="auto" w:val="clear"/>
            <w:vAlign w:val="center"/>
          </w:tcPr>
          <w:p>
            <w:pPr>
              <w:pStyle w:val="TableContents"/>
              <w:spacing w:before="0" w:after="0"/>
              <w:ind w:left="187" w:right="0" w:hanging="0"/>
              <w:jc w:val="left"/>
              <w:rPr>
                <w:rFonts w:ascii="Arial;sans-serif" w:hAnsi="Arial;sans-serif"/>
                <w:b w:val="false"/>
                <w:sz w:val="20"/>
              </w:rPr>
            </w:pPr>
            <w:r>
              <w:rPr>
                <w:rFonts w:ascii="Arial;sans-serif" w:hAnsi="Arial;sans-serif"/>
                <w:b w:val="false"/>
                <w:sz w:val="20"/>
              </w:rPr>
              <w:t>Office Commercial products and cloud services revenue growth</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811" w:type="dxa"/>
            <w:tcBorders/>
            <w:shd w:fill="auto" w:val="clear"/>
            <w:vAlign w:val="center"/>
          </w:tcPr>
          <w:p>
            <w:pPr>
              <w:pStyle w:val="TableContents"/>
              <w:spacing w:before="0" w:after="0"/>
              <w:ind w:left="0" w:right="0" w:firstLine="187"/>
              <w:jc w:val="left"/>
              <w:rPr>
                <w:rFonts w:ascii="Arial;sans-serif" w:hAnsi="Arial;sans-serif"/>
                <w:b w:val="false"/>
                <w:sz w:val="20"/>
              </w:rPr>
            </w:pPr>
            <w:r>
              <w:rPr>
                <w:rFonts w:ascii="Arial;sans-serif" w:hAnsi="Arial;sans-serif"/>
                <w:b w:val="false"/>
                <w:sz w:val="20"/>
              </w:rPr>
              <w:t>Revenue from Office Commercial products and cloud services (Office 365 subscriptions, the Office 365 portion of Microsoft 365 Commercial subscriptions, and Office licensed on-premises), comprising Office, Exchange, SharePoint, Microsoft Teams, Office 365 Security and Compliance, and Microsoft Viva</w:t>
            </w:r>
          </w:p>
        </w:tc>
      </w:tr>
      <w:tr>
        <w:trPr/>
        <w:tc>
          <w:tcPr>
            <w:tcW w:w="2248" w:type="dxa"/>
            <w:tcBorders/>
            <w:shd w:fill="auto" w:val="clear"/>
            <w:vAlign w:val="center"/>
          </w:tcPr>
          <w:p>
            <w:pPr>
              <w:pStyle w:val="TableContents"/>
              <w:spacing w:before="0" w:after="283"/>
              <w:ind w:left="0" w:right="0" w:firstLine="187"/>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7811" w:type="dxa"/>
            <w:tcBorders/>
            <w:shd w:fill="auto" w:val="clear"/>
            <w:vAlign w:val="center"/>
          </w:tcPr>
          <w:p>
            <w:pPr>
              <w:pStyle w:val="TableContents"/>
              <w:spacing w:before="0" w:after="0"/>
              <w:ind w:left="0" w:right="0" w:firstLine="187"/>
              <w:jc w:val="left"/>
              <w:rPr/>
            </w:pPr>
            <w:r>
              <w:rPr/>
              <w:t> </w:t>
            </w:r>
          </w:p>
        </w:tc>
      </w:tr>
      <w:tr>
        <w:trPr/>
        <w:tc>
          <w:tcPr>
            <w:tcW w:w="2248" w:type="dxa"/>
            <w:tcBorders/>
            <w:shd w:fill="auto" w:val="clear"/>
            <w:vAlign w:val="center"/>
          </w:tcPr>
          <w:p>
            <w:pPr>
              <w:pStyle w:val="TableContents"/>
              <w:spacing w:before="0" w:after="0"/>
              <w:ind w:left="187" w:right="0" w:hanging="0"/>
              <w:jc w:val="left"/>
              <w:rPr>
                <w:rFonts w:ascii="Arial;sans-serif" w:hAnsi="Arial;sans-serif"/>
                <w:b w:val="false"/>
                <w:sz w:val="20"/>
              </w:rPr>
            </w:pPr>
            <w:r>
              <w:rPr>
                <w:rFonts w:ascii="Arial;sans-serif" w:hAnsi="Arial;sans-serif"/>
                <w:b w:val="false"/>
                <w:sz w:val="20"/>
              </w:rPr>
              <w:t>Office Consumer products and cloud services revenue growth</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811" w:type="dxa"/>
            <w:tcBorders/>
            <w:shd w:fill="auto" w:val="clear"/>
            <w:vAlign w:val="center"/>
          </w:tcPr>
          <w:p>
            <w:pPr>
              <w:pStyle w:val="TableContents"/>
              <w:spacing w:before="0" w:after="0"/>
              <w:ind w:left="0" w:right="0" w:firstLine="187"/>
              <w:jc w:val="left"/>
              <w:rPr>
                <w:rFonts w:ascii="Arial;sans-serif" w:hAnsi="Arial;sans-serif"/>
                <w:b w:val="false"/>
                <w:sz w:val="20"/>
              </w:rPr>
            </w:pPr>
            <w:r>
              <w:rPr>
                <w:rFonts w:ascii="Arial;sans-serif" w:hAnsi="Arial;sans-serif"/>
                <w:b w:val="false"/>
                <w:sz w:val="20"/>
              </w:rPr>
              <w:t>Revenue from Office Consumer products and cloud services, including Microsoft 365 Consumer subscriptions, Office licensed on-premises, and other Office services</w:t>
            </w:r>
          </w:p>
        </w:tc>
      </w:tr>
      <w:tr>
        <w:trPr/>
        <w:tc>
          <w:tcPr>
            <w:tcW w:w="2248" w:type="dxa"/>
            <w:tcBorders/>
            <w:shd w:fill="auto" w:val="clear"/>
            <w:vAlign w:val="center"/>
          </w:tcPr>
          <w:p>
            <w:pPr>
              <w:pStyle w:val="TableContents"/>
              <w:spacing w:before="0" w:after="283"/>
              <w:ind w:left="0" w:right="0" w:firstLine="187"/>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7811" w:type="dxa"/>
            <w:tcBorders/>
            <w:shd w:fill="auto" w:val="clear"/>
            <w:vAlign w:val="center"/>
          </w:tcPr>
          <w:p>
            <w:pPr>
              <w:pStyle w:val="TableContents"/>
              <w:spacing w:before="0" w:after="0"/>
              <w:ind w:left="0" w:right="0" w:firstLine="187"/>
              <w:jc w:val="left"/>
              <w:rPr/>
            </w:pPr>
            <w:r>
              <w:rPr/>
              <w:t> </w:t>
            </w:r>
          </w:p>
        </w:tc>
      </w:tr>
      <w:tr>
        <w:trPr/>
        <w:tc>
          <w:tcPr>
            <w:tcW w:w="2248" w:type="dxa"/>
            <w:tcBorders/>
            <w:shd w:fill="auto" w:val="clear"/>
            <w:vAlign w:val="center"/>
          </w:tcPr>
          <w:p>
            <w:pPr>
              <w:pStyle w:val="TableContents"/>
              <w:spacing w:before="0" w:after="0"/>
              <w:ind w:left="187" w:right="0" w:hanging="0"/>
              <w:jc w:val="left"/>
              <w:rPr>
                <w:rFonts w:ascii="Arial;sans-serif" w:hAnsi="Arial;sans-serif"/>
                <w:b w:val="false"/>
                <w:sz w:val="20"/>
              </w:rPr>
            </w:pPr>
            <w:r>
              <w:rPr>
                <w:rFonts w:ascii="Arial;sans-serif" w:hAnsi="Arial;sans-serif"/>
                <w:b w:val="false"/>
                <w:sz w:val="20"/>
              </w:rPr>
              <w:t>Office 365 Commercial seat growth</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811" w:type="dxa"/>
            <w:tcBorders/>
            <w:shd w:fill="auto" w:val="clear"/>
            <w:vAlign w:val="center"/>
          </w:tcPr>
          <w:p>
            <w:pPr>
              <w:pStyle w:val="TableContents"/>
              <w:spacing w:before="0" w:after="0"/>
              <w:ind w:left="0" w:right="0" w:firstLine="187"/>
              <w:jc w:val="left"/>
              <w:rPr>
                <w:rFonts w:ascii="Arial;sans-serif" w:hAnsi="Arial;sans-serif"/>
                <w:b w:val="false"/>
                <w:sz w:val="20"/>
              </w:rPr>
            </w:pPr>
            <w:r>
              <w:rPr>
                <w:rFonts w:ascii="Arial;sans-serif" w:hAnsi="Arial;sans-serif"/>
                <w:b w:val="false"/>
                <w:sz w:val="20"/>
              </w:rPr>
              <w:t>The number of Office 365 Commercial seats at end of period where seats are paid users covered by an Office 365 Commercial subscription</w:t>
            </w:r>
          </w:p>
        </w:tc>
      </w:tr>
      <w:tr>
        <w:trPr/>
        <w:tc>
          <w:tcPr>
            <w:tcW w:w="2248" w:type="dxa"/>
            <w:tcBorders/>
            <w:shd w:fill="auto" w:val="clear"/>
            <w:vAlign w:val="center"/>
          </w:tcPr>
          <w:p>
            <w:pPr>
              <w:pStyle w:val="TableContents"/>
              <w:spacing w:before="0" w:after="283"/>
              <w:ind w:left="0" w:right="0" w:firstLine="187"/>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7811" w:type="dxa"/>
            <w:tcBorders/>
            <w:shd w:fill="auto" w:val="clear"/>
            <w:vAlign w:val="center"/>
          </w:tcPr>
          <w:p>
            <w:pPr>
              <w:pStyle w:val="TableContents"/>
              <w:spacing w:before="0" w:after="0"/>
              <w:ind w:left="0" w:right="0" w:firstLine="187"/>
              <w:jc w:val="left"/>
              <w:rPr/>
            </w:pPr>
            <w:r>
              <w:rPr/>
              <w:t> </w:t>
            </w:r>
          </w:p>
        </w:tc>
      </w:tr>
      <w:tr>
        <w:trPr/>
        <w:tc>
          <w:tcPr>
            <w:tcW w:w="2248" w:type="dxa"/>
            <w:tcBorders/>
            <w:shd w:fill="auto" w:val="clear"/>
            <w:vAlign w:val="center"/>
          </w:tcPr>
          <w:p>
            <w:pPr>
              <w:pStyle w:val="TableContents"/>
              <w:spacing w:before="0" w:after="0"/>
              <w:ind w:left="187" w:right="0" w:hanging="0"/>
              <w:jc w:val="left"/>
              <w:rPr>
                <w:rFonts w:ascii="Arial;sans-serif" w:hAnsi="Arial;sans-serif"/>
                <w:b w:val="false"/>
                <w:sz w:val="20"/>
              </w:rPr>
            </w:pPr>
            <w:r>
              <w:rPr>
                <w:rFonts w:ascii="Arial;sans-serif" w:hAnsi="Arial;sans-serif"/>
                <w:b w:val="false"/>
                <w:sz w:val="20"/>
              </w:rPr>
              <w:t>Microsoft 365 Consumer subscribers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811" w:type="dxa"/>
            <w:tcBorders/>
            <w:shd w:fill="auto" w:val="clear"/>
            <w:vAlign w:val="center"/>
          </w:tcPr>
          <w:p>
            <w:pPr>
              <w:pStyle w:val="TableContents"/>
              <w:spacing w:before="0" w:after="0"/>
              <w:ind w:left="0" w:right="0" w:firstLine="187"/>
              <w:jc w:val="left"/>
              <w:rPr>
                <w:rFonts w:ascii="Arial;sans-serif" w:hAnsi="Arial;sans-serif"/>
                <w:b w:val="false"/>
                <w:sz w:val="20"/>
              </w:rPr>
            </w:pPr>
            <w:r>
              <w:rPr>
                <w:rFonts w:ascii="Arial;sans-serif" w:hAnsi="Arial;sans-serif"/>
                <w:b w:val="false"/>
                <w:sz w:val="20"/>
              </w:rPr>
              <w:t>The number of Microsoft 365 Consumer subscribers at end of period</w:t>
            </w:r>
          </w:p>
        </w:tc>
      </w:tr>
      <w:tr>
        <w:trPr/>
        <w:tc>
          <w:tcPr>
            <w:tcW w:w="2248" w:type="dxa"/>
            <w:tcBorders/>
            <w:shd w:fill="auto" w:val="clear"/>
            <w:vAlign w:val="center"/>
          </w:tcPr>
          <w:p>
            <w:pPr>
              <w:pStyle w:val="TableContents"/>
              <w:spacing w:before="0" w:after="283"/>
              <w:ind w:left="0" w:right="0" w:firstLine="187"/>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7811" w:type="dxa"/>
            <w:tcBorders/>
            <w:shd w:fill="auto" w:val="clear"/>
            <w:vAlign w:val="center"/>
          </w:tcPr>
          <w:p>
            <w:pPr>
              <w:pStyle w:val="TableContents"/>
              <w:spacing w:before="0" w:after="0"/>
              <w:ind w:left="0" w:right="0" w:firstLine="187"/>
              <w:jc w:val="left"/>
              <w:rPr/>
            </w:pPr>
            <w:r>
              <w:rPr/>
              <w:t> </w:t>
            </w:r>
          </w:p>
        </w:tc>
      </w:tr>
      <w:tr>
        <w:trPr/>
        <w:tc>
          <w:tcPr>
            <w:tcW w:w="2248" w:type="dxa"/>
            <w:tcBorders/>
            <w:shd w:fill="auto" w:val="clear"/>
            <w:vAlign w:val="center"/>
          </w:tcPr>
          <w:p>
            <w:pPr>
              <w:pStyle w:val="TableContents"/>
              <w:spacing w:before="0" w:after="0"/>
              <w:ind w:left="187" w:right="0" w:hanging="0"/>
              <w:jc w:val="left"/>
              <w:rPr>
                <w:rFonts w:ascii="Arial;sans-serif" w:hAnsi="Arial;sans-serif"/>
                <w:b w:val="false"/>
                <w:sz w:val="20"/>
              </w:rPr>
            </w:pPr>
            <w:r>
              <w:rPr>
                <w:rFonts w:ascii="Arial;sans-serif" w:hAnsi="Arial;sans-serif"/>
                <w:b w:val="false"/>
                <w:sz w:val="20"/>
              </w:rPr>
              <w:t>Dynamics products and cloud services revenue growth</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811" w:type="dxa"/>
            <w:tcBorders/>
            <w:shd w:fill="auto" w:val="clear"/>
            <w:vAlign w:val="center"/>
          </w:tcPr>
          <w:p>
            <w:pPr>
              <w:pStyle w:val="TableContents"/>
              <w:spacing w:before="0" w:after="0"/>
              <w:ind w:left="0" w:right="0" w:firstLine="187"/>
              <w:jc w:val="left"/>
              <w:rPr>
                <w:rFonts w:ascii="Arial;sans-serif" w:hAnsi="Arial;sans-serif"/>
                <w:b w:val="false"/>
                <w:sz w:val="20"/>
              </w:rPr>
            </w:pPr>
            <w:r>
              <w:rPr>
                <w:rFonts w:ascii="Arial;sans-serif" w:hAnsi="Arial;sans-serif"/>
                <w:b w:val="false"/>
                <w:sz w:val="20"/>
              </w:rPr>
              <w:t>Revenue from Dynamics products and cloud services, including Dynamics 365, comprising a set of intelligent, cloud-based applications across ERP, CRM, Customer Insights, Power Apps, and Power Automate; and on-premises ERP and CRM applications</w:t>
            </w:r>
          </w:p>
        </w:tc>
      </w:tr>
      <w:tr>
        <w:trPr/>
        <w:tc>
          <w:tcPr>
            <w:tcW w:w="2248" w:type="dxa"/>
            <w:tcBorders/>
            <w:shd w:fill="auto" w:val="clear"/>
            <w:vAlign w:val="center"/>
          </w:tcPr>
          <w:p>
            <w:pPr>
              <w:pStyle w:val="TableContents"/>
              <w:spacing w:before="0" w:after="283"/>
              <w:ind w:left="0" w:right="0" w:firstLine="187"/>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7811" w:type="dxa"/>
            <w:tcBorders/>
            <w:shd w:fill="auto" w:val="clear"/>
            <w:vAlign w:val="center"/>
          </w:tcPr>
          <w:p>
            <w:pPr>
              <w:pStyle w:val="TableContents"/>
              <w:spacing w:before="0" w:after="0"/>
              <w:ind w:left="0" w:right="0" w:firstLine="187"/>
              <w:jc w:val="left"/>
              <w:rPr/>
            </w:pPr>
            <w:r>
              <w:rPr/>
              <w:t> </w:t>
            </w:r>
          </w:p>
        </w:tc>
      </w:tr>
      <w:tr>
        <w:trPr/>
        <w:tc>
          <w:tcPr>
            <w:tcW w:w="2248" w:type="dxa"/>
            <w:tcBorders/>
            <w:shd w:fill="auto" w:val="clear"/>
            <w:vAlign w:val="center"/>
          </w:tcPr>
          <w:p>
            <w:pPr>
              <w:pStyle w:val="TableContents"/>
              <w:spacing w:before="0" w:after="0"/>
              <w:ind w:left="187" w:right="0" w:hanging="0"/>
              <w:jc w:val="left"/>
              <w:rPr>
                <w:rFonts w:ascii="Arial;sans-serif" w:hAnsi="Arial;sans-serif"/>
                <w:b w:val="false"/>
                <w:sz w:val="20"/>
              </w:rPr>
            </w:pPr>
            <w:r>
              <w:rPr>
                <w:rFonts w:ascii="Arial;sans-serif" w:hAnsi="Arial;sans-serif"/>
                <w:b w:val="false"/>
                <w:sz w:val="20"/>
              </w:rPr>
              <w:t>LinkedIn revenue growth</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811" w:type="dxa"/>
            <w:tcBorders/>
            <w:shd w:fill="auto" w:val="clear"/>
            <w:vAlign w:val="center"/>
          </w:tcPr>
          <w:p>
            <w:pPr>
              <w:pStyle w:val="TableContents"/>
              <w:spacing w:before="0" w:after="0"/>
              <w:ind w:left="0" w:right="0" w:firstLine="187"/>
              <w:jc w:val="left"/>
              <w:rPr>
                <w:rFonts w:ascii="Arial;sans-serif" w:hAnsi="Arial;sans-serif"/>
                <w:b w:val="false"/>
                <w:sz w:val="20"/>
              </w:rPr>
            </w:pPr>
            <w:r>
              <w:rPr>
                <w:rFonts w:ascii="Arial;sans-serif" w:hAnsi="Arial;sans-serif"/>
                <w:b w:val="false"/>
                <w:sz w:val="20"/>
              </w:rPr>
              <w:t>Revenue from LinkedIn, including Talent Solutions, Marketing Solutions, Premium Subscriptions, and Sales Solutions</w:t>
            </w:r>
          </w:p>
        </w:tc>
      </w:tr>
      <w:tr>
        <w:trPr/>
        <w:tc>
          <w:tcPr>
            <w:tcW w:w="2248" w:type="dxa"/>
            <w:tcBorders/>
            <w:shd w:fill="auto" w:val="clear"/>
            <w:vAlign w:val="center"/>
          </w:tcPr>
          <w:p>
            <w:pPr>
              <w:pStyle w:val="TableContents"/>
              <w:spacing w:before="0" w:after="283"/>
              <w:ind w:left="0" w:right="0" w:firstLine="187"/>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7811" w:type="dxa"/>
            <w:tcBorders/>
            <w:shd w:fill="auto" w:val="clear"/>
            <w:vAlign w:val="center"/>
          </w:tcPr>
          <w:p>
            <w:pPr>
              <w:pStyle w:val="TableContents"/>
              <w:spacing w:before="0" w:after="0"/>
              <w:ind w:left="0" w:right="0" w:firstLine="187"/>
              <w:jc w:val="left"/>
              <w:rPr/>
            </w:pPr>
            <w:r>
              <w:rPr/>
              <w:t> </w:t>
            </w:r>
          </w:p>
        </w:tc>
      </w:tr>
      <w:tr>
        <w:trPr/>
        <w:tc>
          <w:tcPr>
            <w:tcW w:w="2248" w:type="dxa"/>
            <w:tcBorders/>
            <w:shd w:fill="auto" w:val="clear"/>
            <w:vAlign w:val="center"/>
          </w:tcPr>
          <w:p>
            <w:pPr>
              <w:pStyle w:val="TableContents"/>
              <w:spacing w:before="0" w:after="0"/>
              <w:ind w:left="187" w:right="0" w:hanging="0"/>
              <w:jc w:val="left"/>
              <w:rPr>
                <w:rFonts w:ascii="Arial;sans-serif" w:hAnsi="Arial;sans-serif"/>
                <w:b w:val="false"/>
                <w:sz w:val="20"/>
              </w:rPr>
            </w:pPr>
            <w:r>
              <w:rPr>
                <w:rFonts w:ascii="Arial;sans-serif" w:hAnsi="Arial;sans-serif"/>
                <w:b w:val="false"/>
                <w:sz w:val="20"/>
              </w:rPr>
              <w:t>Server products and cloud services revenue growth</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8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Revenue from Server products and cloud services, including Azure and other cloud services; SQL Server, Windows Server, Visual Studio, System Center, and related Client Access Licenses (“CALs”); and Nuance and GitHub</w:t>
            </w:r>
          </w:p>
        </w:tc>
      </w:tr>
    </w:tbl>
    <w:p>
      <w:pPr>
        <w:pStyle w:val="TextBody"/>
        <w:spacing w:before="0" w:after="0"/>
        <w:jc w:val="left"/>
        <w:rPr/>
      </w:pPr>
      <w:r>
        <w:rPr/>
        <w:t> </w:t>
      </w:r>
    </w:p>
    <w:p>
      <w:pPr>
        <w:pStyle w:val="TextBody"/>
        <w:spacing w:before="90" w:after="0"/>
        <w:jc w:val="both"/>
        <w:rPr>
          <w:rFonts w:ascii="Arial;sans-serif" w:hAnsi="Arial;sans-serif"/>
          <w:b/>
          <w:i/>
          <w:sz w:val="20"/>
        </w:rPr>
      </w:pPr>
      <w:r>
        <w:rPr>
          <w:rFonts w:ascii="Arial;sans-serif" w:hAnsi="Arial;sans-serif"/>
          <w:b/>
          <w:i/>
          <w:sz w:val="20"/>
        </w:rPr>
        <w:t>More Personal Computing</w:t>
      </w:r>
    </w:p>
    <w:p>
      <w:pPr>
        <w:pStyle w:val="TextBody"/>
        <w:spacing w:before="180" w:after="0"/>
        <w:jc w:val="both"/>
        <w:rPr>
          <w:rFonts w:ascii="Arial;sans-serif" w:hAnsi="Arial;sans-serif"/>
          <w:b w:val="false"/>
          <w:sz w:val="20"/>
        </w:rPr>
      </w:pPr>
      <w:r>
        <w:rPr>
          <w:rFonts w:ascii="Arial;sans-serif" w:hAnsi="Arial;sans-serif"/>
          <w:b w:val="false"/>
          <w:sz w:val="20"/>
        </w:rPr>
        <w:t>Metrics related to our More Personal Computing segment assess the performance of key lines of business within this segment. These metrics provide strategic product insights which allow us to assess the performance across our commercial and consumer businesses. As we have diversity of target audiences and sales motions within the Windows business, we monitor metrics that are reflective of those varying motions.</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2534"/>
        <w:gridCol w:w="146"/>
        <w:gridCol w:w="7525"/>
      </w:tblGrid>
      <w:tr>
        <w:trPr/>
        <w:tc>
          <w:tcPr>
            <w:tcW w:w="253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525" w:type="dxa"/>
            <w:tcBorders/>
            <w:shd w:fill="auto" w:val="clear"/>
            <w:vAlign w:val="center"/>
          </w:tcPr>
          <w:p>
            <w:pPr>
              <w:pStyle w:val="TableContents"/>
              <w:spacing w:before="0" w:after="283"/>
              <w:ind w:left="0" w:right="0" w:firstLine="187"/>
              <w:rPr>
                <w:sz w:val="4"/>
                <w:szCs w:val="4"/>
              </w:rPr>
            </w:pPr>
            <w:r>
              <w:rPr>
                <w:sz w:val="4"/>
                <w:szCs w:val="4"/>
              </w:rPr>
            </w:r>
          </w:p>
        </w:tc>
      </w:tr>
      <w:tr>
        <w:trPr/>
        <w:tc>
          <w:tcPr>
            <w:tcW w:w="2534" w:type="dxa"/>
            <w:tcBorders/>
            <w:shd w:fill="auto" w:val="clear"/>
            <w:vAlign w:val="center"/>
          </w:tcPr>
          <w:p>
            <w:pPr>
              <w:pStyle w:val="TableContents"/>
              <w:spacing w:before="0" w:after="0"/>
              <w:ind w:left="187" w:right="0" w:hanging="0"/>
              <w:jc w:val="left"/>
              <w:rPr>
                <w:rFonts w:ascii="Arial;sans-serif" w:hAnsi="Arial;sans-serif"/>
                <w:b w:val="false"/>
                <w:sz w:val="20"/>
              </w:rPr>
            </w:pPr>
            <w:r>
              <w:rPr>
                <w:rFonts w:ascii="Arial;sans-serif" w:hAnsi="Arial;sans-serif"/>
                <w:b w:val="false"/>
                <w:sz w:val="20"/>
              </w:rPr>
              <w:t>Windows OEM revenue growth</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525" w:type="dxa"/>
            <w:tcBorders/>
            <w:shd w:fill="auto" w:val="clear"/>
            <w:vAlign w:val="center"/>
          </w:tcPr>
          <w:p>
            <w:pPr>
              <w:pStyle w:val="TableContents"/>
              <w:spacing w:before="0" w:after="0"/>
              <w:ind w:left="0" w:right="0" w:firstLine="187"/>
              <w:jc w:val="left"/>
              <w:rPr>
                <w:rFonts w:ascii="Arial;sans-serif" w:hAnsi="Arial;sans-serif"/>
                <w:b w:val="false"/>
                <w:sz w:val="20"/>
              </w:rPr>
            </w:pPr>
            <w:r>
              <w:rPr>
                <w:rFonts w:ascii="Arial;sans-serif" w:hAnsi="Arial;sans-serif"/>
                <w:b w:val="false"/>
                <w:sz w:val="20"/>
              </w:rPr>
              <w:t>Revenue from sales of Windows Pro and non-Pro licenses sold through the OEM channel</w:t>
            </w:r>
          </w:p>
        </w:tc>
      </w:tr>
      <w:tr>
        <w:trPr/>
        <w:tc>
          <w:tcPr>
            <w:tcW w:w="2534" w:type="dxa"/>
            <w:tcBorders/>
            <w:shd w:fill="auto" w:val="clear"/>
            <w:vAlign w:val="center"/>
          </w:tcPr>
          <w:p>
            <w:pPr>
              <w:pStyle w:val="TableContents"/>
              <w:spacing w:before="0" w:after="283"/>
              <w:ind w:left="0" w:right="0" w:firstLine="187"/>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7525" w:type="dxa"/>
            <w:tcBorders/>
            <w:shd w:fill="auto" w:val="clear"/>
            <w:vAlign w:val="center"/>
          </w:tcPr>
          <w:p>
            <w:pPr>
              <w:pStyle w:val="TableContents"/>
              <w:spacing w:before="0" w:after="0"/>
              <w:ind w:left="0" w:right="0" w:firstLine="187"/>
              <w:jc w:val="left"/>
              <w:rPr/>
            </w:pPr>
            <w:r>
              <w:rPr/>
              <w:t> </w:t>
            </w:r>
          </w:p>
        </w:tc>
      </w:tr>
      <w:tr>
        <w:trPr/>
        <w:tc>
          <w:tcPr>
            <w:tcW w:w="2534" w:type="dxa"/>
            <w:tcBorders/>
            <w:shd w:fill="auto" w:val="clear"/>
            <w:vAlign w:val="center"/>
          </w:tcPr>
          <w:p>
            <w:pPr>
              <w:pStyle w:val="TableContents"/>
              <w:spacing w:before="0" w:after="0"/>
              <w:ind w:left="187" w:right="0" w:hanging="0"/>
              <w:jc w:val="left"/>
              <w:rPr>
                <w:rFonts w:ascii="Arial;sans-serif" w:hAnsi="Arial;sans-serif"/>
                <w:b w:val="false"/>
                <w:sz w:val="20"/>
              </w:rPr>
            </w:pPr>
            <w:r>
              <w:rPr>
                <w:rFonts w:ascii="Arial;sans-serif" w:hAnsi="Arial;sans-serif"/>
                <w:b w:val="false"/>
                <w:sz w:val="20"/>
              </w:rPr>
              <w:t>Windows Commercial products and cloud services revenue growth</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525" w:type="dxa"/>
            <w:tcBorders/>
            <w:shd w:fill="auto" w:val="clear"/>
            <w:vAlign w:val="center"/>
          </w:tcPr>
          <w:p>
            <w:pPr>
              <w:pStyle w:val="TableContents"/>
              <w:spacing w:before="0" w:after="0"/>
              <w:ind w:left="0" w:right="0" w:firstLine="187"/>
              <w:jc w:val="left"/>
              <w:rPr>
                <w:rFonts w:ascii="Arial;sans-serif" w:hAnsi="Arial;sans-serif"/>
                <w:b w:val="false"/>
                <w:sz w:val="20"/>
              </w:rPr>
            </w:pPr>
            <w:r>
              <w:rPr>
                <w:rFonts w:ascii="Arial;sans-serif" w:hAnsi="Arial;sans-serif"/>
                <w:b w:val="false"/>
                <w:sz w:val="20"/>
              </w:rPr>
              <w:t>Revenue from Windows Commercial products and cloud services, comprising volume licensing of the Windows operating system, Windows cloud services, and other Windows commercial offerings</w:t>
            </w:r>
          </w:p>
        </w:tc>
      </w:tr>
      <w:tr>
        <w:trPr/>
        <w:tc>
          <w:tcPr>
            <w:tcW w:w="2534" w:type="dxa"/>
            <w:tcBorders/>
            <w:shd w:fill="auto" w:val="clear"/>
            <w:vAlign w:val="center"/>
          </w:tcPr>
          <w:p>
            <w:pPr>
              <w:pStyle w:val="TableContents"/>
              <w:spacing w:before="0" w:after="283"/>
              <w:ind w:left="0" w:right="0" w:firstLine="187"/>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7525" w:type="dxa"/>
            <w:tcBorders/>
            <w:shd w:fill="auto" w:val="clear"/>
            <w:vAlign w:val="center"/>
          </w:tcPr>
          <w:p>
            <w:pPr>
              <w:pStyle w:val="TableContents"/>
              <w:spacing w:before="0" w:after="0"/>
              <w:ind w:left="0" w:right="0" w:firstLine="187"/>
              <w:jc w:val="left"/>
              <w:rPr/>
            </w:pPr>
            <w:r>
              <w:rPr/>
              <w:t> </w:t>
            </w:r>
          </w:p>
        </w:tc>
      </w:tr>
      <w:tr>
        <w:trPr/>
        <w:tc>
          <w:tcPr>
            <w:tcW w:w="2534" w:type="dxa"/>
            <w:tcBorders/>
            <w:shd w:fill="auto" w:val="clear"/>
            <w:vAlign w:val="center"/>
          </w:tcPr>
          <w:p>
            <w:pPr>
              <w:pStyle w:val="TableContents"/>
              <w:spacing w:before="0" w:after="0"/>
              <w:ind w:left="187" w:right="0" w:hanging="0"/>
              <w:jc w:val="left"/>
              <w:rPr>
                <w:rFonts w:ascii="Arial;sans-serif" w:hAnsi="Arial;sans-serif"/>
                <w:b w:val="false"/>
                <w:sz w:val="20"/>
              </w:rPr>
            </w:pPr>
            <w:r>
              <w:rPr>
                <w:rFonts w:ascii="Arial;sans-serif" w:hAnsi="Arial;sans-serif"/>
                <w:b w:val="false"/>
                <w:sz w:val="20"/>
              </w:rPr>
              <w:t>Devices revenue growth</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525" w:type="dxa"/>
            <w:tcBorders/>
            <w:shd w:fill="auto" w:val="clear"/>
            <w:vAlign w:val="center"/>
          </w:tcPr>
          <w:p>
            <w:pPr>
              <w:pStyle w:val="TableContents"/>
              <w:spacing w:before="0" w:after="0"/>
              <w:ind w:left="0" w:right="0" w:firstLine="187"/>
              <w:jc w:val="left"/>
              <w:rPr>
                <w:rFonts w:ascii="Arial;sans-serif" w:hAnsi="Arial;sans-serif"/>
                <w:b w:val="false"/>
                <w:sz w:val="20"/>
              </w:rPr>
            </w:pPr>
            <w:r>
              <w:rPr>
                <w:rFonts w:ascii="Arial;sans-serif" w:hAnsi="Arial;sans-serif"/>
                <w:b w:val="false"/>
                <w:sz w:val="20"/>
              </w:rPr>
              <w:t>Revenue from Devices, including Surface, HoloLens, and PC accessories</w:t>
            </w:r>
          </w:p>
        </w:tc>
      </w:tr>
      <w:tr>
        <w:trPr/>
        <w:tc>
          <w:tcPr>
            <w:tcW w:w="2534" w:type="dxa"/>
            <w:tcBorders/>
            <w:shd w:fill="auto" w:val="clear"/>
            <w:vAlign w:val="center"/>
          </w:tcPr>
          <w:p>
            <w:pPr>
              <w:pStyle w:val="TableContents"/>
              <w:spacing w:before="0" w:after="283"/>
              <w:ind w:left="0" w:right="0" w:firstLine="187"/>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7525" w:type="dxa"/>
            <w:tcBorders/>
            <w:shd w:fill="auto" w:val="clear"/>
            <w:vAlign w:val="center"/>
          </w:tcPr>
          <w:p>
            <w:pPr>
              <w:pStyle w:val="TableContents"/>
              <w:spacing w:before="0" w:after="0"/>
              <w:ind w:left="0" w:right="0" w:firstLine="187"/>
              <w:jc w:val="left"/>
              <w:rPr/>
            </w:pPr>
            <w:r>
              <w:rPr/>
              <w:t> </w:t>
            </w:r>
          </w:p>
        </w:tc>
      </w:tr>
      <w:tr>
        <w:trPr/>
        <w:tc>
          <w:tcPr>
            <w:tcW w:w="2534" w:type="dxa"/>
            <w:tcBorders/>
            <w:shd w:fill="auto" w:val="clear"/>
            <w:vAlign w:val="center"/>
          </w:tcPr>
          <w:p>
            <w:pPr>
              <w:pStyle w:val="TableContents"/>
              <w:spacing w:before="0" w:after="0"/>
              <w:ind w:left="187" w:right="0" w:hanging="0"/>
              <w:jc w:val="left"/>
              <w:rPr>
                <w:rFonts w:ascii="Arial;sans-serif" w:hAnsi="Arial;sans-serif"/>
                <w:b w:val="false"/>
                <w:sz w:val="20"/>
              </w:rPr>
            </w:pPr>
            <w:r>
              <w:rPr>
                <w:rFonts w:ascii="Arial;sans-serif" w:hAnsi="Arial;sans-serif"/>
                <w:b w:val="false"/>
                <w:sz w:val="20"/>
              </w:rPr>
              <w:t>Xbox content and services revenue growth</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525" w:type="dxa"/>
            <w:tcBorders/>
            <w:shd w:fill="auto" w:val="clear"/>
            <w:vAlign w:val="center"/>
          </w:tcPr>
          <w:p>
            <w:pPr>
              <w:pStyle w:val="TableContents"/>
              <w:spacing w:before="0" w:after="0"/>
              <w:ind w:left="0" w:right="0" w:firstLine="187"/>
              <w:jc w:val="left"/>
              <w:rPr>
                <w:rFonts w:ascii="Arial;sans-serif" w:hAnsi="Arial;sans-serif"/>
                <w:b w:val="false"/>
                <w:sz w:val="20"/>
              </w:rPr>
            </w:pPr>
            <w:r>
              <w:rPr>
                <w:rFonts w:ascii="Arial;sans-serif" w:hAnsi="Arial;sans-serif"/>
                <w:b w:val="false"/>
                <w:sz w:val="20"/>
              </w:rPr>
              <w:t>Revenue from Xbox content and services, comprising first- and third-party content (including games and in-game content), Xbox Game Pass and other subscriptions, Xbox Cloud Gaming, third-party disc royalties, advertising, and other cloud services</w:t>
            </w:r>
          </w:p>
        </w:tc>
      </w:tr>
      <w:tr>
        <w:trPr/>
        <w:tc>
          <w:tcPr>
            <w:tcW w:w="2534" w:type="dxa"/>
            <w:tcBorders/>
            <w:shd w:fill="auto" w:val="clear"/>
            <w:vAlign w:val="center"/>
          </w:tcPr>
          <w:p>
            <w:pPr>
              <w:pStyle w:val="TableContents"/>
              <w:spacing w:before="0" w:after="0"/>
              <w:ind w:left="187"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25" w:type="dxa"/>
            <w:tcBorders/>
            <w:shd w:fill="auto" w:val="clear"/>
            <w:vAlign w:val="center"/>
          </w:tcPr>
          <w:p>
            <w:pPr>
              <w:pStyle w:val="TableContents"/>
              <w:spacing w:before="0" w:after="0"/>
              <w:ind w:left="0" w:right="0" w:firstLine="187"/>
              <w:jc w:val="left"/>
              <w:rPr/>
            </w:pPr>
            <w:r>
              <w:rPr/>
              <w:t> </w:t>
            </w:r>
          </w:p>
        </w:tc>
      </w:tr>
      <w:tr>
        <w:trPr/>
        <w:tc>
          <w:tcPr>
            <w:tcW w:w="2534" w:type="dxa"/>
            <w:tcBorders/>
            <w:shd w:fill="auto" w:val="clear"/>
            <w:vAlign w:val="center"/>
          </w:tcPr>
          <w:p>
            <w:pPr>
              <w:pStyle w:val="TableContents"/>
              <w:spacing w:before="0" w:after="0"/>
              <w:ind w:left="187" w:right="0" w:hanging="0"/>
              <w:jc w:val="left"/>
              <w:rPr>
                <w:rFonts w:ascii="Arial;sans-serif" w:hAnsi="Arial;sans-serif"/>
                <w:b w:val="false"/>
                <w:sz w:val="20"/>
              </w:rPr>
            </w:pPr>
            <w:r>
              <w:rPr>
                <w:rFonts w:ascii="Arial;sans-serif" w:hAnsi="Arial;sans-serif"/>
                <w:b w:val="false"/>
                <w:sz w:val="20"/>
              </w:rPr>
              <w:t>Search and news advertising revenue (ex TAC) growth</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52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Revenue from search and news advertising excluding traffic acquisition costs (“TAC”) paid to Bing Ads network publishers and news partners</w:t>
            </w:r>
          </w:p>
        </w:tc>
      </w:tr>
    </w:tbl>
    <w:p>
      <w:pPr>
        <w:pStyle w:val="TextBody"/>
        <w:spacing w:before="0" w:after="0"/>
        <w:jc w:val="left"/>
        <w:rPr/>
      </w:pPr>
      <w:r>
        <w:rPr/>
        <w:t> </w:t>
      </w:r>
    </w:p>
    <w:p>
      <w:pPr>
        <w:pStyle w:val="TextBody"/>
        <w:spacing w:before="240" w:after="0"/>
        <w:jc w:val="center"/>
        <w:rPr>
          <w:rFonts w:ascii="Arial;sans-serif" w:hAnsi="Arial;sans-serif"/>
          <w:b w:val="false"/>
          <w:sz w:val="16"/>
        </w:rPr>
      </w:pPr>
      <w:r>
        <w:rPr>
          <w:rFonts w:ascii="Arial;sans-serif" w:hAnsi="Arial;sans-serif"/>
          <w:b w:val="false"/>
          <w:sz w:val="16"/>
        </w:rPr>
        <w:t>35</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w:t>
      </w:r>
    </w:p>
    <w:p>
      <w:pPr>
        <w:pStyle w:val="TextBody"/>
        <w:spacing w:before="0" w:after="0"/>
        <w:jc w:val="center"/>
        <w:rPr>
          <w:rFonts w:ascii="Arial;sans-serif" w:hAnsi="Arial;sans-serif"/>
          <w:b w:val="false"/>
          <w:sz w:val="15"/>
        </w:rPr>
      </w:pPr>
      <w:r>
        <w:rPr>
          <w:rFonts w:ascii="Arial;sans-serif" w:hAnsi="Arial;sans-serif"/>
          <w:b w:val="false"/>
          <w:sz w:val="15"/>
        </w:rPr>
        <w:t>Item 2</w:t>
      </w:r>
    </w:p>
    <w:p>
      <w:pPr>
        <w:pStyle w:val="TextBody"/>
        <w:spacing w:before="0" w:after="0"/>
        <w:jc w:val="left"/>
        <w:rPr/>
      </w:pPr>
      <w:r>
        <w:rPr/>
        <w:t> </w:t>
      </w:r>
    </w:p>
    <w:p>
      <w:pPr>
        <w:pStyle w:val="TextBody"/>
        <w:spacing w:before="90" w:after="0"/>
        <w:jc w:val="center"/>
        <w:rPr>
          <w:rFonts w:ascii="Arial;sans-serif" w:hAnsi="Arial;sans-serif"/>
          <w:b w:val="false"/>
          <w:sz w:val="20"/>
          <w:u w:val="single"/>
        </w:rPr>
      </w:pPr>
      <w:r>
        <w:rPr>
          <w:rFonts w:ascii="Arial;sans-serif" w:hAnsi="Arial;sans-serif"/>
          <w:b w:val="false"/>
          <w:sz w:val="20"/>
          <w:u w:val="single"/>
        </w:rPr>
        <w:t>SUMMARY RESULTS OF OPERATIONS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698"/>
        <w:gridCol w:w="146"/>
        <w:gridCol w:w="211"/>
        <w:gridCol w:w="691"/>
        <w:gridCol w:w="146"/>
        <w:gridCol w:w="146"/>
        <w:gridCol w:w="211"/>
        <w:gridCol w:w="691"/>
        <w:gridCol w:w="146"/>
        <w:gridCol w:w="146"/>
        <w:gridCol w:w="298"/>
        <w:gridCol w:w="648"/>
        <w:gridCol w:w="146"/>
        <w:gridCol w:w="146"/>
        <w:gridCol w:w="211"/>
        <w:gridCol w:w="796"/>
        <w:gridCol w:w="146"/>
        <w:gridCol w:w="146"/>
        <w:gridCol w:w="211"/>
        <w:gridCol w:w="796"/>
        <w:gridCol w:w="146"/>
        <w:gridCol w:w="146"/>
        <w:gridCol w:w="280"/>
        <w:gridCol w:w="666"/>
        <w:gridCol w:w="191"/>
      </w:tblGrid>
      <w:tr>
        <w:trPr/>
        <w:tc>
          <w:tcPr>
            <w:tcW w:w="269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69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(In millions, except percentages and per share amounts)</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885" w:type="dxa"/>
            <w:gridSpan w:val="5"/>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Three Months Ended</w:t>
            </w:r>
          </w:p>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6" w:type="dxa"/>
            <w:gridSpan w:val="2"/>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Percentage</w:t>
            </w:r>
          </w:p>
          <w:p>
            <w:pPr>
              <w:pStyle w:val="TableContents"/>
              <w:spacing w:before="0" w:after="0"/>
              <w:ind w:left="0" w:right="0" w:hanging="0"/>
              <w:jc w:val="right"/>
              <w:rPr>
                <w:rFonts w:ascii="Arial;sans-serif" w:hAnsi="Arial;sans-serif"/>
                <w:b/>
                <w:sz w:val="15"/>
              </w:rPr>
            </w:pPr>
            <w:r>
              <w:rPr>
                <w:rFonts w:ascii="Arial;sans-serif" w:hAnsi="Arial;sans-serif"/>
                <w:b/>
                <w:sz w:val="15"/>
              </w:rPr>
              <w:t>Change</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306" w:type="dxa"/>
            <w:gridSpan w:val="6"/>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Nine Months Ended</w:t>
            </w:r>
          </w:p>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6" w:type="dxa"/>
            <w:gridSpan w:val="2"/>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Percentage</w:t>
            </w:r>
          </w:p>
          <w:p>
            <w:pPr>
              <w:pStyle w:val="TableContents"/>
              <w:spacing w:before="0" w:after="0"/>
              <w:ind w:left="0" w:right="0" w:hanging="0"/>
              <w:jc w:val="right"/>
              <w:rPr>
                <w:rFonts w:ascii="Arial;sans-serif" w:hAnsi="Arial;sans-serif"/>
                <w:b/>
                <w:sz w:val="15"/>
              </w:rPr>
            </w:pPr>
            <w:r>
              <w:rPr>
                <w:rFonts w:ascii="Arial;sans-serif" w:hAnsi="Arial;sans-serif"/>
                <w:b/>
                <w:sz w:val="15"/>
              </w:rPr>
              <w:t>Change</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698"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8"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8"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0"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9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98"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9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48"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9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9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8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6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698"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9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48"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9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9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8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6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698"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9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48"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9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9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8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6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69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Revenue</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52,857</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49,360</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98"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48"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9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155,726</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146,405</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8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6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69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Gross margin</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36,729</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33,745</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98"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48"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9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106,658</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9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100,184</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8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6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69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Operating income</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22,352</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20,364</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98"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48"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9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64,269</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9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62,849</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8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6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69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Net income</w:t>
            </w:r>
            <w:r>
              <w:rPr>
                <w:rFonts w:ascii="Times New Roman" w:hAnsi="Times New Roman"/>
                <w:sz w:val="20"/>
              </w:rPr>
              <w:t xml:space="preserve">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18,299</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16,728</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9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48"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9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52,280</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9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55,998</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8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6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69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Diluted earnings per share</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2.45</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2.22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9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48"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9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6.99</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9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7.41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8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6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698"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9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48"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9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9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8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6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69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Adjusted gross margin (non-GAAP)</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36,729</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33,745</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9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48"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9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106,810</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9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100,184</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8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6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69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Adjusted operating income (non-GAAP)</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22,352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20,364</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9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48"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9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65,440</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9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62,849</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8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6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69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Adjusted net income (non-GAAP)</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18,299</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16,728</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9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48"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9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53,226</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9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52,707</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8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6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69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Adjusted diluted earnings per share (non-GAAP)</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2.45</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2.22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9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48"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9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7.12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9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6.98</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8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6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698"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8"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8"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0"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9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both"/>
        <w:rPr>
          <w:rFonts w:ascii="Times New Roman" w:hAnsi="Times New Roman"/>
          <w:sz w:val="20"/>
        </w:rPr>
      </w:pPr>
      <w:r>
        <w:rPr>
          <w:rFonts w:ascii="Arial;sans-serif" w:hAnsi="Arial;sans-serif"/>
          <w:b w:val="false"/>
          <w:sz w:val="20"/>
        </w:rPr>
        <w:t>Adjusted gross margin, operating income, net income, and diluted earnings per share (“EPS”) are non-GAAP financial measures. Current year non-GAAP financial measures exclude the impact of the Q2 charge, which includes employee severance expenses, impairment charges resulting from changes to our hardware portfolio, and costs related to lease consolidation activities. Prior year non-GAAP financial measures exclude the net income tax benefit related to transfer of intangible properties in the first quarter of fiscal year 2022. Refer to Note 11 – Income Taxes of the Notes to Financial Statements (Part I, Item 1 of this Form 10-Q) for further discussion. Refer to the Non-GAAP Financial Measures section below for a reconciliation of our financial results reported in accordance with GAAP to non-GAAP financial results.</w:t>
      </w:r>
      <w:r>
        <w:rPr>
          <w:rFonts w:ascii="Times New Roman" w:hAnsi="Times New Roman"/>
          <w:sz w:val="20"/>
        </w:rPr>
        <w:t xml:space="preserve"> </w:t>
      </w:r>
    </w:p>
    <w:p>
      <w:pPr>
        <w:pStyle w:val="TextBody"/>
        <w:spacing w:before="270" w:after="0"/>
        <w:jc w:val="both"/>
        <w:rPr>
          <w:rFonts w:ascii="Arial;sans-serif" w:hAnsi="Arial;sans-serif"/>
          <w:b/>
          <w:i/>
          <w:sz w:val="20"/>
        </w:rPr>
      </w:pPr>
      <w:r>
        <w:rPr>
          <w:rFonts w:ascii="Arial;sans-serif" w:hAnsi="Arial;sans-serif"/>
          <w:b/>
          <w:i/>
          <w:sz w:val="20"/>
        </w:rPr>
        <w:t>Three Months Ended March 31, 2023 Compared with Three Months Ended March 31, 2022</w:t>
      </w:r>
    </w:p>
    <w:p>
      <w:pPr>
        <w:pStyle w:val="TextBody"/>
        <w:spacing w:before="180" w:after="0"/>
        <w:jc w:val="both"/>
        <w:rPr>
          <w:rFonts w:ascii="Arial;sans-serif" w:hAnsi="Arial;sans-serif"/>
          <w:b w:val="false"/>
          <w:sz w:val="20"/>
        </w:rPr>
      </w:pPr>
      <w:r>
        <w:rPr>
          <w:rFonts w:ascii="Arial;sans-serif" w:hAnsi="Arial;sans-serif"/>
          <w:b w:val="false"/>
          <w:sz w:val="20"/>
        </w:rPr>
        <w:t>Revenue increased $3.5 billion or 7% driven by growth in Intelligent Cloud and Productivity and Business Processes, offset in part by a decline in More Personal Computing. Intelligent Cloud revenue increased driven by Azure and other cloud services. Productivity and Business Processes revenue increased driven by Office 365 Commercial. More Personal Computing revenue decreased driven by Windows and Devices.</w:t>
      </w:r>
    </w:p>
    <w:p>
      <w:pPr>
        <w:pStyle w:val="TextBody"/>
        <w:spacing w:before="180" w:after="0"/>
        <w:jc w:val="both"/>
        <w:rPr>
          <w:rFonts w:ascii="Arial;sans-serif" w:hAnsi="Arial;sans-serif"/>
          <w:b w:val="false"/>
          <w:sz w:val="20"/>
        </w:rPr>
      </w:pPr>
      <w:r>
        <w:rPr>
          <w:rFonts w:ascii="Arial;sans-serif" w:hAnsi="Arial;sans-serif"/>
          <w:b w:val="false"/>
          <w:sz w:val="20"/>
        </w:rPr>
        <w:t>Cost of revenue increased $513 million or 3% driven by growth in Microsoft Cloud, offset in part by a reduction in depreciation expense due to the change in accounting estimate for the useful lives of our server and network equipment.</w:t>
      </w:r>
    </w:p>
    <w:p>
      <w:pPr>
        <w:pStyle w:val="TextBody"/>
        <w:spacing w:before="180" w:after="0"/>
        <w:jc w:val="both"/>
        <w:rPr>
          <w:rFonts w:ascii="Arial;sans-serif" w:hAnsi="Arial;sans-serif"/>
          <w:b w:val="false"/>
          <w:sz w:val="20"/>
        </w:rPr>
      </w:pPr>
      <w:r>
        <w:rPr>
          <w:rFonts w:ascii="Arial;sans-serif" w:hAnsi="Arial;sans-serif"/>
          <w:b w:val="false"/>
          <w:sz w:val="20"/>
        </w:rPr>
        <w:t>Gross margin increased $3.0 billion or 9% driven by growth in Intelligent Cloud and Productivity and Business Processes and the change in accounting estimate, offset in part by a decline in More Personal Computing.</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Gross margin percentage increased. Excluding the impact of the change in accounting estimate, gross margin percentage decreased slightly driven by reductions in Intelligent Cloud, offset in part by sales mix shift.</w:t>
      </w:r>
    </w:p>
    <w:p>
      <w:pPr>
        <w:pStyle w:val="TextBody"/>
        <w:spacing w:before="90" w:after="0"/>
        <w:jc w:val="both"/>
        <w:rPr/>
      </w:pPr>
      <w:r>
        <w:rPr/>
        <w:t>•</w:t>
      </w:r>
    </w:p>
    <w:p>
      <w:pPr>
        <w:pStyle w:val="TextBody"/>
        <w:spacing w:before="90" w:after="283"/>
        <w:jc w:val="both"/>
        <w:rPr>
          <w:rFonts w:ascii="Arial;sans-serif" w:hAnsi="Arial;sans-serif"/>
          <w:b w:val="false"/>
          <w:sz w:val="20"/>
        </w:rPr>
      </w:pPr>
      <w:r>
        <w:rPr>
          <w:rFonts w:ascii="Arial;sans-serif" w:hAnsi="Arial;sans-serif"/>
          <w:b w:val="false"/>
          <w:sz w:val="20"/>
        </w:rPr>
        <w:t>Microsoft Cloud gross margin percentage increased 2 points to 72%. Excluding the impact of the change in accounting estimate, Microsoft Cloud gross margin percentage decreased slightly driven by reductions in Azure and other cloud services.</w:t>
      </w:r>
    </w:p>
    <w:p>
      <w:pPr>
        <w:pStyle w:val="TextBody"/>
        <w:spacing w:before="180" w:after="0"/>
        <w:jc w:val="both"/>
        <w:rPr>
          <w:rFonts w:ascii="Arial;sans-serif" w:hAnsi="Arial;sans-serif"/>
          <w:b w:val="false"/>
          <w:sz w:val="20"/>
        </w:rPr>
      </w:pPr>
      <w:r>
        <w:rPr>
          <w:rFonts w:ascii="Arial;sans-serif" w:hAnsi="Arial;sans-serif"/>
          <w:b w:val="false"/>
          <w:sz w:val="20"/>
        </w:rPr>
        <w:t>Operating expenses increased $996 million or 7% driven by 2 points of growth from the Nuance and Xandr acquisitions and investments in cloud engineering and LinkedIn.</w:t>
      </w:r>
    </w:p>
    <w:p>
      <w:pPr>
        <w:pStyle w:val="TextBody"/>
        <w:spacing w:before="180" w:after="0"/>
        <w:jc w:val="both"/>
        <w:rPr>
          <w:rFonts w:ascii="Arial;sans-serif" w:hAnsi="Arial;sans-serif"/>
          <w:b w:val="false"/>
          <w:sz w:val="20"/>
        </w:rPr>
      </w:pPr>
      <w:r>
        <w:rPr>
          <w:rFonts w:ascii="Arial;sans-serif" w:hAnsi="Arial;sans-serif"/>
          <w:b w:val="false"/>
          <w:sz w:val="20"/>
        </w:rPr>
        <w:t>Key changes in operating expenses were:</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Research and development expenses increased $678 million or 11% driven by investments in cloud engineering and LinkedIn.</w:t>
      </w:r>
    </w:p>
    <w:p>
      <w:pPr>
        <w:pStyle w:val="TextBody"/>
        <w:spacing w:before="90" w:after="0"/>
        <w:jc w:val="both"/>
        <w:rPr/>
      </w:pPr>
      <w:r>
        <w:rPr/>
        <w:t>•</w:t>
      </w:r>
    </w:p>
    <w:p>
      <w:pPr>
        <w:pStyle w:val="TextBody"/>
        <w:spacing w:before="90" w:after="283"/>
        <w:jc w:val="both"/>
        <w:rPr>
          <w:rFonts w:ascii="Arial;sans-serif" w:hAnsi="Arial;sans-serif"/>
          <w:b w:val="false"/>
          <w:sz w:val="20"/>
        </w:rPr>
      </w:pPr>
      <w:r>
        <w:rPr>
          <w:rFonts w:ascii="Arial;sans-serif" w:hAnsi="Arial;sans-serif"/>
          <w:b w:val="false"/>
          <w:sz w:val="20"/>
        </w:rPr>
        <w:t>Sales and marketing expenses increased $155 million or 3% driven by 3 points of growth from the Nuance and Xandr acquisitions and investments in commercial sales, offset in part by declines in Windows and Devices advertising.</w:t>
      </w:r>
    </w:p>
    <w:p>
      <w:pPr>
        <w:pStyle w:val="TextBody"/>
        <w:spacing w:before="240" w:after="0"/>
        <w:jc w:val="center"/>
        <w:rPr>
          <w:rFonts w:ascii="Arial;sans-serif" w:hAnsi="Arial;sans-serif"/>
          <w:b w:val="false"/>
          <w:sz w:val="16"/>
        </w:rPr>
      </w:pPr>
      <w:r>
        <w:rPr>
          <w:rFonts w:ascii="Arial;sans-serif" w:hAnsi="Arial;sans-serif"/>
          <w:b w:val="false"/>
          <w:sz w:val="16"/>
        </w:rPr>
        <w:t>36</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w:t>
      </w:r>
    </w:p>
    <w:p>
      <w:pPr>
        <w:pStyle w:val="TextBody"/>
        <w:spacing w:before="0" w:after="0"/>
        <w:jc w:val="center"/>
        <w:rPr>
          <w:rFonts w:ascii="Arial;sans-serif" w:hAnsi="Arial;sans-serif"/>
          <w:b w:val="false"/>
          <w:sz w:val="15"/>
        </w:rPr>
      </w:pPr>
      <w:r>
        <w:rPr>
          <w:rFonts w:ascii="Arial;sans-serif" w:hAnsi="Arial;sans-serif"/>
          <w:b w:val="false"/>
          <w:sz w:val="15"/>
        </w:rPr>
        <w:t>Item 2</w:t>
      </w:r>
    </w:p>
    <w:p>
      <w:pPr>
        <w:pStyle w:val="TextBody"/>
        <w:spacing w:before="0" w:after="0"/>
        <w:jc w:val="left"/>
        <w:rPr/>
      </w:pPr>
      <w:r>
        <w:rPr/>
        <w:t> </w:t>
      </w:r>
    </w:p>
    <w:p>
      <w:pPr>
        <w:pStyle w:val="TextBody"/>
        <w:spacing w:before="90" w:after="0"/>
        <w:jc w:val="both"/>
        <w:rPr/>
      </w:pPr>
      <w:r>
        <w:rPr/>
        <w:t>•</w:t>
      </w:r>
    </w:p>
    <w:p>
      <w:pPr>
        <w:pStyle w:val="TextBody"/>
        <w:spacing w:before="90" w:after="283"/>
        <w:jc w:val="both"/>
        <w:rPr>
          <w:rFonts w:ascii="Arial;sans-serif" w:hAnsi="Arial;sans-serif"/>
          <w:b w:val="false"/>
          <w:sz w:val="20"/>
        </w:rPr>
      </w:pPr>
      <w:r>
        <w:rPr>
          <w:rFonts w:ascii="Arial;sans-serif" w:hAnsi="Arial;sans-serif"/>
          <w:b w:val="false"/>
          <w:sz w:val="20"/>
        </w:rPr>
        <w:t>General and administrative expenses increased $163 million or 11% driven by acquisition-related expenses and investments in corporate functions. General and administrative included a favorable foreign currency impact of 2%.</w:t>
      </w:r>
    </w:p>
    <w:p>
      <w:pPr>
        <w:pStyle w:val="TextBody"/>
        <w:spacing w:before="180" w:after="0"/>
        <w:jc w:val="both"/>
        <w:rPr>
          <w:rFonts w:ascii="Arial;sans-serif" w:hAnsi="Arial;sans-serif"/>
          <w:b w:val="false"/>
          <w:sz w:val="20"/>
        </w:rPr>
      </w:pPr>
      <w:r>
        <w:rPr>
          <w:rFonts w:ascii="Arial;sans-serif" w:hAnsi="Arial;sans-serif"/>
          <w:b w:val="false"/>
          <w:sz w:val="20"/>
        </w:rPr>
        <w:t>Operating income increased $2.0 billion or 10% driven by growth in Productivity and Business Processes and Intelligent Cloud and the change in accounting estimate, offset in part by a decline in More Personal Computing.</w:t>
      </w:r>
    </w:p>
    <w:p>
      <w:pPr>
        <w:pStyle w:val="TextBody"/>
        <w:spacing w:before="180" w:after="0"/>
        <w:jc w:val="both"/>
        <w:rPr>
          <w:rFonts w:ascii="Arial;sans-serif" w:hAnsi="Arial;sans-serif"/>
          <w:b w:val="false"/>
          <w:sz w:val="20"/>
        </w:rPr>
      </w:pPr>
      <w:r>
        <w:rPr>
          <w:rFonts w:ascii="Arial;sans-serif" w:hAnsi="Arial;sans-serif"/>
          <w:b w:val="false"/>
          <w:sz w:val="20"/>
        </w:rPr>
        <w:t>Revenue, gross margin, and operating income included an unfavorable foreign currency impact of 3%, 4%, and 5%, respectively. Cost of revenue and operating expenses both included a favorable foreign currency impact of 2%.</w:t>
      </w:r>
    </w:p>
    <w:p>
      <w:pPr>
        <w:pStyle w:val="TextBody"/>
        <w:spacing w:before="270" w:after="0"/>
        <w:jc w:val="both"/>
        <w:rPr>
          <w:rFonts w:ascii="Arial;sans-serif" w:hAnsi="Arial;sans-serif"/>
          <w:b/>
          <w:i/>
          <w:sz w:val="20"/>
        </w:rPr>
      </w:pPr>
      <w:r>
        <w:rPr>
          <w:rFonts w:ascii="Arial;sans-serif" w:hAnsi="Arial;sans-serif"/>
          <w:b/>
          <w:i/>
          <w:sz w:val="20"/>
        </w:rPr>
        <w:t>Nine Months Ended March 31, 2023 Compared with Nine Months Ended March 31, 2022</w:t>
      </w:r>
    </w:p>
    <w:p>
      <w:pPr>
        <w:pStyle w:val="TextBody"/>
        <w:spacing w:before="180" w:after="0"/>
        <w:jc w:val="both"/>
        <w:rPr>
          <w:rFonts w:ascii="Arial;sans-serif" w:hAnsi="Arial;sans-serif"/>
          <w:b w:val="false"/>
          <w:sz w:val="20"/>
        </w:rPr>
      </w:pPr>
      <w:r>
        <w:rPr>
          <w:rFonts w:ascii="Arial;sans-serif" w:hAnsi="Arial;sans-serif"/>
          <w:b w:val="false"/>
          <w:sz w:val="20"/>
        </w:rPr>
        <w:t>Revenue increased $9.3 billion or 6% driven by growth in Intelligent Cloud and Productivity and Business Processes, offset in part by a decline in More Personal Computing. Intelligent Cloud revenue increased driven by Azure and other cloud services. Productivity and Business Processes revenue increased driven by Office 365 Commercial and LinkedIn. More Personal Computing revenue decreased driven by Windows and Devices.</w:t>
      </w:r>
    </w:p>
    <w:p>
      <w:pPr>
        <w:pStyle w:val="TextBody"/>
        <w:spacing w:before="180" w:after="0"/>
        <w:jc w:val="both"/>
        <w:rPr>
          <w:rFonts w:ascii="Arial;sans-serif" w:hAnsi="Arial;sans-serif"/>
          <w:b w:val="false"/>
          <w:sz w:val="20"/>
        </w:rPr>
      </w:pPr>
      <w:r>
        <w:rPr>
          <w:rFonts w:ascii="Arial;sans-serif" w:hAnsi="Arial;sans-serif"/>
          <w:b w:val="false"/>
          <w:sz w:val="20"/>
        </w:rPr>
        <w:t>Cost of revenue increased $2.8 billion or 6% driven by growth in Microsoft Cloud, offset in part by the change in accounting estimate.</w:t>
      </w:r>
    </w:p>
    <w:p>
      <w:pPr>
        <w:pStyle w:val="TextBody"/>
        <w:spacing w:before="180" w:after="0"/>
        <w:jc w:val="both"/>
        <w:rPr>
          <w:rFonts w:ascii="Arial;sans-serif" w:hAnsi="Arial;sans-serif"/>
          <w:b w:val="false"/>
          <w:sz w:val="20"/>
        </w:rPr>
      </w:pPr>
      <w:r>
        <w:rPr>
          <w:rFonts w:ascii="Arial;sans-serif" w:hAnsi="Arial;sans-serif"/>
          <w:b w:val="false"/>
          <w:sz w:val="20"/>
        </w:rPr>
        <w:t>Gross margin increased $6.5 billion or 6% driven by growth in Intelligent Cloud and Productivity and Business Processes and the change in accounting estimate, offset in part by a decline in More Personal Computing.</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Gross margin percentage was relatively unchanged. Excluding the impact of the change in accounting estimate, gross margin percentage decreased 2 points driven by reductions in More Personal Computing and Intelligent Cloud, offset in part by sales mix shift.</w:t>
      </w:r>
    </w:p>
    <w:p>
      <w:pPr>
        <w:pStyle w:val="TextBody"/>
        <w:spacing w:before="90" w:after="0"/>
        <w:jc w:val="both"/>
        <w:rPr/>
      </w:pPr>
      <w:r>
        <w:rPr/>
        <w:t>•</w:t>
      </w:r>
    </w:p>
    <w:p>
      <w:pPr>
        <w:pStyle w:val="TextBody"/>
        <w:spacing w:before="90" w:after="283"/>
        <w:jc w:val="both"/>
        <w:rPr>
          <w:rFonts w:ascii="Arial;sans-serif" w:hAnsi="Arial;sans-serif"/>
          <w:b w:val="false"/>
          <w:sz w:val="20"/>
        </w:rPr>
      </w:pPr>
      <w:r>
        <w:rPr>
          <w:rFonts w:ascii="Arial;sans-serif" w:hAnsi="Arial;sans-serif"/>
          <w:b w:val="false"/>
          <w:sz w:val="20"/>
        </w:rPr>
        <w:t>Microsoft Cloud gross margin percentage increased 2 points to 72%. Excluding the impact of the change in accounting estimate, Microsoft Cloud gross margin percentage decreased 1 point driven by sales mix shift to Azure and other cloud services and higher energy costs.</w:t>
      </w:r>
    </w:p>
    <w:p>
      <w:pPr>
        <w:pStyle w:val="TextBody"/>
        <w:spacing w:before="180" w:after="0"/>
        <w:jc w:val="both"/>
        <w:rPr>
          <w:rFonts w:ascii="Arial;sans-serif" w:hAnsi="Arial;sans-serif"/>
          <w:b w:val="false"/>
          <w:sz w:val="20"/>
        </w:rPr>
      </w:pPr>
      <w:r>
        <w:rPr>
          <w:rFonts w:ascii="Arial;sans-serif" w:hAnsi="Arial;sans-serif"/>
          <w:b w:val="false"/>
          <w:sz w:val="20"/>
        </w:rPr>
        <w:t>Operating expenses increased $5.1 billion or 14% driven by investments in cloud engineering, 3 points of growth from the Nuance and Xandr acquisitions, employee severance expenses, LinkedIn, and commercial sales.</w:t>
      </w:r>
    </w:p>
    <w:p>
      <w:pPr>
        <w:pStyle w:val="TextBody"/>
        <w:spacing w:before="180" w:after="0"/>
        <w:jc w:val="both"/>
        <w:rPr>
          <w:rFonts w:ascii="Arial;sans-serif" w:hAnsi="Arial;sans-serif"/>
          <w:b w:val="false"/>
          <w:sz w:val="20"/>
        </w:rPr>
      </w:pPr>
      <w:r>
        <w:rPr>
          <w:rFonts w:ascii="Arial;sans-serif" w:hAnsi="Arial;sans-serif"/>
          <w:b w:val="false"/>
          <w:sz w:val="20"/>
        </w:rPr>
        <w:t>Key changes in operating expenses were:</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Research and development expenses increased $2.8 billion or 16% driven by investments in cloud engineering and LinkedIn.</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Sales and marketing expenses increased $1.0 billion or 7% driven by 4 points of growth from the Nuance and Xandr acquisitions and investments in commercial sales. Sales and marketing included a favorable foreign currency impact of 3%.</w:t>
      </w:r>
    </w:p>
    <w:p>
      <w:pPr>
        <w:pStyle w:val="TextBody"/>
        <w:spacing w:before="90" w:after="0"/>
        <w:jc w:val="both"/>
        <w:rPr/>
      </w:pPr>
      <w:r>
        <w:rPr/>
        <w:t>•</w:t>
      </w:r>
    </w:p>
    <w:p>
      <w:pPr>
        <w:pStyle w:val="TextBody"/>
        <w:spacing w:before="90" w:after="283"/>
        <w:jc w:val="both"/>
        <w:rPr>
          <w:rFonts w:ascii="Arial;sans-serif" w:hAnsi="Arial;sans-serif"/>
          <w:b w:val="false"/>
          <w:sz w:val="20"/>
        </w:rPr>
      </w:pPr>
      <w:r>
        <w:rPr>
          <w:rFonts w:ascii="Arial;sans-serif" w:hAnsi="Arial;sans-serif"/>
          <w:b w:val="false"/>
          <w:sz w:val="20"/>
        </w:rPr>
        <w:t>General and administrative expenses increased $1.2 billion or 30% driven by employee severance expenses. General and administrative included a favorable foreign currency impact of 2%.</w:t>
      </w:r>
    </w:p>
    <w:p>
      <w:pPr>
        <w:pStyle w:val="TextBody"/>
        <w:spacing w:before="180" w:after="0"/>
        <w:jc w:val="both"/>
        <w:rPr>
          <w:rFonts w:ascii="Arial;sans-serif" w:hAnsi="Arial;sans-serif"/>
          <w:b w:val="false"/>
          <w:sz w:val="20"/>
        </w:rPr>
      </w:pPr>
      <w:r>
        <w:rPr>
          <w:rFonts w:ascii="Arial;sans-serif" w:hAnsi="Arial;sans-serif"/>
          <w:b w:val="false"/>
          <w:sz w:val="20"/>
        </w:rPr>
        <w:t>Operating income increased $1.4 billion or 2% driven by growth in Productivity and Business Processes and Intelligent Cloud and the change in accounting estimate, offset in part by a decline in More Personal Computing.</w:t>
      </w:r>
    </w:p>
    <w:p>
      <w:pPr>
        <w:pStyle w:val="TextBody"/>
        <w:spacing w:before="180" w:after="0"/>
        <w:jc w:val="both"/>
        <w:rPr>
          <w:rFonts w:ascii="Arial;sans-serif" w:hAnsi="Arial;sans-serif"/>
          <w:b w:val="false"/>
          <w:sz w:val="20"/>
        </w:rPr>
      </w:pPr>
      <w:r>
        <w:rPr>
          <w:rFonts w:ascii="Arial;sans-serif" w:hAnsi="Arial;sans-serif"/>
          <w:b w:val="false"/>
          <w:sz w:val="20"/>
        </w:rPr>
        <w:t>Revenue, gross margin, and operating income included an unfavorable foreign currency impact of 5%, 6%, and 8%, respectively. Cost of revenue and operating expenses both included a favorable foreign currency impact of 2%.</w:t>
      </w:r>
    </w:p>
    <w:p>
      <w:pPr>
        <w:pStyle w:val="TextBody"/>
        <w:spacing w:before="180" w:after="0"/>
        <w:jc w:val="both"/>
        <w:rPr>
          <w:rFonts w:ascii="Arial;sans-serif" w:hAnsi="Arial;sans-serif"/>
          <w:b w:val="false"/>
          <w:sz w:val="20"/>
        </w:rPr>
      </w:pPr>
      <w:r>
        <w:rPr>
          <w:rFonts w:ascii="Arial;sans-serif" w:hAnsi="Arial;sans-serif"/>
          <w:b w:val="false"/>
          <w:sz w:val="20"/>
        </w:rPr>
        <w:t>Current year gross margin, operating income, net income, and diluted EPS were negatively impacted by the Q2 charge, which resulted in decreases of $152 million, $1.2 billion, $946 million, and $0.13, respectively. Prior year net income and diluted EPS were positively impacted by the net tax benefit related to the transfer of intangible properties, which resulted in an increase to net income and diluted EPS of $3.3 billion and $0.43, respectively.</w:t>
      </w:r>
    </w:p>
    <w:p>
      <w:pPr>
        <w:pStyle w:val="TextBody"/>
        <w:spacing w:before="240" w:after="0"/>
        <w:jc w:val="center"/>
        <w:rPr>
          <w:rFonts w:ascii="Arial;sans-serif" w:hAnsi="Arial;sans-serif"/>
          <w:b w:val="false"/>
          <w:sz w:val="16"/>
        </w:rPr>
      </w:pPr>
      <w:r>
        <w:rPr>
          <w:rFonts w:ascii="Arial;sans-serif" w:hAnsi="Arial;sans-serif"/>
          <w:b w:val="false"/>
          <w:sz w:val="16"/>
        </w:rPr>
        <w:t>37</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w:t>
      </w:r>
    </w:p>
    <w:p>
      <w:pPr>
        <w:pStyle w:val="TextBody"/>
        <w:spacing w:before="0" w:after="0"/>
        <w:jc w:val="center"/>
        <w:rPr>
          <w:rFonts w:ascii="Arial;sans-serif" w:hAnsi="Arial;sans-serif"/>
          <w:b w:val="false"/>
          <w:sz w:val="15"/>
        </w:rPr>
      </w:pPr>
      <w:r>
        <w:rPr>
          <w:rFonts w:ascii="Arial;sans-serif" w:hAnsi="Arial;sans-serif"/>
          <w:b w:val="false"/>
          <w:sz w:val="15"/>
        </w:rPr>
        <w:t>Item 2</w:t>
      </w:r>
    </w:p>
    <w:p>
      <w:pPr>
        <w:pStyle w:val="TextBody"/>
        <w:spacing w:before="0" w:after="0"/>
        <w:jc w:val="left"/>
        <w:rPr/>
      </w:pPr>
      <w:r>
        <w:rPr/>
        <w:t> </w:t>
      </w:r>
    </w:p>
    <w:p>
      <w:pPr>
        <w:pStyle w:val="TextBody"/>
        <w:spacing w:before="270" w:after="0"/>
        <w:jc w:val="center"/>
        <w:rPr>
          <w:rFonts w:ascii="Arial;sans-serif" w:hAnsi="Arial;sans-serif"/>
          <w:b w:val="false"/>
          <w:sz w:val="20"/>
          <w:u w:val="single"/>
        </w:rPr>
      </w:pPr>
      <w:r>
        <w:rPr>
          <w:rFonts w:ascii="Arial;sans-serif" w:hAnsi="Arial;sans-serif"/>
          <w:b w:val="false"/>
          <w:sz w:val="20"/>
          <w:u w:val="single"/>
        </w:rPr>
        <w:t>SEGMENT RESULTS OF OPERATIONS</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2453"/>
        <w:gridCol w:w="146"/>
        <w:gridCol w:w="211"/>
        <w:gridCol w:w="691"/>
        <w:gridCol w:w="146"/>
        <w:gridCol w:w="146"/>
        <w:gridCol w:w="211"/>
        <w:gridCol w:w="691"/>
        <w:gridCol w:w="146"/>
        <w:gridCol w:w="146"/>
        <w:gridCol w:w="264"/>
        <w:gridCol w:w="682"/>
        <w:gridCol w:w="146"/>
        <w:gridCol w:w="146"/>
        <w:gridCol w:w="211"/>
        <w:gridCol w:w="796"/>
        <w:gridCol w:w="146"/>
        <w:gridCol w:w="146"/>
        <w:gridCol w:w="211"/>
        <w:gridCol w:w="796"/>
        <w:gridCol w:w="146"/>
        <w:gridCol w:w="146"/>
        <w:gridCol w:w="264"/>
        <w:gridCol w:w="682"/>
        <w:gridCol w:w="436"/>
      </w:tblGrid>
      <w:tr>
        <w:trPr/>
        <w:tc>
          <w:tcPr>
            <w:tcW w:w="2453"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64" w:type="dxa"/>
            <w:tcBorders/>
            <w:shd w:fill="FFFFFF" w:val="clear"/>
            <w:vAlign w:val="center"/>
          </w:tcPr>
          <w:p>
            <w:pPr>
              <w:pStyle w:val="TableContents"/>
              <w:spacing w:before="0" w:after="283"/>
              <w:rPr>
                <w:sz w:val="4"/>
                <w:szCs w:val="4"/>
              </w:rPr>
            </w:pPr>
            <w:r>
              <w:rPr>
                <w:sz w:val="4"/>
                <w:szCs w:val="4"/>
              </w:rPr>
            </w:r>
          </w:p>
        </w:tc>
        <w:tc>
          <w:tcPr>
            <w:tcW w:w="682"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9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9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64" w:type="dxa"/>
            <w:tcBorders/>
            <w:shd w:fill="FFFFFF" w:val="clear"/>
            <w:vAlign w:val="center"/>
          </w:tcPr>
          <w:p>
            <w:pPr>
              <w:pStyle w:val="TableContents"/>
              <w:spacing w:before="0" w:after="283"/>
              <w:rPr>
                <w:sz w:val="4"/>
                <w:szCs w:val="4"/>
              </w:rPr>
            </w:pPr>
            <w:r>
              <w:rPr>
                <w:sz w:val="4"/>
                <w:szCs w:val="4"/>
              </w:rPr>
            </w:r>
          </w:p>
        </w:tc>
        <w:tc>
          <w:tcPr>
            <w:tcW w:w="682" w:type="dxa"/>
            <w:tcBorders/>
            <w:shd w:fill="FFFFFF" w:val="clear"/>
            <w:vAlign w:val="center"/>
          </w:tcPr>
          <w:p>
            <w:pPr>
              <w:pStyle w:val="TableContents"/>
              <w:spacing w:before="0" w:after="283"/>
              <w:rPr>
                <w:sz w:val="4"/>
                <w:szCs w:val="4"/>
              </w:rPr>
            </w:pPr>
            <w:r>
              <w:rPr>
                <w:sz w:val="4"/>
                <w:szCs w:val="4"/>
              </w:rPr>
            </w:r>
          </w:p>
        </w:tc>
        <w:tc>
          <w:tcPr>
            <w:tcW w:w="436" w:type="dxa"/>
            <w:tcBorders/>
            <w:shd w:fill="FFFFFF" w:val="clear"/>
            <w:vAlign w:val="center"/>
          </w:tcPr>
          <w:p>
            <w:pPr>
              <w:pStyle w:val="TableContents"/>
              <w:spacing w:before="0" w:after="283"/>
              <w:rPr>
                <w:sz w:val="4"/>
                <w:szCs w:val="4"/>
              </w:rPr>
            </w:pPr>
            <w:r>
              <w:rPr>
                <w:sz w:val="4"/>
                <w:szCs w:val="4"/>
              </w:rPr>
            </w:r>
          </w:p>
        </w:tc>
      </w:tr>
      <w:tr>
        <w:trPr/>
        <w:tc>
          <w:tcPr>
            <w:tcW w:w="2453"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(In millions, except percentages)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096" w:type="dxa"/>
            <w:gridSpan w:val="6"/>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Three Months Ended</w:t>
            </w:r>
          </w:p>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Percentage</w:t>
            </w:r>
          </w:p>
          <w:p>
            <w:pPr>
              <w:pStyle w:val="TableContents"/>
              <w:spacing w:before="0" w:after="0"/>
              <w:ind w:left="0" w:right="0" w:hanging="0"/>
              <w:jc w:val="right"/>
              <w:rPr>
                <w:rFonts w:ascii="Arial;sans-serif" w:hAnsi="Arial;sans-serif"/>
                <w:b/>
                <w:sz w:val="15"/>
              </w:rPr>
            </w:pPr>
            <w:r>
              <w:rPr>
                <w:rFonts w:ascii="Arial;sans-serif" w:hAnsi="Arial;sans-serif"/>
                <w:b/>
                <w:sz w:val="15"/>
              </w:rPr>
              <w:t>Change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306" w:type="dxa"/>
            <w:gridSpan w:val="6"/>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Nine Months Ended</w:t>
            </w:r>
          </w:p>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Percentage</w:t>
            </w:r>
          </w:p>
          <w:p>
            <w:pPr>
              <w:pStyle w:val="TableContents"/>
              <w:spacing w:before="0" w:after="0"/>
              <w:ind w:left="0" w:right="0" w:hanging="0"/>
              <w:jc w:val="right"/>
              <w:rPr>
                <w:rFonts w:ascii="Arial;sans-serif" w:hAnsi="Arial;sans-serif"/>
                <w:b/>
                <w:sz w:val="15"/>
              </w:rPr>
            </w:pPr>
            <w:r>
              <w:rPr>
                <w:rFonts w:ascii="Arial;sans-serif" w:hAnsi="Arial;sans-serif"/>
                <w:b/>
                <w:sz w:val="15"/>
              </w:rPr>
              <w:t>Change</w:t>
            </w:r>
          </w:p>
        </w:tc>
        <w:tc>
          <w:tcPr>
            <w:tcW w:w="436" w:type="dxa"/>
            <w:tcBorders/>
            <w:shd w:fill="auto" w:val="clear"/>
            <w:vAlign w:val="center"/>
          </w:tcPr>
          <w:p>
            <w:pPr>
              <w:pStyle w:val="TableContents"/>
              <w:spacing w:before="0" w:after="0"/>
              <w:ind w:left="0" w:right="0" w:hanging="0"/>
              <w:jc w:val="left"/>
              <w:rPr/>
            </w:pPr>
            <w:r>
              <w:rPr/>
              <w:t> </w:t>
            </w:r>
          </w:p>
        </w:tc>
      </w:tr>
      <w:tr>
        <w:trPr/>
        <w:tc>
          <w:tcPr>
            <w:tcW w:w="2453"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453"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096" w:type="dxa"/>
            <w:gridSpan w:val="6"/>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2453"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02" w:type="dxa"/>
            <w:gridSpan w:val="2"/>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02" w:type="dxa"/>
            <w:gridSpan w:val="2"/>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46" w:type="dxa"/>
            <w:gridSpan w:val="2"/>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2453"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right"/>
              <w:rPr/>
            </w:pPr>
            <w:r>
              <w:rPr/>
              <w:t> </w:t>
            </w:r>
          </w:p>
        </w:tc>
        <w:tc>
          <w:tcPr>
            <w:tcW w:w="68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2453"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Revenue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64" w:type="dxa"/>
            <w:tcBorders/>
            <w:shd w:fill="auto" w:val="clear"/>
            <w:vAlign w:val="center"/>
          </w:tcPr>
          <w:p>
            <w:pPr>
              <w:pStyle w:val="TableContents"/>
              <w:spacing w:before="0" w:after="283"/>
              <w:ind w:left="0" w:right="0" w:hanging="0"/>
              <w:rPr>
                <w:sz w:val="4"/>
                <w:szCs w:val="4"/>
              </w:rPr>
            </w:pPr>
            <w:r>
              <w:rPr>
                <w:sz w:val="4"/>
                <w:szCs w:val="4"/>
              </w:rPr>
            </w:r>
          </w:p>
        </w:tc>
        <w:tc>
          <w:tcPr>
            <w:tcW w:w="68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2453"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right"/>
              <w:rPr/>
            </w:pPr>
            <w:r>
              <w:rPr/>
              <w:t> </w:t>
            </w:r>
          </w:p>
        </w:tc>
        <w:tc>
          <w:tcPr>
            <w:tcW w:w="68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2453"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Productivity and Business Processes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17,516</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15,789</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64" w:type="dxa"/>
            <w:tcBorders/>
            <w:shd w:fill="auto" w:val="clear"/>
            <w:vAlign w:val="center"/>
          </w:tcPr>
          <w:p>
            <w:pPr>
              <w:pStyle w:val="TableContents"/>
              <w:spacing w:before="0" w:after="283"/>
              <w:ind w:left="0" w:right="0" w:hanging="0"/>
              <w:rPr>
                <w:sz w:val="4"/>
                <w:szCs w:val="4"/>
              </w:rPr>
            </w:pPr>
            <w:r>
              <w:rPr>
                <w:sz w:val="4"/>
                <w:szCs w:val="4"/>
              </w:rPr>
            </w:r>
          </w:p>
        </w:tc>
        <w:tc>
          <w:tcPr>
            <w:tcW w:w="68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50,983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46,764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w:t>
            </w:r>
          </w:p>
        </w:tc>
        <w:tc>
          <w:tcPr>
            <w:tcW w:w="436" w:type="dxa"/>
            <w:tcBorders/>
            <w:shd w:fill="auto" w:val="clear"/>
            <w:vAlign w:val="center"/>
          </w:tcPr>
          <w:p>
            <w:pPr>
              <w:pStyle w:val="TableContents"/>
              <w:spacing w:before="0" w:after="0"/>
              <w:ind w:left="0" w:right="0" w:hanging="0"/>
              <w:jc w:val="left"/>
              <w:rPr/>
            </w:pPr>
            <w:r>
              <w:rPr/>
              <w:t> </w:t>
            </w:r>
          </w:p>
        </w:tc>
      </w:tr>
      <w:tr>
        <w:trPr/>
        <w:tc>
          <w:tcPr>
            <w:tcW w:w="2453"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Intelligent Cloud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22,081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18,987</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64" w:type="dxa"/>
            <w:tcBorders/>
            <w:shd w:fill="auto" w:val="clear"/>
            <w:vAlign w:val="center"/>
          </w:tcPr>
          <w:p>
            <w:pPr>
              <w:pStyle w:val="TableContents"/>
              <w:spacing w:before="0" w:after="283"/>
              <w:ind w:left="0" w:right="0" w:hanging="0"/>
              <w:rPr>
                <w:sz w:val="4"/>
                <w:szCs w:val="4"/>
              </w:rPr>
            </w:pPr>
            <w:r>
              <w:rPr>
                <w:sz w:val="4"/>
                <w:szCs w:val="4"/>
              </w:rPr>
            </w:r>
          </w:p>
        </w:tc>
        <w:tc>
          <w:tcPr>
            <w:tcW w:w="68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63,914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54,161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w:t>
            </w:r>
          </w:p>
        </w:tc>
        <w:tc>
          <w:tcPr>
            <w:tcW w:w="436" w:type="dxa"/>
            <w:tcBorders/>
            <w:shd w:fill="auto" w:val="clear"/>
            <w:vAlign w:val="center"/>
          </w:tcPr>
          <w:p>
            <w:pPr>
              <w:pStyle w:val="TableContents"/>
              <w:spacing w:before="0" w:after="0"/>
              <w:ind w:left="0" w:right="0" w:hanging="0"/>
              <w:jc w:val="left"/>
              <w:rPr/>
            </w:pPr>
            <w:r>
              <w:rPr/>
              <w:t> </w:t>
            </w:r>
          </w:p>
        </w:tc>
      </w:tr>
      <w:tr>
        <w:trPr/>
        <w:tc>
          <w:tcPr>
            <w:tcW w:w="2453"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More Personal Computing</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13,260</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14,584</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64" w:type="dxa"/>
            <w:tcBorders/>
            <w:shd w:fill="auto" w:val="clear"/>
            <w:vAlign w:val="center"/>
          </w:tcPr>
          <w:p>
            <w:pPr>
              <w:pStyle w:val="TableContents"/>
              <w:spacing w:before="0" w:after="283"/>
              <w:ind w:left="0" w:right="0" w:hanging="0"/>
              <w:rPr>
                <w:sz w:val="4"/>
                <w:szCs w:val="4"/>
              </w:rPr>
            </w:pPr>
            <w:r>
              <w:rPr>
                <w:sz w:val="4"/>
                <w:szCs w:val="4"/>
              </w:rPr>
            </w:r>
          </w:p>
        </w:tc>
        <w:tc>
          <w:tcPr>
            <w:tcW w:w="68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40,829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45,480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w:t>
            </w:r>
          </w:p>
        </w:tc>
        <w:tc>
          <w:tcPr>
            <w:tcW w:w="436" w:type="dxa"/>
            <w:tcBorders/>
            <w:shd w:fill="auto" w:val="clear"/>
            <w:vAlign w:val="center"/>
          </w:tcPr>
          <w:p>
            <w:pPr>
              <w:pStyle w:val="TableContents"/>
              <w:spacing w:before="0" w:after="0"/>
              <w:ind w:left="0" w:right="0" w:hanging="0"/>
              <w:jc w:val="left"/>
              <w:rPr/>
            </w:pPr>
            <w:r>
              <w:rPr/>
              <w:t> </w:t>
            </w:r>
          </w:p>
        </w:tc>
      </w:tr>
      <w:tr>
        <w:trPr/>
        <w:tc>
          <w:tcPr>
            <w:tcW w:w="3501" w:type="dxa"/>
            <w:gridSpan w:val="4"/>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64" w:type="dxa"/>
            <w:tcBorders/>
            <w:shd w:fill="auto" w:val="clear"/>
            <w:vAlign w:val="center"/>
          </w:tcPr>
          <w:p>
            <w:pPr>
              <w:pStyle w:val="TableContents"/>
              <w:spacing w:before="0" w:after="283"/>
              <w:ind w:left="0" w:right="0" w:hanging="0"/>
              <w:rPr>
                <w:sz w:val="4"/>
                <w:szCs w:val="4"/>
              </w:rPr>
            </w:pPr>
            <w:r>
              <w:rPr>
                <w:sz w:val="4"/>
                <w:szCs w:val="4"/>
              </w:rPr>
            </w:r>
          </w:p>
        </w:tc>
        <w:tc>
          <w:tcPr>
            <w:tcW w:w="68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3501" w:type="dxa"/>
            <w:gridSpan w:val="4"/>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right"/>
              <w:rPr/>
            </w:pPr>
            <w:r>
              <w:rPr/>
              <w:t> </w:t>
            </w:r>
          </w:p>
        </w:tc>
        <w:tc>
          <w:tcPr>
            <w:tcW w:w="68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pPr>
            <w:r>
              <w:rPr/>
              <w:t> </w:t>
            </w:r>
          </w:p>
        </w:tc>
        <w:tc>
          <w:tcPr>
            <w:tcW w:w="436" w:type="dxa"/>
            <w:tcBorders/>
            <w:shd w:fill="auto" w:val="clear"/>
            <w:vAlign w:val="center"/>
          </w:tcPr>
          <w:p>
            <w:pPr>
              <w:pStyle w:val="TableContents"/>
              <w:spacing w:before="0" w:after="0"/>
              <w:ind w:left="0" w:right="0" w:firstLine="245"/>
              <w:jc w:val="left"/>
              <w:rPr/>
            </w:pPr>
            <w:r>
              <w:rPr/>
              <w:t> </w:t>
            </w:r>
          </w:p>
        </w:tc>
      </w:tr>
      <w:tr>
        <w:trPr/>
        <w:tc>
          <w:tcPr>
            <w:tcW w:w="2453"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Total</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52,857</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49,360</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64" w:type="dxa"/>
            <w:tcBorders/>
            <w:shd w:fill="auto" w:val="clear"/>
            <w:vAlign w:val="center"/>
          </w:tcPr>
          <w:p>
            <w:pPr>
              <w:pStyle w:val="TableContents"/>
              <w:spacing w:before="0" w:after="283"/>
              <w:ind w:left="0" w:right="0" w:hanging="0"/>
              <w:rPr>
                <w:sz w:val="4"/>
                <w:szCs w:val="4"/>
              </w:rPr>
            </w:pPr>
            <w:r>
              <w:rPr>
                <w:sz w:val="4"/>
                <w:szCs w:val="4"/>
              </w:rPr>
            </w:r>
          </w:p>
        </w:tc>
        <w:tc>
          <w:tcPr>
            <w:tcW w:w="68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155,726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146,405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w:t>
            </w:r>
          </w:p>
        </w:tc>
        <w:tc>
          <w:tcPr>
            <w:tcW w:w="436" w:type="dxa"/>
            <w:tcBorders/>
            <w:shd w:fill="auto" w:val="clear"/>
            <w:vAlign w:val="center"/>
          </w:tcPr>
          <w:p>
            <w:pPr>
              <w:pStyle w:val="TableContents"/>
              <w:spacing w:before="0" w:after="0"/>
              <w:ind w:left="0" w:right="0" w:hanging="0"/>
              <w:jc w:val="left"/>
              <w:rPr/>
            </w:pPr>
            <w:r>
              <w:rPr/>
              <w:t> </w:t>
            </w:r>
          </w:p>
        </w:tc>
      </w:tr>
      <w:tr>
        <w:trPr/>
        <w:tc>
          <w:tcPr>
            <w:tcW w:w="2453"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64" w:type="dxa"/>
            <w:tcBorders/>
            <w:shd w:fill="auto" w:val="clear"/>
            <w:vAlign w:val="center"/>
          </w:tcPr>
          <w:p>
            <w:pPr>
              <w:pStyle w:val="TableContents"/>
              <w:spacing w:before="0" w:after="283"/>
              <w:ind w:left="0" w:right="0" w:hanging="0"/>
              <w:rPr>
                <w:sz w:val="4"/>
                <w:szCs w:val="4"/>
              </w:rPr>
            </w:pPr>
            <w:r>
              <w:rPr>
                <w:sz w:val="4"/>
                <w:szCs w:val="4"/>
              </w:rPr>
            </w:r>
          </w:p>
        </w:tc>
        <w:tc>
          <w:tcPr>
            <w:tcW w:w="68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2453"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right"/>
              <w:rPr/>
            </w:pPr>
            <w:r>
              <w:rPr/>
              <w:t> </w:t>
            </w:r>
          </w:p>
        </w:tc>
        <w:tc>
          <w:tcPr>
            <w:tcW w:w="68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2453"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Operating Income</w:t>
            </w:r>
          </w:p>
        </w:tc>
        <w:tc>
          <w:tcPr>
            <w:tcW w:w="1194" w:type="dxa"/>
            <w:gridSpan w:val="4"/>
            <w:tcBorders/>
            <w:shd w:fill="auto" w:val="clear"/>
            <w:vAlign w:val="center"/>
          </w:tcPr>
          <w:p>
            <w:pPr>
              <w:pStyle w:val="TableContents"/>
              <w:spacing w:before="0" w:after="0"/>
              <w:ind w:left="0" w:right="0" w:hanging="0"/>
              <w:jc w:val="right"/>
              <w:rPr/>
            </w:pPr>
            <w:r>
              <w:rPr/>
              <w:t> </w:t>
            </w:r>
          </w:p>
        </w:tc>
        <w:tc>
          <w:tcPr>
            <w:tcW w:w="2432" w:type="dxa"/>
            <w:gridSpan w:val="8"/>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4" w:type="dxa"/>
            <w:tcBorders/>
            <w:shd w:fill="auto" w:val="clear"/>
            <w:vAlign w:val="center"/>
          </w:tcPr>
          <w:p>
            <w:pPr>
              <w:pStyle w:val="TableContents"/>
              <w:spacing w:before="0" w:after="0"/>
              <w:ind w:left="0" w:right="0" w:hanging="0"/>
              <w:jc w:val="right"/>
              <w:rPr/>
            </w:pPr>
            <w:r>
              <w:rPr/>
              <w:t> </w:t>
            </w:r>
          </w:p>
        </w:tc>
        <w:tc>
          <w:tcPr>
            <w:tcW w:w="682"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2453" w:type="dxa"/>
            <w:tcBorders/>
            <w:shd w:fill="auto" w:val="clear"/>
            <w:vAlign w:val="center"/>
          </w:tcPr>
          <w:p>
            <w:pPr>
              <w:pStyle w:val="TableContents"/>
              <w:spacing w:before="0" w:after="283"/>
              <w:ind w:left="0" w:right="0" w:hanging="0"/>
              <w:rPr>
                <w:sz w:val="4"/>
                <w:szCs w:val="4"/>
              </w:rPr>
            </w:pPr>
            <w:r>
              <w:rPr>
                <w:sz w:val="4"/>
                <w:szCs w:val="4"/>
              </w:rPr>
            </w:r>
          </w:p>
        </w:tc>
        <w:tc>
          <w:tcPr>
            <w:tcW w:w="1194" w:type="dxa"/>
            <w:gridSpan w:val="4"/>
            <w:tcBorders/>
            <w:shd w:fill="auto" w:val="clear"/>
            <w:vAlign w:val="center"/>
          </w:tcPr>
          <w:p>
            <w:pPr>
              <w:pStyle w:val="TableContents"/>
              <w:spacing w:before="0" w:after="0"/>
              <w:ind w:left="0" w:right="0" w:hanging="0"/>
              <w:jc w:val="right"/>
              <w:rPr/>
            </w:pPr>
            <w:r>
              <w:rPr/>
              <w:t> </w:t>
            </w:r>
          </w:p>
        </w:tc>
        <w:tc>
          <w:tcPr>
            <w:tcW w:w="2432" w:type="dxa"/>
            <w:gridSpan w:val="8"/>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2453"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Productivity and Business Processes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8,639</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7,185</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64" w:type="dxa"/>
            <w:tcBorders/>
            <w:shd w:fill="auto" w:val="clear"/>
            <w:vAlign w:val="center"/>
          </w:tcPr>
          <w:p>
            <w:pPr>
              <w:pStyle w:val="TableContents"/>
              <w:spacing w:before="0" w:after="283"/>
              <w:ind w:left="0" w:right="0" w:hanging="0"/>
              <w:rPr>
                <w:sz w:val="4"/>
                <w:szCs w:val="4"/>
              </w:rPr>
            </w:pPr>
            <w:r>
              <w:rPr>
                <w:sz w:val="4"/>
                <w:szCs w:val="4"/>
              </w:rPr>
            </w:r>
          </w:p>
        </w:tc>
        <w:tc>
          <w:tcPr>
            <w:tcW w:w="68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25,137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22,454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w:t>
            </w:r>
          </w:p>
        </w:tc>
        <w:tc>
          <w:tcPr>
            <w:tcW w:w="436" w:type="dxa"/>
            <w:tcBorders/>
            <w:shd w:fill="auto" w:val="clear"/>
            <w:vAlign w:val="center"/>
          </w:tcPr>
          <w:p>
            <w:pPr>
              <w:pStyle w:val="TableContents"/>
              <w:spacing w:before="0" w:after="0"/>
              <w:ind w:left="0" w:right="0" w:hanging="0"/>
              <w:jc w:val="left"/>
              <w:rPr/>
            </w:pPr>
            <w:r>
              <w:rPr/>
              <w:t> </w:t>
            </w:r>
          </w:p>
        </w:tc>
      </w:tr>
      <w:tr>
        <w:trPr/>
        <w:tc>
          <w:tcPr>
            <w:tcW w:w="2453"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Intelligent Cloud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9,476</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8,391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64" w:type="dxa"/>
            <w:tcBorders/>
            <w:shd w:fill="auto" w:val="clear"/>
            <w:vAlign w:val="center"/>
          </w:tcPr>
          <w:p>
            <w:pPr>
              <w:pStyle w:val="TableContents"/>
              <w:spacing w:before="0" w:after="283"/>
              <w:ind w:left="0" w:right="0" w:hanging="0"/>
              <w:rPr>
                <w:sz w:val="4"/>
                <w:szCs w:val="4"/>
              </w:rPr>
            </w:pPr>
            <w:r>
              <w:rPr>
                <w:sz w:val="4"/>
                <w:szCs w:val="4"/>
              </w:rPr>
            </w:r>
          </w:p>
        </w:tc>
        <w:tc>
          <w:tcPr>
            <w:tcW w:w="68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27,358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24,395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w:t>
            </w:r>
          </w:p>
        </w:tc>
        <w:tc>
          <w:tcPr>
            <w:tcW w:w="436" w:type="dxa"/>
            <w:tcBorders/>
            <w:shd w:fill="auto" w:val="clear"/>
            <w:vAlign w:val="center"/>
          </w:tcPr>
          <w:p>
            <w:pPr>
              <w:pStyle w:val="TableContents"/>
              <w:spacing w:before="0" w:after="0"/>
              <w:ind w:left="0" w:right="0" w:hanging="0"/>
              <w:jc w:val="left"/>
              <w:rPr/>
            </w:pPr>
            <w:r>
              <w:rPr/>
              <w:t> </w:t>
            </w:r>
          </w:p>
        </w:tc>
      </w:tr>
      <w:tr>
        <w:trPr/>
        <w:tc>
          <w:tcPr>
            <w:tcW w:w="2453"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More Personal Computing</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4,237</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4,788</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64" w:type="dxa"/>
            <w:tcBorders/>
            <w:shd w:fill="auto" w:val="clear"/>
            <w:vAlign w:val="center"/>
          </w:tcPr>
          <w:p>
            <w:pPr>
              <w:pStyle w:val="TableContents"/>
              <w:spacing w:before="0" w:after="283"/>
              <w:ind w:left="0" w:right="0" w:hanging="0"/>
              <w:rPr>
                <w:sz w:val="4"/>
                <w:szCs w:val="4"/>
              </w:rPr>
            </w:pPr>
            <w:r>
              <w:rPr>
                <w:sz w:val="4"/>
                <w:szCs w:val="4"/>
              </w:rPr>
            </w:r>
          </w:p>
        </w:tc>
        <w:tc>
          <w:tcPr>
            <w:tcW w:w="68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11,774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(26)%</w:t>
            </w:r>
          </w:p>
        </w:tc>
        <w:tc>
          <w:tcPr>
            <w:tcW w:w="436" w:type="dxa"/>
            <w:tcBorders/>
            <w:shd w:fill="auto" w:val="clear"/>
            <w:vAlign w:val="center"/>
          </w:tcPr>
          <w:p>
            <w:pPr>
              <w:pStyle w:val="TableContents"/>
              <w:spacing w:before="0" w:after="0"/>
              <w:ind w:left="0" w:right="0" w:hanging="0"/>
              <w:jc w:val="left"/>
              <w:rPr/>
            </w:pPr>
            <w:r>
              <w:rPr/>
              <w:t> </w:t>
            </w:r>
          </w:p>
        </w:tc>
      </w:tr>
      <w:tr>
        <w:trPr/>
        <w:tc>
          <w:tcPr>
            <w:tcW w:w="3501" w:type="dxa"/>
            <w:gridSpan w:val="4"/>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right"/>
              <w:rPr/>
            </w:pPr>
            <w:r>
              <w:rPr/>
              <w:t> </w:t>
            </w:r>
          </w:p>
        </w:tc>
        <w:tc>
          <w:tcPr>
            <w:tcW w:w="68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3501" w:type="dxa"/>
            <w:gridSpan w:val="4"/>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64" w:type="dxa"/>
            <w:tcBorders/>
            <w:shd w:fill="auto" w:val="clear"/>
            <w:vAlign w:val="center"/>
          </w:tcPr>
          <w:p>
            <w:pPr>
              <w:pStyle w:val="TableContents"/>
              <w:spacing w:before="0" w:after="283"/>
              <w:ind w:left="0" w:right="0" w:hanging="0"/>
              <w:rPr>
                <w:sz w:val="4"/>
                <w:szCs w:val="4"/>
              </w:rPr>
            </w:pPr>
            <w:r>
              <w:rPr>
                <w:sz w:val="4"/>
                <w:szCs w:val="4"/>
              </w:rPr>
            </w:r>
          </w:p>
        </w:tc>
        <w:tc>
          <w:tcPr>
            <w:tcW w:w="68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pPr>
            <w:r>
              <w:rPr/>
              <w:t> </w:t>
            </w:r>
          </w:p>
        </w:tc>
        <w:tc>
          <w:tcPr>
            <w:tcW w:w="436" w:type="dxa"/>
            <w:tcBorders/>
            <w:shd w:fill="auto" w:val="clear"/>
            <w:vAlign w:val="center"/>
          </w:tcPr>
          <w:p>
            <w:pPr>
              <w:pStyle w:val="TableContents"/>
              <w:spacing w:before="0" w:after="0"/>
              <w:ind w:left="0" w:right="0" w:firstLine="245"/>
              <w:jc w:val="left"/>
              <w:rPr/>
            </w:pPr>
            <w:r>
              <w:rPr/>
              <w:t> </w:t>
            </w:r>
          </w:p>
        </w:tc>
      </w:tr>
      <w:tr>
        <w:trPr/>
        <w:tc>
          <w:tcPr>
            <w:tcW w:w="2453"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Total</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22,352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20,364</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64" w:type="dxa"/>
            <w:tcBorders/>
            <w:shd w:fill="auto" w:val="clear"/>
            <w:vAlign w:val="center"/>
          </w:tcPr>
          <w:p>
            <w:pPr>
              <w:pStyle w:val="TableContents"/>
              <w:spacing w:before="0" w:after="283"/>
              <w:ind w:left="0" w:right="0" w:hanging="0"/>
              <w:rPr>
                <w:sz w:val="4"/>
                <w:szCs w:val="4"/>
              </w:rPr>
            </w:pPr>
            <w:r>
              <w:rPr>
                <w:sz w:val="4"/>
                <w:szCs w:val="4"/>
              </w:rPr>
            </w:r>
          </w:p>
        </w:tc>
        <w:tc>
          <w:tcPr>
            <w:tcW w:w="68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64,269</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62,849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436" w:type="dxa"/>
            <w:tcBorders/>
            <w:shd w:fill="auto" w:val="clear"/>
            <w:vAlign w:val="center"/>
          </w:tcPr>
          <w:p>
            <w:pPr>
              <w:pStyle w:val="TableContents"/>
              <w:spacing w:before="0" w:after="0"/>
              <w:ind w:left="0" w:right="0" w:hanging="0"/>
              <w:jc w:val="left"/>
              <w:rPr/>
            </w:pPr>
            <w:r>
              <w:rPr/>
              <w:t> </w:t>
            </w:r>
          </w:p>
        </w:tc>
      </w:tr>
      <w:tr>
        <w:trPr/>
        <w:tc>
          <w:tcPr>
            <w:tcW w:w="2453"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64" w:type="dxa"/>
            <w:tcBorders/>
            <w:shd w:fill="auto" w:val="clear"/>
            <w:vAlign w:val="center"/>
          </w:tcPr>
          <w:p>
            <w:pPr>
              <w:pStyle w:val="TableContents"/>
              <w:spacing w:before="0" w:after="283"/>
              <w:ind w:left="0" w:right="0" w:hanging="0"/>
              <w:rPr>
                <w:sz w:val="4"/>
                <w:szCs w:val="4"/>
              </w:rPr>
            </w:pPr>
            <w:r>
              <w:rPr>
                <w:sz w:val="4"/>
                <w:szCs w:val="4"/>
              </w:rPr>
            </w:r>
          </w:p>
        </w:tc>
        <w:tc>
          <w:tcPr>
            <w:tcW w:w="68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pPr>
            <w:r>
              <w:rPr/>
              <w:t> </w:t>
            </w:r>
          </w:p>
        </w:tc>
        <w:tc>
          <w:tcPr>
            <w:tcW w:w="436"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90" w:after="0"/>
        <w:jc w:val="both"/>
        <w:rPr>
          <w:rFonts w:ascii="Arial;sans-serif" w:hAnsi="Arial;sans-serif"/>
          <w:b/>
          <w:sz w:val="20"/>
        </w:rPr>
      </w:pPr>
      <w:r>
        <w:rPr>
          <w:rFonts w:ascii="Arial;sans-serif" w:hAnsi="Arial;sans-serif"/>
          <w:b/>
          <w:sz w:val="20"/>
        </w:rPr>
        <w:t>Reportable Segments</w:t>
      </w:r>
    </w:p>
    <w:p>
      <w:pPr>
        <w:pStyle w:val="TextBody"/>
        <w:spacing w:before="180" w:after="0"/>
        <w:jc w:val="both"/>
        <w:rPr>
          <w:rFonts w:ascii="Arial;sans-serif" w:hAnsi="Arial;sans-serif"/>
          <w:b/>
          <w:i/>
          <w:sz w:val="20"/>
        </w:rPr>
      </w:pPr>
      <w:r>
        <w:rPr>
          <w:rFonts w:ascii="Arial;sans-serif" w:hAnsi="Arial;sans-serif"/>
          <w:b/>
          <w:i/>
          <w:sz w:val="20"/>
        </w:rPr>
        <w:t>Three Months Ended March 31, 2023 Compared with Three Months Ended March 31, 2022</w:t>
      </w:r>
    </w:p>
    <w:p>
      <w:pPr>
        <w:pStyle w:val="TextBody"/>
        <w:spacing w:before="180" w:after="0"/>
        <w:jc w:val="both"/>
        <w:rPr>
          <w:rFonts w:ascii="Arial;sans-serif" w:hAnsi="Arial;sans-serif"/>
          <w:b w:val="false"/>
          <w:i/>
          <w:sz w:val="20"/>
        </w:rPr>
      </w:pPr>
      <w:r>
        <w:rPr>
          <w:rFonts w:ascii="Arial;sans-serif" w:hAnsi="Arial;sans-serif"/>
          <w:b w:val="false"/>
          <w:i/>
          <w:sz w:val="20"/>
        </w:rPr>
        <w:t>Productivity and Business Processes</w:t>
      </w:r>
    </w:p>
    <w:p>
      <w:pPr>
        <w:pStyle w:val="TextBody"/>
        <w:spacing w:before="180" w:after="0"/>
        <w:jc w:val="both"/>
        <w:rPr>
          <w:rFonts w:ascii="Arial;sans-serif" w:hAnsi="Arial;sans-serif"/>
          <w:b w:val="false"/>
          <w:sz w:val="20"/>
        </w:rPr>
      </w:pPr>
      <w:r>
        <w:rPr>
          <w:rFonts w:ascii="Arial;sans-serif" w:hAnsi="Arial;sans-serif"/>
          <w:b w:val="false"/>
          <w:sz w:val="20"/>
        </w:rPr>
        <w:t>Revenue increased $1.7 billion or 11%.</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Office Commercial products and cloud services revenue increased $1.3 billion or 13%. Office 365 Commercial revenue grew 14% with seat growth of 11%, driven by small and medium business and frontline worker offerings, as well as growth in revenue per user. Office Commercial products revenue declined 1% driven by continued customer shift to cloud offerings, offset in part by transactional strength in Japan.</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Office Consumer products and cloud services revenue increased $20 million or 1%. Microsoft 365 Consumer subscribers grew 12% to 65.4 million.</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LinkedIn revenue increased $260 million or 8% driven by Talent Solutions.</w:t>
      </w:r>
    </w:p>
    <w:p>
      <w:pPr>
        <w:pStyle w:val="TextBody"/>
        <w:spacing w:before="90" w:after="0"/>
        <w:jc w:val="both"/>
        <w:rPr/>
      </w:pPr>
      <w:r>
        <w:rPr/>
        <w:t>•</w:t>
      </w:r>
    </w:p>
    <w:p>
      <w:pPr>
        <w:pStyle w:val="TextBody"/>
        <w:spacing w:before="90" w:after="283"/>
        <w:jc w:val="both"/>
        <w:rPr>
          <w:rFonts w:ascii="Arial;sans-serif" w:hAnsi="Arial;sans-serif"/>
          <w:b w:val="false"/>
          <w:sz w:val="20"/>
        </w:rPr>
      </w:pPr>
      <w:r>
        <w:rPr>
          <w:rFonts w:ascii="Arial;sans-serif" w:hAnsi="Arial;sans-serif"/>
          <w:b w:val="false"/>
          <w:sz w:val="20"/>
        </w:rPr>
        <w:t>Dynamics products and cloud services revenue increased 17% driven by Dynamics 365 growth of 25%.</w:t>
      </w:r>
    </w:p>
    <w:p>
      <w:pPr>
        <w:pStyle w:val="TextBody"/>
        <w:spacing w:before="180" w:after="0"/>
        <w:jc w:val="both"/>
        <w:rPr>
          <w:rFonts w:ascii="Arial;sans-serif" w:hAnsi="Arial;sans-serif"/>
          <w:b w:val="false"/>
          <w:sz w:val="20"/>
        </w:rPr>
      </w:pPr>
      <w:r>
        <w:rPr>
          <w:rFonts w:ascii="Arial;sans-serif" w:hAnsi="Arial;sans-serif"/>
          <w:b w:val="false"/>
          <w:sz w:val="20"/>
        </w:rPr>
        <w:t>Operating income increased $1.5 billion or 20%.</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Gross margin increased $1.7 billion or 14% driven by growth in Office 365 Commercial. Gross margin percentage increased. Excluding the impact of the change in accounting estimate, gross margin percentage increased slightly driven by improvements in Office 365 Commercial, offset in part by sales mix shift to cloud offerings.</w:t>
      </w:r>
    </w:p>
    <w:p>
      <w:pPr>
        <w:pStyle w:val="TextBody"/>
        <w:spacing w:before="90" w:after="0"/>
        <w:jc w:val="both"/>
        <w:rPr/>
      </w:pPr>
      <w:r>
        <w:rPr/>
        <w:t>•</w:t>
      </w:r>
    </w:p>
    <w:p>
      <w:pPr>
        <w:pStyle w:val="TextBody"/>
        <w:spacing w:before="90" w:after="283"/>
        <w:jc w:val="both"/>
        <w:rPr>
          <w:rFonts w:ascii="Arial;sans-serif" w:hAnsi="Arial;sans-serif"/>
          <w:b w:val="false"/>
          <w:sz w:val="20"/>
        </w:rPr>
      </w:pPr>
      <w:r>
        <w:rPr>
          <w:rFonts w:ascii="Arial;sans-serif" w:hAnsi="Arial;sans-serif"/>
          <w:b w:val="false"/>
          <w:sz w:val="20"/>
        </w:rPr>
        <w:t>Operating expenses increased $213 million or 4% driven by investments in LinkedIn.</w:t>
      </w:r>
    </w:p>
    <w:p>
      <w:pPr>
        <w:pStyle w:val="TextBody"/>
        <w:spacing w:before="180" w:after="0"/>
        <w:jc w:val="both"/>
        <w:rPr>
          <w:rFonts w:ascii="Arial;sans-serif" w:hAnsi="Arial;sans-serif"/>
          <w:b w:val="false"/>
          <w:sz w:val="20"/>
        </w:rPr>
      </w:pPr>
      <w:r>
        <w:rPr>
          <w:rFonts w:ascii="Arial;sans-serif" w:hAnsi="Arial;sans-serif"/>
          <w:b w:val="false"/>
          <w:sz w:val="20"/>
        </w:rPr>
        <w:t>Revenue, gross margin, and operating income included an unfavorable foreign currency impact of 4%, 4%, and 7%, respectively.</w:t>
      </w:r>
    </w:p>
    <w:p>
      <w:pPr>
        <w:pStyle w:val="TextBody"/>
        <w:spacing w:before="270" w:after="0"/>
        <w:jc w:val="both"/>
        <w:rPr>
          <w:rFonts w:ascii="Arial;sans-serif" w:hAnsi="Arial;sans-serif"/>
          <w:b w:val="false"/>
          <w:i/>
          <w:sz w:val="20"/>
        </w:rPr>
      </w:pPr>
      <w:r>
        <w:rPr>
          <w:rFonts w:ascii="Arial;sans-serif" w:hAnsi="Arial;sans-serif"/>
          <w:b w:val="false"/>
          <w:i/>
          <w:sz w:val="20"/>
        </w:rPr>
        <w:t>Intelligent Cloud</w:t>
      </w:r>
    </w:p>
    <w:p>
      <w:pPr>
        <w:pStyle w:val="TextBody"/>
        <w:spacing w:before="180" w:after="0"/>
        <w:jc w:val="both"/>
        <w:rPr>
          <w:rFonts w:ascii="Arial;sans-serif" w:hAnsi="Arial;sans-serif"/>
          <w:b w:val="false"/>
          <w:sz w:val="20"/>
        </w:rPr>
      </w:pPr>
      <w:r>
        <w:rPr>
          <w:rFonts w:ascii="Arial;sans-serif" w:hAnsi="Arial;sans-serif"/>
          <w:b w:val="false"/>
          <w:sz w:val="20"/>
        </w:rPr>
        <w:t>Revenue increased $3.1 billion or 16%.</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Server products and cloud services revenue increased $3.0 billion or 17% driven by Azure and other cloud services. Azure and other cloud services revenue grew 27% driven by growth in our consumption-based services. Server products revenue decreased 2%.</w:t>
      </w:r>
    </w:p>
    <w:p>
      <w:pPr>
        <w:pStyle w:val="TextBody"/>
        <w:spacing w:before="90" w:after="0"/>
        <w:jc w:val="both"/>
        <w:rPr/>
      </w:pPr>
      <w:r>
        <w:rPr/>
        <w:t>•</w:t>
      </w:r>
    </w:p>
    <w:p>
      <w:pPr>
        <w:pStyle w:val="TextBody"/>
        <w:spacing w:before="90" w:after="283"/>
        <w:jc w:val="both"/>
        <w:rPr>
          <w:rFonts w:ascii="Arial;sans-serif" w:hAnsi="Arial;sans-serif"/>
          <w:b w:val="false"/>
          <w:sz w:val="20"/>
        </w:rPr>
      </w:pPr>
      <w:r>
        <w:rPr>
          <w:rFonts w:ascii="Arial;sans-serif" w:hAnsi="Arial;sans-serif"/>
          <w:b w:val="false"/>
          <w:sz w:val="20"/>
        </w:rPr>
        <w:t>Enterprise Services revenue increased $116 million or 6% driven by growth in Enterprise Support Services, offset in part by a decline in Microsoft Consulting Services.</w:t>
      </w:r>
    </w:p>
    <w:p>
      <w:pPr>
        <w:pStyle w:val="TextBody"/>
        <w:spacing w:before="240" w:after="0"/>
        <w:jc w:val="center"/>
        <w:rPr>
          <w:rFonts w:ascii="Arial;sans-serif" w:hAnsi="Arial;sans-serif"/>
          <w:b w:val="false"/>
          <w:sz w:val="16"/>
        </w:rPr>
      </w:pPr>
      <w:r>
        <w:rPr>
          <w:rFonts w:ascii="Arial;sans-serif" w:hAnsi="Arial;sans-serif"/>
          <w:b w:val="false"/>
          <w:sz w:val="16"/>
        </w:rPr>
        <w:t>38</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w:t>
      </w:r>
    </w:p>
    <w:p>
      <w:pPr>
        <w:pStyle w:val="TextBody"/>
        <w:spacing w:before="0" w:after="0"/>
        <w:jc w:val="center"/>
        <w:rPr>
          <w:rFonts w:ascii="Arial;sans-serif" w:hAnsi="Arial;sans-serif"/>
          <w:b w:val="false"/>
          <w:sz w:val="15"/>
        </w:rPr>
      </w:pPr>
      <w:r>
        <w:rPr>
          <w:rFonts w:ascii="Arial;sans-serif" w:hAnsi="Arial;sans-serif"/>
          <w:b w:val="false"/>
          <w:sz w:val="15"/>
        </w:rPr>
        <w:t>Item 2</w:t>
      </w:r>
    </w:p>
    <w:p>
      <w:pPr>
        <w:pStyle w:val="TextBody"/>
        <w:spacing w:before="0" w:after="0"/>
        <w:jc w:val="left"/>
        <w:rPr/>
      </w:pPr>
      <w:r>
        <w:rPr/>
        <w:t> </w:t>
      </w:r>
    </w:p>
    <w:p>
      <w:pPr>
        <w:pStyle w:val="TextBody"/>
        <w:spacing w:before="180" w:after="0"/>
        <w:jc w:val="both"/>
        <w:rPr>
          <w:rFonts w:ascii="Arial;sans-serif" w:hAnsi="Arial;sans-serif"/>
          <w:b w:val="false"/>
          <w:sz w:val="20"/>
        </w:rPr>
      </w:pPr>
      <w:r>
        <w:rPr>
          <w:rFonts w:ascii="Arial;sans-serif" w:hAnsi="Arial;sans-serif"/>
          <w:b w:val="false"/>
          <w:sz w:val="20"/>
        </w:rPr>
        <w:t>Operating income increased $1.1 billion or 13%.</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Gross margin increased $2.0 billion or 15% driven by growth in Azure and other cloud services and the change in accounting estimate. Gross margin percentage decreased slightly. Excluding the impact of the change in accounting estimate, gross margin percentage decreased 3 points driven by sales mix shift to Azure and other cloud services and reductions in Azure and other cloud services.</w:t>
      </w:r>
    </w:p>
    <w:p>
      <w:pPr>
        <w:pStyle w:val="TextBody"/>
        <w:spacing w:before="90" w:after="0"/>
        <w:jc w:val="both"/>
        <w:rPr/>
      </w:pPr>
      <w:r>
        <w:rPr/>
        <w:t>•</w:t>
      </w:r>
    </w:p>
    <w:p>
      <w:pPr>
        <w:pStyle w:val="TextBody"/>
        <w:spacing w:before="90" w:after="283"/>
        <w:jc w:val="both"/>
        <w:rPr>
          <w:rFonts w:ascii="Arial;sans-serif" w:hAnsi="Arial;sans-serif"/>
          <w:b w:val="false"/>
          <w:sz w:val="20"/>
        </w:rPr>
      </w:pPr>
      <w:r>
        <w:rPr>
          <w:rFonts w:ascii="Arial;sans-serif" w:hAnsi="Arial;sans-serif"/>
          <w:b w:val="false"/>
          <w:sz w:val="20"/>
        </w:rPr>
        <w:t>Operating expenses increased $937 million or 19% driven by investments in Azure and 3 points of growth from the Nuance acquisition.</w:t>
      </w:r>
    </w:p>
    <w:p>
      <w:pPr>
        <w:pStyle w:val="TextBody"/>
        <w:spacing w:before="180" w:after="0"/>
        <w:jc w:val="both"/>
        <w:rPr>
          <w:rFonts w:ascii="Arial;sans-serif" w:hAnsi="Arial;sans-serif"/>
          <w:b w:val="false"/>
          <w:sz w:val="20"/>
        </w:rPr>
      </w:pPr>
      <w:r>
        <w:rPr>
          <w:rFonts w:ascii="Arial;sans-serif" w:hAnsi="Arial;sans-serif"/>
          <w:b w:val="false"/>
          <w:sz w:val="20"/>
        </w:rPr>
        <w:t>Revenue, gross margin, and operating income included an unfavorable foreign currency impact of 3%, 3%, and 4%, respectively.</w:t>
      </w:r>
    </w:p>
    <w:p>
      <w:pPr>
        <w:pStyle w:val="TextBody"/>
        <w:spacing w:before="270" w:after="0"/>
        <w:jc w:val="both"/>
        <w:rPr>
          <w:rFonts w:ascii="Times New Roman" w:hAnsi="Times New Roman"/>
          <w:sz w:val="20"/>
        </w:rPr>
      </w:pPr>
      <w:r>
        <w:rPr>
          <w:rFonts w:ascii="Arial;sans-serif" w:hAnsi="Arial;sans-serif"/>
          <w:b w:val="false"/>
          <w:i/>
          <w:sz w:val="20"/>
        </w:rPr>
        <w:t>More Personal Computing</w:t>
      </w:r>
      <w:r>
        <w:rPr>
          <w:rFonts w:ascii="Times New Roman" w:hAnsi="Times New Roman"/>
          <w:sz w:val="20"/>
        </w:rPr>
        <w:t xml:space="preserve"> </w:t>
      </w:r>
    </w:p>
    <w:p>
      <w:pPr>
        <w:pStyle w:val="TextBody"/>
        <w:spacing w:before="180" w:after="0"/>
        <w:jc w:val="both"/>
        <w:rPr>
          <w:rFonts w:ascii="Arial;sans-serif" w:hAnsi="Arial;sans-serif"/>
          <w:b w:val="false"/>
          <w:sz w:val="20"/>
        </w:rPr>
      </w:pPr>
      <w:r>
        <w:rPr>
          <w:rFonts w:ascii="Arial;sans-serif" w:hAnsi="Arial;sans-serif"/>
          <w:b w:val="false"/>
          <w:sz w:val="20"/>
        </w:rPr>
        <w:t>Revenue decreased $1.3 billion or 9%.</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Windows revenue decreased $741 million or 12% driven by a decrease in Windows OEM, offset in part by growth in Windows Commercial. Windows OEM revenue decreased 28% as elevated channel inventory levels continued to drive additional weakness beyond declining PC demand. Windows Commercial products and cloud services revenue increased 14% driven by strong renewal execution and an increase in agreements that carry higher in-period revenue recognition.</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Devices revenue decreased $553 million or 30% as elevated channel inventory levels continued to drive additional weakness beyond declining PC demand.</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Gaming revenue decreased $133 million or 4% driven by a decline in Xbox hardware. Xbox hardware revenue decreased 30% on a strong prior year comparable, driven by lower volume of consoles sold. Xbox content and services revenue increased 3% driven by growth in Xbox Game Pass.</w:t>
      </w:r>
    </w:p>
    <w:p>
      <w:pPr>
        <w:pStyle w:val="TextBody"/>
        <w:spacing w:before="90" w:after="0"/>
        <w:jc w:val="both"/>
        <w:rPr/>
      </w:pPr>
      <w:r>
        <w:rPr/>
        <w:t>•</w:t>
      </w:r>
    </w:p>
    <w:p>
      <w:pPr>
        <w:pStyle w:val="TextBody"/>
        <w:spacing w:before="90" w:after="283"/>
        <w:jc w:val="both"/>
        <w:rPr>
          <w:rFonts w:ascii="Arial;sans-serif" w:hAnsi="Arial;sans-serif"/>
          <w:b w:val="false"/>
          <w:sz w:val="20"/>
        </w:rPr>
      </w:pPr>
      <w:r>
        <w:rPr>
          <w:rFonts w:ascii="Arial;sans-serif" w:hAnsi="Arial;sans-serif"/>
          <w:b w:val="false"/>
          <w:sz w:val="20"/>
        </w:rPr>
        <w:t>Search and news advertising revenue increased $100 million or 3%. Search and news advertising revenue excluding traffic acquisition costs increased 10% driven by higher search volume and the Xandr acquisition.</w:t>
      </w:r>
    </w:p>
    <w:p>
      <w:pPr>
        <w:pStyle w:val="TextBody"/>
        <w:spacing w:before="180" w:after="0"/>
        <w:jc w:val="both"/>
        <w:rPr>
          <w:rFonts w:ascii="Arial;sans-serif" w:hAnsi="Arial;sans-serif"/>
          <w:b w:val="false"/>
          <w:sz w:val="20"/>
        </w:rPr>
      </w:pPr>
      <w:r>
        <w:rPr>
          <w:rFonts w:ascii="Arial;sans-serif" w:hAnsi="Arial;sans-serif"/>
          <w:b w:val="false"/>
          <w:sz w:val="20"/>
        </w:rPr>
        <w:t>Operating income decreased $551 million or 12%.</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Gross margin decreased $705 million or 9% driven by a decline in Windows. Gross margin percentage increased slightly.</w:t>
      </w:r>
    </w:p>
    <w:p>
      <w:pPr>
        <w:pStyle w:val="TextBody"/>
        <w:spacing w:before="90" w:after="0"/>
        <w:jc w:val="both"/>
        <w:rPr/>
      </w:pPr>
      <w:r>
        <w:rPr/>
        <w:t>•</w:t>
      </w:r>
    </w:p>
    <w:p>
      <w:pPr>
        <w:pStyle w:val="TextBody"/>
        <w:spacing w:before="90" w:after="283"/>
        <w:jc w:val="both"/>
        <w:rPr>
          <w:rFonts w:ascii="Arial;sans-serif" w:hAnsi="Arial;sans-serif"/>
          <w:b w:val="false"/>
          <w:sz w:val="20"/>
        </w:rPr>
      </w:pPr>
      <w:r>
        <w:rPr>
          <w:rFonts w:ascii="Arial;sans-serif" w:hAnsi="Arial;sans-serif"/>
          <w:b w:val="false"/>
          <w:sz w:val="20"/>
        </w:rPr>
        <w:t>Operating expenses decreased $154 million or 5% driven by a decline in Devices, offset in part by 3 points of growth from the Xandr acquisition.</w:t>
      </w:r>
    </w:p>
    <w:p>
      <w:pPr>
        <w:pStyle w:val="TextBody"/>
        <w:spacing w:before="180" w:after="0"/>
        <w:jc w:val="both"/>
        <w:rPr>
          <w:rFonts w:ascii="Arial;sans-serif" w:hAnsi="Arial;sans-serif"/>
          <w:b w:val="false"/>
          <w:sz w:val="20"/>
        </w:rPr>
      </w:pPr>
      <w:r>
        <w:rPr>
          <w:rFonts w:ascii="Arial;sans-serif" w:hAnsi="Arial;sans-serif"/>
          <w:b w:val="false"/>
          <w:sz w:val="20"/>
        </w:rPr>
        <w:t>Revenue, gross margin, and operating income included an unfavorable foreign currency impact of 2%, 4%, and 5%, respectively. Operating expenses included a favorable foreign currency impact of 2%.</w:t>
      </w:r>
    </w:p>
    <w:p>
      <w:pPr>
        <w:pStyle w:val="TextBody"/>
        <w:spacing w:before="270" w:after="0"/>
        <w:jc w:val="both"/>
        <w:rPr>
          <w:rFonts w:ascii="Arial;sans-serif" w:hAnsi="Arial;sans-serif"/>
          <w:b/>
          <w:i/>
          <w:sz w:val="20"/>
        </w:rPr>
      </w:pPr>
      <w:r>
        <w:rPr>
          <w:rFonts w:ascii="Arial;sans-serif" w:hAnsi="Arial;sans-serif"/>
          <w:b/>
          <w:i/>
          <w:sz w:val="20"/>
        </w:rPr>
        <w:t>Nine Months Ended March 31, 2023 Compared with Nine Months Ended March 31, 2022</w:t>
      </w:r>
    </w:p>
    <w:p>
      <w:pPr>
        <w:pStyle w:val="TextBody"/>
        <w:spacing w:before="180" w:after="0"/>
        <w:jc w:val="both"/>
        <w:rPr>
          <w:rFonts w:ascii="Arial;sans-serif" w:hAnsi="Arial;sans-serif"/>
          <w:b w:val="false"/>
          <w:i/>
          <w:sz w:val="20"/>
        </w:rPr>
      </w:pPr>
      <w:r>
        <w:rPr>
          <w:rFonts w:ascii="Arial;sans-serif" w:hAnsi="Arial;sans-serif"/>
          <w:b w:val="false"/>
          <w:i/>
          <w:sz w:val="20"/>
        </w:rPr>
        <w:t>Productivity and Business Processes</w:t>
      </w:r>
    </w:p>
    <w:p>
      <w:pPr>
        <w:pStyle w:val="TextBody"/>
        <w:spacing w:before="180" w:after="0"/>
        <w:jc w:val="both"/>
        <w:rPr>
          <w:rFonts w:ascii="Arial;sans-serif" w:hAnsi="Arial;sans-serif"/>
          <w:b w:val="false"/>
          <w:sz w:val="20"/>
        </w:rPr>
      </w:pPr>
      <w:r>
        <w:rPr>
          <w:rFonts w:ascii="Arial;sans-serif" w:hAnsi="Arial;sans-serif"/>
          <w:b w:val="false"/>
          <w:sz w:val="20"/>
        </w:rPr>
        <w:t>Revenue increased $4.2 billion or 9%.</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Office Commercial products and cloud services revenue increased $2.5 billion or 9%. Office 365 Commercial revenue grew 12% with seat growth of 11%, driven by small and medium business and frontline worker offerings, as well as growth in revenue per user. Office Commercial products revenue declined 22% driven by continued customer shift to cloud offerings.</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 xml:space="preserve">Office Consumer products and cloud services revenue increased $86 million or 2% with continued growth in Microsoft 365 Consumer subscription revenue. </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LinkedIn revenue increased $1.1 billion or 11% driven by Talent Solutions.</w:t>
      </w:r>
    </w:p>
    <w:p>
      <w:pPr>
        <w:pStyle w:val="TextBody"/>
        <w:spacing w:before="90" w:after="0"/>
        <w:jc w:val="both"/>
        <w:rPr/>
      </w:pPr>
      <w:r>
        <w:rPr/>
        <w:t>•</w:t>
      </w:r>
    </w:p>
    <w:p>
      <w:pPr>
        <w:pStyle w:val="TextBody"/>
        <w:spacing w:before="90" w:after="283"/>
        <w:jc w:val="both"/>
        <w:rPr>
          <w:rFonts w:ascii="Arial;sans-serif" w:hAnsi="Arial;sans-serif"/>
          <w:b w:val="false"/>
          <w:sz w:val="20"/>
        </w:rPr>
      </w:pPr>
      <w:r>
        <w:rPr>
          <w:rFonts w:ascii="Arial;sans-serif" w:hAnsi="Arial;sans-serif"/>
          <w:b w:val="false"/>
          <w:sz w:val="20"/>
        </w:rPr>
        <w:t>Dynamics products and cloud services revenue increased 15% driven by Dynamics 365 growth of 23%.</w:t>
      </w:r>
    </w:p>
    <w:p>
      <w:pPr>
        <w:pStyle w:val="TextBody"/>
        <w:spacing w:before="240" w:after="0"/>
        <w:jc w:val="center"/>
        <w:rPr>
          <w:rFonts w:ascii="Arial;sans-serif" w:hAnsi="Arial;sans-serif"/>
          <w:b w:val="false"/>
          <w:sz w:val="16"/>
        </w:rPr>
      </w:pPr>
      <w:r>
        <w:rPr>
          <w:rFonts w:ascii="Arial;sans-serif" w:hAnsi="Arial;sans-serif"/>
          <w:b w:val="false"/>
          <w:sz w:val="16"/>
        </w:rPr>
        <w:t>39</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w:t>
      </w:r>
    </w:p>
    <w:p>
      <w:pPr>
        <w:pStyle w:val="TextBody"/>
        <w:spacing w:before="0" w:after="0"/>
        <w:jc w:val="center"/>
        <w:rPr>
          <w:rFonts w:ascii="Arial;sans-serif" w:hAnsi="Arial;sans-serif"/>
          <w:b w:val="false"/>
          <w:sz w:val="15"/>
        </w:rPr>
      </w:pPr>
      <w:r>
        <w:rPr>
          <w:rFonts w:ascii="Arial;sans-serif" w:hAnsi="Arial;sans-serif"/>
          <w:b w:val="false"/>
          <w:sz w:val="15"/>
        </w:rPr>
        <w:t>Item 2</w:t>
      </w:r>
    </w:p>
    <w:p>
      <w:pPr>
        <w:pStyle w:val="TextBody"/>
        <w:spacing w:before="0" w:after="0"/>
        <w:jc w:val="left"/>
        <w:rPr/>
      </w:pPr>
      <w:r>
        <w:rPr/>
        <w:t> </w:t>
      </w:r>
    </w:p>
    <w:p>
      <w:pPr>
        <w:pStyle w:val="TextBody"/>
        <w:spacing w:before="180" w:after="0"/>
        <w:jc w:val="both"/>
        <w:rPr>
          <w:rFonts w:ascii="Arial;sans-serif" w:hAnsi="Arial;sans-serif"/>
          <w:b w:val="false"/>
          <w:sz w:val="20"/>
        </w:rPr>
      </w:pPr>
      <w:r>
        <w:rPr>
          <w:rFonts w:ascii="Arial;sans-serif" w:hAnsi="Arial;sans-serif"/>
          <w:b w:val="false"/>
          <w:sz w:val="20"/>
        </w:rPr>
        <w:t>Operating income increased $2.7 billion or 12%.</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Gross margin increased $4.0 billion or 11% driven by growth in Office 365 Commercial and LinkedIn, as well as the change in accounting estimate. Gross margin percentage increased. Excluding the impact of the change in accounting estimate, gross margin percentage was relatively unchanged driven by sales mix shift to cloud offerings, offset in part by improvements in Office 365 Commercial.</w:t>
      </w:r>
    </w:p>
    <w:p>
      <w:pPr>
        <w:pStyle w:val="TextBody"/>
        <w:spacing w:before="90" w:after="0"/>
        <w:jc w:val="both"/>
        <w:rPr/>
      </w:pPr>
      <w:r>
        <w:rPr/>
        <w:t>•</w:t>
      </w:r>
    </w:p>
    <w:p>
      <w:pPr>
        <w:pStyle w:val="TextBody"/>
        <w:spacing w:before="90" w:after="283"/>
        <w:jc w:val="both"/>
        <w:rPr>
          <w:rFonts w:ascii="Arial;sans-serif" w:hAnsi="Arial;sans-serif"/>
          <w:b w:val="false"/>
          <w:sz w:val="20"/>
        </w:rPr>
      </w:pPr>
      <w:r>
        <w:rPr>
          <w:rFonts w:ascii="Arial;sans-serif" w:hAnsi="Arial;sans-serif"/>
          <w:b w:val="false"/>
          <w:sz w:val="20"/>
        </w:rPr>
        <w:t>Operating expenses increased $1.3 billion or 9% driven by investments in LinkedIn and cloud engineering, as well as employee severance expenses.</w:t>
      </w:r>
    </w:p>
    <w:p>
      <w:pPr>
        <w:pStyle w:val="TextBody"/>
        <w:spacing w:before="180" w:after="0"/>
        <w:jc w:val="both"/>
        <w:rPr>
          <w:rFonts w:ascii="Arial;sans-serif" w:hAnsi="Arial;sans-serif"/>
          <w:b w:val="false"/>
          <w:sz w:val="20"/>
        </w:rPr>
      </w:pPr>
      <w:r>
        <w:rPr>
          <w:rFonts w:ascii="Arial;sans-serif" w:hAnsi="Arial;sans-serif"/>
          <w:b w:val="false"/>
          <w:sz w:val="20"/>
        </w:rPr>
        <w:t>Revenue, gross margin, and operating income included an unfavorable foreign currency impact of 5%, 6%, and 9%, respectively. Operating expenses included a favorable foreign currency impact of 3%.</w:t>
      </w:r>
    </w:p>
    <w:p>
      <w:pPr>
        <w:pStyle w:val="TextBody"/>
        <w:spacing w:before="270" w:after="0"/>
        <w:jc w:val="both"/>
        <w:rPr>
          <w:rFonts w:ascii="Arial;sans-serif" w:hAnsi="Arial;sans-serif"/>
          <w:b w:val="false"/>
          <w:i/>
          <w:sz w:val="20"/>
        </w:rPr>
      </w:pPr>
      <w:r>
        <w:rPr>
          <w:rFonts w:ascii="Arial;sans-serif" w:hAnsi="Arial;sans-serif"/>
          <w:b w:val="false"/>
          <w:i/>
          <w:sz w:val="20"/>
        </w:rPr>
        <w:t>Intelligent Cloud</w:t>
      </w:r>
    </w:p>
    <w:p>
      <w:pPr>
        <w:pStyle w:val="TextBody"/>
        <w:spacing w:before="180" w:after="0"/>
        <w:jc w:val="both"/>
        <w:rPr>
          <w:rFonts w:ascii="Arial;sans-serif" w:hAnsi="Arial;sans-serif"/>
          <w:b w:val="false"/>
          <w:sz w:val="20"/>
        </w:rPr>
      </w:pPr>
      <w:r>
        <w:rPr>
          <w:rFonts w:ascii="Arial;sans-serif" w:hAnsi="Arial;sans-serif"/>
          <w:b w:val="false"/>
          <w:sz w:val="20"/>
        </w:rPr>
        <w:t>Revenue increased $9.8 billion or 18%.</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Server products and cloud services revenue increased $9.5 billion or 20% driven by Azure and other cloud services. Azure and other cloud services revenue grew 31% driven by growth in our consumption-based services. Server products revenue decreased 1%.</w:t>
      </w:r>
    </w:p>
    <w:p>
      <w:pPr>
        <w:pStyle w:val="TextBody"/>
        <w:spacing w:before="90" w:after="0"/>
        <w:jc w:val="both"/>
        <w:rPr/>
      </w:pPr>
      <w:r>
        <w:rPr/>
        <w:t>•</w:t>
      </w:r>
    </w:p>
    <w:p>
      <w:pPr>
        <w:pStyle w:val="TextBody"/>
        <w:spacing w:before="90" w:after="283"/>
        <w:jc w:val="both"/>
        <w:rPr>
          <w:rFonts w:ascii="Arial;sans-serif" w:hAnsi="Arial;sans-serif"/>
          <w:b w:val="false"/>
          <w:sz w:val="20"/>
        </w:rPr>
      </w:pPr>
      <w:r>
        <w:rPr>
          <w:rFonts w:ascii="Arial;sans-serif" w:hAnsi="Arial;sans-serif"/>
          <w:b w:val="false"/>
          <w:sz w:val="20"/>
        </w:rPr>
        <w:t>Enterprise Services revenue increased $240 million or 4% driven by growth in Enterprise Support Services, offset in part by a decline in Microsoft Consulting Services.</w:t>
      </w:r>
    </w:p>
    <w:p>
      <w:pPr>
        <w:pStyle w:val="TextBody"/>
        <w:spacing w:before="180" w:after="0"/>
        <w:jc w:val="both"/>
        <w:rPr>
          <w:rFonts w:ascii="Arial;sans-serif" w:hAnsi="Arial;sans-serif"/>
          <w:b w:val="false"/>
          <w:sz w:val="20"/>
        </w:rPr>
      </w:pPr>
      <w:r>
        <w:rPr>
          <w:rFonts w:ascii="Arial;sans-serif" w:hAnsi="Arial;sans-serif"/>
          <w:b w:val="false"/>
          <w:sz w:val="20"/>
        </w:rPr>
        <w:t>Operating income increased $3.0 billion or 12%.</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Gross margin increased $6.6 billion or 17% driven by growth in Azure and other cloud services and the change in accounting estimate. Gross margin percentage decreased slightly. Excluding the impact of the change in accounting estimate, gross margin percentage decreased 3 points driven by sales mix shift to Azure and other cloud services and higher energy costs.</w:t>
      </w:r>
    </w:p>
    <w:p>
      <w:pPr>
        <w:pStyle w:val="TextBody"/>
        <w:spacing w:before="90" w:after="0"/>
        <w:jc w:val="both"/>
        <w:rPr/>
      </w:pPr>
      <w:r>
        <w:rPr/>
        <w:t>•</w:t>
      </w:r>
    </w:p>
    <w:p>
      <w:pPr>
        <w:pStyle w:val="TextBody"/>
        <w:spacing w:before="90" w:after="283"/>
        <w:jc w:val="both"/>
        <w:rPr>
          <w:rFonts w:ascii="Arial;sans-serif" w:hAnsi="Arial;sans-serif"/>
          <w:b w:val="false"/>
          <w:sz w:val="20"/>
        </w:rPr>
      </w:pPr>
      <w:r>
        <w:rPr>
          <w:rFonts w:ascii="Arial;sans-serif" w:hAnsi="Arial;sans-serif"/>
          <w:b w:val="false"/>
          <w:sz w:val="20"/>
        </w:rPr>
        <w:t>Operating expenses increased $3.6 billion or 26% driven by investments in Azure, 6 points of growth from the Nuance acquisition, and employee severance expenses.</w:t>
      </w:r>
    </w:p>
    <w:p>
      <w:pPr>
        <w:pStyle w:val="TextBody"/>
        <w:spacing w:before="180" w:after="0"/>
        <w:jc w:val="both"/>
        <w:rPr>
          <w:rFonts w:ascii="Arial;sans-serif" w:hAnsi="Arial;sans-serif"/>
          <w:b w:val="false"/>
          <w:sz w:val="20"/>
        </w:rPr>
      </w:pPr>
      <w:r>
        <w:rPr>
          <w:rFonts w:ascii="Arial;sans-serif" w:hAnsi="Arial;sans-serif"/>
          <w:b w:val="false"/>
          <w:sz w:val="20"/>
        </w:rPr>
        <w:t>Revenue, gross margin, and operating income included an unfavorable foreign currency impact of 5%, 5%, and 7%, respectively. Operating expenses included a favorable foreign currency impact of 2%.</w:t>
      </w:r>
    </w:p>
    <w:p>
      <w:pPr>
        <w:pStyle w:val="TextBody"/>
        <w:spacing w:before="270" w:after="0"/>
        <w:jc w:val="both"/>
        <w:rPr>
          <w:rFonts w:ascii="Times New Roman" w:hAnsi="Times New Roman"/>
          <w:sz w:val="20"/>
        </w:rPr>
      </w:pPr>
      <w:r>
        <w:rPr>
          <w:rFonts w:ascii="Arial;sans-serif" w:hAnsi="Arial;sans-serif"/>
          <w:b w:val="false"/>
          <w:i/>
          <w:sz w:val="20"/>
        </w:rPr>
        <w:t>More Personal Computing</w:t>
      </w:r>
      <w:r>
        <w:rPr>
          <w:rFonts w:ascii="Times New Roman" w:hAnsi="Times New Roman"/>
          <w:sz w:val="20"/>
        </w:rPr>
        <w:t xml:space="preserve"> </w:t>
      </w:r>
    </w:p>
    <w:p>
      <w:pPr>
        <w:pStyle w:val="TextBody"/>
        <w:spacing w:before="180" w:after="0"/>
        <w:jc w:val="both"/>
        <w:rPr>
          <w:rFonts w:ascii="Arial;sans-serif" w:hAnsi="Arial;sans-serif"/>
          <w:b w:val="false"/>
          <w:sz w:val="20"/>
        </w:rPr>
      </w:pPr>
      <w:r>
        <w:rPr>
          <w:rFonts w:ascii="Arial;sans-serif" w:hAnsi="Arial;sans-serif"/>
          <w:b w:val="false"/>
          <w:sz w:val="20"/>
        </w:rPr>
        <w:t>Revenue decreased $4.7 billion 10%.</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Windows revenue decreased $2.9 billion or 16% driven by a decrease in Windows OEM. Windows OEM revenue decreased 28% as elevated channel inventory levels continued to drive additional weakness beyond declining PC demand. Windows Commercial products and cloud services revenue increased 6% driven by demand for Microsoft 365 with an increase in agreements that carry higher in-period revenue recognition.</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Devices revenue decreased $1.4 billion or 26% as elevated channel inventory levels continued to drive additional weakness beyond declining PC demand.</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Gaming revenue decreased $800 million or 6% driven by declines in Xbox content and services and Xbox hardware. Xbox content and services revenue decreased 5% driven by a decline in first-party content, offset in part by growth in Xbox Game Pass. Xbox hardware revenue decreased 11% driven by lower volume and price of consoles sold.</w:t>
      </w:r>
    </w:p>
    <w:p>
      <w:pPr>
        <w:pStyle w:val="TextBody"/>
        <w:spacing w:before="90" w:after="0"/>
        <w:jc w:val="both"/>
        <w:rPr/>
      </w:pPr>
      <w:r>
        <w:rPr/>
        <w:t>•</w:t>
      </w:r>
    </w:p>
    <w:p>
      <w:pPr>
        <w:pStyle w:val="TextBody"/>
        <w:spacing w:before="90" w:after="283"/>
        <w:jc w:val="both"/>
        <w:rPr>
          <w:rFonts w:ascii="Arial;sans-serif" w:hAnsi="Arial;sans-serif"/>
          <w:b w:val="false"/>
          <w:sz w:val="20"/>
        </w:rPr>
      </w:pPr>
      <w:r>
        <w:rPr>
          <w:rFonts w:ascii="Arial;sans-serif" w:hAnsi="Arial;sans-serif"/>
          <w:b w:val="false"/>
          <w:sz w:val="20"/>
        </w:rPr>
        <w:t>Search and news advertising revenue increased $531 million or 6%. Search and news advertising revenue excluding traffic acquisition costs increased 12% driven by higher search volume and the Xandr acquisition.</w:t>
      </w:r>
    </w:p>
    <w:p>
      <w:pPr>
        <w:pStyle w:val="TextBody"/>
        <w:spacing w:before="180" w:after="0"/>
        <w:jc w:val="both"/>
        <w:rPr>
          <w:rFonts w:ascii="Arial;sans-serif" w:hAnsi="Arial;sans-serif"/>
          <w:b w:val="false"/>
          <w:sz w:val="20"/>
        </w:rPr>
      </w:pPr>
      <w:r>
        <w:rPr>
          <w:rFonts w:ascii="Arial;sans-serif" w:hAnsi="Arial;sans-serif"/>
          <w:b w:val="false"/>
          <w:sz w:val="20"/>
        </w:rPr>
        <w:t>Operating income decreased $4.2 billion or 26%.</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Gross margin decreased $4.1 billion or 16% driven by declines in Windows, Devices, and Gaming. Gross margin percentage decreased primarily driven by reductions in Devices.</w:t>
      </w:r>
    </w:p>
    <w:p>
      <w:pPr>
        <w:pStyle w:val="TextBody"/>
        <w:spacing w:before="90" w:after="0"/>
        <w:jc w:val="both"/>
        <w:rPr/>
      </w:pPr>
      <w:r>
        <w:rPr/>
        <w:t>•</w:t>
      </w:r>
    </w:p>
    <w:p>
      <w:pPr>
        <w:pStyle w:val="TextBody"/>
        <w:spacing w:before="90" w:after="283"/>
        <w:jc w:val="both"/>
        <w:rPr>
          <w:rFonts w:ascii="Arial;sans-serif" w:hAnsi="Arial;sans-serif"/>
          <w:b w:val="false"/>
          <w:sz w:val="20"/>
        </w:rPr>
      </w:pPr>
      <w:r>
        <w:rPr>
          <w:rFonts w:ascii="Arial;sans-serif" w:hAnsi="Arial;sans-serif"/>
          <w:b w:val="false"/>
          <w:sz w:val="20"/>
        </w:rPr>
        <w:t>Operating expenses increased $115 million or 1% driven by 3 points of growth from the Xandr acquisition and employee severance expenses, offset in part by a decline in Devices.</w:t>
      </w:r>
    </w:p>
    <w:p>
      <w:pPr>
        <w:pStyle w:val="TextBody"/>
        <w:spacing w:before="240" w:after="0"/>
        <w:jc w:val="center"/>
        <w:rPr>
          <w:rFonts w:ascii="Arial;sans-serif" w:hAnsi="Arial;sans-serif"/>
          <w:b w:val="false"/>
          <w:sz w:val="16"/>
        </w:rPr>
      </w:pPr>
      <w:r>
        <w:rPr>
          <w:rFonts w:ascii="Arial;sans-serif" w:hAnsi="Arial;sans-serif"/>
          <w:b w:val="false"/>
          <w:sz w:val="16"/>
        </w:rPr>
        <w:t>40</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w:t>
      </w:r>
    </w:p>
    <w:p>
      <w:pPr>
        <w:pStyle w:val="TextBody"/>
        <w:spacing w:before="0" w:after="0"/>
        <w:jc w:val="center"/>
        <w:rPr>
          <w:rFonts w:ascii="Arial;sans-serif" w:hAnsi="Arial;sans-serif"/>
          <w:b w:val="false"/>
          <w:sz w:val="15"/>
        </w:rPr>
      </w:pPr>
      <w:r>
        <w:rPr>
          <w:rFonts w:ascii="Arial;sans-serif" w:hAnsi="Arial;sans-serif"/>
          <w:b w:val="false"/>
          <w:sz w:val="15"/>
        </w:rPr>
        <w:t>Item 2</w:t>
      </w:r>
    </w:p>
    <w:p>
      <w:pPr>
        <w:pStyle w:val="TextBody"/>
        <w:spacing w:before="0" w:after="0"/>
        <w:jc w:val="left"/>
        <w:rPr/>
      </w:pPr>
      <w:r>
        <w:rPr/>
        <w:t> </w:t>
      </w:r>
    </w:p>
    <w:p>
      <w:pPr>
        <w:pStyle w:val="TextBody"/>
        <w:spacing w:before="180" w:after="0"/>
        <w:jc w:val="both"/>
        <w:rPr>
          <w:rFonts w:ascii="Arial;sans-serif" w:hAnsi="Arial;sans-serif"/>
          <w:b w:val="false"/>
          <w:sz w:val="20"/>
        </w:rPr>
      </w:pPr>
      <w:r>
        <w:rPr>
          <w:rFonts w:ascii="Arial;sans-serif" w:hAnsi="Arial;sans-serif"/>
          <w:b w:val="false"/>
          <w:sz w:val="20"/>
        </w:rPr>
        <w:t>Revenue, gross margin, and operating income included an unfavorable foreign currency impact of 3%, 4%, and 6%, respectively. Operating expenses included a favorable foreign currency impact of 2%.</w:t>
      </w:r>
    </w:p>
    <w:p>
      <w:pPr>
        <w:pStyle w:val="TextBody"/>
        <w:spacing w:before="270" w:after="0"/>
        <w:jc w:val="center"/>
        <w:rPr>
          <w:rFonts w:ascii="Arial;sans-serif" w:hAnsi="Arial;sans-serif"/>
          <w:b w:val="false"/>
          <w:sz w:val="20"/>
          <w:u w:val="single"/>
        </w:rPr>
      </w:pPr>
      <w:r>
        <w:rPr>
          <w:rFonts w:ascii="Arial;sans-serif" w:hAnsi="Arial;sans-serif"/>
          <w:b w:val="false"/>
          <w:sz w:val="20"/>
          <w:u w:val="single"/>
        </w:rPr>
        <w:t>OPERATING EXPENSES</w:t>
      </w:r>
    </w:p>
    <w:p>
      <w:pPr>
        <w:pStyle w:val="TextBody"/>
        <w:spacing w:before="180" w:after="0"/>
        <w:jc w:val="both"/>
        <w:rPr>
          <w:rFonts w:ascii="Arial;sans-serif" w:hAnsi="Arial;sans-serif"/>
          <w:b/>
          <w:sz w:val="20"/>
        </w:rPr>
      </w:pPr>
      <w:r>
        <w:rPr>
          <w:rFonts w:ascii="Arial;sans-serif" w:hAnsi="Arial;sans-serif"/>
          <w:b/>
          <w:sz w:val="20"/>
        </w:rPr>
        <w:t>Research and Development</w:t>
      </w:r>
    </w:p>
    <w:p>
      <w:pPr>
        <w:pStyle w:val="TextBody"/>
        <w:spacing w:before="0" w:after="0"/>
        <w:jc w:val="left"/>
        <w:rPr/>
      </w:pPr>
      <w:r>
        <w:rPr/>
        <w:t> </w:t>
      </w:r>
    </w:p>
    <w:tbl>
      <w:tblPr>
        <w:tblW w:w="9652" w:type="dxa"/>
        <w:jc w:val="left"/>
        <w:tblInd w:w="0" w:type="dxa"/>
        <w:tblCellMar>
          <w:top w:w="28" w:type="dxa"/>
          <w:left w:w="28" w:type="dxa"/>
          <w:bottom w:w="28" w:type="dxa"/>
          <w:right w:w="28" w:type="dxa"/>
        </w:tblCellMar>
      </w:tblPr>
      <w:tblGrid>
        <w:gridCol w:w="2521"/>
        <w:gridCol w:w="146"/>
        <w:gridCol w:w="211"/>
        <w:gridCol w:w="586"/>
        <w:gridCol w:w="146"/>
        <w:gridCol w:w="146"/>
        <w:gridCol w:w="211"/>
        <w:gridCol w:w="586"/>
        <w:gridCol w:w="146"/>
        <w:gridCol w:w="146"/>
        <w:gridCol w:w="220"/>
        <w:gridCol w:w="726"/>
        <w:gridCol w:w="146"/>
        <w:gridCol w:w="146"/>
        <w:gridCol w:w="146"/>
        <w:gridCol w:w="109"/>
        <w:gridCol w:w="691"/>
        <w:gridCol w:w="146"/>
        <w:gridCol w:w="146"/>
        <w:gridCol w:w="211"/>
        <w:gridCol w:w="691"/>
        <w:gridCol w:w="146"/>
        <w:gridCol w:w="146"/>
        <w:gridCol w:w="220"/>
        <w:gridCol w:w="726"/>
        <w:gridCol w:w="191"/>
      </w:tblGrid>
      <w:tr>
        <w:trPr/>
        <w:tc>
          <w:tcPr>
            <w:tcW w:w="252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58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58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20" w:type="dxa"/>
            <w:tcBorders/>
            <w:shd w:fill="FFFFFF" w:val="clear"/>
            <w:vAlign w:val="center"/>
          </w:tcPr>
          <w:p>
            <w:pPr>
              <w:pStyle w:val="TableContents"/>
              <w:spacing w:before="0" w:after="283"/>
              <w:rPr>
                <w:sz w:val="4"/>
                <w:szCs w:val="4"/>
              </w:rPr>
            </w:pPr>
            <w:r>
              <w:rPr>
                <w:sz w:val="4"/>
                <w:szCs w:val="4"/>
              </w:rPr>
            </w:r>
          </w:p>
        </w:tc>
        <w:tc>
          <w:tcPr>
            <w:tcW w:w="72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20" w:type="dxa"/>
            <w:tcBorders/>
            <w:shd w:fill="FFFFFF" w:val="clear"/>
            <w:vAlign w:val="center"/>
          </w:tcPr>
          <w:p>
            <w:pPr>
              <w:pStyle w:val="TableContents"/>
              <w:spacing w:before="0" w:after="283"/>
              <w:rPr>
                <w:sz w:val="4"/>
                <w:szCs w:val="4"/>
              </w:rPr>
            </w:pPr>
            <w:r>
              <w:rPr>
                <w:sz w:val="4"/>
                <w:szCs w:val="4"/>
              </w:rPr>
            </w:r>
          </w:p>
        </w:tc>
        <w:tc>
          <w:tcPr>
            <w:tcW w:w="726" w:type="dxa"/>
            <w:tcBorders/>
            <w:shd w:fill="FFFFFF" w:val="clear"/>
            <w:vAlign w:val="center"/>
          </w:tcPr>
          <w:p>
            <w:pPr>
              <w:pStyle w:val="TableContents"/>
              <w:spacing w:before="0" w:after="283"/>
              <w:rPr>
                <w:sz w:val="4"/>
                <w:szCs w:val="4"/>
              </w:rPr>
            </w:pPr>
            <w:r>
              <w:rPr>
                <w:sz w:val="4"/>
                <w:szCs w:val="4"/>
              </w:rPr>
            </w:r>
          </w:p>
        </w:tc>
        <w:tc>
          <w:tcPr>
            <w:tcW w:w="191" w:type="dxa"/>
            <w:tcBorders/>
            <w:shd w:fill="FFFFFF" w:val="clear"/>
            <w:vAlign w:val="center"/>
          </w:tcPr>
          <w:p>
            <w:pPr>
              <w:pStyle w:val="TableContents"/>
              <w:spacing w:before="0" w:after="283"/>
              <w:rPr>
                <w:sz w:val="4"/>
                <w:szCs w:val="4"/>
              </w:rPr>
            </w:pPr>
            <w:r>
              <w:rPr>
                <w:sz w:val="4"/>
                <w:szCs w:val="4"/>
              </w:rPr>
            </w:r>
          </w:p>
        </w:tc>
      </w:tr>
      <w:tr>
        <w:trPr/>
        <w:tc>
          <w:tcPr>
            <w:tcW w:w="2521" w:type="dxa"/>
            <w:tcBorders/>
            <w:shd w:fill="auto" w:val="clear"/>
            <w:vAlign w:val="center"/>
          </w:tcPr>
          <w:p>
            <w:pPr>
              <w:pStyle w:val="TableContents"/>
              <w:spacing w:before="0" w:after="0"/>
              <w:ind w:left="0" w:right="0" w:hanging="0"/>
              <w:jc w:val="both"/>
              <w:rPr>
                <w:rFonts w:ascii="Arial;sans-serif" w:hAnsi="Arial;sans-serif"/>
                <w:b/>
                <w:sz w:val="15"/>
              </w:rPr>
            </w:pPr>
            <w:r>
              <w:rPr>
                <w:rFonts w:ascii="Arial;sans-serif" w:hAnsi="Arial;sans-serif"/>
                <w:b/>
                <w:sz w:val="15"/>
              </w:rPr>
              <w:t>(In millions, except percentages)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886" w:type="dxa"/>
            <w:gridSpan w:val="6"/>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Three Months Ended</w:t>
            </w:r>
          </w:p>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Percentage</w:t>
            </w:r>
          </w:p>
          <w:p>
            <w:pPr>
              <w:pStyle w:val="TableContents"/>
              <w:spacing w:before="0" w:after="0"/>
              <w:ind w:left="0" w:right="0" w:hanging="0"/>
              <w:jc w:val="right"/>
              <w:rPr>
                <w:rFonts w:ascii="Arial;sans-serif" w:hAnsi="Arial;sans-serif"/>
                <w:b/>
                <w:sz w:val="15"/>
              </w:rPr>
            </w:pPr>
            <w:r>
              <w:rPr>
                <w:rFonts w:ascii="Arial;sans-serif" w:hAnsi="Arial;sans-serif"/>
                <w:b/>
                <w:sz w:val="15"/>
              </w:rPr>
              <w:t>Change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40" w:type="dxa"/>
            <w:gridSpan w:val="7"/>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Nine Months Ended</w:t>
            </w:r>
          </w:p>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Percentage</w:t>
            </w:r>
          </w:p>
          <w:p>
            <w:pPr>
              <w:pStyle w:val="TableContents"/>
              <w:spacing w:before="0" w:after="0"/>
              <w:ind w:left="0" w:right="0" w:hanging="0"/>
              <w:jc w:val="right"/>
              <w:rPr>
                <w:rFonts w:ascii="Arial;sans-serif" w:hAnsi="Arial;sans-serif"/>
                <w:b/>
                <w:sz w:val="15"/>
              </w:rPr>
            </w:pPr>
            <w:r>
              <w:rPr>
                <w:rFonts w:ascii="Arial;sans-serif" w:hAnsi="Arial;sans-serif"/>
                <w:b/>
                <w:sz w:val="15"/>
              </w:rPr>
              <w:t>Change</w:t>
            </w:r>
          </w:p>
        </w:tc>
        <w:tc>
          <w:tcPr>
            <w:tcW w:w="191" w:type="dxa"/>
            <w:tcBorders/>
            <w:shd w:fill="auto" w:val="clear"/>
            <w:vAlign w:val="center"/>
          </w:tcPr>
          <w:p>
            <w:pPr>
              <w:pStyle w:val="TableContents"/>
              <w:spacing w:before="0" w:after="0"/>
              <w:ind w:left="0" w:right="0" w:hanging="0"/>
              <w:jc w:val="left"/>
              <w:rPr/>
            </w:pPr>
            <w:r>
              <w:rPr/>
              <w:t> </w:t>
            </w:r>
          </w:p>
        </w:tc>
      </w:tr>
      <w:tr>
        <w:trPr/>
        <w:tc>
          <w:tcPr>
            <w:tcW w:w="252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886" w:type="dxa"/>
            <w:gridSpan w:val="6"/>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97" w:type="dxa"/>
            <w:gridSpan w:val="2"/>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97" w:type="dxa"/>
            <w:gridSpan w:val="2"/>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46" w:type="dxa"/>
            <w:gridSpan w:val="2"/>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0"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Research and development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5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6,984</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6,306</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20" w:type="dxa"/>
            <w:tcBorders/>
            <w:shd w:fill="auto" w:val="clear"/>
            <w:vAlign w:val="center"/>
          </w:tcPr>
          <w:p>
            <w:pPr>
              <w:pStyle w:val="TableContents"/>
              <w:spacing w:before="0" w:after="283"/>
              <w:ind w:left="0" w:right="0" w:hanging="0"/>
              <w:rPr>
                <w:sz w:val="4"/>
                <w:szCs w:val="4"/>
              </w:rPr>
            </w:pPr>
            <w:r>
              <w:rPr>
                <w:sz w:val="4"/>
                <w:szCs w:val="4"/>
              </w:rPr>
            </w:r>
          </w:p>
        </w:tc>
        <w:tc>
          <w:tcPr>
            <w:tcW w:w="72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55" w:type="dxa"/>
            <w:gridSpan w:val="2"/>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20,456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17,663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w:t>
            </w:r>
          </w:p>
        </w:tc>
        <w:tc>
          <w:tcPr>
            <w:tcW w:w="19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As a percent of revenue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20" w:type="dxa"/>
            <w:tcBorders/>
            <w:shd w:fill="auto" w:val="clear"/>
            <w:vAlign w:val="center"/>
          </w:tcPr>
          <w:p>
            <w:pPr>
              <w:pStyle w:val="TableContents"/>
              <w:spacing w:before="0" w:after="283"/>
              <w:ind w:left="0" w:right="0" w:hanging="0"/>
              <w:rPr>
                <w:sz w:val="4"/>
                <w:szCs w:val="4"/>
              </w:rPr>
            </w:pPr>
            <w:r>
              <w:rPr>
                <w:sz w:val="4"/>
                <w:szCs w:val="4"/>
              </w:rPr>
            </w:r>
          </w:p>
        </w:tc>
        <w:tc>
          <w:tcPr>
            <w:tcW w:w="72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0ppt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0" w:type="dxa"/>
            <w:gridSpan w:val="2"/>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1ppt</w:t>
            </w:r>
          </w:p>
        </w:tc>
        <w:tc>
          <w:tcPr>
            <w:tcW w:w="191" w:type="dxa"/>
            <w:tcBorders/>
            <w:shd w:fill="auto" w:val="clear"/>
            <w:vAlign w:val="center"/>
          </w:tcPr>
          <w:p>
            <w:pPr>
              <w:pStyle w:val="TableContents"/>
              <w:spacing w:before="0" w:after="0"/>
              <w:ind w:left="0" w:right="0" w:hanging="0"/>
              <w:jc w:val="left"/>
              <w:rPr/>
            </w:pPr>
            <w:r>
              <w:rPr/>
              <w:t> </w:t>
            </w:r>
          </w:p>
        </w:tc>
      </w:tr>
      <w:tr>
        <w:trPr/>
        <w:tc>
          <w:tcPr>
            <w:tcW w:w="252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Arial;sans-serif" w:hAnsi="Arial;sans-serif"/>
          <w:b w:val="false"/>
          <w:sz w:val="20"/>
        </w:rPr>
      </w:pPr>
      <w:r>
        <w:rPr>
          <w:rFonts w:ascii="Arial;sans-serif" w:hAnsi="Arial;sans-serif"/>
          <w:b w:val="false"/>
          <w:sz w:val="20"/>
        </w:rPr>
        <w:t>Research and development expenses include payroll, employee benefits, stock-based compensation expense, and other headcount-related expenses associated with product development. Research and development expenses also include third-party development and programming costs, localization costs incurred to translate software for international markets, and the amortization of purchased software code and services content.</w:t>
      </w:r>
    </w:p>
    <w:p>
      <w:pPr>
        <w:pStyle w:val="TextBody"/>
        <w:spacing w:before="270" w:after="0"/>
        <w:jc w:val="both"/>
        <w:rPr>
          <w:rFonts w:ascii="Arial;sans-serif" w:hAnsi="Arial;sans-serif"/>
          <w:b/>
          <w:i/>
          <w:sz w:val="20"/>
        </w:rPr>
      </w:pPr>
      <w:r>
        <w:rPr>
          <w:rFonts w:ascii="Arial;sans-serif" w:hAnsi="Arial;sans-serif"/>
          <w:b/>
          <w:i/>
          <w:sz w:val="20"/>
        </w:rPr>
        <w:t>Three Months Ended March 31, 2023 Compared with Three Months Ended March 31, 2022</w:t>
      </w:r>
    </w:p>
    <w:p>
      <w:pPr>
        <w:pStyle w:val="TextBody"/>
        <w:spacing w:before="180" w:after="0"/>
        <w:jc w:val="both"/>
        <w:rPr>
          <w:rFonts w:ascii="Arial;sans-serif" w:hAnsi="Arial;sans-serif"/>
          <w:b w:val="false"/>
          <w:sz w:val="20"/>
        </w:rPr>
      </w:pPr>
      <w:r>
        <w:rPr>
          <w:rFonts w:ascii="Arial;sans-serif" w:hAnsi="Arial;sans-serif"/>
          <w:b w:val="false"/>
          <w:sz w:val="20"/>
        </w:rPr>
        <w:t>Research and development expenses increased $678 million or 11% driven by investments in cloud engineering and LinkedIn.</w:t>
      </w:r>
    </w:p>
    <w:p>
      <w:pPr>
        <w:pStyle w:val="TextBody"/>
        <w:spacing w:before="270" w:after="0"/>
        <w:jc w:val="both"/>
        <w:rPr>
          <w:rFonts w:ascii="Arial;sans-serif" w:hAnsi="Arial;sans-serif"/>
          <w:b/>
          <w:i/>
          <w:sz w:val="20"/>
        </w:rPr>
      </w:pPr>
      <w:r>
        <w:rPr>
          <w:rFonts w:ascii="Arial;sans-serif" w:hAnsi="Arial;sans-serif"/>
          <w:b/>
          <w:i/>
          <w:sz w:val="20"/>
        </w:rPr>
        <w:t>Nine Months Ended March 31, 2023 Compared with Nine Months Ended March 31, 2022</w:t>
      </w:r>
    </w:p>
    <w:p>
      <w:pPr>
        <w:pStyle w:val="TextBody"/>
        <w:spacing w:before="180" w:after="0"/>
        <w:jc w:val="both"/>
        <w:rPr>
          <w:rFonts w:ascii="Arial;sans-serif" w:hAnsi="Arial;sans-serif"/>
          <w:b w:val="false"/>
          <w:sz w:val="20"/>
        </w:rPr>
      </w:pPr>
      <w:r>
        <w:rPr>
          <w:rFonts w:ascii="Arial;sans-serif" w:hAnsi="Arial;sans-serif"/>
          <w:b w:val="false"/>
          <w:sz w:val="20"/>
        </w:rPr>
        <w:t>Research and development expenses increased $2.8 billion or 16% driven by investments in cloud engineering and LinkedIn.</w:t>
      </w:r>
    </w:p>
    <w:p>
      <w:pPr>
        <w:pStyle w:val="TextBody"/>
        <w:spacing w:before="270" w:after="0"/>
        <w:jc w:val="both"/>
        <w:rPr>
          <w:rFonts w:ascii="Arial;sans-serif" w:hAnsi="Arial;sans-serif"/>
          <w:b/>
          <w:sz w:val="20"/>
        </w:rPr>
      </w:pPr>
      <w:r>
        <w:rPr>
          <w:rFonts w:ascii="Arial;sans-serif" w:hAnsi="Arial;sans-serif"/>
          <w:b/>
          <w:sz w:val="20"/>
        </w:rPr>
        <w:t>Sales and Marketing</w:t>
      </w:r>
    </w:p>
    <w:p>
      <w:pPr>
        <w:pStyle w:val="TextBody"/>
        <w:spacing w:before="0" w:after="0"/>
        <w:jc w:val="both"/>
        <w:rPr/>
      </w:pPr>
      <w:r>
        <w:rPr/>
        <w:t> </w:t>
      </w:r>
    </w:p>
    <w:tbl>
      <w:tblPr>
        <w:tblW w:w="9652" w:type="dxa"/>
        <w:jc w:val="left"/>
        <w:tblInd w:w="0" w:type="dxa"/>
        <w:tblCellMar>
          <w:top w:w="28" w:type="dxa"/>
          <w:left w:w="28" w:type="dxa"/>
          <w:bottom w:w="28" w:type="dxa"/>
          <w:right w:w="28" w:type="dxa"/>
        </w:tblCellMar>
      </w:tblPr>
      <w:tblGrid>
        <w:gridCol w:w="2521"/>
        <w:gridCol w:w="146"/>
        <w:gridCol w:w="211"/>
        <w:gridCol w:w="586"/>
        <w:gridCol w:w="146"/>
        <w:gridCol w:w="146"/>
        <w:gridCol w:w="211"/>
        <w:gridCol w:w="586"/>
        <w:gridCol w:w="146"/>
        <w:gridCol w:w="146"/>
        <w:gridCol w:w="220"/>
        <w:gridCol w:w="726"/>
        <w:gridCol w:w="146"/>
        <w:gridCol w:w="146"/>
        <w:gridCol w:w="146"/>
        <w:gridCol w:w="109"/>
        <w:gridCol w:w="691"/>
        <w:gridCol w:w="146"/>
        <w:gridCol w:w="146"/>
        <w:gridCol w:w="211"/>
        <w:gridCol w:w="691"/>
        <w:gridCol w:w="146"/>
        <w:gridCol w:w="146"/>
        <w:gridCol w:w="220"/>
        <w:gridCol w:w="726"/>
        <w:gridCol w:w="191"/>
      </w:tblGrid>
      <w:tr>
        <w:trPr/>
        <w:tc>
          <w:tcPr>
            <w:tcW w:w="252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58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58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20" w:type="dxa"/>
            <w:tcBorders/>
            <w:shd w:fill="FFFFFF" w:val="clear"/>
            <w:vAlign w:val="center"/>
          </w:tcPr>
          <w:p>
            <w:pPr>
              <w:pStyle w:val="TableContents"/>
              <w:spacing w:before="0" w:after="283"/>
              <w:rPr>
                <w:sz w:val="4"/>
                <w:szCs w:val="4"/>
              </w:rPr>
            </w:pPr>
            <w:r>
              <w:rPr>
                <w:sz w:val="4"/>
                <w:szCs w:val="4"/>
              </w:rPr>
            </w:r>
          </w:p>
        </w:tc>
        <w:tc>
          <w:tcPr>
            <w:tcW w:w="72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20" w:type="dxa"/>
            <w:tcBorders/>
            <w:shd w:fill="FFFFFF" w:val="clear"/>
            <w:vAlign w:val="center"/>
          </w:tcPr>
          <w:p>
            <w:pPr>
              <w:pStyle w:val="TableContents"/>
              <w:spacing w:before="0" w:after="283"/>
              <w:rPr>
                <w:sz w:val="4"/>
                <w:szCs w:val="4"/>
              </w:rPr>
            </w:pPr>
            <w:r>
              <w:rPr>
                <w:sz w:val="4"/>
                <w:szCs w:val="4"/>
              </w:rPr>
            </w:r>
          </w:p>
        </w:tc>
        <w:tc>
          <w:tcPr>
            <w:tcW w:w="726" w:type="dxa"/>
            <w:tcBorders/>
            <w:shd w:fill="FFFFFF" w:val="clear"/>
            <w:vAlign w:val="center"/>
          </w:tcPr>
          <w:p>
            <w:pPr>
              <w:pStyle w:val="TableContents"/>
              <w:spacing w:before="0" w:after="283"/>
              <w:rPr>
                <w:sz w:val="4"/>
                <w:szCs w:val="4"/>
              </w:rPr>
            </w:pPr>
            <w:r>
              <w:rPr>
                <w:sz w:val="4"/>
                <w:szCs w:val="4"/>
              </w:rPr>
            </w:r>
          </w:p>
        </w:tc>
        <w:tc>
          <w:tcPr>
            <w:tcW w:w="191" w:type="dxa"/>
            <w:tcBorders/>
            <w:shd w:fill="FFFFFF" w:val="clear"/>
            <w:vAlign w:val="center"/>
          </w:tcPr>
          <w:p>
            <w:pPr>
              <w:pStyle w:val="TableContents"/>
              <w:spacing w:before="0" w:after="283"/>
              <w:rPr>
                <w:sz w:val="4"/>
                <w:szCs w:val="4"/>
              </w:rPr>
            </w:pPr>
            <w:r>
              <w:rPr>
                <w:sz w:val="4"/>
                <w:szCs w:val="4"/>
              </w:rPr>
            </w:r>
          </w:p>
        </w:tc>
      </w:tr>
      <w:tr>
        <w:trPr/>
        <w:tc>
          <w:tcPr>
            <w:tcW w:w="2521" w:type="dxa"/>
            <w:tcBorders/>
            <w:shd w:fill="auto" w:val="clear"/>
            <w:vAlign w:val="center"/>
          </w:tcPr>
          <w:p>
            <w:pPr>
              <w:pStyle w:val="TableContents"/>
              <w:spacing w:before="0" w:after="0"/>
              <w:ind w:left="0" w:right="0" w:hanging="0"/>
              <w:jc w:val="both"/>
              <w:rPr>
                <w:rFonts w:ascii="Arial;sans-serif" w:hAnsi="Arial;sans-serif"/>
                <w:b/>
                <w:sz w:val="15"/>
              </w:rPr>
            </w:pPr>
            <w:r>
              <w:rPr>
                <w:rFonts w:ascii="Arial;sans-serif" w:hAnsi="Arial;sans-serif"/>
                <w:b/>
                <w:sz w:val="15"/>
              </w:rPr>
              <w:t>(In millions, except percentages)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886" w:type="dxa"/>
            <w:gridSpan w:val="6"/>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Three Months Ended</w:t>
            </w:r>
          </w:p>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Percentage</w:t>
            </w:r>
          </w:p>
          <w:p>
            <w:pPr>
              <w:pStyle w:val="TableContents"/>
              <w:spacing w:before="0" w:after="0"/>
              <w:ind w:left="0" w:right="0" w:hanging="0"/>
              <w:jc w:val="right"/>
              <w:rPr>
                <w:rFonts w:ascii="Arial;sans-serif" w:hAnsi="Arial;sans-serif"/>
                <w:b/>
                <w:sz w:val="15"/>
              </w:rPr>
            </w:pPr>
            <w:r>
              <w:rPr>
                <w:rFonts w:ascii="Arial;sans-serif" w:hAnsi="Arial;sans-serif"/>
                <w:b/>
                <w:sz w:val="15"/>
              </w:rPr>
              <w:t>Change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right"/>
              <w:rPr/>
            </w:pPr>
            <w:r>
              <w:rPr/>
              <w:t> </w:t>
            </w:r>
          </w:p>
        </w:tc>
        <w:tc>
          <w:tcPr>
            <w:tcW w:w="2140" w:type="dxa"/>
            <w:gridSpan w:val="7"/>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Nine Months Ended</w:t>
            </w:r>
          </w:p>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46"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Percentage</w:t>
            </w:r>
          </w:p>
          <w:p>
            <w:pPr>
              <w:pStyle w:val="TableContents"/>
              <w:spacing w:before="0" w:after="0"/>
              <w:ind w:left="0" w:right="0" w:hanging="0"/>
              <w:jc w:val="right"/>
              <w:rPr>
                <w:rFonts w:ascii="Arial;sans-serif" w:hAnsi="Arial;sans-serif"/>
                <w:b/>
                <w:sz w:val="15"/>
              </w:rPr>
            </w:pPr>
            <w:r>
              <w:rPr>
                <w:rFonts w:ascii="Arial;sans-serif" w:hAnsi="Arial;sans-serif"/>
                <w:b/>
                <w:sz w:val="15"/>
              </w:rPr>
              <w:t>Change</w:t>
            </w:r>
          </w:p>
        </w:tc>
        <w:tc>
          <w:tcPr>
            <w:tcW w:w="191" w:type="dxa"/>
            <w:tcBorders/>
            <w:shd w:fill="auto" w:val="clear"/>
            <w:vAlign w:val="center"/>
          </w:tcPr>
          <w:p>
            <w:pPr>
              <w:pStyle w:val="TableContents"/>
              <w:spacing w:before="0" w:after="0"/>
              <w:ind w:left="0" w:right="0" w:hanging="0"/>
              <w:jc w:val="left"/>
              <w:rPr/>
            </w:pPr>
            <w:r>
              <w:rPr/>
              <w:t> </w:t>
            </w:r>
          </w:p>
        </w:tc>
      </w:tr>
      <w:tr>
        <w:trPr/>
        <w:tc>
          <w:tcPr>
            <w:tcW w:w="252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886" w:type="dxa"/>
            <w:gridSpan w:val="6"/>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97" w:type="dxa"/>
            <w:gridSpan w:val="2"/>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97" w:type="dxa"/>
            <w:gridSpan w:val="2"/>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46" w:type="dxa"/>
            <w:gridSpan w:val="2"/>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0"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Sales and marketing</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5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5,750</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5,595</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20" w:type="dxa"/>
            <w:tcBorders/>
            <w:shd w:fill="auto" w:val="clear"/>
            <w:vAlign w:val="center"/>
          </w:tcPr>
          <w:p>
            <w:pPr>
              <w:pStyle w:val="TableContents"/>
              <w:spacing w:before="0" w:after="283"/>
              <w:ind w:left="0" w:right="0" w:hanging="0"/>
              <w:rPr>
                <w:sz w:val="4"/>
                <w:szCs w:val="4"/>
              </w:rPr>
            </w:pPr>
            <w:r>
              <w:rPr>
                <w:sz w:val="4"/>
                <w:szCs w:val="4"/>
              </w:rPr>
            </w:r>
          </w:p>
        </w:tc>
        <w:tc>
          <w:tcPr>
            <w:tcW w:w="72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55" w:type="dxa"/>
            <w:gridSpan w:val="2"/>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16,555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15,521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w:t>
            </w:r>
          </w:p>
        </w:tc>
        <w:tc>
          <w:tcPr>
            <w:tcW w:w="19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As a percent of revenue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20" w:type="dxa"/>
            <w:tcBorders/>
            <w:shd w:fill="auto" w:val="clear"/>
            <w:vAlign w:val="center"/>
          </w:tcPr>
          <w:p>
            <w:pPr>
              <w:pStyle w:val="TableContents"/>
              <w:spacing w:before="0" w:after="283"/>
              <w:ind w:left="0" w:right="0" w:hanging="0"/>
              <w:rPr>
                <w:sz w:val="4"/>
                <w:szCs w:val="4"/>
              </w:rPr>
            </w:pPr>
            <w:r>
              <w:rPr>
                <w:sz w:val="4"/>
                <w:szCs w:val="4"/>
              </w:rPr>
            </w:r>
          </w:p>
        </w:tc>
        <w:tc>
          <w:tcPr>
            <w:tcW w:w="72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0ppt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0" w:type="dxa"/>
            <w:gridSpan w:val="2"/>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0ppt</w:t>
            </w:r>
          </w:p>
        </w:tc>
        <w:tc>
          <w:tcPr>
            <w:tcW w:w="191" w:type="dxa"/>
            <w:tcBorders/>
            <w:shd w:fill="auto" w:val="clear"/>
            <w:vAlign w:val="center"/>
          </w:tcPr>
          <w:p>
            <w:pPr>
              <w:pStyle w:val="TableContents"/>
              <w:spacing w:before="0" w:after="0"/>
              <w:ind w:left="0" w:right="0" w:hanging="0"/>
              <w:jc w:val="left"/>
              <w:rPr/>
            </w:pPr>
            <w:r>
              <w:rPr/>
              <w:t> </w:t>
            </w:r>
          </w:p>
        </w:tc>
      </w:tr>
      <w:tr>
        <w:trPr/>
        <w:tc>
          <w:tcPr>
            <w:tcW w:w="252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both"/>
        <w:rPr>
          <w:rFonts w:ascii="Arial;sans-serif" w:hAnsi="Arial;sans-serif"/>
          <w:b w:val="false"/>
          <w:sz w:val="20"/>
        </w:rPr>
      </w:pPr>
      <w:r>
        <w:rPr>
          <w:rFonts w:ascii="Arial;sans-serif" w:hAnsi="Arial;sans-serif"/>
          <w:b w:val="false"/>
          <w:sz w:val="20"/>
        </w:rPr>
        <w:t>Sales and marketing expenses include payroll, employee benefits, stock-based compensation expense, and other headcount-related expenses associated with sales and marketing personnel, and the costs of advertising, promotions, trade shows, seminars, and other programs.</w:t>
      </w:r>
    </w:p>
    <w:p>
      <w:pPr>
        <w:pStyle w:val="TextBody"/>
        <w:spacing w:before="270" w:after="0"/>
        <w:jc w:val="both"/>
        <w:rPr>
          <w:rFonts w:ascii="Arial;sans-serif" w:hAnsi="Arial;sans-serif"/>
          <w:b/>
          <w:i/>
          <w:sz w:val="20"/>
        </w:rPr>
      </w:pPr>
      <w:r>
        <w:rPr>
          <w:rFonts w:ascii="Arial;sans-serif" w:hAnsi="Arial;sans-serif"/>
          <w:b/>
          <w:i/>
          <w:sz w:val="20"/>
        </w:rPr>
        <w:t>Three Months Ended March 31, 2023 Compared with Three Months Ended March 31, 2022</w:t>
      </w:r>
    </w:p>
    <w:p>
      <w:pPr>
        <w:pStyle w:val="TextBody"/>
        <w:spacing w:before="180" w:after="0"/>
        <w:jc w:val="both"/>
        <w:rPr>
          <w:rFonts w:ascii="Arial;sans-serif" w:hAnsi="Arial;sans-serif"/>
          <w:b w:val="false"/>
          <w:sz w:val="20"/>
        </w:rPr>
      </w:pPr>
      <w:r>
        <w:rPr>
          <w:rFonts w:ascii="Arial;sans-serif" w:hAnsi="Arial;sans-serif"/>
          <w:b w:val="false"/>
          <w:sz w:val="20"/>
        </w:rPr>
        <w:t>Sales and marketing expenses increased $155 million or 3% driven by 3 points of growth from the Nuance and Xandr acquisitions and investments in commercial sales, offset in part by declines in Windows and Devices advertising.</w:t>
      </w:r>
    </w:p>
    <w:p>
      <w:pPr>
        <w:pStyle w:val="TextBody"/>
        <w:spacing w:before="270" w:after="0"/>
        <w:jc w:val="both"/>
        <w:rPr>
          <w:rFonts w:ascii="Arial;sans-serif" w:hAnsi="Arial;sans-serif"/>
          <w:b/>
          <w:i/>
          <w:sz w:val="20"/>
        </w:rPr>
      </w:pPr>
      <w:r>
        <w:rPr>
          <w:rFonts w:ascii="Arial;sans-serif" w:hAnsi="Arial;sans-serif"/>
          <w:b/>
          <w:i/>
          <w:sz w:val="20"/>
        </w:rPr>
        <w:t>Nine Months Ended March 31, 2023 Compared with Nine Months Ended March 31, 2022</w:t>
      </w:r>
    </w:p>
    <w:p>
      <w:pPr>
        <w:pStyle w:val="TextBody"/>
        <w:spacing w:before="180" w:after="0"/>
        <w:jc w:val="both"/>
        <w:rPr>
          <w:rFonts w:ascii="Arial;sans-serif" w:hAnsi="Arial;sans-serif"/>
          <w:b w:val="false"/>
          <w:sz w:val="20"/>
        </w:rPr>
      </w:pPr>
      <w:r>
        <w:rPr>
          <w:rFonts w:ascii="Arial;sans-serif" w:hAnsi="Arial;sans-serif"/>
          <w:b w:val="false"/>
          <w:sz w:val="20"/>
        </w:rPr>
        <w:t>Sales and marketing expenses increased $1.0 billion or 7% driven by 4 points of growth from the Nuance and Xandr acquisitions and investments in commercial sales. Sales and marketing included a favorable foreign currency impact of 3%.</w:t>
      </w:r>
    </w:p>
    <w:p>
      <w:pPr>
        <w:pStyle w:val="TextBody"/>
        <w:spacing w:before="270" w:after="0"/>
        <w:jc w:val="both"/>
        <w:rPr>
          <w:rFonts w:ascii="Arial;sans-serif" w:hAnsi="Arial;sans-serif"/>
          <w:b/>
          <w:sz w:val="20"/>
        </w:rPr>
      </w:pPr>
      <w:r>
        <w:rPr>
          <w:rFonts w:ascii="Arial;sans-serif" w:hAnsi="Arial;sans-serif"/>
          <w:b/>
          <w:sz w:val="20"/>
        </w:rPr>
        <w:t>General and Administrative</w:t>
      </w:r>
    </w:p>
    <w:p>
      <w:pPr>
        <w:pStyle w:val="TextBody"/>
        <w:spacing w:before="0" w:after="0"/>
        <w:jc w:val="left"/>
        <w:rPr/>
      </w:pPr>
      <w:r>
        <w:rPr/>
        <w:t> </w:t>
      </w:r>
    </w:p>
    <w:tbl>
      <w:tblPr>
        <w:tblW w:w="9442" w:type="dxa"/>
        <w:jc w:val="left"/>
        <w:tblInd w:w="0" w:type="dxa"/>
        <w:tblCellMar>
          <w:top w:w="28" w:type="dxa"/>
          <w:left w:w="28" w:type="dxa"/>
          <w:bottom w:w="28" w:type="dxa"/>
          <w:right w:w="28" w:type="dxa"/>
        </w:tblCellMar>
      </w:tblPr>
      <w:tblGrid>
        <w:gridCol w:w="2521"/>
        <w:gridCol w:w="146"/>
        <w:gridCol w:w="211"/>
        <w:gridCol w:w="586"/>
        <w:gridCol w:w="146"/>
        <w:gridCol w:w="146"/>
        <w:gridCol w:w="211"/>
        <w:gridCol w:w="586"/>
        <w:gridCol w:w="146"/>
        <w:gridCol w:w="146"/>
        <w:gridCol w:w="220"/>
        <w:gridCol w:w="726"/>
        <w:gridCol w:w="146"/>
        <w:gridCol w:w="146"/>
        <w:gridCol w:w="146"/>
        <w:gridCol w:w="109"/>
        <w:gridCol w:w="586"/>
        <w:gridCol w:w="146"/>
        <w:gridCol w:w="146"/>
        <w:gridCol w:w="211"/>
        <w:gridCol w:w="586"/>
        <w:gridCol w:w="146"/>
        <w:gridCol w:w="146"/>
        <w:gridCol w:w="220"/>
        <w:gridCol w:w="726"/>
        <w:gridCol w:w="191"/>
      </w:tblGrid>
      <w:tr>
        <w:trPr/>
        <w:tc>
          <w:tcPr>
            <w:tcW w:w="252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58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58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20" w:type="dxa"/>
            <w:tcBorders/>
            <w:shd w:fill="FFFFFF" w:val="clear"/>
            <w:vAlign w:val="center"/>
          </w:tcPr>
          <w:p>
            <w:pPr>
              <w:pStyle w:val="TableContents"/>
              <w:spacing w:before="0" w:after="283"/>
              <w:rPr>
                <w:sz w:val="4"/>
                <w:szCs w:val="4"/>
              </w:rPr>
            </w:pPr>
            <w:r>
              <w:rPr>
                <w:sz w:val="4"/>
                <w:szCs w:val="4"/>
              </w:rPr>
            </w:r>
          </w:p>
        </w:tc>
        <w:tc>
          <w:tcPr>
            <w:tcW w:w="72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58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58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20" w:type="dxa"/>
            <w:tcBorders/>
            <w:shd w:fill="FFFFFF" w:val="clear"/>
            <w:vAlign w:val="center"/>
          </w:tcPr>
          <w:p>
            <w:pPr>
              <w:pStyle w:val="TableContents"/>
              <w:spacing w:before="0" w:after="283"/>
              <w:rPr>
                <w:sz w:val="4"/>
                <w:szCs w:val="4"/>
              </w:rPr>
            </w:pPr>
            <w:r>
              <w:rPr>
                <w:sz w:val="4"/>
                <w:szCs w:val="4"/>
              </w:rPr>
            </w:r>
          </w:p>
        </w:tc>
        <w:tc>
          <w:tcPr>
            <w:tcW w:w="726" w:type="dxa"/>
            <w:tcBorders/>
            <w:shd w:fill="FFFFFF" w:val="clear"/>
            <w:vAlign w:val="center"/>
          </w:tcPr>
          <w:p>
            <w:pPr>
              <w:pStyle w:val="TableContents"/>
              <w:spacing w:before="0" w:after="283"/>
              <w:rPr>
                <w:sz w:val="4"/>
                <w:szCs w:val="4"/>
              </w:rPr>
            </w:pPr>
            <w:r>
              <w:rPr>
                <w:sz w:val="4"/>
                <w:szCs w:val="4"/>
              </w:rPr>
            </w:r>
          </w:p>
        </w:tc>
        <w:tc>
          <w:tcPr>
            <w:tcW w:w="191" w:type="dxa"/>
            <w:tcBorders/>
            <w:shd w:fill="FFFFFF" w:val="clear"/>
            <w:vAlign w:val="center"/>
          </w:tcPr>
          <w:p>
            <w:pPr>
              <w:pStyle w:val="TableContents"/>
              <w:spacing w:before="0" w:after="283"/>
              <w:rPr>
                <w:sz w:val="4"/>
                <w:szCs w:val="4"/>
              </w:rPr>
            </w:pPr>
            <w:r>
              <w:rPr>
                <w:sz w:val="4"/>
                <w:szCs w:val="4"/>
              </w:rPr>
            </w:r>
          </w:p>
        </w:tc>
      </w:tr>
      <w:tr>
        <w:trPr/>
        <w:tc>
          <w:tcPr>
            <w:tcW w:w="2521"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(In millions, except percentages)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886" w:type="dxa"/>
            <w:gridSpan w:val="6"/>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Three Months Ended</w:t>
            </w:r>
          </w:p>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Percentage</w:t>
            </w:r>
          </w:p>
          <w:p>
            <w:pPr>
              <w:pStyle w:val="TableContents"/>
              <w:spacing w:before="0" w:after="0"/>
              <w:ind w:left="0" w:right="0" w:hanging="0"/>
              <w:jc w:val="right"/>
              <w:rPr>
                <w:rFonts w:ascii="Arial;sans-serif" w:hAnsi="Arial;sans-serif"/>
                <w:b/>
                <w:sz w:val="15"/>
              </w:rPr>
            </w:pPr>
            <w:r>
              <w:rPr>
                <w:rFonts w:ascii="Arial;sans-serif" w:hAnsi="Arial;sans-serif"/>
                <w:b/>
                <w:sz w:val="15"/>
              </w:rPr>
              <w:t>Change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930" w:type="dxa"/>
            <w:gridSpan w:val="7"/>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Nine Months Ended</w:t>
            </w:r>
          </w:p>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Percentage</w:t>
            </w:r>
          </w:p>
          <w:p>
            <w:pPr>
              <w:pStyle w:val="TableContents"/>
              <w:spacing w:before="0" w:after="0"/>
              <w:ind w:left="0" w:right="0" w:hanging="0"/>
              <w:jc w:val="right"/>
              <w:rPr>
                <w:rFonts w:ascii="Arial;sans-serif" w:hAnsi="Arial;sans-serif"/>
                <w:b/>
                <w:sz w:val="15"/>
              </w:rPr>
            </w:pPr>
            <w:r>
              <w:rPr>
                <w:rFonts w:ascii="Arial;sans-serif" w:hAnsi="Arial;sans-serif"/>
                <w:b/>
                <w:sz w:val="15"/>
              </w:rPr>
              <w:t>Change</w:t>
            </w:r>
          </w:p>
        </w:tc>
        <w:tc>
          <w:tcPr>
            <w:tcW w:w="191" w:type="dxa"/>
            <w:tcBorders/>
            <w:shd w:fill="auto" w:val="clear"/>
            <w:vAlign w:val="center"/>
          </w:tcPr>
          <w:p>
            <w:pPr>
              <w:pStyle w:val="TableContents"/>
              <w:spacing w:before="0" w:after="0"/>
              <w:ind w:left="0" w:right="0" w:hanging="0"/>
              <w:jc w:val="left"/>
              <w:rPr/>
            </w:pPr>
            <w:r>
              <w:rPr/>
              <w:t> </w:t>
            </w:r>
          </w:p>
        </w:tc>
      </w:tr>
      <w:tr>
        <w:trPr/>
        <w:tc>
          <w:tcPr>
            <w:tcW w:w="252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886" w:type="dxa"/>
            <w:gridSpan w:val="6"/>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97" w:type="dxa"/>
            <w:gridSpan w:val="2"/>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97" w:type="dxa"/>
            <w:gridSpan w:val="2"/>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46" w:type="dxa"/>
            <w:gridSpan w:val="2"/>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General and administrative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5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1,643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1,480</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20" w:type="dxa"/>
            <w:tcBorders/>
            <w:shd w:fill="auto" w:val="clear"/>
            <w:vAlign w:val="center"/>
          </w:tcPr>
          <w:p>
            <w:pPr>
              <w:pStyle w:val="TableContents"/>
              <w:spacing w:before="0" w:after="283"/>
              <w:ind w:left="0" w:right="0" w:hanging="0"/>
              <w:rPr>
                <w:sz w:val="4"/>
                <w:szCs w:val="4"/>
              </w:rPr>
            </w:pPr>
            <w:r>
              <w:rPr>
                <w:sz w:val="4"/>
                <w:szCs w:val="4"/>
              </w:rPr>
            </w:r>
          </w:p>
        </w:tc>
        <w:tc>
          <w:tcPr>
            <w:tcW w:w="72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55" w:type="dxa"/>
            <w:gridSpan w:val="2"/>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5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5,378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4,151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30%</w:t>
            </w:r>
          </w:p>
        </w:tc>
        <w:tc>
          <w:tcPr>
            <w:tcW w:w="191" w:type="dxa"/>
            <w:tcBorders/>
            <w:shd w:fill="auto" w:val="clear"/>
            <w:vAlign w:val="center"/>
          </w:tcPr>
          <w:p>
            <w:pPr>
              <w:pStyle w:val="TableContents"/>
              <w:spacing w:before="0" w:after="0"/>
              <w:ind w:left="0" w:right="0" w:hanging="0"/>
              <w:jc w:val="right"/>
              <w:rPr/>
            </w:pPr>
            <w:r>
              <w:rPr/>
              <w:t> </w:t>
            </w:r>
          </w:p>
        </w:tc>
      </w:tr>
      <w:tr>
        <w:trPr/>
        <w:tc>
          <w:tcPr>
            <w:tcW w:w="252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As a percent of revenue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20" w:type="dxa"/>
            <w:tcBorders/>
            <w:shd w:fill="auto" w:val="clear"/>
            <w:vAlign w:val="center"/>
          </w:tcPr>
          <w:p>
            <w:pPr>
              <w:pStyle w:val="TableContents"/>
              <w:spacing w:before="0" w:after="283"/>
              <w:ind w:left="0" w:right="0" w:hanging="0"/>
              <w:rPr>
                <w:sz w:val="4"/>
                <w:szCs w:val="4"/>
              </w:rPr>
            </w:pPr>
            <w:r>
              <w:rPr>
                <w:sz w:val="4"/>
                <w:szCs w:val="4"/>
              </w:rPr>
            </w:r>
          </w:p>
        </w:tc>
        <w:tc>
          <w:tcPr>
            <w:tcW w:w="72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0ppt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gridSpan w:val="2"/>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0ppt</w:t>
            </w:r>
          </w:p>
        </w:tc>
        <w:tc>
          <w:tcPr>
            <w:tcW w:w="191" w:type="dxa"/>
            <w:tcBorders/>
            <w:shd w:fill="auto" w:val="clear"/>
            <w:vAlign w:val="center"/>
          </w:tcPr>
          <w:p>
            <w:pPr>
              <w:pStyle w:val="TableContents"/>
              <w:spacing w:before="0" w:after="0"/>
              <w:ind w:left="0" w:right="0" w:hanging="0"/>
              <w:jc w:val="right"/>
              <w:rPr/>
            </w:pPr>
            <w:r>
              <w:rPr/>
              <w:t> </w:t>
            </w:r>
          </w:p>
        </w:tc>
      </w:tr>
      <w:tr>
        <w:trPr/>
        <w:tc>
          <w:tcPr>
            <w:tcW w:w="252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Arial;sans-serif" w:hAnsi="Arial;sans-serif"/>
          <w:b w:val="false"/>
          <w:sz w:val="16"/>
        </w:rPr>
      </w:pPr>
      <w:r>
        <w:rPr>
          <w:rFonts w:ascii="Arial;sans-serif" w:hAnsi="Arial;sans-serif"/>
          <w:b w:val="false"/>
          <w:sz w:val="16"/>
        </w:rPr>
        <w:t>41</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w:t>
      </w:r>
    </w:p>
    <w:p>
      <w:pPr>
        <w:pStyle w:val="TextBody"/>
        <w:spacing w:before="0" w:after="0"/>
        <w:jc w:val="center"/>
        <w:rPr>
          <w:rFonts w:ascii="Arial;sans-serif" w:hAnsi="Arial;sans-serif"/>
          <w:b w:val="false"/>
          <w:sz w:val="15"/>
        </w:rPr>
      </w:pPr>
      <w:r>
        <w:rPr>
          <w:rFonts w:ascii="Arial;sans-serif" w:hAnsi="Arial;sans-serif"/>
          <w:b w:val="false"/>
          <w:sz w:val="15"/>
        </w:rPr>
        <w:t>Item 2</w:t>
      </w:r>
    </w:p>
    <w:p>
      <w:pPr>
        <w:pStyle w:val="TextBody"/>
        <w:spacing w:before="0" w:after="0"/>
        <w:jc w:val="left"/>
        <w:rPr/>
      </w:pPr>
      <w:r>
        <w:rPr/>
        <w:t> </w:t>
      </w:r>
    </w:p>
    <w:p>
      <w:pPr>
        <w:pStyle w:val="TextBody"/>
        <w:spacing w:before="0" w:after="0"/>
        <w:jc w:val="both"/>
        <w:rPr/>
      </w:pPr>
      <w:r>
        <w:rPr/>
        <w:t> </w:t>
      </w:r>
    </w:p>
    <w:p>
      <w:pPr>
        <w:pStyle w:val="TextBody"/>
        <w:spacing w:before="0" w:after="0"/>
        <w:jc w:val="both"/>
        <w:rPr>
          <w:rFonts w:ascii="Arial;sans-serif" w:hAnsi="Arial;sans-serif"/>
          <w:b w:val="false"/>
          <w:sz w:val="20"/>
        </w:rPr>
      </w:pPr>
      <w:r>
        <w:rPr>
          <w:rFonts w:ascii="Arial;sans-serif" w:hAnsi="Arial;sans-serif"/>
          <w:b w:val="false"/>
          <w:sz w:val="20"/>
        </w:rPr>
        <w:t>General and administrative expenses include payroll, employee benefits, stock-based compensation expense, employee severance expense incurred as part of a corporate program, and other headcount-related expenses associated with finance, legal, facilities, certain human resources and other administrative personnel, certain taxes, and legal and other administrative fees.</w:t>
      </w:r>
    </w:p>
    <w:p>
      <w:pPr>
        <w:pStyle w:val="TextBody"/>
        <w:spacing w:before="270" w:after="0"/>
        <w:jc w:val="both"/>
        <w:rPr>
          <w:rFonts w:ascii="Arial;sans-serif" w:hAnsi="Arial;sans-serif"/>
          <w:b/>
          <w:i/>
          <w:sz w:val="20"/>
        </w:rPr>
      </w:pPr>
      <w:r>
        <w:rPr>
          <w:rFonts w:ascii="Arial;sans-serif" w:hAnsi="Arial;sans-serif"/>
          <w:b/>
          <w:i/>
          <w:sz w:val="20"/>
        </w:rPr>
        <w:t>Three Months Ended March 31, 2023 Compared with Three Months Ended March 31, 2022</w:t>
      </w:r>
    </w:p>
    <w:p>
      <w:pPr>
        <w:pStyle w:val="TextBody"/>
        <w:spacing w:before="180" w:after="0"/>
        <w:jc w:val="both"/>
        <w:rPr>
          <w:rFonts w:ascii="Arial;sans-serif" w:hAnsi="Arial;sans-serif"/>
          <w:b w:val="false"/>
          <w:sz w:val="20"/>
        </w:rPr>
      </w:pPr>
      <w:r>
        <w:rPr>
          <w:rFonts w:ascii="Arial;sans-serif" w:hAnsi="Arial;sans-serif"/>
          <w:b w:val="false"/>
          <w:sz w:val="20"/>
        </w:rPr>
        <w:t>General and administrative expenses increased $163 million or 11% driven by acquisition-related expenses and investments in corporate functions. General and administrative included a favorable foreign currency impact of 2%.</w:t>
      </w:r>
    </w:p>
    <w:p>
      <w:pPr>
        <w:pStyle w:val="TextBody"/>
        <w:spacing w:before="270" w:after="0"/>
        <w:jc w:val="both"/>
        <w:rPr>
          <w:rFonts w:ascii="Arial;sans-serif" w:hAnsi="Arial;sans-serif"/>
          <w:b/>
          <w:i/>
          <w:sz w:val="20"/>
        </w:rPr>
      </w:pPr>
      <w:r>
        <w:rPr>
          <w:rFonts w:ascii="Arial;sans-serif" w:hAnsi="Arial;sans-serif"/>
          <w:b/>
          <w:i/>
          <w:sz w:val="20"/>
        </w:rPr>
        <w:t>Nine Months Ended March 31, 2023 Compared with Nine Months Ended March 31, 2022</w:t>
      </w:r>
    </w:p>
    <w:p>
      <w:pPr>
        <w:pStyle w:val="TextBody"/>
        <w:spacing w:before="180" w:after="0"/>
        <w:jc w:val="both"/>
        <w:rPr>
          <w:rFonts w:ascii="Arial;sans-serif" w:hAnsi="Arial;sans-serif"/>
          <w:b w:val="false"/>
          <w:sz w:val="20"/>
        </w:rPr>
      </w:pPr>
      <w:r>
        <w:rPr>
          <w:rFonts w:ascii="Arial;sans-serif" w:hAnsi="Arial;sans-serif"/>
          <w:b w:val="false"/>
          <w:sz w:val="20"/>
        </w:rPr>
        <w:t>General and administrative expenses increased $1.2 billion or 30% driven by employee severance expenses. General and administrative included a favorable foreign currency impact of 2%.</w:t>
      </w:r>
    </w:p>
    <w:p>
      <w:pPr>
        <w:pStyle w:val="TextBody"/>
        <w:spacing w:before="270" w:after="0"/>
        <w:jc w:val="center"/>
        <w:rPr>
          <w:rFonts w:ascii="Arial;sans-serif" w:hAnsi="Arial;sans-serif"/>
          <w:b w:val="false"/>
          <w:sz w:val="20"/>
          <w:u w:val="single"/>
        </w:rPr>
      </w:pPr>
      <w:bookmarkStart w:id="13" w:name="fis_unidentified_table_10"/>
      <w:bookmarkEnd w:id="13"/>
      <w:r>
        <w:rPr>
          <w:rFonts w:ascii="Arial;sans-serif" w:hAnsi="Arial;sans-serif"/>
          <w:b w:val="false"/>
          <w:sz w:val="20"/>
          <w:u w:val="single"/>
        </w:rPr>
        <w:t>OTHER INCOME (EXPENSE), NET</w:t>
      </w:r>
    </w:p>
    <w:p>
      <w:pPr>
        <w:pStyle w:val="TextBody"/>
        <w:spacing w:before="180" w:after="0"/>
        <w:jc w:val="both"/>
        <w:rPr>
          <w:rFonts w:ascii="Arial;sans-serif" w:hAnsi="Arial;sans-serif"/>
          <w:b w:val="false"/>
          <w:sz w:val="20"/>
        </w:rPr>
      </w:pPr>
      <w:r>
        <w:rPr>
          <w:rFonts w:ascii="Arial;sans-serif" w:hAnsi="Arial;sans-serif"/>
          <w:b w:val="false"/>
          <w:sz w:val="20"/>
        </w:rPr>
        <w:t>The components of other income (expense), net were as follows:</w:t>
      </w:r>
    </w:p>
    <w:p>
      <w:pPr>
        <w:pStyle w:val="TextBody"/>
        <w:spacing w:before="0" w:after="0"/>
        <w:jc w:val="both"/>
        <w:rPr/>
      </w:pPr>
      <w:r>
        <w:rPr/>
        <w:t> </w:t>
      </w:r>
    </w:p>
    <w:tbl>
      <w:tblPr>
        <w:tblW w:w="9612" w:type="dxa"/>
        <w:jc w:val="left"/>
        <w:tblInd w:w="0" w:type="dxa"/>
        <w:tblCellMar>
          <w:top w:w="28" w:type="dxa"/>
          <w:left w:w="28" w:type="dxa"/>
          <w:bottom w:w="28" w:type="dxa"/>
          <w:right w:w="28" w:type="dxa"/>
        </w:tblCellMar>
      </w:tblPr>
      <w:tblGrid>
        <w:gridCol w:w="4936"/>
        <w:gridCol w:w="146"/>
        <w:gridCol w:w="211"/>
        <w:gridCol w:w="481"/>
        <w:gridCol w:w="166"/>
        <w:gridCol w:w="146"/>
        <w:gridCol w:w="211"/>
        <w:gridCol w:w="481"/>
        <w:gridCol w:w="166"/>
        <w:gridCol w:w="146"/>
        <w:gridCol w:w="211"/>
        <w:gridCol w:w="706"/>
        <w:gridCol w:w="166"/>
        <w:gridCol w:w="146"/>
        <w:gridCol w:w="211"/>
        <w:gridCol w:w="646"/>
        <w:gridCol w:w="436"/>
      </w:tblGrid>
      <w:tr>
        <w:trPr/>
        <w:tc>
          <w:tcPr>
            <w:tcW w:w="493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481" w:type="dxa"/>
            <w:tcBorders/>
            <w:shd w:fill="FFFFFF" w:val="clear"/>
            <w:vAlign w:val="center"/>
          </w:tcPr>
          <w:p>
            <w:pPr>
              <w:pStyle w:val="TableContents"/>
              <w:spacing w:before="0" w:after="283"/>
              <w:rPr>
                <w:sz w:val="4"/>
                <w:szCs w:val="4"/>
              </w:rPr>
            </w:pPr>
            <w:r>
              <w:rPr>
                <w:sz w:val="4"/>
                <w:szCs w:val="4"/>
              </w:rPr>
            </w:r>
          </w:p>
        </w:tc>
        <w:tc>
          <w:tcPr>
            <w:tcW w:w="16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481" w:type="dxa"/>
            <w:tcBorders/>
            <w:shd w:fill="FFFFFF" w:val="clear"/>
            <w:vAlign w:val="center"/>
          </w:tcPr>
          <w:p>
            <w:pPr>
              <w:pStyle w:val="TableContents"/>
              <w:spacing w:before="0" w:after="283"/>
              <w:rPr>
                <w:sz w:val="4"/>
                <w:szCs w:val="4"/>
              </w:rPr>
            </w:pPr>
            <w:r>
              <w:rPr>
                <w:sz w:val="4"/>
                <w:szCs w:val="4"/>
              </w:rPr>
            </w:r>
          </w:p>
        </w:tc>
        <w:tc>
          <w:tcPr>
            <w:tcW w:w="16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06" w:type="dxa"/>
            <w:tcBorders/>
            <w:shd w:fill="FFFFFF" w:val="clear"/>
            <w:vAlign w:val="center"/>
          </w:tcPr>
          <w:p>
            <w:pPr>
              <w:pStyle w:val="TableContents"/>
              <w:spacing w:before="0" w:after="283"/>
              <w:rPr>
                <w:sz w:val="4"/>
                <w:szCs w:val="4"/>
              </w:rPr>
            </w:pPr>
            <w:r>
              <w:rPr>
                <w:sz w:val="4"/>
                <w:szCs w:val="4"/>
              </w:rPr>
            </w:r>
          </w:p>
        </w:tc>
        <w:tc>
          <w:tcPr>
            <w:tcW w:w="16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46" w:type="dxa"/>
            <w:tcBorders/>
            <w:shd w:fill="FFFFFF" w:val="clear"/>
            <w:vAlign w:val="center"/>
          </w:tcPr>
          <w:p>
            <w:pPr>
              <w:pStyle w:val="TableContents"/>
              <w:spacing w:before="0" w:after="283"/>
              <w:rPr>
                <w:sz w:val="4"/>
                <w:szCs w:val="4"/>
              </w:rPr>
            </w:pPr>
            <w:r>
              <w:rPr>
                <w:sz w:val="4"/>
                <w:szCs w:val="4"/>
              </w:rPr>
            </w:r>
          </w:p>
        </w:tc>
        <w:tc>
          <w:tcPr>
            <w:tcW w:w="436" w:type="dxa"/>
            <w:tcBorders/>
            <w:shd w:fill="FFFFFF" w:val="clear"/>
            <w:vAlign w:val="center"/>
          </w:tcPr>
          <w:p>
            <w:pPr>
              <w:pStyle w:val="TableContents"/>
              <w:spacing w:before="0" w:after="283"/>
              <w:rPr>
                <w:sz w:val="4"/>
                <w:szCs w:val="4"/>
              </w:rPr>
            </w:pPr>
            <w:r>
              <w:rPr>
                <w:sz w:val="4"/>
                <w:szCs w:val="4"/>
              </w:rPr>
            </w:r>
          </w:p>
        </w:tc>
      </w:tr>
      <w:tr>
        <w:trPr/>
        <w:tc>
          <w:tcPr>
            <w:tcW w:w="4936"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(In millions)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696" w:type="dxa"/>
            <w:gridSpan w:val="6"/>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Three Months Ended</w:t>
            </w:r>
          </w:p>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86" w:type="dxa"/>
            <w:gridSpan w:val="6"/>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Nine Months Ended</w:t>
            </w:r>
          </w:p>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tc>
        <w:tc>
          <w:tcPr>
            <w:tcW w:w="436" w:type="dxa"/>
            <w:tcBorders/>
            <w:shd w:fill="auto" w:val="clear"/>
            <w:vAlign w:val="center"/>
          </w:tcPr>
          <w:p>
            <w:pPr>
              <w:pStyle w:val="TableContents"/>
              <w:spacing w:before="0" w:after="0"/>
              <w:ind w:left="0" w:right="0" w:hanging="0"/>
              <w:jc w:val="left"/>
              <w:rPr/>
            </w:pPr>
            <w:r>
              <w:rPr/>
              <w:t> </w:t>
            </w:r>
          </w:p>
        </w:tc>
      </w:tr>
      <w:tr>
        <w:trPr/>
        <w:tc>
          <w:tcPr>
            <w:tcW w:w="493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3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692"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2"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0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49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right"/>
              <w:rPr/>
            </w:pPr>
            <w:r>
              <w:rPr/>
              <w:t> </w:t>
            </w:r>
          </w:p>
        </w:tc>
        <w:tc>
          <w:tcPr>
            <w:tcW w:w="917"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57"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436" w:type="dxa"/>
            <w:tcBorders/>
            <w:shd w:fill="auto" w:val="clear"/>
            <w:vAlign w:val="center"/>
          </w:tcPr>
          <w:p>
            <w:pPr>
              <w:pStyle w:val="TableContents"/>
              <w:spacing w:before="0" w:after="0"/>
              <w:ind w:left="0" w:right="0" w:hanging="0"/>
              <w:jc w:val="right"/>
              <w:rPr/>
            </w:pPr>
            <w:r>
              <w:rPr/>
              <w:t> </w:t>
            </w:r>
          </w:p>
        </w:tc>
      </w:tr>
      <w:tr>
        <w:trPr/>
        <w:tc>
          <w:tcPr>
            <w:tcW w:w="4936" w:type="dxa"/>
            <w:tcBorders/>
            <w:shd w:fill="auto" w:val="clear"/>
            <w:vAlign w:val="center"/>
          </w:tcPr>
          <w:p>
            <w:pPr>
              <w:pStyle w:val="TableContents"/>
              <w:spacing w:before="0" w:after="283"/>
              <w:ind w:left="0" w:right="0" w:hanging="0"/>
              <w:rPr>
                <w:sz w:val="4"/>
                <w:szCs w:val="4"/>
              </w:rPr>
            </w:pPr>
            <w:r>
              <w:rPr>
                <w:sz w:val="4"/>
                <w:szCs w:val="4"/>
              </w:rPr>
            </w:r>
          </w:p>
        </w:tc>
        <w:tc>
          <w:tcPr>
            <w:tcW w:w="1004" w:type="dxa"/>
            <w:gridSpan w:val="4"/>
            <w:tcBorders/>
            <w:shd w:fill="auto" w:val="clear"/>
            <w:vAlign w:val="center"/>
          </w:tcPr>
          <w:p>
            <w:pPr>
              <w:pStyle w:val="TableContents"/>
              <w:spacing w:before="0" w:after="0"/>
              <w:ind w:left="0" w:right="0" w:hanging="0"/>
              <w:jc w:val="left"/>
              <w:rPr/>
            </w:pPr>
            <w:r>
              <w:rPr/>
              <w:t> </w:t>
            </w:r>
          </w:p>
        </w:tc>
        <w:tc>
          <w:tcPr>
            <w:tcW w:w="1004" w:type="dxa"/>
            <w:gridSpan w:val="4"/>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0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left"/>
              <w:rPr/>
            </w:pPr>
            <w:r>
              <w:rPr/>
              <w:t> </w:t>
            </w:r>
          </w:p>
        </w:tc>
      </w:tr>
      <w:tr>
        <w:trPr/>
        <w:tc>
          <w:tcPr>
            <w:tcW w:w="49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Interest and dividends income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48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748</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8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519</w:t>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0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2,089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1,542</w:t>
            </w:r>
          </w:p>
        </w:tc>
        <w:tc>
          <w:tcPr>
            <w:tcW w:w="436" w:type="dxa"/>
            <w:tcBorders/>
            <w:shd w:fill="auto" w:val="clear"/>
            <w:vAlign w:val="center"/>
          </w:tcPr>
          <w:p>
            <w:pPr>
              <w:pStyle w:val="TableContents"/>
              <w:spacing w:before="0" w:after="0"/>
              <w:ind w:left="0" w:right="0" w:hanging="0"/>
              <w:jc w:val="left"/>
              <w:rPr/>
            </w:pPr>
            <w:r>
              <w:rPr/>
              <w:t> </w:t>
            </w:r>
          </w:p>
        </w:tc>
      </w:tr>
      <w:tr>
        <w:trPr/>
        <w:tc>
          <w:tcPr>
            <w:tcW w:w="49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Interest expense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48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(496</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48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(503</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06" w:type="dxa"/>
            <w:tcBorders/>
            <w:shd w:fill="auto" w:val="clear"/>
            <w:vAlign w:val="center"/>
          </w:tcPr>
          <w:p>
            <w:pPr>
              <w:pStyle w:val="TableContents"/>
              <w:spacing w:before="0" w:after="0"/>
              <w:ind w:left="0" w:right="0" w:hanging="0"/>
              <w:jc w:val="right"/>
              <w:rPr/>
            </w:pPr>
            <w:r>
              <w:rPr/>
              <w:t> </w:t>
            </w:r>
            <w:r>
              <w:rPr>
                <w:rFonts w:ascii="Arial;sans-serif" w:hAnsi="Arial;sans-serif"/>
                <w:b/>
                <w:sz w:val="20"/>
              </w:rPr>
              <w:t>(1,486</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(1,567</w:t>
            </w:r>
          </w:p>
        </w:tc>
        <w:tc>
          <w:tcPr>
            <w:tcW w:w="4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9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recognized gains (losses) on investments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48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105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48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(76</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0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103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595</w:t>
            </w:r>
          </w:p>
        </w:tc>
        <w:tc>
          <w:tcPr>
            <w:tcW w:w="436" w:type="dxa"/>
            <w:tcBorders/>
            <w:shd w:fill="auto" w:val="clear"/>
            <w:vAlign w:val="center"/>
          </w:tcPr>
          <w:p>
            <w:pPr>
              <w:pStyle w:val="TableContents"/>
              <w:spacing w:before="0" w:after="0"/>
              <w:ind w:left="0" w:right="0" w:hanging="0"/>
              <w:jc w:val="left"/>
              <w:rPr/>
            </w:pPr>
            <w:r>
              <w:rPr/>
              <w:t> </w:t>
            </w:r>
          </w:p>
        </w:tc>
      </w:tr>
      <w:tr>
        <w:trPr/>
        <w:tc>
          <w:tcPr>
            <w:tcW w:w="49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losses on derivatives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48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(65</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48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(29</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0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(255</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(29</w:t>
            </w:r>
          </w:p>
        </w:tc>
        <w:tc>
          <w:tcPr>
            <w:tcW w:w="4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9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gains (losses) on foreign currency remeasurements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48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122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48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(74</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0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(152</w:t>
            </w:r>
          </w:p>
        </w:tc>
        <w:tc>
          <w:tcPr>
            <w:tcW w:w="4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9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Other, net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48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(93</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48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0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(162</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w:t>
            </w:r>
          </w:p>
        </w:tc>
        <w:tc>
          <w:tcPr>
            <w:tcW w:w="4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93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3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0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firstLine="245"/>
              <w:jc w:val="left"/>
              <w:rPr/>
            </w:pPr>
            <w:r>
              <w:rPr/>
              <w:t> </w:t>
            </w:r>
          </w:p>
        </w:tc>
      </w:tr>
      <w:tr>
        <w:trPr/>
        <w:tc>
          <w:tcPr>
            <w:tcW w:w="4936" w:type="dxa"/>
            <w:tcBorders/>
            <w:shd w:fill="auto" w:val="clear"/>
            <w:vAlign w:val="center"/>
          </w:tcPr>
          <w:p>
            <w:pPr>
              <w:pStyle w:val="TableContents"/>
              <w:spacing w:before="0" w:after="0"/>
              <w:ind w:left="245" w:right="0" w:hanging="0"/>
              <w:jc w:val="left"/>
              <w:rPr>
                <w:rFonts w:ascii="Arial;sans-serif" w:hAnsi="Arial;sans-serif"/>
                <w:b w:val="false"/>
                <w:sz w:val="20"/>
              </w:rPr>
            </w:pPr>
            <w:r>
              <w:rPr>
                <w:rFonts w:ascii="Arial;sans-serif" w:hAnsi="Arial;sans-serif"/>
                <w:b w:val="false"/>
                <w:sz w:val="20"/>
              </w:rPr>
              <w:t>Total</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48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321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8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(174</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0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315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380</w:t>
            </w:r>
          </w:p>
        </w:tc>
        <w:tc>
          <w:tcPr>
            <w:tcW w:w="436" w:type="dxa"/>
            <w:tcBorders/>
            <w:shd w:fill="auto" w:val="clear"/>
            <w:vAlign w:val="center"/>
          </w:tcPr>
          <w:p>
            <w:pPr>
              <w:pStyle w:val="TableContents"/>
              <w:spacing w:before="0" w:after="0"/>
              <w:ind w:left="0" w:right="0" w:hanging="0"/>
              <w:jc w:val="left"/>
              <w:rPr/>
            </w:pPr>
            <w:r>
              <w:rPr/>
              <w:t> </w:t>
            </w:r>
          </w:p>
        </w:tc>
      </w:tr>
      <w:tr>
        <w:trPr/>
        <w:tc>
          <w:tcPr>
            <w:tcW w:w="493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Arial;sans-serif" w:hAnsi="Arial;sans-serif"/>
          <w:b w:val="false"/>
          <w:sz w:val="20"/>
        </w:rPr>
      </w:pPr>
      <w:r>
        <w:rPr>
          <w:rFonts w:ascii="Arial;sans-serif" w:hAnsi="Arial;sans-serif"/>
          <w:b w:val="false"/>
          <w:sz w:val="20"/>
        </w:rPr>
        <w:t>We use derivative instruments to manage risks related to foreign currencies, equity prices, interest rates, and credit; enhance investment returns; and facilitate portfolio diversification. Gains and losses from changes in fair values of derivatives that are not designated as hedging instruments are primarily recognized in other income (expense), net.</w:t>
      </w:r>
    </w:p>
    <w:p>
      <w:pPr>
        <w:pStyle w:val="TextBody"/>
        <w:spacing w:before="270" w:after="0"/>
        <w:jc w:val="both"/>
        <w:rPr>
          <w:rFonts w:ascii="Arial;sans-serif" w:hAnsi="Arial;sans-serif"/>
          <w:b/>
          <w:i/>
          <w:sz w:val="20"/>
        </w:rPr>
      </w:pPr>
      <w:r>
        <w:rPr>
          <w:rFonts w:ascii="Arial;sans-serif" w:hAnsi="Arial;sans-serif"/>
          <w:b/>
          <w:i/>
          <w:sz w:val="20"/>
        </w:rPr>
        <w:t>Three Months Ended March 31, 2023 Compared with Three Months Ended March 31, 2022</w:t>
      </w:r>
    </w:p>
    <w:p>
      <w:pPr>
        <w:pStyle w:val="TextBody"/>
        <w:spacing w:before="180" w:after="0"/>
        <w:jc w:val="both"/>
        <w:rPr>
          <w:rFonts w:ascii="Arial;sans-serif" w:hAnsi="Arial;sans-serif"/>
          <w:b w:val="false"/>
          <w:sz w:val="20"/>
        </w:rPr>
      </w:pPr>
      <w:r>
        <w:rPr>
          <w:rFonts w:ascii="Arial;sans-serif" w:hAnsi="Arial;sans-serif"/>
          <w:b w:val="false"/>
          <w:sz w:val="20"/>
        </w:rPr>
        <w:t>Interest and dividends income increased due to higher yields, offset in part by lower portfolio balances. Interest expense decreased due to a decrease in outstanding long-term debt due to debt maturities. Net recognized gains on investments increased due to gains on equity securities in the current period compared to losses in the prior period.</w:t>
      </w:r>
    </w:p>
    <w:p>
      <w:pPr>
        <w:pStyle w:val="TextBody"/>
        <w:spacing w:before="270" w:after="0"/>
        <w:jc w:val="both"/>
        <w:rPr>
          <w:rFonts w:ascii="Arial;sans-serif" w:hAnsi="Arial;sans-serif"/>
          <w:b/>
          <w:i/>
          <w:sz w:val="20"/>
        </w:rPr>
      </w:pPr>
      <w:r>
        <w:rPr>
          <w:rFonts w:ascii="Arial;sans-serif" w:hAnsi="Arial;sans-serif"/>
          <w:b/>
          <w:i/>
          <w:sz w:val="20"/>
        </w:rPr>
        <w:t>Nine Months Ended March 31, 2023 Compared with Nine Months Ended March 31, 2022</w:t>
      </w:r>
    </w:p>
    <w:p>
      <w:pPr>
        <w:pStyle w:val="TextBody"/>
        <w:spacing w:before="180" w:after="0"/>
        <w:jc w:val="both"/>
        <w:rPr>
          <w:rFonts w:ascii="Arial;sans-serif" w:hAnsi="Arial;sans-serif"/>
          <w:b w:val="false"/>
          <w:sz w:val="20"/>
        </w:rPr>
      </w:pPr>
      <w:r>
        <w:rPr>
          <w:rFonts w:ascii="Arial;sans-serif" w:hAnsi="Arial;sans-serif"/>
          <w:b w:val="false"/>
          <w:sz w:val="20"/>
        </w:rPr>
        <w:t>Interest and dividends income increased due to higher yields, offset in part by lower portfolio balances. Interest expense decreased due to a decrease in outstanding long-term debt due to debt maturities. Net recognized gains on investments decreased due to lower gains on equity securities and higher losses on fixed income securities in the current period. Net losses on derivatives increased due to losses related to managing strategic investments.</w:t>
      </w:r>
    </w:p>
    <w:p>
      <w:pPr>
        <w:pStyle w:val="TextBody"/>
        <w:spacing w:before="240" w:after="0"/>
        <w:jc w:val="center"/>
        <w:rPr>
          <w:rFonts w:ascii="Arial;sans-serif" w:hAnsi="Arial;sans-serif"/>
          <w:b w:val="false"/>
          <w:sz w:val="16"/>
        </w:rPr>
      </w:pPr>
      <w:r>
        <w:rPr>
          <w:rFonts w:ascii="Arial;sans-serif" w:hAnsi="Arial;sans-serif"/>
          <w:b w:val="false"/>
          <w:sz w:val="16"/>
        </w:rPr>
        <w:t>42</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w:t>
      </w:r>
    </w:p>
    <w:p>
      <w:pPr>
        <w:pStyle w:val="TextBody"/>
        <w:spacing w:before="0" w:after="0"/>
        <w:jc w:val="center"/>
        <w:rPr>
          <w:rFonts w:ascii="Arial;sans-serif" w:hAnsi="Arial;sans-serif"/>
          <w:b w:val="false"/>
          <w:sz w:val="15"/>
        </w:rPr>
      </w:pPr>
      <w:r>
        <w:rPr>
          <w:rFonts w:ascii="Arial;sans-serif" w:hAnsi="Arial;sans-serif"/>
          <w:b w:val="false"/>
          <w:sz w:val="15"/>
        </w:rPr>
        <w:t>Item 2</w:t>
      </w:r>
    </w:p>
    <w:p>
      <w:pPr>
        <w:pStyle w:val="TextBody"/>
        <w:spacing w:before="0" w:after="0"/>
        <w:jc w:val="left"/>
        <w:rPr/>
      </w:pPr>
      <w:r>
        <w:rPr/>
        <w:t> </w:t>
      </w:r>
    </w:p>
    <w:p>
      <w:pPr>
        <w:pStyle w:val="TextBody"/>
        <w:spacing w:before="270" w:after="0"/>
        <w:jc w:val="center"/>
        <w:rPr>
          <w:rFonts w:ascii="Arial;sans-serif" w:hAnsi="Arial;sans-serif"/>
          <w:b w:val="false"/>
          <w:sz w:val="20"/>
          <w:u w:val="single"/>
        </w:rPr>
      </w:pPr>
      <w:r>
        <w:rPr>
          <w:rFonts w:ascii="Arial;sans-serif" w:hAnsi="Arial;sans-serif"/>
          <w:b w:val="false"/>
          <w:sz w:val="20"/>
          <w:u w:val="single"/>
        </w:rPr>
        <w:t>INCOME TAXES</w:t>
      </w:r>
    </w:p>
    <w:p>
      <w:pPr>
        <w:pStyle w:val="TextBody"/>
        <w:spacing w:before="180" w:after="0"/>
        <w:jc w:val="both"/>
        <w:rPr>
          <w:rFonts w:ascii="Arial;sans-serif" w:hAnsi="Arial;sans-serif"/>
          <w:b/>
          <w:sz w:val="20"/>
        </w:rPr>
      </w:pPr>
      <w:r>
        <w:rPr>
          <w:rFonts w:ascii="Arial;sans-serif" w:hAnsi="Arial;sans-serif"/>
          <w:b/>
          <w:sz w:val="20"/>
        </w:rPr>
        <w:t>Effective Tax Rate</w:t>
      </w:r>
    </w:p>
    <w:p>
      <w:pPr>
        <w:pStyle w:val="TextBody"/>
        <w:spacing w:before="180" w:after="0"/>
        <w:jc w:val="both"/>
        <w:rPr>
          <w:rFonts w:ascii="Arial;sans-serif" w:hAnsi="Arial;sans-serif"/>
          <w:b w:val="false"/>
          <w:sz w:val="20"/>
        </w:rPr>
      </w:pPr>
      <w:r>
        <w:rPr>
          <w:rFonts w:ascii="Arial;sans-serif" w:hAnsi="Arial;sans-serif"/>
          <w:b w:val="false"/>
          <w:sz w:val="20"/>
        </w:rPr>
        <w:t>Our effective tax rate was 19% and 17% for the three months ended March 31, 2023 and 2022, respectively, and 19% and 11% for the nine months ended March 31, 2023 and 2022, respectively. The increase in our effective tax rate for the three months ended March 31, 2023 compared to the prior year was primarily due to a decrease in tax benefits relating to stock-based compensation. The increase in our effective tax rate for the nine months ended March 31, 2023 compared to the prior year was primarily due to a $3.3 billion net income tax benefit in the first quarter of fiscal year 2022 related to the transfer of intangible properties and a decrease in tax benefits relating to stock-based compensation.</w:t>
      </w:r>
    </w:p>
    <w:p>
      <w:pPr>
        <w:pStyle w:val="TextBody"/>
        <w:spacing w:before="180" w:after="0"/>
        <w:jc w:val="both"/>
        <w:rPr>
          <w:rFonts w:ascii="Arial;sans-serif" w:hAnsi="Arial;sans-serif"/>
          <w:b w:val="false"/>
          <w:sz w:val="20"/>
        </w:rPr>
      </w:pPr>
      <w:r>
        <w:rPr>
          <w:rFonts w:ascii="Arial;sans-serif" w:hAnsi="Arial;sans-serif"/>
          <w:b w:val="false"/>
          <w:sz w:val="20"/>
        </w:rPr>
        <w:t>In the first quarter of fiscal year 2022, we transferred certain intangible properties from our Puerto Rico subsidiary to the U.S. The transfer of intangible properties resulted in a $3.3 billion net income tax benefit in the first quarter of fiscal year 2022, as the value of future U.S. tax deductions exceeded the current tax liability from the U.S. global intangible low-taxed income tax.</w:t>
      </w:r>
    </w:p>
    <w:p>
      <w:pPr>
        <w:pStyle w:val="TextBody"/>
        <w:spacing w:before="180" w:after="0"/>
        <w:jc w:val="both"/>
        <w:rPr>
          <w:rFonts w:ascii="Arial;sans-serif" w:hAnsi="Arial;sans-serif"/>
          <w:b w:val="false"/>
          <w:sz w:val="20"/>
        </w:rPr>
      </w:pPr>
      <w:r>
        <w:rPr>
          <w:rFonts w:ascii="Arial;sans-serif" w:hAnsi="Arial;sans-serif"/>
          <w:b w:val="false"/>
          <w:sz w:val="20"/>
        </w:rPr>
        <w:t>Our effective tax rate was lower than the U.S. federal statutory rate for the three and nine months ended March 31, 2023, primarily due to earnings taxed at lower rates in foreign jurisdictions resulting from producing and distributing our products and services through our foreign regional operations center in Ireland.</w:t>
      </w:r>
    </w:p>
    <w:p>
      <w:pPr>
        <w:pStyle w:val="TextBody"/>
        <w:spacing w:before="270" w:after="0"/>
        <w:jc w:val="both"/>
        <w:rPr>
          <w:rFonts w:ascii="Arial;sans-serif" w:hAnsi="Arial;sans-serif"/>
          <w:b/>
          <w:sz w:val="20"/>
        </w:rPr>
      </w:pPr>
      <w:r>
        <w:rPr>
          <w:rFonts w:ascii="Arial;sans-serif" w:hAnsi="Arial;sans-serif"/>
          <w:b/>
          <w:sz w:val="20"/>
        </w:rPr>
        <w:t>Uncertain Tax Positions</w:t>
      </w:r>
    </w:p>
    <w:p>
      <w:pPr>
        <w:pStyle w:val="TextBody"/>
        <w:spacing w:before="180" w:after="0"/>
        <w:jc w:val="both"/>
        <w:rPr>
          <w:rFonts w:ascii="Arial;sans-serif" w:hAnsi="Arial;sans-serif"/>
          <w:b w:val="false"/>
          <w:sz w:val="20"/>
        </w:rPr>
      </w:pPr>
      <w:r>
        <w:rPr>
          <w:rFonts w:ascii="Arial;sans-serif" w:hAnsi="Arial;sans-serif"/>
          <w:b w:val="false"/>
          <w:sz w:val="20"/>
        </w:rPr>
        <w:t>We settled a portion of the Internal Revenue Service (“IRS”) audit for tax years 2004 to 2006 in fiscal year 2011. In February 2012, the IRS withdrew its 2011 Revenue Agents Report related to unresolved issues for tax years 2004 to 2006 and reopened the audit phase of the examination. We also settled a portion of the IRS audit for tax years 2007 to 2009 in fiscal year 2016, and a portion of the IRS audit for tax years 2010 to 2013 in fiscal year 2018. In the second quarter of fiscal year 2021, we settled an additional portion of the IRS audits for tax years 2004 to 2013 and made a payment of $1.7 billion, including tax and interest. We remain under audit for tax years 2004 to 2017.</w:t>
      </w:r>
    </w:p>
    <w:p>
      <w:pPr>
        <w:pStyle w:val="TextBody"/>
        <w:spacing w:before="180" w:after="0"/>
        <w:jc w:val="both"/>
        <w:rPr>
          <w:rFonts w:ascii="Arial;sans-serif" w:hAnsi="Arial;sans-serif"/>
          <w:b w:val="false"/>
          <w:sz w:val="20"/>
        </w:rPr>
      </w:pPr>
      <w:r>
        <w:rPr>
          <w:rFonts w:ascii="Arial;sans-serif" w:hAnsi="Arial;sans-serif"/>
          <w:b w:val="false"/>
          <w:sz w:val="20"/>
        </w:rPr>
        <w:t>As of March 31, 2023, the primary unresolved issues for the IRS audits relate to transfer pricing, which could have a material impact in our consolidated financial statements when the matters are resolved. We believe our allowances for income tax contingencies are adequate. We have not received a proposed assessment for the unresolved key transfer pricing issues. We do not expect a final resolution of these issues in the next 12 months. Based on the information currently available, we do not anticipate a significant increase or decrease to our tax contingencies for these issues within the next 12 months.</w:t>
      </w:r>
    </w:p>
    <w:p>
      <w:pPr>
        <w:pStyle w:val="TextBody"/>
        <w:spacing w:before="180" w:after="0"/>
        <w:jc w:val="both"/>
        <w:rPr>
          <w:rFonts w:ascii="Arial;sans-serif" w:hAnsi="Arial;sans-serif"/>
          <w:b w:val="false"/>
          <w:sz w:val="20"/>
        </w:rPr>
      </w:pPr>
      <w:r>
        <w:rPr>
          <w:rFonts w:ascii="Arial;sans-serif" w:hAnsi="Arial;sans-serif"/>
          <w:b w:val="false"/>
          <w:sz w:val="20"/>
        </w:rPr>
        <w:t>We are subject to income tax in many jurisdictions outside the U.S. Our operations in certain jurisdictions remain subject to examination for tax years 1996 to 2022, some of which are currently under audit by local tax authorities. The resolution of each of these audits is not expected to be material to our consolidated financial statements.</w:t>
      </w:r>
    </w:p>
    <w:p>
      <w:pPr>
        <w:pStyle w:val="TextBody"/>
        <w:spacing w:before="270" w:after="0"/>
        <w:jc w:val="center"/>
        <w:rPr>
          <w:rFonts w:ascii="Arial;sans-serif" w:hAnsi="Arial;sans-serif"/>
          <w:b w:val="false"/>
          <w:sz w:val="20"/>
          <w:u w:val="single"/>
        </w:rPr>
      </w:pPr>
      <w:r>
        <w:rPr>
          <w:rFonts w:ascii="Arial;sans-serif" w:hAnsi="Arial;sans-serif"/>
          <w:b w:val="false"/>
          <w:sz w:val="20"/>
          <w:u w:val="single"/>
        </w:rPr>
        <w:t>NON-GAAP FINANCIAL MEASURES</w:t>
      </w:r>
    </w:p>
    <w:p>
      <w:pPr>
        <w:pStyle w:val="TextBody"/>
        <w:spacing w:before="180" w:after="0"/>
        <w:jc w:val="both"/>
        <w:rPr>
          <w:rFonts w:ascii="Arial;sans-serif" w:hAnsi="Arial;sans-serif"/>
          <w:b w:val="false"/>
          <w:sz w:val="20"/>
        </w:rPr>
      </w:pPr>
      <w:r>
        <w:rPr>
          <w:rFonts w:ascii="Arial;sans-serif" w:hAnsi="Arial;sans-serif"/>
          <w:b w:val="false"/>
          <w:sz w:val="20"/>
        </w:rPr>
        <w:t>Adjusted gross margin, operating income, net income, and diluted EPS are non-GAAP financial measures. Current year non-GAAP financial measures exclude the impact of the Q2 charge, which includes employee severance expenses, impairment charges resulting from changes to our hardware portfolio, and costs related to lease consolidation activities. Prior year non-GAAP financial measures exclude the net income tax benefit related to transfer of intangible properties in the first quarter of fiscal year 2022. We believe these non-GAAP measures aid investors by providing additional insight into our operational performance and help clarify trends affecting our business. For comparability of reporting, management considers non-GAAP measures in conjunction with GAAP financial results in evaluating business performance. These non-GAAP financial measures presented should not be considered a substitute for, or superior to, the measures of financial performance prepared in accordance with GAAP.</w:t>
      </w:r>
    </w:p>
    <w:p>
      <w:pPr>
        <w:pStyle w:val="TextBody"/>
        <w:spacing w:before="240" w:after="0"/>
        <w:jc w:val="center"/>
        <w:rPr>
          <w:rFonts w:ascii="Arial;sans-serif" w:hAnsi="Arial;sans-serif"/>
          <w:b w:val="false"/>
          <w:sz w:val="16"/>
        </w:rPr>
      </w:pPr>
      <w:r>
        <w:rPr>
          <w:rFonts w:ascii="Arial;sans-serif" w:hAnsi="Arial;sans-serif"/>
          <w:b w:val="false"/>
          <w:sz w:val="16"/>
        </w:rPr>
        <w:t>43</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w:t>
      </w:r>
    </w:p>
    <w:p>
      <w:pPr>
        <w:pStyle w:val="TextBody"/>
        <w:spacing w:before="0" w:after="0"/>
        <w:jc w:val="center"/>
        <w:rPr>
          <w:rFonts w:ascii="Arial;sans-serif" w:hAnsi="Arial;sans-serif"/>
          <w:b w:val="false"/>
          <w:sz w:val="15"/>
        </w:rPr>
      </w:pPr>
      <w:r>
        <w:rPr>
          <w:rFonts w:ascii="Arial;sans-serif" w:hAnsi="Arial;sans-serif"/>
          <w:b w:val="false"/>
          <w:sz w:val="15"/>
        </w:rPr>
        <w:t>Item 2</w:t>
      </w:r>
    </w:p>
    <w:p>
      <w:pPr>
        <w:pStyle w:val="TextBody"/>
        <w:spacing w:before="0" w:after="0"/>
        <w:jc w:val="left"/>
        <w:rPr/>
      </w:pPr>
      <w:r>
        <w:rPr/>
        <w:t> </w:t>
      </w:r>
    </w:p>
    <w:p>
      <w:pPr>
        <w:pStyle w:val="TextBody"/>
        <w:spacing w:before="180" w:after="0"/>
        <w:jc w:val="both"/>
        <w:rPr>
          <w:rFonts w:ascii="Arial;sans-serif" w:hAnsi="Arial;sans-serif"/>
          <w:b w:val="false"/>
          <w:sz w:val="20"/>
        </w:rPr>
      </w:pPr>
      <w:r>
        <w:rPr>
          <w:rFonts w:ascii="Arial;sans-serif" w:hAnsi="Arial;sans-serif"/>
          <w:b w:val="false"/>
          <w:sz w:val="20"/>
        </w:rPr>
        <w:t>The following table reconciles our financial results reported in accordance with GAAP to non-GAAP financial results:</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3116"/>
        <w:gridCol w:w="146"/>
        <w:gridCol w:w="211"/>
        <w:gridCol w:w="691"/>
        <w:gridCol w:w="146"/>
        <w:gridCol w:w="211"/>
        <w:gridCol w:w="691"/>
        <w:gridCol w:w="146"/>
        <w:gridCol w:w="146"/>
        <w:gridCol w:w="946"/>
        <w:gridCol w:w="146"/>
        <w:gridCol w:w="211"/>
        <w:gridCol w:w="796"/>
        <w:gridCol w:w="146"/>
        <w:gridCol w:w="211"/>
        <w:gridCol w:w="796"/>
        <w:gridCol w:w="166"/>
        <w:gridCol w:w="146"/>
        <w:gridCol w:w="946"/>
        <w:gridCol w:w="191"/>
      </w:tblGrid>
      <w:tr>
        <w:trPr/>
        <w:tc>
          <w:tcPr>
            <w:tcW w:w="31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116"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(In millions, except percentages and per share amounts)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1739" w:type="dxa"/>
            <w:gridSpan w:val="4"/>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Three Months Ended</w:t>
            </w:r>
          </w:p>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46"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Percentage</w:t>
            </w:r>
          </w:p>
          <w:p>
            <w:pPr>
              <w:pStyle w:val="TableContents"/>
              <w:spacing w:before="0" w:after="0"/>
              <w:ind w:left="0" w:right="0" w:hanging="0"/>
              <w:jc w:val="right"/>
              <w:rPr>
                <w:rFonts w:ascii="Arial;sans-serif" w:hAnsi="Arial;sans-serif"/>
                <w:b/>
                <w:sz w:val="15"/>
              </w:rPr>
            </w:pPr>
            <w:r>
              <w:rPr>
                <w:rFonts w:ascii="Arial;sans-serif" w:hAnsi="Arial;sans-serif"/>
                <w:b/>
                <w:sz w:val="15"/>
              </w:rPr>
              <w:t>Change</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1949" w:type="dxa"/>
            <w:gridSpan w:val="4"/>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Nine Months Ended</w:t>
            </w:r>
          </w:p>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46"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Percentage</w:t>
            </w:r>
          </w:p>
          <w:p>
            <w:pPr>
              <w:pStyle w:val="TableContents"/>
              <w:spacing w:before="0" w:after="0"/>
              <w:ind w:left="0" w:right="0" w:hanging="0"/>
              <w:jc w:val="right"/>
              <w:rPr>
                <w:rFonts w:ascii="Arial;sans-serif" w:hAnsi="Arial;sans-serif"/>
                <w:b/>
                <w:sz w:val="15"/>
              </w:rPr>
            </w:pPr>
            <w:r>
              <w:rPr>
                <w:rFonts w:ascii="Arial;sans-serif" w:hAnsi="Arial;sans-serif"/>
                <w:b/>
                <w:sz w:val="15"/>
              </w:rPr>
              <w:t>Change</w:t>
            </w:r>
          </w:p>
        </w:tc>
        <w:tc>
          <w:tcPr>
            <w:tcW w:w="191" w:type="dxa"/>
            <w:tcBorders/>
            <w:shd w:fill="auto" w:val="clear"/>
            <w:vAlign w:val="center"/>
          </w:tcPr>
          <w:p>
            <w:pPr>
              <w:pStyle w:val="TableContents"/>
              <w:spacing w:before="0" w:after="0"/>
              <w:ind w:left="0" w:right="0" w:hanging="0"/>
              <w:jc w:val="right"/>
              <w:rPr/>
            </w:pPr>
            <w:r>
              <w:rPr/>
              <w:t> </w:t>
            </w:r>
          </w:p>
        </w:tc>
      </w:tr>
      <w:tr>
        <w:trPr/>
        <w:tc>
          <w:tcPr>
            <w:tcW w:w="3116"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11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31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2022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311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31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Gross margin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36,729</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33,745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106,658</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100,184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w:t>
            </w:r>
          </w:p>
        </w:tc>
        <w:tc>
          <w:tcPr>
            <w:tcW w:w="191" w:type="dxa"/>
            <w:tcBorders/>
            <w:shd w:fill="auto" w:val="clear"/>
            <w:vAlign w:val="center"/>
          </w:tcPr>
          <w:p>
            <w:pPr>
              <w:pStyle w:val="TableContents"/>
              <w:spacing w:before="0" w:after="0"/>
              <w:ind w:left="0" w:right="0" w:hanging="0"/>
              <w:jc w:val="left"/>
              <w:rPr/>
            </w:pPr>
            <w:r>
              <w:rPr/>
              <w:t> </w:t>
            </w:r>
          </w:p>
        </w:tc>
      </w:tr>
      <w:tr>
        <w:trPr/>
        <w:tc>
          <w:tcPr>
            <w:tcW w:w="31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Severance, hardware-related impairment, and lease consolidation costs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152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311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311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31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Adjusted gross margin (non-GAAP)</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36,729</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33,745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106,810</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100,184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w:t>
            </w:r>
          </w:p>
        </w:tc>
        <w:tc>
          <w:tcPr>
            <w:tcW w:w="191" w:type="dxa"/>
            <w:tcBorders/>
            <w:shd w:fill="auto" w:val="clear"/>
            <w:vAlign w:val="center"/>
          </w:tcPr>
          <w:p>
            <w:pPr>
              <w:pStyle w:val="TableContents"/>
              <w:spacing w:before="0" w:after="0"/>
              <w:ind w:left="0" w:right="0" w:hanging="0"/>
              <w:jc w:val="left"/>
              <w:rPr/>
            </w:pPr>
            <w:r>
              <w:rPr/>
              <w:t> </w:t>
            </w:r>
          </w:p>
        </w:tc>
      </w:tr>
      <w:tr>
        <w:trPr/>
        <w:tc>
          <w:tcPr>
            <w:tcW w:w="311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311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31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Operating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22,352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20,364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64,269</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62,849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191" w:type="dxa"/>
            <w:tcBorders/>
            <w:shd w:fill="auto" w:val="clear"/>
            <w:vAlign w:val="center"/>
          </w:tcPr>
          <w:p>
            <w:pPr>
              <w:pStyle w:val="TableContents"/>
              <w:spacing w:before="0" w:after="0"/>
              <w:ind w:left="0" w:right="0" w:hanging="0"/>
              <w:jc w:val="left"/>
              <w:rPr/>
            </w:pPr>
            <w:r>
              <w:rPr/>
              <w:t> </w:t>
            </w:r>
          </w:p>
        </w:tc>
      </w:tr>
      <w:tr>
        <w:trPr/>
        <w:tc>
          <w:tcPr>
            <w:tcW w:w="31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Severance, hardware-related impairment, and lease consolidation costs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1,171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311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311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31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Adjusted operating income (non-GAAP)</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22,352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20,364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65,440</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62,849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w:t>
            </w:r>
          </w:p>
        </w:tc>
        <w:tc>
          <w:tcPr>
            <w:tcW w:w="191" w:type="dxa"/>
            <w:tcBorders/>
            <w:shd w:fill="auto" w:val="clear"/>
            <w:vAlign w:val="center"/>
          </w:tcPr>
          <w:p>
            <w:pPr>
              <w:pStyle w:val="TableContents"/>
              <w:spacing w:before="0" w:after="0"/>
              <w:ind w:left="0" w:right="0" w:hanging="0"/>
              <w:jc w:val="left"/>
              <w:rPr/>
            </w:pPr>
            <w:r>
              <w:rPr/>
              <w:t> </w:t>
            </w:r>
          </w:p>
        </w:tc>
      </w:tr>
      <w:tr>
        <w:trPr/>
        <w:tc>
          <w:tcPr>
            <w:tcW w:w="311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311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12"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691" w:type="dxa"/>
            <w:tcBorders>
              <w:top w:val="single" w:sz="12"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12"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211" w:type="dxa"/>
            <w:tcBorders>
              <w:top w:val="single" w:sz="12"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691" w:type="dxa"/>
            <w:tcBorders>
              <w:top w:val="single" w:sz="12"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12"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12"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796" w:type="dxa"/>
            <w:tcBorders>
              <w:top w:val="single" w:sz="12"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12"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211" w:type="dxa"/>
            <w:tcBorders>
              <w:top w:val="single" w:sz="12"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796" w:type="dxa"/>
            <w:tcBorders>
              <w:top w:val="single" w:sz="12"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66" w:type="dxa"/>
            <w:tcBorders>
              <w:top w:val="single" w:sz="12"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3116"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Net income</w:t>
            </w:r>
            <w:r>
              <w:rPr>
                <w:rFonts w:ascii="Times New Roman" w:hAnsi="Times New Roman"/>
                <w:sz w:val="20"/>
              </w:rPr>
              <w:t xml:space="preserve">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18,299</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16,728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52,280</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55,998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w:t>
            </w:r>
          </w:p>
        </w:tc>
        <w:tc>
          <w:tcPr>
            <w:tcW w:w="191" w:type="dxa"/>
            <w:tcBorders/>
            <w:shd w:fill="auto" w:val="clear"/>
            <w:vAlign w:val="center"/>
          </w:tcPr>
          <w:p>
            <w:pPr>
              <w:pStyle w:val="TableContents"/>
              <w:spacing w:before="0" w:after="0"/>
              <w:ind w:left="0" w:right="0" w:hanging="0"/>
              <w:jc w:val="left"/>
              <w:rPr/>
            </w:pPr>
            <w:r>
              <w:rPr/>
              <w:t> </w:t>
            </w:r>
          </w:p>
        </w:tc>
      </w:tr>
      <w:tr>
        <w:trPr/>
        <w:tc>
          <w:tcPr>
            <w:tcW w:w="31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Severance, hardware-related impairment, and lease consolidation costs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946</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31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income tax benefit related to transfer of intangible properties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(3,291</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311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311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31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Adjusted net income (non-GAAP)</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18,299</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16,728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53,226</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52,707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191" w:type="dxa"/>
            <w:tcBorders/>
            <w:shd w:fill="auto" w:val="clear"/>
            <w:vAlign w:val="center"/>
          </w:tcPr>
          <w:p>
            <w:pPr>
              <w:pStyle w:val="TableContents"/>
              <w:spacing w:before="0" w:after="0"/>
              <w:ind w:left="0" w:right="0" w:hanging="0"/>
              <w:jc w:val="left"/>
              <w:rPr/>
            </w:pPr>
            <w:r>
              <w:rPr/>
              <w:t> </w:t>
            </w:r>
          </w:p>
        </w:tc>
      </w:tr>
      <w:tr>
        <w:trPr/>
        <w:tc>
          <w:tcPr>
            <w:tcW w:w="311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311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31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Diluted earnings per share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2.45</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6.99</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7.41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w:t>
            </w:r>
          </w:p>
        </w:tc>
        <w:tc>
          <w:tcPr>
            <w:tcW w:w="191" w:type="dxa"/>
            <w:tcBorders/>
            <w:shd w:fill="auto" w:val="clear"/>
            <w:vAlign w:val="center"/>
          </w:tcPr>
          <w:p>
            <w:pPr>
              <w:pStyle w:val="TableContents"/>
              <w:spacing w:before="0" w:after="0"/>
              <w:ind w:left="0" w:right="0" w:hanging="0"/>
              <w:jc w:val="left"/>
              <w:rPr/>
            </w:pPr>
            <w:r>
              <w:rPr/>
              <w:t> </w:t>
            </w:r>
          </w:p>
        </w:tc>
      </w:tr>
      <w:tr>
        <w:trPr/>
        <w:tc>
          <w:tcPr>
            <w:tcW w:w="31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Severance, hardware-related impairment, and lease consolidation costs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0.13</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31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income tax benefit related to transfer of intangible properties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(0.43</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311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311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31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Adjusted diluted earnings per share (non-GAAP)</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2.45</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7.12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6.98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191" w:type="dxa"/>
            <w:tcBorders/>
            <w:shd w:fill="auto" w:val="clear"/>
            <w:vAlign w:val="center"/>
          </w:tcPr>
          <w:p>
            <w:pPr>
              <w:pStyle w:val="TableContents"/>
              <w:spacing w:before="0" w:after="0"/>
              <w:ind w:left="0" w:right="0" w:hanging="0"/>
              <w:jc w:val="left"/>
              <w:rPr/>
            </w:pPr>
            <w:r>
              <w:rPr/>
              <w:t> </w:t>
            </w:r>
          </w:p>
        </w:tc>
      </w:tr>
      <w:tr>
        <w:trPr/>
        <w:tc>
          <w:tcPr>
            <w:tcW w:w="311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Arial;sans-serif" w:hAnsi="Arial;sans-serif"/>
          <w:b w:val="false"/>
          <w:sz w:val="20"/>
        </w:rPr>
        <w:t xml:space="preserve">* </w:t>
      </w:r>
      <w:r>
        <w:rPr>
          <w:rFonts w:ascii="Arial;sans-serif" w:hAnsi="Arial;sans-serif"/>
          <w:b w:val="false"/>
          <w:i/>
          <w:sz w:val="20"/>
        </w:rPr>
        <w:t>Not meaningful.</w:t>
      </w:r>
    </w:p>
    <w:p>
      <w:pPr>
        <w:pStyle w:val="TextBody"/>
        <w:spacing w:before="270" w:after="0"/>
        <w:jc w:val="center"/>
        <w:rPr>
          <w:rFonts w:ascii="Arial;sans-serif" w:hAnsi="Arial;sans-serif"/>
          <w:b w:val="false"/>
          <w:sz w:val="20"/>
          <w:u w:val="single"/>
        </w:rPr>
      </w:pPr>
      <w:r>
        <w:rPr>
          <w:rFonts w:ascii="Arial;sans-serif" w:hAnsi="Arial;sans-serif"/>
          <w:b w:val="false"/>
          <w:sz w:val="20"/>
          <w:u w:val="single"/>
        </w:rPr>
        <w:t>LIQUIDITY AND CAPITAL RESOURCES</w:t>
      </w:r>
    </w:p>
    <w:p>
      <w:pPr>
        <w:pStyle w:val="TextBody"/>
        <w:spacing w:before="180" w:after="0"/>
        <w:jc w:val="both"/>
        <w:rPr>
          <w:rFonts w:ascii="Arial;sans-serif" w:hAnsi="Arial;sans-serif"/>
          <w:b w:val="false"/>
          <w:sz w:val="20"/>
        </w:rPr>
      </w:pPr>
      <w:r>
        <w:rPr>
          <w:rFonts w:ascii="Arial;sans-serif" w:hAnsi="Arial;sans-serif"/>
          <w:b w:val="false"/>
          <w:sz w:val="20"/>
        </w:rPr>
        <w:t>We expect existing cash, cash equivalents, short-term investments, cash flows from operations, and access to capital markets to continue to be sufficient to fund our operating activities and cash commitments for investing and financing activities, such as dividends, share repurchases, debt maturities, material capital expenditures, and the transition tax related to the Tax Cuts and Jobs Act (“TCJA”), for at least the next 12 months and thereafter for the foreseeable future.</w:t>
      </w:r>
    </w:p>
    <w:p>
      <w:pPr>
        <w:pStyle w:val="TextBody"/>
        <w:spacing w:before="270" w:after="0"/>
        <w:jc w:val="both"/>
        <w:rPr>
          <w:rFonts w:ascii="Arial;sans-serif" w:hAnsi="Arial;sans-serif"/>
          <w:b/>
          <w:sz w:val="20"/>
        </w:rPr>
      </w:pPr>
      <w:r>
        <w:rPr>
          <w:rFonts w:ascii="Arial;sans-serif" w:hAnsi="Arial;sans-serif"/>
          <w:b/>
          <w:sz w:val="20"/>
        </w:rPr>
        <w:t>Cash, Cash Equivalents, and Investments</w:t>
      </w:r>
    </w:p>
    <w:p>
      <w:pPr>
        <w:pStyle w:val="TextBody"/>
        <w:spacing w:before="180" w:after="0"/>
        <w:jc w:val="both"/>
        <w:rPr>
          <w:rFonts w:ascii="Arial;sans-serif" w:hAnsi="Arial;sans-serif"/>
          <w:b w:val="false"/>
          <w:sz w:val="20"/>
        </w:rPr>
      </w:pPr>
      <w:r>
        <w:rPr>
          <w:rFonts w:ascii="Arial;sans-serif" w:hAnsi="Arial;sans-serif"/>
          <w:b w:val="false"/>
          <w:sz w:val="20"/>
        </w:rPr>
        <w:t>Cash, cash equivalents, and short-term investments totaled $104.4 billion and $104.8 billion as of March 31, 2023 and June 30, 2022, respectively. Equity investments were $9.4 billion and $6.9 billion as of March 31, 2023 and June 30, 2022, respectively. Our short-term investments are primarily intended to facilitate liquidity and capital preservation. They consist predominantly of highly liquid investment-grade fixed-income securities, diversified among industries and individual issuers. The investments are predominantly U.S. dollar-denominated securities, but also include foreign currency-denominated securities to diversify risk. Our fixed-income investments are exposed to interest rate risk and credit risk. The credit risk and average maturity of our fixed-income portfolio are managed to achieve economic returns that correlate to certain fixed-income indices. The settlement risk related to these investments is insignificant given that the short-term investments held are primarily highly liquid investment-grade fixed-income securities.</w:t>
      </w:r>
    </w:p>
    <w:p>
      <w:pPr>
        <w:pStyle w:val="TextBody"/>
        <w:spacing w:before="240" w:after="0"/>
        <w:jc w:val="center"/>
        <w:rPr>
          <w:rFonts w:ascii="Arial;sans-serif" w:hAnsi="Arial;sans-serif"/>
          <w:b w:val="false"/>
          <w:sz w:val="16"/>
        </w:rPr>
      </w:pPr>
      <w:r>
        <w:rPr>
          <w:rFonts w:ascii="Arial;sans-serif" w:hAnsi="Arial;sans-serif"/>
          <w:b w:val="false"/>
          <w:sz w:val="16"/>
        </w:rPr>
        <w:t>44</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w:t>
      </w:r>
    </w:p>
    <w:p>
      <w:pPr>
        <w:pStyle w:val="TextBody"/>
        <w:spacing w:before="0" w:after="0"/>
        <w:jc w:val="center"/>
        <w:rPr>
          <w:rFonts w:ascii="Arial;sans-serif" w:hAnsi="Arial;sans-serif"/>
          <w:b w:val="false"/>
          <w:sz w:val="15"/>
        </w:rPr>
      </w:pPr>
      <w:r>
        <w:rPr>
          <w:rFonts w:ascii="Arial;sans-serif" w:hAnsi="Arial;sans-serif"/>
          <w:b w:val="false"/>
          <w:sz w:val="15"/>
        </w:rPr>
        <w:t>Item 2</w:t>
      </w:r>
    </w:p>
    <w:p>
      <w:pPr>
        <w:pStyle w:val="TextBody"/>
        <w:spacing w:before="0" w:after="0"/>
        <w:jc w:val="left"/>
        <w:rPr/>
      </w:pPr>
      <w:r>
        <w:rPr/>
        <w:t> </w:t>
      </w:r>
    </w:p>
    <w:p>
      <w:pPr>
        <w:pStyle w:val="TextBody"/>
        <w:spacing w:before="270" w:after="0"/>
        <w:jc w:val="both"/>
        <w:rPr>
          <w:rFonts w:ascii="Arial;sans-serif" w:hAnsi="Arial;sans-serif"/>
          <w:b/>
          <w:sz w:val="20"/>
        </w:rPr>
      </w:pPr>
      <w:r>
        <w:rPr>
          <w:rFonts w:ascii="Arial;sans-serif" w:hAnsi="Arial;sans-serif"/>
          <w:b/>
          <w:sz w:val="20"/>
        </w:rPr>
        <w:t>Valuation</w:t>
      </w:r>
    </w:p>
    <w:p>
      <w:pPr>
        <w:pStyle w:val="TextBody"/>
        <w:spacing w:before="180" w:after="0"/>
        <w:jc w:val="both"/>
        <w:rPr>
          <w:rFonts w:ascii="Arial;sans-serif" w:hAnsi="Arial;sans-serif"/>
          <w:b w:val="false"/>
          <w:sz w:val="20"/>
        </w:rPr>
      </w:pPr>
      <w:r>
        <w:rPr>
          <w:rFonts w:ascii="Arial;sans-serif" w:hAnsi="Arial;sans-serif"/>
          <w:b w:val="false"/>
          <w:sz w:val="20"/>
        </w:rPr>
        <w:t>In general, and where applicable, we use quoted prices in active markets for identical assets or liabilities to determine the fair value of our financial instruments. This pricing methodology applies to our Level 1 investments, such as U.S. government securities, common and preferred stock, and mutual funds. If quoted prices in active markets for identical assets or liabilities are not available to determine fair value, then we use quoted prices for similar assets and liabilities or inputs other than the quoted prices that are observable either directly or indirectly. This pricing methodology applies to our Level 2 investments, such as commercial paper, certificates of deposit, U.S. agency securities, foreign government bonds, mortgage- and asset-backed securities, corporate notes and bonds, and municipal securities. Level 3 investments are valued using internally-developed models with unobservable inputs. Assets and liabilities measured at fair value on a recurring basis using unobservable inputs are an immaterial portion of our portfolio.</w:t>
      </w:r>
    </w:p>
    <w:p>
      <w:pPr>
        <w:pStyle w:val="TextBody"/>
        <w:spacing w:before="180" w:after="0"/>
        <w:jc w:val="both"/>
        <w:rPr>
          <w:rFonts w:ascii="Arial;sans-serif" w:hAnsi="Arial;sans-serif"/>
          <w:b w:val="false"/>
          <w:sz w:val="20"/>
        </w:rPr>
      </w:pPr>
      <w:r>
        <w:rPr>
          <w:rFonts w:ascii="Arial;sans-serif" w:hAnsi="Arial;sans-serif"/>
          <w:b w:val="false"/>
          <w:sz w:val="20"/>
        </w:rPr>
        <w:t>A majority of our investments are priced by pricing vendors and are generally Level 1 or Level 2 investments as these vendors either provide a quoted market price in an active market or use observable inputs for their pricing without applying significant adjustments. Broker pricing is used mainly when a quoted price is not available, the investment is not priced by our pricing vendors, or when a broker price is more reflective of fair values in the market in which the investment trades. Our broker-priced investments are generally classified as Level 2 investments because the broker prices these investments based on similar assets without applying significant adjustments. In addition, all our broker-priced investments have a sufficient level of trading volume to demonstrate that the fair values used are appropriate for these investments. Our fair value processes include controls that are designed to ensure appropriate fair values are recorded. These controls include model validation, review of key model inputs, analysis of period-over-period fluctuations, and independent recalculation of prices where appropriate.</w:t>
      </w:r>
    </w:p>
    <w:p>
      <w:pPr>
        <w:pStyle w:val="TextBody"/>
        <w:spacing w:before="270" w:after="0"/>
        <w:jc w:val="both"/>
        <w:rPr>
          <w:rFonts w:ascii="Arial;sans-serif" w:hAnsi="Arial;sans-serif"/>
          <w:b/>
          <w:sz w:val="20"/>
        </w:rPr>
      </w:pPr>
      <w:r>
        <w:rPr>
          <w:rFonts w:ascii="Arial;sans-serif" w:hAnsi="Arial;sans-serif"/>
          <w:b/>
          <w:sz w:val="20"/>
        </w:rPr>
        <w:t>Cash Flows</w:t>
      </w:r>
    </w:p>
    <w:p>
      <w:pPr>
        <w:pStyle w:val="TextBody"/>
        <w:spacing w:before="180" w:after="0"/>
        <w:jc w:val="both"/>
        <w:rPr>
          <w:rFonts w:ascii="Arial;sans-serif" w:hAnsi="Arial;sans-serif"/>
          <w:b w:val="false"/>
          <w:sz w:val="20"/>
        </w:rPr>
      </w:pPr>
      <w:r>
        <w:rPr>
          <w:rFonts w:ascii="Arial;sans-serif" w:hAnsi="Arial;sans-serif"/>
          <w:b w:val="false"/>
          <w:sz w:val="20"/>
        </w:rPr>
        <w:t>Cash from operations decreased $5.6 billion to $58.8 billion for the nine months ended March 31, 2023, mainly due to an increase in cash paid to employees and suppliers and cash used to pay income taxes, offset in part by an increase in cash received from customers. Cash used in financing decreased $13.1 billion to $32.5 billion for the nine months ended March 31, 2023, mainly due to a $7.4 billion decrease in common stock repurchases and a $7.3 billion decrease in repayments of debt, offset in part by a $1.2 billion increase in dividends paid. Cash used in investing decreased $7.0 billion to $13.5 billion for the nine months ended March 31, 2023, due to a $19.4 billion decrease in cash used for acquisitions of companies, net of cash acquired, and purchases of intangible and other assets, offset in part by a $9.1 billion decrease in cash from net investment purchases, sales, and maturities, a $2.1 billion increase in additions to property and equipment, and a $1.2 billion increase in other investing to facilitate the purchase of components.</w:t>
      </w:r>
    </w:p>
    <w:p>
      <w:pPr>
        <w:pStyle w:val="TextBody"/>
        <w:spacing w:before="270" w:after="0"/>
        <w:jc w:val="both"/>
        <w:rPr>
          <w:rFonts w:ascii="Arial;sans-serif" w:hAnsi="Arial;sans-serif"/>
          <w:b/>
          <w:sz w:val="20"/>
        </w:rPr>
      </w:pPr>
      <w:r>
        <w:rPr>
          <w:rFonts w:ascii="Arial;sans-serif" w:hAnsi="Arial;sans-serif"/>
          <w:b/>
          <w:sz w:val="20"/>
        </w:rPr>
        <w:t>Debt Proceeds</w:t>
      </w:r>
    </w:p>
    <w:p>
      <w:pPr>
        <w:pStyle w:val="TextBody"/>
        <w:spacing w:before="180" w:after="0"/>
        <w:jc w:val="both"/>
        <w:rPr>
          <w:rFonts w:ascii="Arial;sans-serif" w:hAnsi="Arial;sans-serif"/>
          <w:b w:val="false"/>
          <w:sz w:val="20"/>
        </w:rPr>
      </w:pPr>
      <w:r>
        <w:rPr>
          <w:rFonts w:ascii="Arial;sans-serif" w:hAnsi="Arial;sans-serif"/>
          <w:b w:val="false"/>
          <w:sz w:val="20"/>
        </w:rPr>
        <w:t>We issue debt to take advantage of favorable pricing and liquidity in the debt markets, reflecting our credit rating and the low interest rate environment. The proceeds of these issuances were or will be used for general corporate purposes, which may include, among other things, funding for working capital, capital expenditures, repurchases of capital stock, acquisitions, and repayment of existing debt. Refer to Note 10 – Debt of the Notes to Financial Statements (Part I, Item 1 of this Form 10-Q) for further discussion.</w:t>
      </w:r>
    </w:p>
    <w:p>
      <w:pPr>
        <w:pStyle w:val="TextBody"/>
        <w:spacing w:before="270" w:after="0"/>
        <w:jc w:val="both"/>
        <w:rPr>
          <w:rFonts w:ascii="Arial;sans-serif" w:hAnsi="Arial;sans-serif"/>
          <w:b/>
          <w:sz w:val="20"/>
        </w:rPr>
      </w:pPr>
      <w:r>
        <w:rPr>
          <w:rFonts w:ascii="Arial;sans-serif" w:hAnsi="Arial;sans-serif"/>
          <w:b/>
          <w:sz w:val="20"/>
        </w:rPr>
        <w:t>Unearned Revenue</w:t>
      </w:r>
    </w:p>
    <w:p>
      <w:pPr>
        <w:pStyle w:val="TextBody"/>
        <w:spacing w:before="180" w:after="0"/>
        <w:jc w:val="both"/>
        <w:rPr>
          <w:rFonts w:ascii="Arial;sans-serif" w:hAnsi="Arial;sans-serif"/>
          <w:b w:val="false"/>
          <w:sz w:val="20"/>
        </w:rPr>
      </w:pPr>
      <w:r>
        <w:rPr>
          <w:rFonts w:ascii="Arial;sans-serif" w:hAnsi="Arial;sans-serif"/>
          <w:b w:val="false"/>
          <w:sz w:val="20"/>
        </w:rPr>
        <w:t>Unearned revenue comprises mainly unearned revenue related to volume licensing programs, which may include Software Assurance (“SA”) and cloud services. Unearned revenue is generally invoiced annually at the beginning of each contract period for multi-year agreements and recognized ratably over the coverage period. Unearned revenue also includes payments for other offerings for which we have been paid in advance and earn the revenue when we transfer control of the product or service.</w:t>
      </w:r>
    </w:p>
    <w:p>
      <w:pPr>
        <w:pStyle w:val="TextBody"/>
        <w:spacing w:before="240" w:after="0"/>
        <w:jc w:val="center"/>
        <w:rPr>
          <w:rFonts w:ascii="Arial;sans-serif" w:hAnsi="Arial;sans-serif"/>
          <w:b w:val="false"/>
          <w:sz w:val="16"/>
        </w:rPr>
      </w:pPr>
      <w:r>
        <w:rPr>
          <w:rFonts w:ascii="Arial;sans-serif" w:hAnsi="Arial;sans-serif"/>
          <w:b w:val="false"/>
          <w:sz w:val="16"/>
        </w:rPr>
        <w:t>45</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w:t>
      </w:r>
    </w:p>
    <w:p>
      <w:pPr>
        <w:pStyle w:val="TextBody"/>
        <w:spacing w:before="0" w:after="0"/>
        <w:jc w:val="center"/>
        <w:rPr>
          <w:rFonts w:ascii="Arial;sans-serif" w:hAnsi="Arial;sans-serif"/>
          <w:b w:val="false"/>
          <w:sz w:val="15"/>
        </w:rPr>
      </w:pPr>
      <w:r>
        <w:rPr>
          <w:rFonts w:ascii="Arial;sans-serif" w:hAnsi="Arial;sans-serif"/>
          <w:b w:val="false"/>
          <w:sz w:val="15"/>
        </w:rPr>
        <w:t>Item 2</w:t>
      </w:r>
    </w:p>
    <w:p>
      <w:pPr>
        <w:pStyle w:val="TextBody"/>
        <w:spacing w:before="0" w:after="0"/>
        <w:jc w:val="left"/>
        <w:rPr/>
      </w:pPr>
      <w:r>
        <w:rPr/>
        <w:t> </w:t>
      </w:r>
    </w:p>
    <w:p>
      <w:pPr>
        <w:pStyle w:val="TextBody"/>
        <w:spacing w:before="180" w:after="0"/>
        <w:jc w:val="both"/>
        <w:rPr>
          <w:rFonts w:ascii="Arial;sans-serif" w:hAnsi="Arial;sans-serif"/>
          <w:b w:val="false"/>
          <w:sz w:val="20"/>
        </w:rPr>
      </w:pPr>
      <w:r>
        <w:rPr>
          <w:rFonts w:ascii="Arial;sans-serif" w:hAnsi="Arial;sans-serif"/>
          <w:b w:val="false"/>
          <w:sz w:val="20"/>
        </w:rPr>
        <w:t>The following table outlines the expected future recognition of unearned revenue as of March 31, 2023:</w:t>
      </w:r>
    </w:p>
    <w:p>
      <w:pPr>
        <w:pStyle w:val="TextBody"/>
        <w:spacing w:before="0" w:after="0"/>
        <w:jc w:val="both"/>
        <w:rPr/>
      </w:pPr>
      <w:r>
        <w:rPr/>
        <w:t> </w:t>
      </w:r>
    </w:p>
    <w:tbl>
      <w:tblPr>
        <w:tblW w:w="3360" w:type="dxa"/>
        <w:jc w:val="left"/>
        <w:tblInd w:w="0" w:type="dxa"/>
        <w:tblCellMar>
          <w:top w:w="28" w:type="dxa"/>
          <w:left w:w="28" w:type="dxa"/>
          <w:bottom w:w="28" w:type="dxa"/>
          <w:right w:w="28" w:type="dxa"/>
        </w:tblCellMar>
      </w:tblPr>
      <w:tblGrid>
        <w:gridCol w:w="1876"/>
        <w:gridCol w:w="146"/>
        <w:gridCol w:w="211"/>
        <w:gridCol w:w="691"/>
        <w:gridCol w:w="436"/>
      </w:tblGrid>
      <w:tr>
        <w:trPr/>
        <w:tc>
          <w:tcPr>
            <w:tcW w:w="187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436" w:type="dxa"/>
            <w:tcBorders/>
            <w:shd w:fill="FFFFFF" w:val="clear"/>
            <w:vAlign w:val="center"/>
          </w:tcPr>
          <w:p>
            <w:pPr>
              <w:pStyle w:val="TableContents"/>
              <w:spacing w:before="0" w:after="283"/>
              <w:rPr>
                <w:sz w:val="4"/>
                <w:szCs w:val="4"/>
              </w:rPr>
            </w:pPr>
            <w:r>
              <w:rPr>
                <w:sz w:val="4"/>
                <w:szCs w:val="4"/>
              </w:rPr>
            </w:r>
          </w:p>
        </w:tc>
      </w:tr>
      <w:tr>
        <w:trPr/>
        <w:tc>
          <w:tcPr>
            <w:tcW w:w="1876"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Arial;sans-serif" w:hAnsi="Arial;sans-serif"/>
                <w:b/>
                <w:sz w:val="15"/>
              </w:rPr>
            </w:pPr>
            <w:r>
              <w:rPr>
                <w:rFonts w:ascii="Arial;sans-serif" w:hAnsi="Arial;sans-serif"/>
                <w:b/>
                <w:sz w:val="15"/>
              </w:rPr>
              <w:t>(In millions)</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02" w:type="dxa"/>
            <w:gridSpan w:val="2"/>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2924" w:type="dxa"/>
            <w:gridSpan w:val="4"/>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87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48" w:type="dxa"/>
            <w:gridSpan w:val="3"/>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876"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Arial;sans-serif" w:hAnsi="Arial;sans-serif"/>
                <w:b/>
                <w:sz w:val="15"/>
              </w:rPr>
            </w:pPr>
            <w:r>
              <w:rPr>
                <w:rFonts w:ascii="Arial;sans-serif" w:hAnsi="Arial;sans-serif"/>
                <w:b/>
                <w:sz w:val="15"/>
              </w:rPr>
              <w:t>Three Months Ending</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9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87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84" w:type="dxa"/>
            <w:gridSpan w:val="4"/>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876"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Arial;sans-serif" w:hAnsi="Arial;sans-serif"/>
                <w:b w:val="false"/>
                <w:sz w:val="20"/>
              </w:rPr>
            </w:pPr>
            <w:r>
              <w:rPr>
                <w:rFonts w:ascii="Arial;sans-serif" w:hAnsi="Arial;sans-serif"/>
                <w:b w:val="false"/>
                <w:sz w:val="20"/>
              </w:rPr>
              <w:t>June 30, 2023</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17,505</w:t>
            </w:r>
          </w:p>
        </w:tc>
        <w:tc>
          <w:tcPr>
            <w:tcW w:w="4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876"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Arial;sans-serif" w:hAnsi="Arial;sans-serif"/>
                <w:b w:val="false"/>
                <w:sz w:val="20"/>
              </w:rPr>
            </w:pPr>
            <w:r>
              <w:rPr>
                <w:rFonts w:ascii="Arial;sans-serif" w:hAnsi="Arial;sans-serif"/>
                <w:b w:val="false"/>
                <w:sz w:val="20"/>
              </w:rPr>
              <w:t>September 30, 2023</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9,695</w:t>
            </w:r>
          </w:p>
        </w:tc>
        <w:tc>
          <w:tcPr>
            <w:tcW w:w="4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876"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Arial;sans-serif" w:hAnsi="Arial;sans-serif"/>
                <w:b w:val="false"/>
                <w:sz w:val="20"/>
              </w:rPr>
            </w:pPr>
            <w:r>
              <w:rPr>
                <w:rFonts w:ascii="Arial;sans-serif" w:hAnsi="Arial;sans-serif"/>
                <w:b w:val="false"/>
                <w:sz w:val="20"/>
              </w:rPr>
              <w:t>December 31, 2023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7,025</w:t>
            </w:r>
          </w:p>
        </w:tc>
        <w:tc>
          <w:tcPr>
            <w:tcW w:w="4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876"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Arial;sans-serif" w:hAnsi="Arial;sans-serif"/>
                <w:b w:val="false"/>
                <w:sz w:val="20"/>
              </w:rPr>
            </w:pPr>
            <w:r>
              <w:rPr>
                <w:rFonts w:ascii="Arial;sans-serif" w:hAnsi="Arial;sans-serif"/>
                <w:b w:val="false"/>
                <w:sz w:val="20"/>
              </w:rPr>
              <w:t>March 31, 2024</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2,678</w:t>
            </w:r>
          </w:p>
        </w:tc>
        <w:tc>
          <w:tcPr>
            <w:tcW w:w="4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876"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Arial;sans-serif" w:hAnsi="Arial;sans-serif"/>
                <w:b w:val="false"/>
                <w:sz w:val="20"/>
              </w:rPr>
            </w:pPr>
            <w:r>
              <w:rPr>
                <w:rFonts w:ascii="Arial;sans-serif" w:hAnsi="Arial;sans-serif"/>
                <w:b w:val="false"/>
                <w:sz w:val="20"/>
              </w:rPr>
              <w:t>Thereafter</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2,698</w:t>
            </w:r>
          </w:p>
        </w:tc>
        <w:tc>
          <w:tcPr>
            <w:tcW w:w="4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2924" w:type="dxa"/>
            <w:gridSpan w:val="4"/>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924" w:type="dxa"/>
            <w:gridSpan w:val="4"/>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36" w:type="dxa"/>
            <w:tcBorders/>
            <w:shd w:fill="auto" w:val="clear"/>
            <w:tcMar>
              <w:top w:w="0" w:type="dxa"/>
              <w:left w:w="0" w:type="dxa"/>
              <w:bottom w:w="0" w:type="dxa"/>
              <w:right w:w="0" w:type="dxa"/>
            </w:tcMar>
            <w:vAlign w:val="center"/>
          </w:tcPr>
          <w:p>
            <w:pPr>
              <w:pStyle w:val="TableContents"/>
              <w:spacing w:before="0" w:after="0"/>
              <w:ind w:left="0" w:right="0" w:firstLine="245"/>
              <w:jc w:val="left"/>
              <w:rPr/>
            </w:pPr>
            <w:r>
              <w:rPr/>
              <w:t> </w:t>
            </w:r>
          </w:p>
        </w:tc>
      </w:tr>
      <w:tr>
        <w:trPr/>
        <w:tc>
          <w:tcPr>
            <w:tcW w:w="1876" w:type="dxa"/>
            <w:tcBorders/>
            <w:shd w:fill="auto" w:val="clear"/>
            <w:tcMar>
              <w:top w:w="0" w:type="dxa"/>
              <w:left w:w="0" w:type="dxa"/>
              <w:bottom w:w="0" w:type="dxa"/>
              <w:right w:w="0" w:type="dxa"/>
            </w:tcMar>
            <w:vAlign w:val="center"/>
          </w:tcPr>
          <w:p>
            <w:pPr>
              <w:pStyle w:val="TableContents"/>
              <w:spacing w:before="0" w:after="0"/>
              <w:ind w:left="245" w:right="0" w:hanging="0"/>
              <w:jc w:val="both"/>
              <w:rPr>
                <w:rFonts w:ascii="Arial;sans-serif" w:hAnsi="Arial;sans-serif"/>
                <w:b w:val="false"/>
                <w:sz w:val="20"/>
              </w:rPr>
            </w:pPr>
            <w:r>
              <w:rPr>
                <w:rFonts w:ascii="Arial;sans-serif" w:hAnsi="Arial;sans-serif"/>
                <w:b w:val="false"/>
                <w:sz w:val="20"/>
              </w:rPr>
              <w:t>Total</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39,601</w:t>
            </w:r>
          </w:p>
        </w:tc>
        <w:tc>
          <w:tcPr>
            <w:tcW w:w="4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87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43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Arial;sans-serif" w:hAnsi="Arial;sans-serif"/>
          <w:b w:val="false"/>
          <w:sz w:val="20"/>
        </w:rPr>
      </w:pPr>
      <w:r>
        <w:rPr>
          <w:rFonts w:ascii="Arial;sans-serif" w:hAnsi="Arial;sans-serif"/>
          <w:b w:val="false"/>
          <w:sz w:val="20"/>
        </w:rPr>
        <w:t>If our customers choose to license cloud-based versions of our products and services rather than licensing transaction-based products and services, the associated revenue will shift from being recognized at the time of the transaction to being recognized over the subscription period or upon consumption, as applicable. Refer to Note 12 – Unearned Revenue of the Notes to Financial Statements (Part I, Item 1 of this Form 10-Q) for further discussion.</w:t>
      </w:r>
    </w:p>
    <w:p>
      <w:pPr>
        <w:pStyle w:val="TextBody"/>
        <w:spacing w:before="270" w:after="0"/>
        <w:jc w:val="both"/>
        <w:rPr>
          <w:rFonts w:ascii="Arial;sans-serif" w:hAnsi="Arial;sans-serif"/>
          <w:b/>
          <w:sz w:val="20"/>
        </w:rPr>
      </w:pPr>
      <w:r>
        <w:rPr>
          <w:rFonts w:ascii="Arial;sans-serif" w:hAnsi="Arial;sans-serif"/>
          <w:b/>
          <w:sz w:val="20"/>
        </w:rPr>
        <w:t>Material Cash Requirements and Other Obligations</w:t>
      </w:r>
    </w:p>
    <w:p>
      <w:pPr>
        <w:pStyle w:val="TextBody"/>
        <w:spacing w:before="180" w:after="0"/>
        <w:jc w:val="both"/>
        <w:rPr>
          <w:rFonts w:ascii="Arial;sans-serif" w:hAnsi="Arial;sans-serif"/>
          <w:b/>
          <w:i/>
          <w:sz w:val="20"/>
        </w:rPr>
      </w:pPr>
      <w:r>
        <w:rPr>
          <w:rFonts w:ascii="Arial;sans-serif" w:hAnsi="Arial;sans-serif"/>
          <w:b/>
          <w:i/>
          <w:sz w:val="20"/>
        </w:rPr>
        <w:t>Income Taxes</w:t>
      </w:r>
    </w:p>
    <w:p>
      <w:pPr>
        <w:pStyle w:val="TextBody"/>
        <w:spacing w:before="180" w:after="0"/>
        <w:jc w:val="both"/>
        <w:rPr>
          <w:rFonts w:ascii="Arial;sans-serif" w:hAnsi="Arial;sans-serif"/>
          <w:b w:val="false"/>
          <w:sz w:val="20"/>
        </w:rPr>
      </w:pPr>
      <w:r>
        <w:rPr>
          <w:rFonts w:ascii="Arial;sans-serif" w:hAnsi="Arial;sans-serif"/>
          <w:b w:val="false"/>
          <w:sz w:val="20"/>
        </w:rPr>
        <w:t>As a result of the TCJA, we are required to pay a one-time transition tax on deferred foreign income not previously subject to U.S. income tax. Under the TCJA, the transition tax is payable in interest-free installments over eight years, with 8% due in each of the first five years, 15% in year six, 20% in year seven, and 25% in year eight. We have paid transition tax of $7.7 billion, which included $1.5 billion during the nine months ended March 31, 2023. The remaining transition tax of $10.5 billion is payable over the next three years, with $2.7 billion payable within 12 months.</w:t>
      </w:r>
    </w:p>
    <w:p>
      <w:pPr>
        <w:pStyle w:val="TextBody"/>
        <w:spacing w:before="180" w:after="0"/>
        <w:jc w:val="both"/>
        <w:rPr>
          <w:rFonts w:ascii="Arial;sans-serif" w:hAnsi="Arial;sans-serif"/>
          <w:b w:val="false"/>
          <w:sz w:val="20"/>
        </w:rPr>
      </w:pPr>
      <w:r>
        <w:rPr>
          <w:rFonts w:ascii="Arial;sans-serif" w:hAnsi="Arial;sans-serif"/>
          <w:b w:val="false"/>
          <w:sz w:val="20"/>
        </w:rPr>
        <w:t>Provisions enacted in the TCJA related to the capitalization for tax purposes of research and experimental expenditures became effective on July 1, 2022. These provisions require us to capitalize research and experimental expenditures and amortize them on the U.S. tax return over five or fifteen years, depending on where research is conducted. The final foreign tax credit regulations, also effective on July 1, 2022, introduced significant changes to foreign tax credit calculations in the U.S. tax return. While these provisions are not expected to have a material impact on our fiscal year 2023 effective tax rate on a net basis, our cash paid for taxes would increase unless these provisions are postponed or modified through legislative processes.</w:t>
      </w:r>
    </w:p>
    <w:p>
      <w:pPr>
        <w:pStyle w:val="TextBody"/>
        <w:spacing w:before="270" w:after="0"/>
        <w:jc w:val="both"/>
        <w:rPr>
          <w:rFonts w:ascii="Arial;sans-serif" w:hAnsi="Arial;sans-serif"/>
          <w:b/>
          <w:i/>
          <w:sz w:val="20"/>
        </w:rPr>
      </w:pPr>
      <w:r>
        <w:rPr>
          <w:rFonts w:ascii="Arial;sans-serif" w:hAnsi="Arial;sans-serif"/>
          <w:b/>
          <w:i/>
          <w:sz w:val="20"/>
        </w:rPr>
        <w:t>Share Repurchases</w:t>
      </w:r>
    </w:p>
    <w:p>
      <w:pPr>
        <w:pStyle w:val="TextBody"/>
        <w:spacing w:before="180" w:after="0"/>
        <w:jc w:val="both"/>
        <w:rPr>
          <w:rFonts w:ascii="Arial;sans-serif" w:hAnsi="Arial;sans-serif"/>
          <w:b w:val="false"/>
          <w:sz w:val="20"/>
        </w:rPr>
      </w:pPr>
      <w:r>
        <w:rPr>
          <w:rFonts w:ascii="Arial;sans-serif" w:hAnsi="Arial;sans-serif"/>
          <w:b w:val="false"/>
          <w:sz w:val="20"/>
        </w:rPr>
        <w:t>For the nine months ended March 31, 2023 and 2022, we repurchased 55 million shares and 67 million shares of our common stock for $13.8 billion and $20.2 billion, respectively, through our share repurchase programs. All repurchases were made using cash resources. As of March 31, 2023, $26.9 billion remained of our $60 billion share repurchase program. Refer to Note 15 – Stockholders’ Equity of the Notes to Financial Statements (Part I, Item 1 of this Form 10-Q) for further discussion.</w:t>
      </w:r>
    </w:p>
    <w:p>
      <w:pPr>
        <w:pStyle w:val="TextBody"/>
        <w:spacing w:before="270" w:after="0"/>
        <w:jc w:val="both"/>
        <w:rPr>
          <w:rFonts w:ascii="Arial;sans-serif" w:hAnsi="Arial;sans-serif"/>
          <w:b/>
          <w:i/>
          <w:sz w:val="20"/>
        </w:rPr>
      </w:pPr>
      <w:r>
        <w:rPr>
          <w:rFonts w:ascii="Arial;sans-serif" w:hAnsi="Arial;sans-serif"/>
          <w:b/>
          <w:i/>
          <w:sz w:val="20"/>
        </w:rPr>
        <w:t>Dividends</w:t>
      </w:r>
    </w:p>
    <w:p>
      <w:pPr>
        <w:pStyle w:val="TextBody"/>
        <w:spacing w:before="180" w:after="0"/>
        <w:jc w:val="both"/>
        <w:rPr>
          <w:rFonts w:ascii="Arial;sans-serif" w:hAnsi="Arial;sans-serif"/>
          <w:b w:val="false"/>
          <w:sz w:val="20"/>
        </w:rPr>
      </w:pPr>
      <w:r>
        <w:rPr>
          <w:rFonts w:ascii="Arial;sans-serif" w:hAnsi="Arial;sans-serif"/>
          <w:b w:val="false"/>
          <w:sz w:val="20"/>
        </w:rPr>
        <w:t>For the nine months ended March 31, 2023 and 2022, our Board of Directors declared quarterly dividends of $0.68 per share and $0.62 per share, respectively. We intend to continue returning capital to shareholders in the form of dividends, subject to declaration by our Board of Directors. Refer to Note 15 – Stockholders’ Equity of the Notes to Financial Statements (Part I, Item 1 of this Form 10-Q) for further discussion.</w:t>
      </w:r>
    </w:p>
    <w:p>
      <w:pPr>
        <w:pStyle w:val="TextBody"/>
        <w:spacing w:before="270" w:after="0"/>
        <w:jc w:val="both"/>
        <w:rPr>
          <w:rFonts w:ascii="Arial;sans-serif" w:hAnsi="Arial;sans-serif"/>
          <w:b/>
          <w:i/>
          <w:sz w:val="20"/>
        </w:rPr>
      </w:pPr>
      <w:r>
        <w:rPr>
          <w:rFonts w:ascii="Arial;sans-serif" w:hAnsi="Arial;sans-serif"/>
          <w:b/>
          <w:i/>
          <w:sz w:val="20"/>
        </w:rPr>
        <w:t>Other Planned Uses of Capital</w:t>
      </w:r>
    </w:p>
    <w:p>
      <w:pPr>
        <w:pStyle w:val="TextBody"/>
        <w:spacing w:before="180" w:after="0"/>
        <w:jc w:val="both"/>
        <w:rPr>
          <w:rFonts w:ascii="Arial;sans-serif" w:hAnsi="Arial;sans-serif"/>
          <w:b w:val="false"/>
          <w:sz w:val="20"/>
        </w:rPr>
      </w:pPr>
      <w:r>
        <w:rPr>
          <w:rFonts w:ascii="Arial;sans-serif" w:hAnsi="Arial;sans-serif"/>
          <w:b w:val="false"/>
          <w:sz w:val="20"/>
        </w:rPr>
        <w:t>On January 18, 2022, we entered into a definitive agreement to acquire Activision Blizzard, Inc. (“Activision Blizzard”) for $95.00 per share in an all-cash transaction valued at $68.7 billion, inclusive of Activision Blizzard’s net cash. The acquisition has been approved by Activision Blizzard’s shareholders. We are continuing to engage with regulators reviewing the transaction and are working toward closing it in fiscal year 2023, subject to obtaining required regulatory approvals and satisfaction of other customary closing conditions.</w:t>
      </w:r>
    </w:p>
    <w:p>
      <w:pPr>
        <w:pStyle w:val="TextBody"/>
        <w:spacing w:before="240" w:after="0"/>
        <w:jc w:val="center"/>
        <w:rPr>
          <w:rFonts w:ascii="Arial;sans-serif" w:hAnsi="Arial;sans-serif"/>
          <w:b w:val="false"/>
          <w:sz w:val="16"/>
        </w:rPr>
      </w:pPr>
      <w:r>
        <w:rPr>
          <w:rFonts w:ascii="Arial;sans-serif" w:hAnsi="Arial;sans-serif"/>
          <w:b w:val="false"/>
          <w:sz w:val="16"/>
        </w:rPr>
        <w:t>46</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w:t>
      </w:r>
    </w:p>
    <w:p>
      <w:pPr>
        <w:pStyle w:val="TextBody"/>
        <w:spacing w:before="0" w:after="0"/>
        <w:jc w:val="center"/>
        <w:rPr>
          <w:rFonts w:ascii="Arial;sans-serif" w:hAnsi="Arial;sans-serif"/>
          <w:b w:val="false"/>
          <w:sz w:val="15"/>
        </w:rPr>
      </w:pPr>
      <w:r>
        <w:rPr>
          <w:rFonts w:ascii="Arial;sans-serif" w:hAnsi="Arial;sans-serif"/>
          <w:b w:val="false"/>
          <w:sz w:val="15"/>
        </w:rPr>
        <w:t>Item 2</w:t>
      </w:r>
    </w:p>
    <w:p>
      <w:pPr>
        <w:pStyle w:val="TextBody"/>
        <w:spacing w:before="0" w:after="0"/>
        <w:jc w:val="left"/>
        <w:rPr/>
      </w:pPr>
      <w:r>
        <w:rPr/>
        <w:t> </w:t>
      </w:r>
    </w:p>
    <w:p>
      <w:pPr>
        <w:pStyle w:val="TextBody"/>
        <w:spacing w:before="180" w:after="0"/>
        <w:jc w:val="both"/>
        <w:rPr>
          <w:rFonts w:ascii="Arial;sans-serif" w:hAnsi="Arial;sans-serif"/>
          <w:b w:val="false"/>
          <w:sz w:val="20"/>
        </w:rPr>
      </w:pPr>
      <w:r>
        <w:rPr>
          <w:rFonts w:ascii="Arial;sans-serif" w:hAnsi="Arial;sans-serif"/>
          <w:b w:val="false"/>
          <w:sz w:val="20"/>
        </w:rPr>
        <w:t>We will continue to invest in sales, marketing, product support infrastructure, and existing and advanced areas of technology, as well as continue making acquisitions that align with our business strategy. Additions to property and equipment will continue, including new facilities, datacenters, and computer systems for research and development, sales and marketing, support, and administrative staff. We expect capital expenditures to increase in coming years to support growth in our cloud offerings and our investments in artificial intelligence infrastructure. We have operating and finance leases for datacenters, corporate offices, research and development facilities, Microsoft Experience Centers, and certain equipment. We have not engaged in any related party transactions or arrangements with unconsolidated entities or other persons that are reasonably likely to materially affect liquidity or the availability of capital resources.</w:t>
      </w:r>
    </w:p>
    <w:p>
      <w:pPr>
        <w:pStyle w:val="TextBody"/>
        <w:spacing w:before="270" w:after="0"/>
        <w:jc w:val="center"/>
        <w:rPr>
          <w:rFonts w:ascii="Arial;sans-serif" w:hAnsi="Arial;sans-serif"/>
          <w:b w:val="false"/>
          <w:sz w:val="20"/>
          <w:u w:val="single"/>
        </w:rPr>
      </w:pPr>
      <w:r>
        <w:rPr>
          <w:rFonts w:ascii="Arial;sans-serif" w:hAnsi="Arial;sans-serif"/>
          <w:b w:val="false"/>
          <w:sz w:val="20"/>
          <w:u w:val="single"/>
        </w:rPr>
        <w:t>CRITICAL ACCOUNTING ESTIMATES</w:t>
      </w:r>
    </w:p>
    <w:p>
      <w:pPr>
        <w:pStyle w:val="TextBody"/>
        <w:spacing w:before="180" w:after="0"/>
        <w:jc w:val="both"/>
        <w:rPr>
          <w:rFonts w:ascii="Arial;sans-serif" w:hAnsi="Arial;sans-serif"/>
          <w:b w:val="false"/>
          <w:sz w:val="20"/>
        </w:rPr>
      </w:pPr>
      <w:r>
        <w:rPr>
          <w:rFonts w:ascii="Arial;sans-serif" w:hAnsi="Arial;sans-serif"/>
          <w:b w:val="false"/>
          <w:sz w:val="20"/>
        </w:rPr>
        <w:t>Our consolidated financial statements and accompanying notes are prepared in accordance with GAAP. Preparing consolidated financial statements requires management to make estimates and assumptions that affect the reported amounts of assets, liabilities, revenue, and expenses. Critical accounting estimates are those estimates that involve a significant level of estimation uncertainty and could have a material impact on our financial condition or results of operations. We have critical accounting estimates in the areas of revenue recognition, impairment of investment securities, goodwill, research and development costs, legal and other contingencies, income taxes, and inventories.</w:t>
      </w:r>
    </w:p>
    <w:p>
      <w:pPr>
        <w:pStyle w:val="TextBody"/>
        <w:spacing w:before="270" w:after="0"/>
        <w:jc w:val="both"/>
        <w:rPr>
          <w:rFonts w:ascii="Arial;sans-serif" w:hAnsi="Arial;sans-serif"/>
          <w:b/>
          <w:sz w:val="20"/>
        </w:rPr>
      </w:pPr>
      <w:r>
        <w:rPr>
          <w:rFonts w:ascii="Arial;sans-serif" w:hAnsi="Arial;sans-serif"/>
          <w:b/>
          <w:sz w:val="20"/>
        </w:rPr>
        <w:t>Revenue Recognition</w:t>
      </w:r>
    </w:p>
    <w:p>
      <w:pPr>
        <w:pStyle w:val="TextBody"/>
        <w:spacing w:before="180" w:after="0"/>
        <w:jc w:val="both"/>
        <w:rPr>
          <w:rFonts w:ascii="Arial;sans-serif" w:hAnsi="Arial;sans-serif"/>
          <w:b w:val="false"/>
          <w:sz w:val="20"/>
        </w:rPr>
      </w:pPr>
      <w:r>
        <w:rPr>
          <w:rFonts w:ascii="Arial;sans-serif" w:hAnsi="Arial;sans-serif"/>
          <w:b w:val="false"/>
          <w:sz w:val="20"/>
        </w:rPr>
        <w:t>Our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When a cloud-based service includes both on-premises software licenses and cloud services, judgment is required to determine whether the software license is considered distinct and accounted for separately, or not distinct and accounted for together with the cloud service and recognized over time. Certain cloud services, primarily Office 365, depend on a significant level of integration, interdependency, and interrelation between the desktop applications and cloud services, and are accounted for together as one performance obligation. Revenue from Office 365 is recognized ratably over the period in which the cloud services are provided.</w:t>
      </w:r>
    </w:p>
    <w:p>
      <w:pPr>
        <w:pStyle w:val="TextBody"/>
        <w:spacing w:before="180" w:after="0"/>
        <w:jc w:val="both"/>
        <w:rPr>
          <w:rFonts w:ascii="Arial;sans-serif" w:hAnsi="Arial;sans-serif"/>
          <w:b w:val="false"/>
          <w:sz w:val="20"/>
        </w:rPr>
      </w:pPr>
      <w:r>
        <w:rPr>
          <w:rFonts w:ascii="Arial;sans-serif" w:hAnsi="Arial;sans-serif"/>
          <w:b w:val="false"/>
          <w:sz w:val="20"/>
        </w:rPr>
        <w:t>Judgment is required to determine the stand-alone selling price (“SSP") for each distinct performance obligation. We use a single amount to estimate SSP for items that are not sold separately, including on-premises licenses sold with SA or software updates provided at no additional charge. We use a range of amounts to estimate SSP when we sell each of the products and services separately and need to determine whether there is a discount to be allocated based on the relative SSP of the various products and services.</w:t>
      </w:r>
    </w:p>
    <w:p>
      <w:pPr>
        <w:pStyle w:val="TextBody"/>
        <w:spacing w:before="180" w:after="0"/>
        <w:jc w:val="both"/>
        <w:rPr>
          <w:rFonts w:ascii="Arial;sans-serif" w:hAnsi="Arial;sans-serif"/>
          <w:b w:val="false"/>
          <w:sz w:val="20"/>
        </w:rPr>
      </w:pPr>
      <w:r>
        <w:rPr>
          <w:rFonts w:ascii="Arial;sans-serif" w:hAnsi="Arial;sans-serif"/>
          <w:b w:val="false"/>
          <w:sz w:val="20"/>
        </w:rPr>
        <w:t>In instances where SSP is not directly observable, such as when we do not sell the product or service separately, we determine the SSP using information that may include market conditions and other observable inputs. We typically have more than one SSP for individual products and services due to the stratification of those products and services by customers and circumstances. In these instances, we may use information such as the size of the customer and geographic region in determining the SSP.</w:t>
      </w:r>
    </w:p>
    <w:p>
      <w:pPr>
        <w:pStyle w:val="TextBody"/>
        <w:spacing w:before="180" w:after="0"/>
        <w:jc w:val="both"/>
        <w:rPr>
          <w:rFonts w:ascii="Arial;sans-serif" w:hAnsi="Arial;sans-serif"/>
          <w:b w:val="false"/>
          <w:sz w:val="20"/>
        </w:rPr>
      </w:pPr>
      <w:r>
        <w:rPr>
          <w:rFonts w:ascii="Arial;sans-serif" w:hAnsi="Arial;sans-serif"/>
          <w:b w:val="false"/>
          <w:sz w:val="20"/>
        </w:rPr>
        <w:t>Due to the various benefits from and the nature of our SA program, judgment is required to assess the pattern of delivery, including the exercise pattern of certain benefits across our portfolio of customers.</w:t>
      </w:r>
    </w:p>
    <w:p>
      <w:pPr>
        <w:pStyle w:val="TextBody"/>
        <w:spacing w:before="180" w:after="0"/>
        <w:jc w:val="both"/>
        <w:rPr>
          <w:rFonts w:ascii="Arial;sans-serif" w:hAnsi="Arial;sans-serif"/>
          <w:b w:val="false"/>
          <w:sz w:val="20"/>
        </w:rPr>
      </w:pPr>
      <w:r>
        <w:rPr>
          <w:rFonts w:ascii="Arial;sans-serif" w:hAnsi="Arial;sans-serif"/>
          <w:b w:val="false"/>
          <w:sz w:val="20"/>
        </w:rPr>
        <w:t>Our products are generally sold with a right of return, we may provide other credits or incentives, and in certain instances we estimate customer usage of our products and services, which are accounted for as variable consideration when determining the amount of revenue to recognize. Returns and credits are estimated at contract inception and updated at the end of each reporting period if additional information becomes available. Changes to our estimated variable consideration were not material for the periods presented.</w:t>
      </w:r>
    </w:p>
    <w:p>
      <w:pPr>
        <w:pStyle w:val="TextBody"/>
        <w:spacing w:before="240" w:after="0"/>
        <w:jc w:val="center"/>
        <w:rPr>
          <w:rFonts w:ascii="Arial;sans-serif" w:hAnsi="Arial;sans-serif"/>
          <w:b w:val="false"/>
          <w:sz w:val="16"/>
        </w:rPr>
      </w:pPr>
      <w:r>
        <w:rPr>
          <w:rFonts w:ascii="Arial;sans-serif" w:hAnsi="Arial;sans-serif"/>
          <w:b w:val="false"/>
          <w:sz w:val="16"/>
        </w:rPr>
        <w:t>47</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w:t>
      </w:r>
    </w:p>
    <w:p>
      <w:pPr>
        <w:pStyle w:val="TextBody"/>
        <w:spacing w:before="0" w:after="0"/>
        <w:jc w:val="center"/>
        <w:rPr>
          <w:rFonts w:ascii="Arial;sans-serif" w:hAnsi="Arial;sans-serif"/>
          <w:b w:val="false"/>
          <w:sz w:val="15"/>
        </w:rPr>
      </w:pPr>
      <w:r>
        <w:rPr>
          <w:rFonts w:ascii="Arial;sans-serif" w:hAnsi="Arial;sans-serif"/>
          <w:b w:val="false"/>
          <w:sz w:val="15"/>
        </w:rPr>
        <w:t>Item 2</w:t>
      </w:r>
    </w:p>
    <w:p>
      <w:pPr>
        <w:pStyle w:val="TextBody"/>
        <w:spacing w:before="0" w:after="0"/>
        <w:jc w:val="left"/>
        <w:rPr/>
      </w:pPr>
      <w:r>
        <w:rPr/>
        <w:t> </w:t>
      </w:r>
    </w:p>
    <w:p>
      <w:pPr>
        <w:pStyle w:val="TextBody"/>
        <w:spacing w:before="270" w:after="0"/>
        <w:jc w:val="both"/>
        <w:rPr>
          <w:rFonts w:ascii="Arial;sans-serif" w:hAnsi="Arial;sans-serif"/>
          <w:b/>
          <w:sz w:val="20"/>
        </w:rPr>
      </w:pPr>
      <w:r>
        <w:rPr>
          <w:rFonts w:ascii="Arial;sans-serif" w:hAnsi="Arial;sans-serif"/>
          <w:b/>
          <w:sz w:val="20"/>
        </w:rPr>
        <w:t>Impairment of Investment Securities</w:t>
      </w:r>
    </w:p>
    <w:p>
      <w:pPr>
        <w:pStyle w:val="TextBody"/>
        <w:spacing w:before="180" w:after="0"/>
        <w:jc w:val="both"/>
        <w:rPr>
          <w:rFonts w:ascii="Arial;sans-serif" w:hAnsi="Arial;sans-serif"/>
          <w:b w:val="false"/>
          <w:sz w:val="20"/>
        </w:rPr>
      </w:pPr>
      <w:r>
        <w:rPr>
          <w:rFonts w:ascii="Arial;sans-serif" w:hAnsi="Arial;sans-serif"/>
          <w:b w:val="false"/>
          <w:sz w:val="20"/>
        </w:rPr>
        <w:t>We review debt investments quarterly for credit losses and impairment. If the cost of an investment exceeds its fair value, we evaluate, among other factors, general market conditions, credit quality of debt instrument issuers, and the extent to which the fair value is less than cost. This determination requires significant judgment. In making this judgment, we employ a systematic methodology that considers available quantitative and qualitative evidence in evaluating potential impairment of our investments. In addition, we consider specific adverse conditions related to the financial health of, and business outlook for, the investee. If we have plans to sell the security or it is more likely than not that we will be required to sell the security before recovery, then a decline in fair value below cost is recorded as an impairment charge in other income (expense), net and a new cost basis in the investment is established. If market, industry, and/or investee conditions deteriorate, we may incur future impairments.</w:t>
      </w:r>
    </w:p>
    <w:p>
      <w:pPr>
        <w:pStyle w:val="TextBody"/>
        <w:spacing w:before="180" w:after="0"/>
        <w:jc w:val="both"/>
        <w:rPr>
          <w:rFonts w:ascii="Arial;sans-serif" w:hAnsi="Arial;sans-serif"/>
          <w:b w:val="false"/>
          <w:sz w:val="20"/>
        </w:rPr>
      </w:pPr>
      <w:r>
        <w:rPr>
          <w:rFonts w:ascii="Arial;sans-serif" w:hAnsi="Arial;sans-serif"/>
          <w:b w:val="false"/>
          <w:sz w:val="20"/>
        </w:rPr>
        <w:t>Equity investments without readily determinable fair values are written down to fair value if a qualitative assessment indicates that the investment is impaired and the fair value of the investment is less than carrying value. We perform a qualitative assessment on a periodic basis. We are required to estimate the fair value of the investment to determine the amount of the impairment loss. Once an investment is determined to be impaired, an impairment charge is recorded in other income (expense), net.</w:t>
      </w:r>
    </w:p>
    <w:p>
      <w:pPr>
        <w:pStyle w:val="TextBody"/>
        <w:spacing w:before="270" w:after="0"/>
        <w:jc w:val="both"/>
        <w:rPr>
          <w:rFonts w:ascii="Arial;sans-serif" w:hAnsi="Arial;sans-serif"/>
          <w:b/>
          <w:sz w:val="20"/>
        </w:rPr>
      </w:pPr>
      <w:r>
        <w:rPr>
          <w:rFonts w:ascii="Arial;sans-serif" w:hAnsi="Arial;sans-serif"/>
          <w:b/>
          <w:sz w:val="20"/>
        </w:rPr>
        <w:t>Goodwill</w:t>
      </w:r>
    </w:p>
    <w:p>
      <w:pPr>
        <w:pStyle w:val="TextBody"/>
        <w:spacing w:before="180" w:after="0"/>
        <w:jc w:val="both"/>
        <w:rPr>
          <w:rFonts w:ascii="Arial;sans-serif" w:hAnsi="Arial;sans-serif"/>
          <w:b w:val="false"/>
          <w:sz w:val="20"/>
        </w:rPr>
      </w:pPr>
      <w:r>
        <w:rPr>
          <w:rFonts w:ascii="Arial;sans-serif" w:hAnsi="Arial;sans-serif"/>
          <w:b w:val="false"/>
          <w:sz w:val="20"/>
        </w:rPr>
        <w:t>We allocate goodwill to reporting units based on the reporting unit expected to benefit from the business combination. We evaluate our reporting units on an annual basis and, if necessary, reassign goodwill using a relative fair value allocation approach. Goodwill is tested for impairment at the reporting unit level (operating segment or one level below an operating segment) on an annual basis (May 1 for us) and between annual tests if an event occurs or circumstances change that would more likely than not reduce the fair value of a reporting unit below its carrying value. These events or circumstances could include a significant change in the business climate, legal factors, operating performance indicators, competition, or sale or disposition of a significant portion of a reporting unit.</w:t>
      </w:r>
    </w:p>
    <w:p>
      <w:pPr>
        <w:pStyle w:val="TextBody"/>
        <w:spacing w:before="180" w:after="0"/>
        <w:jc w:val="both"/>
        <w:rPr>
          <w:rFonts w:ascii="Arial;sans-serif" w:hAnsi="Arial;sans-serif"/>
          <w:b w:val="false"/>
          <w:sz w:val="20"/>
        </w:rPr>
      </w:pPr>
      <w:r>
        <w:rPr>
          <w:rFonts w:ascii="Arial;sans-serif" w:hAnsi="Arial;sans-serif"/>
          <w:b w:val="false"/>
          <w:sz w:val="20"/>
        </w:rPr>
        <w:t>Application of the goodwill impairment test requires judgment, including the identification of reporting units, assignment of assets and liabilities to reporting units, assignment of goodwill to reporting units, and determination of the fair value of each reporting unit. The fair value of each reporting unit is estimated primarily through the use of a discounted cash flow methodology. This analysis requires significant judgments, including estimation of future cash flows, which is dependent on internal forecasts, estimation of the long-term rate of growth for our business, estimation of the useful life over which cash flows will occur, and determination of our weighted average cost of capital.</w:t>
      </w:r>
    </w:p>
    <w:p>
      <w:pPr>
        <w:pStyle w:val="TextBody"/>
        <w:spacing w:before="180" w:after="0"/>
        <w:jc w:val="both"/>
        <w:rPr>
          <w:rFonts w:ascii="Arial;sans-serif" w:hAnsi="Arial;sans-serif"/>
          <w:b w:val="false"/>
          <w:sz w:val="20"/>
        </w:rPr>
      </w:pPr>
      <w:r>
        <w:rPr>
          <w:rFonts w:ascii="Arial;sans-serif" w:hAnsi="Arial;sans-serif"/>
          <w:b w:val="false"/>
          <w:sz w:val="20"/>
        </w:rPr>
        <w:t>The estimates used to calculate the fair value of a reporting unit change from year to year based on operating results, market conditions, and other factors. Changes in these estimates and assumptions could materially affect the determination of fair value and goodwill impairment for each reporting unit.</w:t>
      </w:r>
    </w:p>
    <w:p>
      <w:pPr>
        <w:pStyle w:val="TextBody"/>
        <w:spacing w:before="270" w:after="0"/>
        <w:jc w:val="both"/>
        <w:rPr>
          <w:rFonts w:ascii="Arial;sans-serif" w:hAnsi="Arial;sans-serif"/>
          <w:b/>
          <w:sz w:val="20"/>
        </w:rPr>
      </w:pPr>
      <w:r>
        <w:rPr>
          <w:rFonts w:ascii="Arial;sans-serif" w:hAnsi="Arial;sans-serif"/>
          <w:b/>
          <w:sz w:val="20"/>
        </w:rPr>
        <w:t>Research and Development Costs</w:t>
      </w:r>
    </w:p>
    <w:p>
      <w:pPr>
        <w:pStyle w:val="TextBody"/>
        <w:spacing w:before="180" w:after="0"/>
        <w:jc w:val="both"/>
        <w:rPr>
          <w:rFonts w:ascii="Arial;sans-serif" w:hAnsi="Arial;sans-serif"/>
          <w:b w:val="false"/>
          <w:sz w:val="20"/>
        </w:rPr>
      </w:pPr>
      <w:r>
        <w:rPr>
          <w:rFonts w:ascii="Arial;sans-serif" w:hAnsi="Arial;sans-serif"/>
          <w:b w:val="false"/>
          <w:sz w:val="20"/>
        </w:rPr>
        <w:t>Costs incurred internally in researching and developing a computer software product are charged to expense until technological feasibility has been established for the product. Once technological feasibility is established, software costs are capitalized until the product is available for general release to customers. Judgment is required in determining when technological feasibility of a product is established. We have determined that technological feasibility for our software products is reached after all high-risk development issues have been resolved through coding and testing. Generally, this occurs shortly before the products are released to production. The amortization of these costs is included in cost of revenue over the estimated life of the products.</w:t>
      </w:r>
    </w:p>
    <w:p>
      <w:pPr>
        <w:pStyle w:val="TextBody"/>
        <w:spacing w:before="270" w:after="0"/>
        <w:jc w:val="both"/>
        <w:rPr>
          <w:rFonts w:ascii="Arial;sans-serif" w:hAnsi="Arial;sans-serif"/>
          <w:b/>
          <w:sz w:val="20"/>
        </w:rPr>
      </w:pPr>
      <w:r>
        <w:rPr>
          <w:rFonts w:ascii="Arial;sans-serif" w:hAnsi="Arial;sans-serif"/>
          <w:b/>
          <w:sz w:val="20"/>
        </w:rPr>
        <w:t>Legal and Other Contingencies</w:t>
      </w:r>
    </w:p>
    <w:p>
      <w:pPr>
        <w:pStyle w:val="TextBody"/>
        <w:spacing w:before="180" w:after="0"/>
        <w:jc w:val="both"/>
        <w:rPr>
          <w:rFonts w:ascii="Arial;sans-serif" w:hAnsi="Arial;sans-serif"/>
          <w:b w:val="false"/>
          <w:sz w:val="20"/>
        </w:rPr>
      </w:pPr>
      <w:r>
        <w:rPr>
          <w:rFonts w:ascii="Arial;sans-serif" w:hAnsi="Arial;sans-serif"/>
          <w:b w:val="false"/>
          <w:sz w:val="20"/>
        </w:rPr>
        <w:t>The outcomes of legal proceedings and claims brought against us are subject to significant uncertainty. An estimated loss from a loss contingency such as a legal proceeding or claim is accrued by a charge to income if it is probable that an asset has been impaired or a liability has been incurred and the amount of the loss can be reasonably estimated. In determining whether a loss should be accrued we evaluate, among other factors, the degree of probability of an unfavorable outcome and the ability to make a reasonable estimate of the amount of loss. Changes in these factors could materially impact our consolidated financial statements.</w:t>
      </w:r>
    </w:p>
    <w:p>
      <w:pPr>
        <w:pStyle w:val="TextBody"/>
        <w:spacing w:before="240" w:after="0"/>
        <w:jc w:val="center"/>
        <w:rPr>
          <w:rFonts w:ascii="Arial;sans-serif" w:hAnsi="Arial;sans-serif"/>
          <w:b w:val="false"/>
          <w:sz w:val="16"/>
        </w:rPr>
      </w:pPr>
      <w:r>
        <w:rPr>
          <w:rFonts w:ascii="Arial;sans-serif" w:hAnsi="Arial;sans-serif"/>
          <w:b w:val="false"/>
          <w:sz w:val="16"/>
        </w:rPr>
        <w:t>48</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w:t>
      </w:r>
    </w:p>
    <w:p>
      <w:pPr>
        <w:pStyle w:val="TextBody"/>
        <w:spacing w:before="0" w:after="0"/>
        <w:jc w:val="center"/>
        <w:rPr>
          <w:rFonts w:ascii="Arial;sans-serif" w:hAnsi="Arial;sans-serif"/>
          <w:b w:val="false"/>
          <w:sz w:val="15"/>
        </w:rPr>
      </w:pPr>
      <w:r>
        <w:rPr>
          <w:rFonts w:ascii="Arial;sans-serif" w:hAnsi="Arial;sans-serif"/>
          <w:b w:val="false"/>
          <w:sz w:val="15"/>
        </w:rPr>
        <w:t>Item 2</w:t>
      </w:r>
    </w:p>
    <w:p>
      <w:pPr>
        <w:pStyle w:val="TextBody"/>
        <w:spacing w:before="0" w:after="0"/>
        <w:jc w:val="left"/>
        <w:rPr/>
      </w:pPr>
      <w:r>
        <w:rPr/>
        <w:t> </w:t>
      </w:r>
    </w:p>
    <w:p>
      <w:pPr>
        <w:pStyle w:val="TextBody"/>
        <w:spacing w:before="270" w:after="0"/>
        <w:jc w:val="both"/>
        <w:rPr>
          <w:rFonts w:ascii="Arial;sans-serif" w:hAnsi="Arial;sans-serif"/>
          <w:b/>
          <w:sz w:val="20"/>
        </w:rPr>
      </w:pPr>
      <w:r>
        <w:rPr>
          <w:rFonts w:ascii="Arial;sans-serif" w:hAnsi="Arial;sans-serif"/>
          <w:b/>
          <w:sz w:val="20"/>
        </w:rPr>
        <w:t>Income Taxes</w:t>
      </w:r>
    </w:p>
    <w:p>
      <w:pPr>
        <w:pStyle w:val="TextBody"/>
        <w:spacing w:before="180" w:after="0"/>
        <w:jc w:val="both"/>
        <w:rPr>
          <w:rFonts w:ascii="Arial;sans-serif" w:hAnsi="Arial;sans-serif"/>
          <w:b w:val="false"/>
          <w:sz w:val="20"/>
        </w:rPr>
      </w:pPr>
      <w:r>
        <w:rPr>
          <w:rFonts w:ascii="Arial;sans-serif" w:hAnsi="Arial;sans-serif"/>
          <w:b w:val="false"/>
          <w:sz w:val="20"/>
        </w:rPr>
        <w:t>The objectives of accounting for income taxes are to recognize the amount of taxes payable or refundable for the current year, and deferred tax liabilities and assets for the future tax consequences of events that have been recognized in an entity’s financial statements or tax returns.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 Accounting literature also provides guidance on derecognition of income tax assets and liabilities, classification of deferred income tax assets and liabilities, accounting for interest and penalties associated with tax positions, and income tax disclosures. Judgment is required in assessing the future tax consequences of events that have been recognized in our consolidated financial statements or tax returns. Variations in the actual outcome of these future tax consequences could materially impact our consolidated financial statements.</w:t>
      </w:r>
    </w:p>
    <w:p>
      <w:pPr>
        <w:pStyle w:val="TextBody"/>
        <w:spacing w:before="270" w:after="0"/>
        <w:jc w:val="both"/>
        <w:rPr>
          <w:rFonts w:ascii="Arial;sans-serif" w:hAnsi="Arial;sans-serif"/>
          <w:b/>
          <w:sz w:val="20"/>
        </w:rPr>
      </w:pPr>
      <w:r>
        <w:rPr>
          <w:rFonts w:ascii="Arial;sans-serif" w:hAnsi="Arial;sans-serif"/>
          <w:b/>
          <w:sz w:val="20"/>
        </w:rPr>
        <w:t>Inventories</w:t>
      </w:r>
    </w:p>
    <w:p>
      <w:pPr>
        <w:pStyle w:val="TextBody"/>
        <w:spacing w:before="180" w:after="0"/>
        <w:jc w:val="both"/>
        <w:rPr>
          <w:rFonts w:ascii="Arial;sans-serif" w:hAnsi="Arial;sans-serif"/>
          <w:b w:val="false"/>
          <w:sz w:val="20"/>
        </w:rPr>
      </w:pPr>
      <w:r>
        <w:rPr>
          <w:rFonts w:ascii="Arial;sans-serif" w:hAnsi="Arial;sans-serif"/>
          <w:b w:val="false"/>
          <w:sz w:val="20"/>
        </w:rPr>
        <w:t>Inventories are stated at average cost, subject to the lower of cost or net realizable value. Cost includes materials, labor, and manufacturing overhead related to the purchase and production of inventories. Net realizable value is the estimated selling price less estimated costs of completion, disposal, and transportation. We regularly review inventory quantities on hand, future purchase commitments with our suppliers, and the estimated utility of our inventory. These reviews include analysis of demand forecasts, product life cycle status, product development plans, current sales levels, pricing strategy, and component cost trends. If our review indicates a reduction in utility below carrying value, we reduce our inventory to a new cost basis through a charge to cost of revenue.</w:t>
      </w:r>
    </w:p>
    <w:p>
      <w:pPr>
        <w:pStyle w:val="TextBody"/>
        <w:spacing w:before="240" w:after="0"/>
        <w:jc w:val="center"/>
        <w:rPr>
          <w:rFonts w:ascii="Arial;sans-serif" w:hAnsi="Arial;sans-serif"/>
          <w:b w:val="false"/>
          <w:sz w:val="16"/>
        </w:rPr>
      </w:pPr>
      <w:r>
        <w:rPr>
          <w:rFonts w:ascii="Arial;sans-serif" w:hAnsi="Arial;sans-serif"/>
          <w:b w:val="false"/>
          <w:sz w:val="16"/>
        </w:rPr>
        <w:t>49</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w:t>
      </w:r>
    </w:p>
    <w:p>
      <w:pPr>
        <w:pStyle w:val="TextBody"/>
        <w:spacing w:before="0" w:after="0"/>
        <w:jc w:val="center"/>
        <w:rPr>
          <w:rFonts w:ascii="Arial;sans-serif" w:hAnsi="Arial;sans-serif"/>
          <w:b w:val="false"/>
          <w:sz w:val="15"/>
        </w:rPr>
      </w:pPr>
      <w:r>
        <w:rPr>
          <w:rFonts w:ascii="Arial;sans-serif" w:hAnsi="Arial;sans-serif"/>
          <w:b w:val="false"/>
          <w:sz w:val="15"/>
        </w:rPr>
        <w:t>Item 3, 4</w:t>
      </w:r>
    </w:p>
    <w:p>
      <w:pPr>
        <w:pStyle w:val="TextBody"/>
        <w:spacing w:before="0" w:after="0"/>
        <w:jc w:val="left"/>
        <w:rPr/>
      </w:pPr>
      <w:r>
        <w:rPr/>
        <w:t> </w:t>
      </w:r>
    </w:p>
    <w:p>
      <w:pPr>
        <w:pStyle w:val="TextBody"/>
        <w:spacing w:before="0" w:after="0"/>
        <w:jc w:val="center"/>
        <w:rPr>
          <w:rFonts w:ascii="Arial;sans-serif" w:hAnsi="Arial;sans-serif"/>
          <w:b/>
          <w:sz w:val="24"/>
        </w:rPr>
      </w:pPr>
      <w:bookmarkStart w:id="14" w:name="item_3_quantitative_qualitative_disclosu"/>
      <w:bookmarkEnd w:id="14"/>
      <w:r>
        <w:rPr>
          <w:rFonts w:ascii="Arial;sans-serif" w:hAnsi="Arial;sans-serif"/>
          <w:b/>
          <w:sz w:val="24"/>
        </w:rPr>
        <w:t>ITEM 3. QUANTITATIVE AND QUALITATIVE DISCLOSURES ABOUT MARKET RISK</w:t>
      </w:r>
    </w:p>
    <w:p>
      <w:pPr>
        <w:pStyle w:val="TextBody"/>
        <w:spacing w:before="180" w:after="0"/>
        <w:jc w:val="center"/>
        <w:rPr>
          <w:rFonts w:ascii="Arial;sans-serif" w:hAnsi="Arial;sans-serif"/>
          <w:b w:val="false"/>
          <w:sz w:val="20"/>
          <w:u w:val="single"/>
        </w:rPr>
      </w:pPr>
      <w:r>
        <w:rPr>
          <w:rFonts w:ascii="Arial;sans-serif" w:hAnsi="Arial;sans-serif"/>
          <w:b w:val="false"/>
          <w:sz w:val="20"/>
          <w:u w:val="single"/>
        </w:rPr>
        <w:t>RISKS</w:t>
      </w:r>
    </w:p>
    <w:p>
      <w:pPr>
        <w:pStyle w:val="TextBody"/>
        <w:spacing w:before="180" w:after="0"/>
        <w:jc w:val="both"/>
        <w:rPr>
          <w:rFonts w:ascii="Arial;sans-serif" w:hAnsi="Arial;sans-serif"/>
          <w:b w:val="false"/>
          <w:sz w:val="20"/>
        </w:rPr>
      </w:pPr>
      <w:r>
        <w:rPr>
          <w:rFonts w:ascii="Arial;sans-serif" w:hAnsi="Arial;sans-serif"/>
          <w:b w:val="false"/>
          <w:sz w:val="20"/>
        </w:rPr>
        <w:t>We are exposed to economic risk from foreign exchange rates, interest rates, credit risk, and equity prices. We use derivatives instruments to manage these risks, however, they may still impact our consolidated financial statements.</w:t>
      </w:r>
    </w:p>
    <w:p>
      <w:pPr>
        <w:pStyle w:val="TextBody"/>
        <w:spacing w:before="270" w:after="0"/>
        <w:jc w:val="both"/>
        <w:rPr>
          <w:rFonts w:ascii="Arial;sans-serif" w:hAnsi="Arial;sans-serif"/>
          <w:b/>
          <w:sz w:val="20"/>
        </w:rPr>
      </w:pPr>
      <w:r>
        <w:rPr>
          <w:rFonts w:ascii="Arial;sans-serif" w:hAnsi="Arial;sans-serif"/>
          <w:b/>
          <w:sz w:val="20"/>
        </w:rPr>
        <w:t>Foreign Currencies</w:t>
      </w:r>
    </w:p>
    <w:p>
      <w:pPr>
        <w:pStyle w:val="TextBody"/>
        <w:spacing w:before="180" w:after="0"/>
        <w:jc w:val="both"/>
        <w:rPr>
          <w:rFonts w:ascii="Arial;sans-serif" w:hAnsi="Arial;sans-serif"/>
          <w:b w:val="false"/>
          <w:sz w:val="20"/>
        </w:rPr>
      </w:pPr>
      <w:r>
        <w:rPr>
          <w:rFonts w:ascii="Arial;sans-serif" w:hAnsi="Arial;sans-serif"/>
          <w:b w:val="false"/>
          <w:sz w:val="20"/>
        </w:rPr>
        <w:t>Certain forecasted transactions, assets, and liabilities are exposed to foreign currency risk. We monitor our foreign currency exposures daily to maximize the economic effectiveness of our foreign currency positions, including hedges. Principal currency exposures include the Euro, Japanese yen, British pound, Canadian dollar, and Australian dollar.</w:t>
      </w:r>
    </w:p>
    <w:p>
      <w:pPr>
        <w:pStyle w:val="TextBody"/>
        <w:spacing w:before="270" w:after="0"/>
        <w:jc w:val="both"/>
        <w:rPr>
          <w:rFonts w:ascii="Arial;sans-serif" w:hAnsi="Arial;sans-serif"/>
          <w:b/>
          <w:sz w:val="20"/>
        </w:rPr>
      </w:pPr>
      <w:r>
        <w:rPr>
          <w:rFonts w:ascii="Arial;sans-serif" w:hAnsi="Arial;sans-serif"/>
          <w:b/>
          <w:sz w:val="20"/>
        </w:rPr>
        <w:t>Interest Rate</w:t>
      </w:r>
    </w:p>
    <w:p>
      <w:pPr>
        <w:pStyle w:val="TextBody"/>
        <w:spacing w:before="180" w:after="0"/>
        <w:jc w:val="both"/>
        <w:rPr>
          <w:rFonts w:ascii="Arial;sans-serif" w:hAnsi="Arial;sans-serif"/>
          <w:b w:val="false"/>
          <w:sz w:val="20"/>
        </w:rPr>
      </w:pPr>
      <w:r>
        <w:rPr>
          <w:rFonts w:ascii="Arial;sans-serif" w:hAnsi="Arial;sans-serif"/>
          <w:b w:val="false"/>
          <w:sz w:val="20"/>
        </w:rPr>
        <w:t>Securities held in our fixed-income portfolio are subject to different interest rate risks based on their maturities. We manage the average maturity of the fixed-income portfolio to achieve economic returns that correlate to certain global fixed-income indices.</w:t>
      </w:r>
    </w:p>
    <w:p>
      <w:pPr>
        <w:pStyle w:val="TextBody"/>
        <w:spacing w:before="270" w:after="0"/>
        <w:jc w:val="both"/>
        <w:rPr>
          <w:rFonts w:ascii="Arial;sans-serif" w:hAnsi="Arial;sans-serif"/>
          <w:b/>
          <w:sz w:val="20"/>
        </w:rPr>
      </w:pPr>
      <w:r>
        <w:rPr>
          <w:rFonts w:ascii="Arial;sans-serif" w:hAnsi="Arial;sans-serif"/>
          <w:b/>
          <w:sz w:val="20"/>
        </w:rPr>
        <w:t>Credit</w:t>
      </w:r>
    </w:p>
    <w:p>
      <w:pPr>
        <w:pStyle w:val="TextBody"/>
        <w:spacing w:before="180" w:after="0"/>
        <w:jc w:val="both"/>
        <w:rPr>
          <w:rFonts w:ascii="Arial;sans-serif" w:hAnsi="Arial;sans-serif"/>
          <w:b w:val="false"/>
          <w:sz w:val="20"/>
        </w:rPr>
      </w:pPr>
      <w:r>
        <w:rPr>
          <w:rFonts w:ascii="Arial;sans-serif" w:hAnsi="Arial;sans-serif"/>
          <w:b w:val="false"/>
          <w:sz w:val="20"/>
        </w:rPr>
        <w:t>Our fixed-income portfolio is diversified and consists primarily of investment-grade securities. We manage credit exposures relative to broad-based indices to facilitate portfolio diversification.</w:t>
      </w:r>
    </w:p>
    <w:p>
      <w:pPr>
        <w:pStyle w:val="TextBody"/>
        <w:spacing w:before="270" w:after="0"/>
        <w:jc w:val="both"/>
        <w:rPr>
          <w:rFonts w:ascii="Arial;sans-serif" w:hAnsi="Arial;sans-serif"/>
          <w:b/>
          <w:sz w:val="20"/>
        </w:rPr>
      </w:pPr>
      <w:r>
        <w:rPr>
          <w:rFonts w:ascii="Arial;sans-serif" w:hAnsi="Arial;sans-serif"/>
          <w:b/>
          <w:sz w:val="20"/>
        </w:rPr>
        <w:t>Equity</w:t>
      </w:r>
    </w:p>
    <w:p>
      <w:pPr>
        <w:pStyle w:val="TextBody"/>
        <w:spacing w:before="180" w:after="0"/>
        <w:jc w:val="both"/>
        <w:rPr>
          <w:rFonts w:ascii="Arial;sans-serif" w:hAnsi="Arial;sans-serif"/>
          <w:b w:val="false"/>
          <w:sz w:val="20"/>
        </w:rPr>
      </w:pPr>
      <w:r>
        <w:rPr>
          <w:rFonts w:ascii="Arial;sans-serif" w:hAnsi="Arial;sans-serif"/>
          <w:b w:val="false"/>
          <w:sz w:val="20"/>
        </w:rPr>
        <w:t>Securities held in our equity investments portfolio are subject to price risk.</w:t>
      </w:r>
    </w:p>
    <w:p>
      <w:pPr>
        <w:pStyle w:val="TextBody"/>
        <w:spacing w:before="270" w:after="0"/>
        <w:jc w:val="center"/>
        <w:rPr>
          <w:rFonts w:ascii="Arial;sans-serif" w:hAnsi="Arial;sans-serif"/>
          <w:b w:val="false"/>
          <w:sz w:val="20"/>
          <w:u w:val="single"/>
        </w:rPr>
      </w:pPr>
      <w:r>
        <w:rPr>
          <w:rFonts w:ascii="Arial;sans-serif" w:hAnsi="Arial;sans-serif"/>
          <w:b w:val="false"/>
          <w:sz w:val="20"/>
          <w:u w:val="single"/>
        </w:rPr>
        <w:t>SENSITIVITY ANALYSIS</w:t>
      </w:r>
    </w:p>
    <w:p>
      <w:pPr>
        <w:pStyle w:val="TextBody"/>
        <w:spacing w:before="180" w:after="0"/>
        <w:jc w:val="both"/>
        <w:rPr>
          <w:rFonts w:ascii="Arial;sans-serif" w:hAnsi="Arial;sans-serif"/>
          <w:b w:val="false"/>
          <w:sz w:val="20"/>
        </w:rPr>
      </w:pPr>
      <w:r>
        <w:rPr>
          <w:rFonts w:ascii="Arial;sans-serif" w:hAnsi="Arial;sans-serif"/>
          <w:b w:val="false"/>
          <w:sz w:val="20"/>
        </w:rPr>
        <w:t>The following table sets forth the potential loss in future earnings or fair values, including associated derivatives, resulting from hypothetical changes in relevant market rates or prices:</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2794"/>
        <w:gridCol w:w="146"/>
        <w:gridCol w:w="146"/>
        <w:gridCol w:w="4628"/>
        <w:gridCol w:w="146"/>
        <w:gridCol w:w="211"/>
        <w:gridCol w:w="646"/>
        <w:gridCol w:w="166"/>
        <w:gridCol w:w="146"/>
        <w:gridCol w:w="489"/>
        <w:gridCol w:w="493"/>
        <w:gridCol w:w="194"/>
      </w:tblGrid>
      <w:tr>
        <w:trPr/>
        <w:tc>
          <w:tcPr>
            <w:tcW w:w="279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2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8883" w:type="dxa"/>
            <w:gridSpan w:val="8"/>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(In millions)</w:t>
            </w:r>
          </w:p>
        </w:tc>
        <w:tc>
          <w:tcPr>
            <w:tcW w:w="635" w:type="dxa"/>
            <w:gridSpan w:val="2"/>
            <w:tcBorders/>
            <w:shd w:fill="auto" w:val="clear"/>
            <w:vAlign w:val="center"/>
          </w:tcPr>
          <w:p>
            <w:pPr>
              <w:pStyle w:val="TableContents"/>
              <w:spacing w:before="0" w:after="0"/>
              <w:ind w:left="0" w:right="0" w:hanging="0"/>
              <w:jc w:val="left"/>
              <w:rPr/>
            </w:pPr>
            <w:r>
              <w:rPr/>
              <w:t> </w:t>
            </w:r>
          </w:p>
        </w:tc>
        <w:tc>
          <w:tcPr>
            <w:tcW w:w="687" w:type="dxa"/>
            <w:gridSpan w:val="2"/>
            <w:tcBorders/>
            <w:shd w:fill="auto" w:val="clear"/>
            <w:vAlign w:val="center"/>
          </w:tcPr>
          <w:p>
            <w:pPr>
              <w:pStyle w:val="TableContents"/>
              <w:spacing w:before="0" w:after="0"/>
              <w:ind w:left="0" w:right="0" w:hanging="0"/>
              <w:jc w:val="left"/>
              <w:rPr/>
            </w:pPr>
            <w:r>
              <w:rPr/>
              <w:t> </w:t>
            </w:r>
          </w:p>
        </w:tc>
      </w:tr>
      <w:tr>
        <w:trPr/>
        <w:tc>
          <w:tcPr>
            <w:tcW w:w="2794"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794"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2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82" w:type="dxa"/>
            <w:gridSpan w:val="2"/>
            <w:tcBorders/>
            <w:shd w:fill="auto" w:val="clear"/>
            <w:vAlign w:val="center"/>
          </w:tcPr>
          <w:p>
            <w:pPr>
              <w:pStyle w:val="TableContents"/>
              <w:spacing w:before="0" w:after="0"/>
              <w:ind w:left="0" w:right="0" w:hanging="0"/>
              <w:jc w:val="left"/>
              <w:rPr/>
            </w:pPr>
            <w:r>
              <w:rPr/>
              <w:t> </w:t>
            </w:r>
          </w:p>
        </w:tc>
        <w:tc>
          <w:tcPr>
            <w:tcW w:w="194" w:type="dxa"/>
            <w:tcBorders/>
            <w:shd w:fill="auto" w:val="clear"/>
            <w:vAlign w:val="center"/>
          </w:tcPr>
          <w:p>
            <w:pPr>
              <w:pStyle w:val="TableContents"/>
              <w:spacing w:before="0" w:after="0"/>
              <w:ind w:left="0" w:right="0" w:hanging="0"/>
              <w:jc w:val="left"/>
              <w:rPr/>
            </w:pPr>
            <w:r>
              <w:rPr/>
              <w:t> </w:t>
            </w:r>
          </w:p>
        </w:tc>
      </w:tr>
      <w:tr>
        <w:trPr/>
        <w:tc>
          <w:tcPr>
            <w:tcW w:w="2794"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Risk Categories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628"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Hypothetical Change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857"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March 31,</w:t>
            </w:r>
          </w:p>
          <w:p>
            <w:pPr>
              <w:pStyle w:val="TableContents"/>
              <w:spacing w:before="0" w:after="0"/>
              <w:ind w:left="0" w:right="0" w:hanging="0"/>
              <w:jc w:val="right"/>
              <w:rPr>
                <w:rFonts w:ascii="Arial;sans-serif" w:hAnsi="Arial;sans-serif"/>
                <w:b/>
                <w:sz w:val="15"/>
              </w:rPr>
            </w:pPr>
            <w:r>
              <w:rPr>
                <w:rFonts w:ascii="Arial;sans-serif" w:hAnsi="Arial;sans-serif"/>
                <w:b/>
                <w:sz w:val="15"/>
              </w:rPr>
              <w:t>2023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82" w:type="dxa"/>
            <w:gridSpan w:val="2"/>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Impact</w:t>
            </w:r>
          </w:p>
        </w:tc>
        <w:tc>
          <w:tcPr>
            <w:tcW w:w="194" w:type="dxa"/>
            <w:tcBorders/>
            <w:shd w:fill="auto" w:val="clear"/>
            <w:vAlign w:val="center"/>
          </w:tcPr>
          <w:p>
            <w:pPr>
              <w:pStyle w:val="TableContents"/>
              <w:spacing w:before="0" w:after="283"/>
              <w:ind w:left="0" w:right="0" w:hanging="0"/>
              <w:rPr>
                <w:sz w:val="4"/>
                <w:szCs w:val="4"/>
              </w:rPr>
            </w:pPr>
            <w:r>
              <w:rPr>
                <w:sz w:val="4"/>
                <w:szCs w:val="4"/>
              </w:rPr>
            </w:r>
          </w:p>
        </w:tc>
      </w:tr>
      <w:tr>
        <w:trPr/>
        <w:tc>
          <w:tcPr>
            <w:tcW w:w="2794"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2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82" w:type="dxa"/>
            <w:gridSpan w:val="2"/>
            <w:tcBorders/>
            <w:shd w:fill="auto" w:val="clear"/>
            <w:vAlign w:val="center"/>
          </w:tcPr>
          <w:p>
            <w:pPr>
              <w:pStyle w:val="TableContents"/>
              <w:spacing w:before="0" w:after="0"/>
              <w:ind w:left="0" w:right="0" w:hanging="0"/>
              <w:jc w:val="left"/>
              <w:rPr/>
            </w:pPr>
            <w:r>
              <w:rPr/>
              <w:t> </w:t>
            </w:r>
          </w:p>
        </w:tc>
        <w:tc>
          <w:tcPr>
            <w:tcW w:w="194" w:type="dxa"/>
            <w:tcBorders/>
            <w:shd w:fill="auto" w:val="clear"/>
            <w:vAlign w:val="center"/>
          </w:tcPr>
          <w:p>
            <w:pPr>
              <w:pStyle w:val="TableContents"/>
              <w:spacing w:before="0" w:after="0"/>
              <w:ind w:left="0" w:right="0" w:hanging="0"/>
              <w:jc w:val="left"/>
              <w:rPr/>
            </w:pPr>
            <w:r>
              <w:rPr/>
              <w:t> </w:t>
            </w:r>
          </w:p>
        </w:tc>
      </w:tr>
      <w:tr>
        <w:trPr/>
        <w:tc>
          <w:tcPr>
            <w:tcW w:w="279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Foreign currency – Revenue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2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10% decrease in foreign exchange rates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4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(7,353</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82" w:type="dxa"/>
            <w:gridSpan w:val="2"/>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Earnings</w:t>
            </w:r>
          </w:p>
        </w:tc>
        <w:tc>
          <w:tcPr>
            <w:tcW w:w="194" w:type="dxa"/>
            <w:tcBorders/>
            <w:shd w:fill="auto" w:val="clear"/>
            <w:vAlign w:val="center"/>
          </w:tcPr>
          <w:p>
            <w:pPr>
              <w:pStyle w:val="TableContents"/>
              <w:spacing w:before="0" w:after="283"/>
              <w:ind w:left="0" w:right="0" w:hanging="0"/>
              <w:rPr>
                <w:sz w:val="4"/>
                <w:szCs w:val="4"/>
              </w:rPr>
            </w:pPr>
            <w:r>
              <w:rPr>
                <w:sz w:val="4"/>
                <w:szCs w:val="4"/>
              </w:rPr>
            </w:r>
          </w:p>
        </w:tc>
      </w:tr>
      <w:tr>
        <w:trPr/>
        <w:tc>
          <w:tcPr>
            <w:tcW w:w="279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Foreign currency – Investments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462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10% decrease in foreign exchange rates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4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(29</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82" w:type="dxa"/>
            <w:gridSpan w:val="2"/>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Fair Value</w:t>
            </w:r>
          </w:p>
        </w:tc>
        <w:tc>
          <w:tcPr>
            <w:tcW w:w="194" w:type="dxa"/>
            <w:tcBorders/>
            <w:shd w:fill="auto" w:val="clear"/>
            <w:vAlign w:val="center"/>
          </w:tcPr>
          <w:p>
            <w:pPr>
              <w:pStyle w:val="TableContents"/>
              <w:spacing w:before="0" w:after="283"/>
              <w:ind w:left="0" w:right="0" w:hanging="0"/>
              <w:rPr>
                <w:sz w:val="4"/>
                <w:szCs w:val="4"/>
              </w:rPr>
            </w:pPr>
            <w:r>
              <w:rPr>
                <w:sz w:val="4"/>
                <w:szCs w:val="4"/>
              </w:rPr>
            </w:r>
          </w:p>
        </w:tc>
      </w:tr>
      <w:tr>
        <w:trPr/>
        <w:tc>
          <w:tcPr>
            <w:tcW w:w="279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Interest rate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62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100 basis point increase in U.S. treasury interest rates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4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(2,001</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82" w:type="dxa"/>
            <w:gridSpan w:val="2"/>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Fair Value</w:t>
            </w:r>
          </w:p>
        </w:tc>
        <w:tc>
          <w:tcPr>
            <w:tcW w:w="194" w:type="dxa"/>
            <w:tcBorders/>
            <w:shd w:fill="auto" w:val="clear"/>
            <w:vAlign w:val="center"/>
          </w:tcPr>
          <w:p>
            <w:pPr>
              <w:pStyle w:val="TableContents"/>
              <w:spacing w:before="0" w:after="283"/>
              <w:ind w:left="0" w:right="0" w:hanging="0"/>
              <w:rPr>
                <w:sz w:val="4"/>
                <w:szCs w:val="4"/>
              </w:rPr>
            </w:pPr>
            <w:r>
              <w:rPr>
                <w:sz w:val="4"/>
                <w:szCs w:val="4"/>
              </w:rPr>
            </w:r>
          </w:p>
        </w:tc>
      </w:tr>
      <w:tr>
        <w:trPr/>
        <w:tc>
          <w:tcPr>
            <w:tcW w:w="2794"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Credit</w:t>
            </w:r>
            <w:r>
              <w:rPr>
                <w:rFonts w:ascii="Times New Roman" w:hAnsi="Times New Roman"/>
                <w:sz w:val="20"/>
              </w:rPr>
              <w:t xml:space="preserve">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62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100 basis point increase in credit spreads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4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(391</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82" w:type="dxa"/>
            <w:gridSpan w:val="2"/>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Fair Value</w:t>
            </w:r>
          </w:p>
        </w:tc>
        <w:tc>
          <w:tcPr>
            <w:tcW w:w="194" w:type="dxa"/>
            <w:tcBorders/>
            <w:shd w:fill="auto" w:val="clear"/>
            <w:vAlign w:val="center"/>
          </w:tcPr>
          <w:p>
            <w:pPr>
              <w:pStyle w:val="TableContents"/>
              <w:spacing w:before="0" w:after="283"/>
              <w:ind w:left="0" w:right="0" w:hanging="0"/>
              <w:rPr>
                <w:sz w:val="4"/>
                <w:szCs w:val="4"/>
              </w:rPr>
            </w:pPr>
            <w:r>
              <w:rPr>
                <w:sz w:val="4"/>
                <w:szCs w:val="4"/>
              </w:rPr>
            </w:r>
          </w:p>
        </w:tc>
      </w:tr>
      <w:tr>
        <w:trPr/>
        <w:tc>
          <w:tcPr>
            <w:tcW w:w="279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Equity</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62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10% decrease in equity market prices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4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(723</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82" w:type="dxa"/>
            <w:gridSpan w:val="2"/>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Earnings</w:t>
            </w:r>
          </w:p>
        </w:tc>
        <w:tc>
          <w:tcPr>
            <w:tcW w:w="194" w:type="dxa"/>
            <w:tcBorders/>
            <w:shd w:fill="auto" w:val="clear"/>
            <w:vAlign w:val="center"/>
          </w:tcPr>
          <w:p>
            <w:pPr>
              <w:pStyle w:val="TableContents"/>
              <w:spacing w:before="0" w:after="0"/>
              <w:ind w:left="0" w:right="0" w:hanging="0"/>
              <w:jc w:val="left"/>
              <w:rPr/>
            </w:pPr>
            <w:r>
              <w:rPr/>
              <w:t> </w:t>
            </w:r>
          </w:p>
        </w:tc>
      </w:tr>
      <w:tr>
        <w:trPr/>
        <w:tc>
          <w:tcPr>
            <w:tcW w:w="2794"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90" w:after="0"/>
        <w:jc w:val="center"/>
        <w:rPr>
          <w:rFonts w:ascii="Times New Roman" w:hAnsi="Times New Roman"/>
          <w:sz w:val="20"/>
        </w:rPr>
      </w:pPr>
      <w:bookmarkStart w:id="15" w:name="item_4_controls_procedures"/>
      <w:bookmarkEnd w:id="15"/>
      <w:r>
        <w:rPr>
          <w:rFonts w:ascii="Arial;sans-serif" w:hAnsi="Arial;sans-serif"/>
          <w:b/>
          <w:sz w:val="24"/>
        </w:rPr>
        <w:t>ITEM 4. CONTROLS</w:t>
      </w:r>
      <w:r>
        <w:rPr>
          <w:rFonts w:ascii="Times New Roman" w:hAnsi="Times New Roman"/>
          <w:sz w:val="20"/>
        </w:rPr>
        <w:t xml:space="preserve"> </w:t>
      </w:r>
      <w:r>
        <w:rPr>
          <w:rFonts w:ascii="Arial;sans-serif" w:hAnsi="Arial;sans-serif"/>
          <w:b/>
          <w:sz w:val="24"/>
        </w:rPr>
        <w:t>AND PROCEDURES</w:t>
      </w:r>
    </w:p>
    <w:p>
      <w:pPr>
        <w:pStyle w:val="TextBody"/>
        <w:spacing w:before="180" w:after="0"/>
        <w:jc w:val="both"/>
        <w:rPr>
          <w:rFonts w:ascii="Arial;sans-serif" w:hAnsi="Arial;sans-serif"/>
          <w:b w:val="false"/>
          <w:sz w:val="20"/>
        </w:rPr>
      </w:pPr>
      <w:r>
        <w:rPr>
          <w:rFonts w:ascii="Arial;sans-serif" w:hAnsi="Arial;sans-serif"/>
          <w:b w:val="false"/>
          <w:sz w:val="20"/>
        </w:rPr>
        <w:t>Under the supervision and with the participation of our management, including the Chief Executive Officer and Chief Financial Officer, we have evaluated the effectiveness of our disclosure controls and procedures as required by Exchange Act Rule 13a-15(b) as of the end of the period covered by this report. Based on that evaluation, the Chief Executive Officer and Chief Financial Officer have concluded that these disclosure controls and procedures are effective. There were no changes in our internal control over financial reporting during the quarter ended March 31, 2023 that have materially affected, or are reasonably likely to materially affect, our internal control over financial reporting.</w:t>
      </w:r>
    </w:p>
    <w:p>
      <w:pPr>
        <w:pStyle w:val="TextBody"/>
        <w:spacing w:before="240" w:after="0"/>
        <w:jc w:val="center"/>
        <w:rPr>
          <w:rFonts w:ascii="Arial;sans-serif" w:hAnsi="Arial;sans-serif"/>
          <w:b w:val="false"/>
          <w:sz w:val="16"/>
        </w:rPr>
      </w:pPr>
      <w:r>
        <w:rPr>
          <w:rFonts w:ascii="Arial;sans-serif" w:hAnsi="Arial;sans-serif"/>
          <w:b w:val="false"/>
          <w:sz w:val="16"/>
        </w:rPr>
        <w:t>50</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II</w:t>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Item 1, 1A</w:t>
      </w:r>
    </w:p>
    <w:p>
      <w:pPr>
        <w:pStyle w:val="TextBody"/>
        <w:spacing w:before="0" w:after="0"/>
        <w:jc w:val="left"/>
        <w:rPr/>
      </w:pPr>
      <w:r>
        <w:rPr/>
        <w:t> </w:t>
      </w:r>
    </w:p>
    <w:p>
      <w:pPr>
        <w:pStyle w:val="TextBody"/>
        <w:spacing w:before="0" w:after="0"/>
        <w:jc w:val="center"/>
        <w:rPr>
          <w:rFonts w:ascii="Times New Roman" w:hAnsi="Times New Roman"/>
          <w:sz w:val="20"/>
        </w:rPr>
      </w:pPr>
      <w:bookmarkStart w:id="16" w:name="part_ii_or_information"/>
      <w:bookmarkEnd w:id="16"/>
      <w:r>
        <w:rPr>
          <w:rFonts w:ascii="Arial;sans-serif" w:hAnsi="Arial;sans-serif"/>
          <w:b/>
          <w:sz w:val="20"/>
        </w:rPr>
        <w:t>PART II. OTHER</w:t>
      </w:r>
      <w:r>
        <w:rPr>
          <w:rFonts w:ascii="Times New Roman" w:hAnsi="Times New Roman"/>
          <w:sz w:val="20"/>
        </w:rPr>
        <w:t xml:space="preserve"> </w:t>
      </w:r>
      <w:r>
        <w:rPr>
          <w:rFonts w:ascii="Arial;sans-serif" w:hAnsi="Arial;sans-serif"/>
          <w:b/>
          <w:sz w:val="20"/>
        </w:rPr>
        <w:t>INFORMATION</w:t>
      </w:r>
    </w:p>
    <w:p>
      <w:pPr>
        <w:pStyle w:val="TextBody"/>
        <w:spacing w:before="180" w:after="0"/>
        <w:jc w:val="center"/>
        <w:rPr>
          <w:rFonts w:ascii="Arial;sans-serif" w:hAnsi="Arial;sans-serif"/>
          <w:b/>
          <w:sz w:val="24"/>
        </w:rPr>
      </w:pPr>
      <w:bookmarkStart w:id="17" w:name="item_1_legal_proceedings"/>
      <w:bookmarkEnd w:id="17"/>
      <w:r>
        <w:rPr>
          <w:rFonts w:ascii="Arial;sans-serif" w:hAnsi="Arial;sans-serif"/>
          <w:b/>
          <w:sz w:val="24"/>
        </w:rPr>
        <w:t>ITEM 1. LEGAL PROCEEDINGS</w:t>
      </w:r>
    </w:p>
    <w:p>
      <w:pPr>
        <w:pStyle w:val="TextBody"/>
        <w:spacing w:before="180" w:after="0"/>
        <w:jc w:val="both"/>
        <w:rPr>
          <w:rFonts w:ascii="Arial;sans-serif" w:hAnsi="Arial;sans-serif"/>
          <w:b w:val="false"/>
          <w:sz w:val="20"/>
        </w:rPr>
      </w:pPr>
      <w:r>
        <w:rPr>
          <w:rFonts w:ascii="Arial;sans-serif" w:hAnsi="Arial;sans-serif"/>
          <w:b w:val="false"/>
          <w:sz w:val="20"/>
        </w:rPr>
        <w:t>Refer to Note 14 – Contingencies of the Notes to Financial Statements (Part I, Item 1 of this Form 10-Q) for information regarding legal proceedings in which we are involved.</w:t>
      </w:r>
    </w:p>
    <w:p>
      <w:pPr>
        <w:pStyle w:val="TextBody"/>
        <w:spacing w:before="270" w:after="0"/>
        <w:jc w:val="center"/>
        <w:rPr>
          <w:rFonts w:ascii="Arial;sans-serif" w:hAnsi="Arial;sans-serif"/>
          <w:b/>
          <w:sz w:val="24"/>
        </w:rPr>
      </w:pPr>
      <w:bookmarkStart w:id="18" w:name="item_1a_risk_factors"/>
      <w:bookmarkEnd w:id="18"/>
      <w:r>
        <w:rPr>
          <w:rFonts w:ascii="Arial;sans-serif" w:hAnsi="Arial;sans-serif"/>
          <w:b/>
          <w:sz w:val="24"/>
        </w:rPr>
        <w:t>ITEM 1A. RISK FACTORS</w:t>
      </w:r>
    </w:p>
    <w:p>
      <w:pPr>
        <w:pStyle w:val="TextBody"/>
        <w:spacing w:before="180" w:after="0"/>
        <w:jc w:val="both"/>
        <w:rPr>
          <w:rFonts w:ascii="Arial;sans-serif" w:hAnsi="Arial;sans-serif"/>
          <w:b w:val="false"/>
          <w:sz w:val="20"/>
        </w:rPr>
      </w:pPr>
      <w:r>
        <w:rPr>
          <w:rFonts w:ascii="Arial;sans-serif" w:hAnsi="Arial;sans-serif"/>
          <w:b w:val="false"/>
          <w:sz w:val="20"/>
        </w:rPr>
        <w:t>Our operations and financial results are subject to various risks and uncertainties, including those described below, that could adversely affect our business, financial condition, results of operations, cash flows, and the trading price of our common stock.</w:t>
      </w:r>
    </w:p>
    <w:p>
      <w:pPr>
        <w:pStyle w:val="TextBody"/>
        <w:spacing w:before="270" w:after="0"/>
        <w:jc w:val="center"/>
        <w:rPr>
          <w:rFonts w:ascii="Arial;sans-serif" w:hAnsi="Arial;sans-serif"/>
          <w:b w:val="false"/>
          <w:sz w:val="20"/>
          <w:u w:val="single"/>
        </w:rPr>
      </w:pPr>
      <w:r>
        <w:rPr>
          <w:rFonts w:ascii="Arial;sans-serif" w:hAnsi="Arial;sans-serif"/>
          <w:b w:val="false"/>
          <w:sz w:val="20"/>
          <w:u w:val="single"/>
        </w:rPr>
        <w:t>STRATEGIC AND COMPETITIVE RISKS</w:t>
      </w:r>
    </w:p>
    <w:p>
      <w:pPr>
        <w:pStyle w:val="TextBody"/>
        <w:spacing w:before="180" w:after="0"/>
        <w:jc w:val="both"/>
        <w:rPr>
          <w:rFonts w:ascii="Arial;sans-serif" w:hAnsi="Arial;sans-serif"/>
          <w:b/>
          <w:sz w:val="20"/>
        </w:rPr>
      </w:pPr>
      <w:r>
        <w:rPr>
          <w:rFonts w:ascii="Arial;sans-serif" w:hAnsi="Arial;sans-serif"/>
          <w:b/>
          <w:sz w:val="20"/>
        </w:rPr>
        <w:t>We face intense competition across all markets for our products and services, which may lead to lower revenue or operating margins.</w:t>
      </w:r>
    </w:p>
    <w:p>
      <w:pPr>
        <w:pStyle w:val="TextBody"/>
        <w:spacing w:before="180" w:after="0"/>
        <w:jc w:val="both"/>
        <w:rPr>
          <w:rFonts w:ascii="Arial;sans-serif" w:hAnsi="Arial;sans-serif"/>
          <w:b/>
          <w:i/>
          <w:sz w:val="20"/>
        </w:rPr>
      </w:pPr>
      <w:r>
        <w:rPr>
          <w:rFonts w:ascii="Arial;sans-serif" w:hAnsi="Arial;sans-serif"/>
          <w:b/>
          <w:i/>
          <w:sz w:val="20"/>
        </w:rPr>
        <w:t>Competition in the technology sector</w:t>
      </w:r>
    </w:p>
    <w:p>
      <w:pPr>
        <w:pStyle w:val="TextBody"/>
        <w:spacing w:before="180" w:after="0"/>
        <w:jc w:val="both"/>
        <w:rPr>
          <w:rFonts w:ascii="Arial;sans-serif" w:hAnsi="Arial;sans-serif"/>
          <w:b w:val="false"/>
          <w:sz w:val="20"/>
        </w:rPr>
      </w:pPr>
      <w:r>
        <w:rPr>
          <w:rFonts w:ascii="Arial;sans-serif" w:hAnsi="Arial;sans-serif"/>
          <w:b w:val="false"/>
          <w:sz w:val="20"/>
        </w:rPr>
        <w:t>Our competitors range in size from diversified global companies with significant research and development resources to small, specialized firms whose narrower product lines may let them be more effective in deploying technical, marketing, and financial resources. Barriers to entry in many of our businesses are low and many of the areas in which we compete evolve rapidly with changing and disruptive technologies, shifting user needs, and frequent introductions of new products and services. Our ability to remain competitive depends on our success in making innovative products, devices, and services that appeal to businesses and consumers.</w:t>
      </w:r>
    </w:p>
    <w:p>
      <w:pPr>
        <w:pStyle w:val="TextBody"/>
        <w:spacing w:before="270" w:after="0"/>
        <w:jc w:val="both"/>
        <w:rPr>
          <w:rFonts w:ascii="Arial;sans-serif" w:hAnsi="Arial;sans-serif"/>
          <w:b/>
          <w:i/>
          <w:sz w:val="20"/>
        </w:rPr>
      </w:pPr>
      <w:r>
        <w:rPr>
          <w:rFonts w:ascii="Arial;sans-serif" w:hAnsi="Arial;sans-serif"/>
          <w:b/>
          <w:i/>
          <w:sz w:val="20"/>
        </w:rPr>
        <w:t>Competition among platform-based ecosystems</w:t>
      </w:r>
    </w:p>
    <w:p>
      <w:pPr>
        <w:pStyle w:val="TextBody"/>
        <w:spacing w:before="180" w:after="0"/>
        <w:jc w:val="both"/>
        <w:rPr>
          <w:rFonts w:ascii="Arial;sans-serif" w:hAnsi="Arial;sans-serif"/>
          <w:b w:val="false"/>
          <w:sz w:val="20"/>
        </w:rPr>
      </w:pPr>
      <w:r>
        <w:rPr>
          <w:rFonts w:ascii="Arial;sans-serif" w:hAnsi="Arial;sans-serif"/>
          <w:b w:val="false"/>
          <w:sz w:val="20"/>
        </w:rPr>
        <w:t>An important element of our business model has been to create platform-based ecosystems on which many participants can build diverse solutions. A well-established ecosystem creates beneficial network effects among users, application developers, and the platform provider that can accelerate growth. Establishing significant scale in the marketplace is necessary to achieve and maintain attractive margins. We face significant competition from firms that provide competing platforms.</w:t>
      </w:r>
    </w:p>
    <w:p>
      <w:pPr>
        <w:pStyle w:val="TextBody"/>
        <w:spacing w:before="90" w:after="0"/>
        <w:jc w:val="both"/>
        <w:rPr/>
      </w:pPr>
      <w:r>
        <w:rPr/>
        <w:t>•</w:t>
      </w:r>
    </w:p>
    <w:p>
      <w:pPr>
        <w:pStyle w:val="TextBody"/>
        <w:spacing w:before="90" w:after="283"/>
        <w:jc w:val="both"/>
        <w:rPr>
          <w:rFonts w:ascii="Arial;sans-serif" w:hAnsi="Arial;sans-serif"/>
          <w:b w:val="false"/>
          <w:sz w:val="20"/>
        </w:rPr>
      </w:pPr>
      <w:r>
        <w:rPr>
          <w:rFonts w:ascii="Arial;sans-serif" w:hAnsi="Arial;sans-serif"/>
          <w:b w:val="false"/>
          <w:sz w:val="20"/>
        </w:rPr>
        <w:t>A competing vertically-integrated model, in which a single firm controls the software and hardware elements of a product and related services, has succeeded with some consumer products such as personal computers, tablets, phones, gaming consoles, wearables, and other endpoint devices. Competitors pursuing this model also earn revenue from services integrated with the hardware and software platform, including applications and content sold through their integrated marketplaces. They may also be able to claim security and performance benefits from their vertically integrated offer. We also offer some vertically-integrated hardware and software products and services. To the extent we shift a portion of our business to a vertically integrated model we increase our cost of revenue and reduce our operating margins.</w:t>
      </w:r>
    </w:p>
    <w:p>
      <w:pPr>
        <w:pStyle w:val="TextBody"/>
        <w:spacing w:before="240" w:after="0"/>
        <w:jc w:val="center"/>
        <w:rPr>
          <w:rFonts w:ascii="Arial;sans-serif" w:hAnsi="Arial;sans-serif"/>
          <w:b w:val="false"/>
          <w:sz w:val="16"/>
        </w:rPr>
      </w:pPr>
      <w:r>
        <w:rPr>
          <w:rFonts w:ascii="Arial;sans-serif" w:hAnsi="Arial;sans-serif"/>
          <w:b w:val="false"/>
          <w:sz w:val="16"/>
        </w:rPr>
        <w:t>51</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II</w:t>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Item 1A</w:t>
      </w:r>
    </w:p>
    <w:p>
      <w:pPr>
        <w:pStyle w:val="TextBody"/>
        <w:spacing w:before="0" w:after="0"/>
        <w:jc w:val="left"/>
        <w:rPr/>
      </w:pPr>
      <w:r>
        <w:rPr/>
        <w:t> </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We derive substantial revenue from licenses of Windows operating systems on PCs. We face significant competition from competing platforms developed for new devices and form factors such as smartphones and tablet computers. These devices compete on multiple bases including price and the perceived utility of the device and its platform. Users are increasingly turning to these devices to perform functions that in the past were performed by personal computers. Even if many users view these devices as complementary to a personal computer, the prevalence of these devices may make it more difficult to attract application developers to our PC operating system platforms. Competing with operating systems licensed at low or no cost may decrease our PC operating system margins. Popular products or services offered on competing platforms could increase their competitive strength. In addition, some of our devices compete with products made by our original equipment manufacturer (“OEM”) partners, which may affect their commitment to our platform.</w:t>
      </w:r>
    </w:p>
    <w:p>
      <w:pPr>
        <w:pStyle w:val="TextBody"/>
        <w:spacing w:before="90" w:after="0"/>
        <w:jc w:val="both"/>
        <w:rPr/>
      </w:pPr>
      <w:r>
        <w:rPr/>
        <w:t>•</w:t>
      </w:r>
    </w:p>
    <w:p>
      <w:pPr>
        <w:pStyle w:val="TextBody"/>
        <w:spacing w:before="90" w:after="283"/>
        <w:jc w:val="both"/>
        <w:rPr>
          <w:rFonts w:ascii="Arial;sans-serif" w:hAnsi="Arial;sans-serif"/>
          <w:b w:val="false"/>
          <w:sz w:val="20"/>
        </w:rPr>
      </w:pPr>
      <w:r>
        <w:rPr>
          <w:rFonts w:ascii="Arial;sans-serif" w:hAnsi="Arial;sans-serif"/>
          <w:b w:val="false"/>
          <w:sz w:val="20"/>
        </w:rPr>
        <w:t>Competing platforms have content and application marketplaces with scale and significant installed bases. The variety and utility of content and applications available on a platform are important to device purchasing decisions. Users may incur costs to move data and buy new content and applications when switching platforms. To compete, we must successfully enlist developers to write applications for our platform and ensure that these applications have high quality, security, customer appeal, and value. Efforts to compete with competitors’ content and application marketplaces may increase our cost of revenue and lower our operating margins. Competitors’ rules governing their content and applications marketplaces may restrict our ability to distribute products and services through them in accordance with our technical and business model objectives.</w:t>
      </w:r>
    </w:p>
    <w:p>
      <w:pPr>
        <w:pStyle w:val="TextBody"/>
        <w:spacing w:before="270" w:after="0"/>
        <w:jc w:val="both"/>
        <w:rPr>
          <w:rFonts w:ascii="Arial;sans-serif" w:hAnsi="Arial;sans-serif"/>
          <w:b/>
          <w:i/>
          <w:sz w:val="20"/>
        </w:rPr>
      </w:pPr>
      <w:r>
        <w:rPr>
          <w:rFonts w:ascii="Arial;sans-serif" w:hAnsi="Arial;sans-serif"/>
          <w:b/>
          <w:i/>
          <w:sz w:val="20"/>
        </w:rPr>
        <w:t>Business model competition</w:t>
      </w:r>
    </w:p>
    <w:p>
      <w:pPr>
        <w:pStyle w:val="TextBody"/>
        <w:spacing w:before="180" w:after="0"/>
        <w:jc w:val="both"/>
        <w:rPr>
          <w:rFonts w:ascii="Arial;sans-serif" w:hAnsi="Arial;sans-serif"/>
          <w:b w:val="false"/>
          <w:sz w:val="20"/>
        </w:rPr>
      </w:pPr>
      <w:r>
        <w:rPr>
          <w:rFonts w:ascii="Arial;sans-serif" w:hAnsi="Arial;sans-serif"/>
          <w:b w:val="false"/>
          <w:sz w:val="20"/>
        </w:rPr>
        <w:t>Companies compete with us based on a growing variety of business models.</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Even as we transition more of our business to infrastructure-, platform-, and software-as-a-service business model, the license-based proprietary software model generates a substantial portion of our software revenue. We bear the costs of converting original ideas into software products through investments in research and development, offsetting these costs with the revenue received from licensing our products. Many of our competitors also develop and sell software to businesses and consumers under this model.</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Other competitors develop and offer free applications, online services, and content, and make money by selling third-party advertising. Advertising revenue funds development of products and services these competitors provide to users at no or little cost, competing directly with our revenue-generating products.</w:t>
      </w:r>
    </w:p>
    <w:p>
      <w:pPr>
        <w:pStyle w:val="TextBody"/>
        <w:spacing w:before="90" w:after="0"/>
        <w:jc w:val="both"/>
        <w:rPr/>
      </w:pPr>
      <w:r>
        <w:rPr/>
        <w:t>•</w:t>
      </w:r>
    </w:p>
    <w:p>
      <w:pPr>
        <w:pStyle w:val="TextBody"/>
        <w:spacing w:before="90" w:after="283"/>
        <w:jc w:val="both"/>
        <w:rPr>
          <w:rFonts w:ascii="Arial;sans-serif" w:hAnsi="Arial;sans-serif"/>
          <w:b w:val="false"/>
          <w:sz w:val="20"/>
        </w:rPr>
      </w:pPr>
      <w:r>
        <w:rPr>
          <w:rFonts w:ascii="Arial;sans-serif" w:hAnsi="Arial;sans-serif"/>
          <w:b w:val="false"/>
          <w:sz w:val="20"/>
        </w:rPr>
        <w:t>Some companies compete with us by modifying and then distributing open source software at little or no cost to end users, and earning revenue on advertising or integrated products and services. These firms do not bear the full costs of research and development for the open source software. Some open source software mimics the features and functionality of our products.</w:t>
      </w:r>
    </w:p>
    <w:p>
      <w:pPr>
        <w:pStyle w:val="TextBody"/>
        <w:spacing w:before="180" w:after="0"/>
        <w:jc w:val="both"/>
        <w:rPr>
          <w:rFonts w:ascii="Arial;sans-serif" w:hAnsi="Arial;sans-serif"/>
          <w:b w:val="false"/>
          <w:sz w:val="20"/>
        </w:rPr>
      </w:pPr>
      <w:r>
        <w:rPr>
          <w:rFonts w:ascii="Arial;sans-serif" w:hAnsi="Arial;sans-serif"/>
          <w:b w:val="false"/>
          <w:sz w:val="20"/>
        </w:rPr>
        <w:t>The competitive pressures described above may cause decreased sales volumes, price reductions, and/or increased operating costs, such as for research and development, marketing, and sales incentives. This may lead to lower revenue, gross margins, and operating income.</w:t>
      </w:r>
    </w:p>
    <w:p>
      <w:pPr>
        <w:pStyle w:val="TextBody"/>
        <w:spacing w:before="180" w:after="0"/>
        <w:jc w:val="both"/>
        <w:rPr>
          <w:rFonts w:ascii="Times New Roman" w:hAnsi="Times New Roman"/>
          <w:sz w:val="20"/>
        </w:rPr>
      </w:pPr>
      <w:r>
        <w:rPr>
          <w:rFonts w:ascii="Arial;sans-serif" w:hAnsi="Arial;sans-serif"/>
          <w:b/>
          <w:sz w:val="20"/>
        </w:rPr>
        <w:t>Our increasing focus on cloud-based services presents execution and competitive risks.</w:t>
      </w:r>
      <w:r>
        <w:rPr>
          <w:rFonts w:ascii="Times New Roman" w:hAnsi="Times New Roman"/>
          <w:sz w:val="20"/>
        </w:rPr>
        <w:t xml:space="preserve"> </w:t>
      </w:r>
      <w:r>
        <w:rPr>
          <w:rFonts w:ascii="Arial;sans-serif" w:hAnsi="Arial;sans-serif"/>
          <w:b w:val="false"/>
          <w:sz w:val="20"/>
        </w:rPr>
        <w:t>A growing part of our business involves cloud-based services available across the spectrum of computing devices. Our strategic vision is to compete and grow by building best-in-class platforms and productivity services for an intelligent cloud and an intelligent edge infused with artificial intelligence (“AI”). At the same time, our competitors are rapidly developing and deploying cloud-based services for consumers and business customers. Pricing and delivery models are evolving. Devices and form factors influence how users access services in the cloud and sometimes the user’s choice of which cloud-based services to use. We are devoting significant resources to develop and deploy our cloud-based strategies. The Windows ecosystem must continue to evolve with this changing environment. We embrace cultural and organizational changes to drive accountability and eliminate obstacles to innovation. Our intelligent cloud and intelligent edge worldview is connected with the growth of the Internet of Things (“IoT”), a network of distributed and interconnected devices employing sensors, data, and computing capabilities, including AI. Our success in the IoT will depend on the level of adoption of our offerings such as Azure, Azure Stack, Azure IoT Edge, and Azure Sphere. We may not establish market share sufficient to achieve scale necessary to meet our business objectives.</w:t>
      </w:r>
    </w:p>
    <w:p>
      <w:pPr>
        <w:pStyle w:val="TextBody"/>
        <w:spacing w:before="240" w:after="0"/>
        <w:jc w:val="center"/>
        <w:rPr>
          <w:rFonts w:ascii="Arial;sans-serif" w:hAnsi="Arial;sans-serif"/>
          <w:b w:val="false"/>
          <w:sz w:val="16"/>
        </w:rPr>
      </w:pPr>
      <w:r>
        <w:rPr>
          <w:rFonts w:ascii="Arial;sans-serif" w:hAnsi="Arial;sans-serif"/>
          <w:b w:val="false"/>
          <w:sz w:val="16"/>
        </w:rPr>
        <w:t>52</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II</w:t>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Item 1A</w:t>
      </w:r>
    </w:p>
    <w:p>
      <w:pPr>
        <w:pStyle w:val="TextBody"/>
        <w:spacing w:before="0" w:after="0"/>
        <w:jc w:val="left"/>
        <w:rPr/>
      </w:pPr>
      <w:r>
        <w:rPr/>
        <w:t> </w:t>
      </w:r>
    </w:p>
    <w:p>
      <w:pPr>
        <w:pStyle w:val="TextBody"/>
        <w:spacing w:before="180" w:after="0"/>
        <w:jc w:val="both"/>
        <w:rPr>
          <w:rFonts w:ascii="Arial;sans-serif" w:hAnsi="Arial;sans-serif"/>
          <w:b w:val="false"/>
          <w:sz w:val="20"/>
        </w:rPr>
      </w:pPr>
      <w:r>
        <w:rPr>
          <w:rFonts w:ascii="Arial;sans-serif" w:hAnsi="Arial;sans-serif"/>
          <w:b w:val="false"/>
          <w:sz w:val="20"/>
        </w:rPr>
        <w:t>Besides software development costs, we are incurring costs to build and maintain infrastructure to support cloud computing services. These costs will reduce the operating margins we have previously achieved. Whether we succeed in cloud-based services depends on our execution in several areas, including:</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Continuing to bring to market compelling cloud-based experiences that generate increasing traffic and market share.</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Maintaining the utility, compatibility, and performance of our cloud-based services on the growing array of computing devices, including PCs, smartphones, tablets, gaming consoles, and other devices, as well as sensors and other IoT endpoints.</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Continuing to enhance the attractiveness of our cloud platforms to third-party developers.</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Ensuring our cloud-based services meet the reliability expectations of our customers and maintain the security of their data as well as help them meet their own compliance needs.</w:t>
      </w:r>
    </w:p>
    <w:p>
      <w:pPr>
        <w:pStyle w:val="TextBody"/>
        <w:spacing w:before="90" w:after="0"/>
        <w:jc w:val="both"/>
        <w:rPr/>
      </w:pPr>
      <w:r>
        <w:rPr/>
        <w:t>•</w:t>
      </w:r>
    </w:p>
    <w:p>
      <w:pPr>
        <w:pStyle w:val="TextBody"/>
        <w:spacing w:before="90" w:after="283"/>
        <w:jc w:val="both"/>
        <w:rPr>
          <w:rFonts w:ascii="Arial;sans-serif" w:hAnsi="Arial;sans-serif"/>
          <w:b w:val="false"/>
          <w:sz w:val="20"/>
        </w:rPr>
      </w:pPr>
      <w:r>
        <w:rPr>
          <w:rFonts w:ascii="Arial;sans-serif" w:hAnsi="Arial;sans-serif"/>
          <w:b w:val="false"/>
          <w:sz w:val="20"/>
        </w:rPr>
        <w:t>Making our suite of cloud-based services platform-agnostic, available on a wide range of devices and ecosystems, including those of our competitors.</w:t>
      </w:r>
    </w:p>
    <w:p>
      <w:pPr>
        <w:pStyle w:val="TextBody"/>
        <w:spacing w:before="180" w:after="0"/>
        <w:jc w:val="both"/>
        <w:rPr>
          <w:rFonts w:ascii="Arial;sans-serif" w:hAnsi="Arial;sans-serif"/>
          <w:b w:val="false"/>
          <w:sz w:val="20"/>
        </w:rPr>
      </w:pPr>
      <w:r>
        <w:rPr>
          <w:rFonts w:ascii="Arial;sans-serif" w:hAnsi="Arial;sans-serif"/>
          <w:b w:val="false"/>
          <w:sz w:val="20"/>
        </w:rPr>
        <w:t>It is uncertain whether our strategies will attract the users or generate the revenue required to succeed. If we are not effective in executing organizational and technical changes to increase efficiency and accelerate innovation, or if we fail to generate sufficient usage of our new products and services, we may not grow revenue in line with the infrastructure and development investments described above. This may negatively impact gross margins and operating income.</w:t>
      </w:r>
    </w:p>
    <w:p>
      <w:pPr>
        <w:pStyle w:val="TextBody"/>
        <w:spacing w:before="180" w:after="0"/>
        <w:jc w:val="both"/>
        <w:rPr>
          <w:rFonts w:ascii="Arial;sans-serif" w:hAnsi="Arial;sans-serif"/>
          <w:b w:val="false"/>
          <w:sz w:val="20"/>
        </w:rPr>
      </w:pPr>
      <w:r>
        <w:rPr>
          <w:rFonts w:ascii="Arial;sans-serif" w:hAnsi="Arial;sans-serif"/>
          <w:b w:val="false"/>
          <w:sz w:val="20"/>
        </w:rPr>
        <w:t>Some users may engage in fraudulent or abusive activities through our cloud-based services. These include unauthorized use of accounts through stolen credentials, use of stolen credit cards or other payment vehicles, failure to pay for services accessed, or other activities that violate our terms of service such as cryptocurrency mining or launching cyberattacks. If our efforts to detect such violations or our actions to control these types of fraud and abuse are not effective, we may experience adverse impacts to our revenue or incur reputational damage.</w:t>
      </w:r>
    </w:p>
    <w:p>
      <w:pPr>
        <w:pStyle w:val="TextBody"/>
        <w:spacing w:before="270" w:after="0"/>
        <w:jc w:val="center"/>
        <w:rPr>
          <w:rFonts w:ascii="Arial;sans-serif" w:hAnsi="Arial;sans-serif"/>
          <w:b w:val="false"/>
          <w:sz w:val="20"/>
          <w:u w:val="single"/>
        </w:rPr>
      </w:pPr>
      <w:r>
        <w:rPr>
          <w:rFonts w:ascii="Arial;sans-serif" w:hAnsi="Arial;sans-serif"/>
          <w:b w:val="false"/>
          <w:sz w:val="20"/>
          <w:u w:val="single"/>
        </w:rPr>
        <w:t>RISKS RELATING TO THE EVOLUTION OF OUR BUSINESS</w:t>
      </w:r>
    </w:p>
    <w:p>
      <w:pPr>
        <w:pStyle w:val="TextBody"/>
        <w:spacing w:before="180" w:after="0"/>
        <w:jc w:val="both"/>
        <w:rPr>
          <w:rFonts w:ascii="Times New Roman" w:hAnsi="Times New Roman"/>
          <w:sz w:val="20"/>
        </w:rPr>
      </w:pPr>
      <w:r>
        <w:rPr>
          <w:rFonts w:ascii="Arial;sans-serif" w:hAnsi="Arial;sans-serif"/>
          <w:b/>
          <w:sz w:val="20"/>
        </w:rPr>
        <w:t>We make significant investments in products and services that may not achieve expected returns.</w:t>
      </w:r>
      <w:r>
        <w:rPr>
          <w:rFonts w:ascii="Times New Roman" w:hAnsi="Times New Roman"/>
          <w:sz w:val="20"/>
        </w:rPr>
        <w:t xml:space="preserve"> </w:t>
      </w:r>
      <w:r>
        <w:rPr>
          <w:rFonts w:ascii="Arial;sans-serif" w:hAnsi="Arial;sans-serif"/>
          <w:b w:val="false"/>
          <w:sz w:val="20"/>
        </w:rPr>
        <w:t>We will continue to make significant investments in research, development, and marketing for existing products, services, and technologies, including the Windows operating system, Microsoft 365, Bing, SQL Server, Windows Server, Azure, Office 365, Xbox, LinkedIn, and other products and services. We also invest in the development and acquisition of a variety of hardware for productivity, communication, and entertainment, including PCs, tablets, gaming devices, and HoloLens. Investments in new technology are speculative. Commercial success depends on many factors, including innovativeness, developer support, and effective distribution and marketing. If customers do not perceive our latest offerings as providing significant new functionality or other value, they may reduce their purchases of new software and hardware products or upgrades, unfavorably affecting revenue. We may not achieve significant revenue from new product, service, and distribution channel investments for several years, if at all. New products and services may not be profitable, and even if they are profitable, operating margins for some new products and businesses will not be as high as the margins we have experienced historically. We may not get engagement in certain features, like Edge and Bing, that drive post-sale monetization opportunities. Our data handling practices across our products and services will continue to be under scrutiny. Perceptions of mismanagement, driven by regulatory activity or negative public reaction to our practices or product experiences, could negatively impact product and feature adoption, product design, and product quality.</w:t>
      </w:r>
    </w:p>
    <w:p>
      <w:pPr>
        <w:pStyle w:val="TextBody"/>
        <w:spacing w:before="180" w:after="0"/>
        <w:jc w:val="both"/>
        <w:rPr>
          <w:rFonts w:ascii="Arial;sans-serif" w:hAnsi="Arial;sans-serif"/>
          <w:b w:val="false"/>
          <w:sz w:val="20"/>
        </w:rPr>
      </w:pPr>
      <w:r>
        <w:rPr>
          <w:rFonts w:ascii="Arial;sans-serif" w:hAnsi="Arial;sans-serif"/>
          <w:b w:val="false"/>
          <w:sz w:val="20"/>
        </w:rPr>
        <w:t>Developing new technologies is complex. It can require long development and testing periods. Significant delays in new releases or significant problems in creating new products or services could adversely affect our revenue.</w:t>
      </w:r>
    </w:p>
    <w:p>
      <w:pPr>
        <w:pStyle w:val="TextBody"/>
        <w:spacing w:before="240" w:after="0"/>
        <w:jc w:val="center"/>
        <w:rPr>
          <w:rFonts w:ascii="Arial;sans-serif" w:hAnsi="Arial;sans-serif"/>
          <w:b w:val="false"/>
          <w:sz w:val="16"/>
        </w:rPr>
      </w:pPr>
      <w:r>
        <w:rPr>
          <w:rFonts w:ascii="Arial;sans-serif" w:hAnsi="Arial;sans-serif"/>
          <w:b w:val="false"/>
          <w:sz w:val="16"/>
        </w:rPr>
        <w:t>53</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II</w:t>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Item 1A</w:t>
      </w:r>
    </w:p>
    <w:p>
      <w:pPr>
        <w:pStyle w:val="TextBody"/>
        <w:spacing w:before="0" w:after="0"/>
        <w:jc w:val="left"/>
        <w:rPr/>
      </w:pPr>
      <w:r>
        <w:rPr/>
        <w:t> </w:t>
      </w:r>
    </w:p>
    <w:p>
      <w:pPr>
        <w:pStyle w:val="TextBody"/>
        <w:spacing w:before="180" w:after="0"/>
        <w:jc w:val="both"/>
        <w:rPr>
          <w:rFonts w:ascii="Times New Roman" w:hAnsi="Times New Roman"/>
          <w:sz w:val="20"/>
        </w:rPr>
      </w:pPr>
      <w:r>
        <w:rPr>
          <w:rFonts w:ascii="Arial;sans-serif" w:hAnsi="Arial;sans-serif"/>
          <w:b/>
          <w:sz w:val="20"/>
        </w:rPr>
        <w:t>Acquisitions, joint ventures, and strategic alliances may have an adverse effect on our business.</w:t>
      </w:r>
      <w:r>
        <w:rPr>
          <w:rFonts w:ascii="Times New Roman" w:hAnsi="Times New Roman"/>
          <w:sz w:val="20"/>
        </w:rPr>
        <w:t xml:space="preserve"> </w:t>
      </w:r>
      <w:r>
        <w:rPr>
          <w:rFonts w:ascii="Arial;sans-serif" w:hAnsi="Arial;sans-serif"/>
          <w:b w:val="false"/>
          <w:sz w:val="20"/>
        </w:rPr>
        <w:t>We expect to continue making acquisitions and entering into joint ventures and strategic alliances as part of our long-term business strategy. For example, in March 2021 we completed our acquisition of ZeniMax Media Inc. for $8.1 billion, and in March 2022 we completed our acquisition of Nuance Communications, Inc. for $18.8 billion. In January 2022 we announced a definitive agreement to acquire Activision Blizzard, Inc. for $68.7</w:t>
      </w:r>
      <w:r>
        <w:rPr>
          <w:rFonts w:ascii="Times New Roman" w:hAnsi="Times New Roman"/>
          <w:sz w:val="20"/>
        </w:rPr>
        <w:t xml:space="preserve"> </w:t>
      </w:r>
      <w:r>
        <w:rPr>
          <w:rFonts w:ascii="Arial;sans-serif" w:hAnsi="Arial;sans-serif"/>
          <w:b w:val="false"/>
          <w:sz w:val="20"/>
        </w:rPr>
        <w:t>billion. In January 2023 we announced the third phase of our OpenAI strategic partnership. These acquisitions and other transactions and arrangements involve significant challenges and risks, including that they do not advance our business strategy, that we get an unsatisfactory return on our investment, that they raise new compliance-related obligations and challenges, that we have difficulty integrating and retaining new employees, business systems, and technology, that they distract management from our other businesses, or that announced transactions may not be completed. If an arrangement fails to adequately anticipate changing circumstances and interests of a party, it may result in early termination or renegotiation of the arrangement. The success of these transactions and arrangements will depend in part on our ability to leverage them to enhance our existing products and services or develop compelling new ones, as well as acquired companies’ ability to meet our policies and processes in areas such as data governance, privacy, and cybersecurity. It may take longer than expected to realize the full benefits from these transactions and arrangements such as increased revenue or enhanced efficiencies, or the benefits may ultimately be smaller than we expected. These events could adversely affect our consolidated financial statements.</w:t>
      </w:r>
    </w:p>
    <w:p>
      <w:pPr>
        <w:pStyle w:val="TextBody"/>
        <w:spacing w:before="180" w:after="0"/>
        <w:jc w:val="both"/>
        <w:rPr>
          <w:rFonts w:ascii="Times New Roman" w:hAnsi="Times New Roman"/>
          <w:sz w:val="20"/>
        </w:rPr>
      </w:pPr>
      <w:r>
        <w:rPr>
          <w:rFonts w:ascii="Arial;sans-serif" w:hAnsi="Arial;sans-serif"/>
          <w:b/>
          <w:sz w:val="20"/>
        </w:rPr>
        <w:t>If our goodwill or amortizable intangible assets become impaired, we may be required to record a significant charge to earnings.</w:t>
      </w:r>
      <w:r>
        <w:rPr>
          <w:rFonts w:ascii="Times New Roman" w:hAnsi="Times New Roman"/>
          <w:sz w:val="20"/>
        </w:rPr>
        <w:t xml:space="preserve"> </w:t>
      </w:r>
      <w:r>
        <w:rPr>
          <w:rFonts w:ascii="Arial;sans-serif" w:hAnsi="Arial;sans-serif"/>
          <w:b w:val="false"/>
          <w:sz w:val="20"/>
        </w:rPr>
        <w:t>We acquire other companies and intangible assets and may not realize all the economic benefit from those acquisitions, which could cause an impairment of goodwill or intangibles. We review our amortizable intangible assets for impairment when events or changes in circumstances indicate the carrying value may not be recoverable. We test goodwill for impairment at least annually. Factors that may be a change in circumstances, indicating that the carrying value of our goodwill or amortizable intangible assets may not be recoverable, include a decline in our stock price and market capitalization, reduced future cash flow estimates, and slower growth rates in industry segments in which we participate. We have in the past recorded, and may in the future be required to record, a significant charge in our consolidated financial statements during the period in which any impairment of our goodwill or amortizable intangible assets is determined, negatively affecting our results of operations.</w:t>
      </w:r>
    </w:p>
    <w:p>
      <w:pPr>
        <w:pStyle w:val="TextBody"/>
        <w:spacing w:before="270" w:after="0"/>
        <w:jc w:val="center"/>
        <w:rPr>
          <w:rFonts w:ascii="Arial;sans-serif" w:hAnsi="Arial;sans-serif"/>
          <w:b w:val="false"/>
          <w:sz w:val="20"/>
          <w:u w:val="single"/>
        </w:rPr>
      </w:pPr>
      <w:r>
        <w:rPr>
          <w:rFonts w:ascii="Arial;sans-serif" w:hAnsi="Arial;sans-serif"/>
          <w:b w:val="false"/>
          <w:sz w:val="20"/>
          <w:u w:val="single"/>
        </w:rPr>
        <w:t>CYBERSECURITY, DATA PRIVACY, AND PLATFORM ABUSE RISKS</w:t>
      </w:r>
    </w:p>
    <w:p>
      <w:pPr>
        <w:pStyle w:val="TextBody"/>
        <w:spacing w:before="180" w:after="0"/>
        <w:jc w:val="both"/>
        <w:rPr>
          <w:rFonts w:ascii="Arial;sans-serif" w:hAnsi="Arial;sans-serif"/>
          <w:b/>
          <w:sz w:val="20"/>
        </w:rPr>
      </w:pPr>
      <w:r>
        <w:rPr>
          <w:rFonts w:ascii="Arial;sans-serif" w:hAnsi="Arial;sans-serif"/>
          <w:b/>
          <w:sz w:val="20"/>
        </w:rPr>
        <w:t>Cyberattacks and security vulnerabilities could lead to reduced revenue, increased costs, liability claims, or harm to our reputation or competitive position.</w:t>
      </w:r>
    </w:p>
    <w:p>
      <w:pPr>
        <w:pStyle w:val="TextBody"/>
        <w:spacing w:before="180" w:after="0"/>
        <w:jc w:val="both"/>
        <w:rPr>
          <w:rFonts w:ascii="Arial;sans-serif" w:hAnsi="Arial;sans-serif"/>
          <w:b/>
          <w:i/>
          <w:sz w:val="20"/>
        </w:rPr>
      </w:pPr>
      <w:r>
        <w:rPr>
          <w:rFonts w:ascii="Arial;sans-serif" w:hAnsi="Arial;sans-serif"/>
          <w:b/>
          <w:i/>
          <w:sz w:val="20"/>
        </w:rPr>
        <w:t>Security of our information technology</w:t>
      </w:r>
    </w:p>
    <w:p>
      <w:pPr>
        <w:pStyle w:val="TextBody"/>
        <w:spacing w:before="180" w:after="0"/>
        <w:jc w:val="both"/>
        <w:rPr>
          <w:rFonts w:ascii="Arial;sans-serif" w:hAnsi="Arial;sans-serif"/>
          <w:b w:val="false"/>
          <w:sz w:val="20"/>
        </w:rPr>
      </w:pPr>
      <w:r>
        <w:rPr>
          <w:rFonts w:ascii="Arial;sans-serif" w:hAnsi="Arial;sans-serif"/>
          <w:b w:val="false"/>
          <w:sz w:val="20"/>
        </w:rPr>
        <w:t>Threats to IT security can take a variety of forms. Individual and groups of hackers and sophisticated organizations, including state-sponsored organizations or nation-states, continuously undertake attacks that pose threats to our customers and our IT. These actors may use a wide variety of methods, which may include developing and deploying malicious software or exploiting vulnerabilities or intentionally designed processes in hardware, software, or other infrastructure in order to attack our products and services or gain access to our networks and datacenters, using social engineering techniques to induce our employees, users, partners, or customers to disclose passwords or other sensitive information or take other actions to gain access to our data or our users’ or customers’ data, or acting in a coordinated manner to launch distributed denial of service or other coordinated attacks. Nation-state and state-sponsored actors can deploy significant resources to plan and carry out attacks. Nation-state attacks against us, our customers, or our partners may intensify during periods of intense diplomatic or armed conflict, such as the ongoing conflict in Ukraine. Inadequate account security or organizational security practices may also result in unauthorized access to confidential data. For example, system administrators may fail to timely remove employee account access when no longer appropriate. Employees or third parties may intentionally compromise our or our users’ security or systems or reveal confidential information. Malicious actors may employ the IT supply chain to introduce malware through software updates or compromised supplier accounts or hardware.</w:t>
      </w:r>
    </w:p>
    <w:p>
      <w:pPr>
        <w:pStyle w:val="TextBody"/>
        <w:spacing w:before="240" w:after="0"/>
        <w:jc w:val="center"/>
        <w:rPr>
          <w:rFonts w:ascii="Arial;sans-serif" w:hAnsi="Arial;sans-serif"/>
          <w:b w:val="false"/>
          <w:sz w:val="16"/>
        </w:rPr>
      </w:pPr>
      <w:r>
        <w:rPr>
          <w:rFonts w:ascii="Arial;sans-serif" w:hAnsi="Arial;sans-serif"/>
          <w:b w:val="false"/>
          <w:sz w:val="16"/>
        </w:rPr>
        <w:t>54</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II</w:t>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Item 1A</w:t>
      </w:r>
    </w:p>
    <w:p>
      <w:pPr>
        <w:pStyle w:val="TextBody"/>
        <w:spacing w:before="0" w:after="0"/>
        <w:jc w:val="left"/>
        <w:rPr/>
      </w:pPr>
      <w:r>
        <w:rPr/>
        <w:t> </w:t>
      </w:r>
    </w:p>
    <w:p>
      <w:pPr>
        <w:pStyle w:val="TextBody"/>
        <w:spacing w:before="180" w:after="0"/>
        <w:jc w:val="both"/>
        <w:rPr>
          <w:rFonts w:ascii="Arial;sans-serif" w:hAnsi="Arial;sans-serif"/>
          <w:b w:val="false"/>
          <w:sz w:val="20"/>
        </w:rPr>
      </w:pPr>
      <w:r>
        <w:rPr>
          <w:rFonts w:ascii="Arial;sans-serif" w:hAnsi="Arial;sans-serif"/>
          <w:b w:val="false"/>
          <w:sz w:val="20"/>
        </w:rPr>
        <w:t>Cyberthreats are constantly evolving and becoming increasingly sophisticated and complex, increasing the difficulty of detecting and successfully defending against them. We may have no current capability to detect certain vulnerabilities or new attack methods, which may allow them to persist in the environment over long periods of time. Cyberthreats can have cascading impacts that unfold with increasing speed across our internal networks and systems and those of our partners and customers. Breaches of our facilities, network, or data security could disrupt the security of our systems and business applications, impair our ability to provide services to our customers and protect the privacy of their data, result in product development delays, compromise confidential or technical business information harming our reputation or competitive position, result in theft or misuse of our intellectual property or other assets, subject us to ransomware attacks, require us to allocate more resources to improve technologies or remediate the impacts of attacks, or otherwise adversely affect our business.</w:t>
      </w:r>
    </w:p>
    <w:p>
      <w:pPr>
        <w:pStyle w:val="TextBody"/>
        <w:spacing w:before="180" w:after="0"/>
        <w:jc w:val="both"/>
        <w:rPr>
          <w:rFonts w:ascii="Arial;sans-serif" w:hAnsi="Arial;sans-serif"/>
          <w:b w:val="false"/>
          <w:sz w:val="20"/>
        </w:rPr>
      </w:pPr>
      <w:r>
        <w:rPr>
          <w:rFonts w:ascii="Arial;sans-serif" w:hAnsi="Arial;sans-serif"/>
          <w:b w:val="false"/>
          <w:sz w:val="20"/>
        </w:rPr>
        <w:t>The cyberattacks uncovered in late 2020 known as “Solorigate” or “Nobelium” are an example of a supply chain attack where malware was introduced to a software provider’s customers, including us, through software updates. The attackers were later able to create false credentials that appeared legitimate to certain customers’ systems. We may be targets of further attacks similar to Solorigate/Nobelium as both a supplier and consumer of IT. With long-term attacks like these, customers may lack the log data necessary to investigate this type of activity, adding to the complexity of response and mitigating any impact.</w:t>
      </w:r>
    </w:p>
    <w:p>
      <w:pPr>
        <w:pStyle w:val="TextBody"/>
        <w:spacing w:before="180" w:after="0"/>
        <w:jc w:val="both"/>
        <w:rPr>
          <w:rFonts w:ascii="Arial;sans-serif" w:hAnsi="Arial;sans-serif"/>
          <w:b w:val="false"/>
          <w:sz w:val="20"/>
        </w:rPr>
      </w:pPr>
      <w:r>
        <w:rPr>
          <w:rFonts w:ascii="Arial;sans-serif" w:hAnsi="Arial;sans-serif"/>
          <w:b w:val="false"/>
          <w:sz w:val="20"/>
        </w:rPr>
        <w:t>In addition, our internal IT environment continues to evolve. Often, we are early adopters of new devices and technologies. We embrace new ways of sharing data and communicating internally and with partners and customers using methods such as social networking and other consumer-oriented technologies. Our business policies and internal security controls may not keep pace with these changes as new threats emerge, or emerging cybersecurity regulations in jurisdictions worldwide.</w:t>
      </w:r>
    </w:p>
    <w:p>
      <w:pPr>
        <w:pStyle w:val="TextBody"/>
        <w:spacing w:before="270" w:after="0"/>
        <w:jc w:val="both"/>
        <w:rPr>
          <w:rFonts w:ascii="Arial;sans-serif" w:hAnsi="Arial;sans-serif"/>
          <w:b/>
          <w:i/>
          <w:sz w:val="20"/>
        </w:rPr>
      </w:pPr>
      <w:r>
        <w:rPr>
          <w:rFonts w:ascii="Arial;sans-serif" w:hAnsi="Arial;sans-serif"/>
          <w:b/>
          <w:i/>
          <w:sz w:val="20"/>
        </w:rPr>
        <w:t>Security of our products, services, devices, and customers’ data</w:t>
      </w:r>
    </w:p>
    <w:p>
      <w:pPr>
        <w:pStyle w:val="TextBody"/>
        <w:spacing w:before="180" w:after="0"/>
        <w:jc w:val="both"/>
        <w:rPr>
          <w:rFonts w:ascii="Arial;sans-serif" w:hAnsi="Arial;sans-serif"/>
          <w:b w:val="false"/>
          <w:sz w:val="20"/>
        </w:rPr>
      </w:pPr>
      <w:r>
        <w:rPr>
          <w:rFonts w:ascii="Arial;sans-serif" w:hAnsi="Arial;sans-serif"/>
          <w:b w:val="false"/>
          <w:sz w:val="20"/>
        </w:rPr>
        <w:t>The security of our products and services is important in our customers’ decisions to purchase or use our products or services across cloud and on-premises environments. Security threats are a significant challenge to companies like us whose business is providing technology products and services to others. Threats to our own IT infrastructure can also affect our customers. Customers using our cloud-based services rely on the security of our infrastructure, including hardware and other elements provided by third parties, to ensure the reliability of our services and the protection of their data. Adversaries tend to focus their efforts on the most popular operating systems, programs, and services, including many of ours, and we expect that to continue. In addition, adversaries can attack our customers’ on-premises or cloud environments, sometimes exploiting previously unknown (“zero day”) vulnerabilities, such as occurred in early calendar year 2021 with several of our Exchange Server on-premises products. Vulnerabilities in these or any product can persist even after we have issued security patches if customers have not installed the most recent updates, or if the attackers exploited the vulnerabilities before patching to install additional malware to further compromise customers’ systems. Adversaries will continue to attack customers using our cloud services as customers embrace digital transformation. Adversaries that acquire user account information can use that information to compromise our users’ accounts, including where accounts share the same attributes such as passwords. Inadequate account security practices may also result in unauthorized access, and user activity may result in ransomware or other malicious software impacting a customer’s use of our products or services. We are increasingly incorporating open source software into our products. There may be vulnerabilities in open source software that may make our products susceptible to cyberattacks.</w:t>
      </w:r>
    </w:p>
    <w:p>
      <w:pPr>
        <w:pStyle w:val="TextBody"/>
        <w:spacing w:before="180" w:after="0"/>
        <w:jc w:val="both"/>
        <w:rPr>
          <w:rFonts w:ascii="Arial;sans-serif" w:hAnsi="Arial;sans-serif"/>
          <w:b w:val="false"/>
          <w:sz w:val="20"/>
        </w:rPr>
      </w:pPr>
      <w:r>
        <w:rPr>
          <w:rFonts w:ascii="Arial;sans-serif" w:hAnsi="Arial;sans-serif"/>
          <w:b w:val="false"/>
          <w:sz w:val="20"/>
        </w:rPr>
        <w:t>Our customers operate complex IT systems with third-party hardware and software from multiple vendors that may include systems acquired over many years. They expect our products and services to support all these systems and products, including those that no longer incorporate the strongest current security advances or standards. As a result, we may not be able to discontinue support in our services for a product, service, standard, or feature solely because a more secure alternative is available. Failure to utilize the most current security advances and standards can increase our customers’ vulnerability to attack. Further, customers of widely varied size and technical sophistication use our technology, and consequently may have limited capabilities and resources to help them adopt and implement state of the art cybersecurity practices and technologies. In addition, we must account for this wide variation of technical sophistication when defining default settings for our products and services, including security default settings, as these settings may limit or otherwise impact other aspects of IT operations and some customers may have limited capability to review and reset these defaults.</w:t>
      </w:r>
    </w:p>
    <w:p>
      <w:pPr>
        <w:pStyle w:val="TextBody"/>
        <w:spacing w:before="240" w:after="0"/>
        <w:jc w:val="center"/>
        <w:rPr>
          <w:rFonts w:ascii="Arial;sans-serif" w:hAnsi="Arial;sans-serif"/>
          <w:b w:val="false"/>
          <w:sz w:val="16"/>
        </w:rPr>
      </w:pPr>
      <w:r>
        <w:rPr>
          <w:rFonts w:ascii="Arial;sans-serif" w:hAnsi="Arial;sans-serif"/>
          <w:b w:val="false"/>
          <w:sz w:val="16"/>
        </w:rPr>
        <w:t>55</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II</w:t>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Item 1A</w:t>
      </w:r>
    </w:p>
    <w:p>
      <w:pPr>
        <w:pStyle w:val="TextBody"/>
        <w:spacing w:before="0" w:after="0"/>
        <w:jc w:val="left"/>
        <w:rPr/>
      </w:pPr>
      <w:r>
        <w:rPr/>
        <w:t> </w:t>
      </w:r>
    </w:p>
    <w:p>
      <w:pPr>
        <w:pStyle w:val="TextBody"/>
        <w:spacing w:before="180" w:after="0"/>
        <w:jc w:val="both"/>
        <w:rPr>
          <w:rFonts w:ascii="Arial;sans-serif" w:hAnsi="Arial;sans-serif"/>
          <w:b w:val="false"/>
          <w:sz w:val="20"/>
        </w:rPr>
      </w:pPr>
      <w:r>
        <w:rPr>
          <w:rFonts w:ascii="Arial;sans-serif" w:hAnsi="Arial;sans-serif"/>
          <w:b w:val="false"/>
          <w:sz w:val="20"/>
        </w:rPr>
        <w:t>Cyberattacks such as Solorigate/Nobelium may adversely impact our customers even if our production services are not directly compromised. We are committed to notifying our customers whose systems have been impacted as we become aware and have actionable information for customers to help protect themselves. We are also committed to providing guidance and support on detection, tracking, and remediation. We may not be able to detect the existence or extent of these attacks for all of our customers or have information on how to detect or track an attack, especially where an attack involves on-premises software such as Exchange Server where we may have no or limited visibility into our customers’ computing environments.</w:t>
      </w:r>
    </w:p>
    <w:p>
      <w:pPr>
        <w:pStyle w:val="TextBody"/>
        <w:spacing w:before="270" w:after="0"/>
        <w:jc w:val="both"/>
        <w:rPr>
          <w:rFonts w:ascii="Arial;sans-serif" w:hAnsi="Arial;sans-serif"/>
          <w:b/>
          <w:i/>
          <w:sz w:val="20"/>
        </w:rPr>
      </w:pPr>
      <w:r>
        <w:rPr>
          <w:rFonts w:ascii="Arial;sans-serif" w:hAnsi="Arial;sans-serif"/>
          <w:b/>
          <w:i/>
          <w:sz w:val="20"/>
        </w:rPr>
        <w:t>Development and deployment of defensive measures</w:t>
      </w:r>
    </w:p>
    <w:p>
      <w:pPr>
        <w:pStyle w:val="TextBody"/>
        <w:spacing w:before="180" w:after="0"/>
        <w:jc w:val="both"/>
        <w:rPr>
          <w:rFonts w:ascii="Arial;sans-serif" w:hAnsi="Arial;sans-serif"/>
          <w:b w:val="false"/>
          <w:sz w:val="20"/>
        </w:rPr>
      </w:pPr>
      <w:r>
        <w:rPr>
          <w:rFonts w:ascii="Arial;sans-serif" w:hAnsi="Arial;sans-serif"/>
          <w:b w:val="false"/>
          <w:sz w:val="20"/>
        </w:rPr>
        <w:t>To defend against security threats to our internal IT systems, our cloud-based services, and our customers’ systems, we must continuously engineer more secure products and services, enhance security and reliability features, improve the deployment of software updates to address security vulnerabilities in our own products as well as those provided by others, develop mitigation technologies that help to secure customers from attacks even when software updates are not deployed, maintain the digital security infrastructure that protects the integrity of our network, products, and services, and provide security tools such as firewalls, anti-virus software, and advanced security and information about the need to deploy security measures and the impact of doing so. Customers in certain industries such as financial services, health care, and government may have enhanced or specialized requirements to which we must engineer our products and services.</w:t>
      </w:r>
    </w:p>
    <w:p>
      <w:pPr>
        <w:pStyle w:val="TextBody"/>
        <w:spacing w:before="180" w:after="0"/>
        <w:jc w:val="both"/>
        <w:rPr>
          <w:rFonts w:ascii="Arial;sans-serif" w:hAnsi="Arial;sans-serif"/>
          <w:b w:val="false"/>
          <w:sz w:val="20"/>
        </w:rPr>
      </w:pPr>
      <w:r>
        <w:rPr>
          <w:rFonts w:ascii="Arial;sans-serif" w:hAnsi="Arial;sans-serif"/>
          <w:b w:val="false"/>
          <w:sz w:val="20"/>
        </w:rPr>
        <w:t>The cost of measures to protect products and customer-facing services could reduce our operating margins. If we fail to do these things well, actual or perceived security vulnerabilities in our products and services, data corruption issues, or reduced performance could harm our reputation and lead customers to reduce or delay future purchases of products or subscriptions to services, or to use competing products or services. Customers may also spend more on protecting their existing computer systems from attack, which could delay adoption of additional products or services. Customers, and third parties granted access to their systems, may fail to update their systems, continue to run software or operating systems we no longer support, or may fail timely to install or enable security patches, or may otherwise fail to adopt adequate security practices. Any of these could adversely affect our reputation and revenue. Actual or perceived vulnerabilities may lead to claims against us. Our license agreements typically contain provisions that eliminate or limit our exposure to liability, but there is no assurance these provisions will withstand legal challenges. At times, to achieve commercial objectives, we may enter into agreements with larger liability exposure to customers.</w:t>
      </w:r>
    </w:p>
    <w:p>
      <w:pPr>
        <w:pStyle w:val="TextBody"/>
        <w:spacing w:before="180" w:after="0"/>
        <w:jc w:val="both"/>
        <w:rPr>
          <w:rFonts w:ascii="Arial;sans-serif" w:hAnsi="Arial;sans-serif"/>
          <w:b w:val="false"/>
          <w:sz w:val="20"/>
        </w:rPr>
      </w:pPr>
      <w:r>
        <w:rPr>
          <w:rFonts w:ascii="Arial;sans-serif" w:hAnsi="Arial;sans-serif"/>
          <w:b w:val="false"/>
          <w:sz w:val="20"/>
        </w:rPr>
        <w:t>Our products operate in conjunction with and are dependent on products and components across a broad ecosystem of third parties. If there is a security vulnerability in one of these components, and if there is a security exploit targeting it, we could face increased costs, liability claims, reduced revenue, or harm to our reputation or competitive position.</w:t>
      </w:r>
    </w:p>
    <w:p>
      <w:pPr>
        <w:pStyle w:val="TextBody"/>
        <w:spacing w:before="180" w:after="0"/>
        <w:jc w:val="both"/>
        <w:rPr>
          <w:rFonts w:ascii="Times New Roman" w:hAnsi="Times New Roman"/>
          <w:sz w:val="20"/>
        </w:rPr>
      </w:pPr>
      <w:r>
        <w:rPr>
          <w:rFonts w:ascii="Arial;sans-serif" w:hAnsi="Arial;sans-serif"/>
          <w:b/>
          <w:sz w:val="20"/>
        </w:rPr>
        <w:t>Disclosure and misuse of personal data could result in liability and harm our reputation.</w:t>
      </w:r>
      <w:r>
        <w:rPr>
          <w:rFonts w:ascii="Times New Roman" w:hAnsi="Times New Roman"/>
          <w:sz w:val="20"/>
        </w:rPr>
        <w:t xml:space="preserve"> </w:t>
      </w:r>
      <w:r>
        <w:rPr>
          <w:rFonts w:ascii="Arial;sans-serif" w:hAnsi="Arial;sans-serif"/>
          <w:b w:val="false"/>
          <w:sz w:val="20"/>
        </w:rPr>
        <w:t>As we continue to grow the number, breadth, and scale of our cloud-based offerings, we store and process increasingly large amounts of personal data of our customers and users. The continued occurrence of high-profile data breaches provides evidence of an external environment increasingly hostile to information security. Despite our efforts to improve the security controls across our business groups and geographies, it is possible our security controls over personal data, our training of employees and third parties on data security, and other practices we follow may not prevent the improper disclosure or misuse of customer or user data we or our vendors store and manage. In addition, third parties who have limited access to our customer or user data may use this data in unauthorized ways. Improper disclosure or misuse could harm our reputation, lead to legal exposure to customers or users, or subject us to liability under laws that protect personal data, resulting in increased costs or loss of revenue. Our software products and services also enable our customers and users to store and process personal data on-premises or, increasingly, in a cloud-based environment we host. Government authorities can sometimes require us to produce customer or user data in response to valid legal orders. In the U.S. and elsewhere, we advocate for transparency concerning these requests and appropriate limitations on government authority to compel disclosure. Despite our efforts to protect customer and user data, perceptions that the collection, use, and retention of personal information is not satisfactorily protected could inhibit sales of our products or services and could limit adoption of our cloud-based solutions by consumers, businesses, and government entities. Additional security measures we may take to address customer or user concerns, or constraints on our flexibility to determine where and how to operate datacenters in response to customer or user expectations or governmental rules or actions, may cause higher operating expenses or hinder growth of our products and services.</w:t>
      </w:r>
    </w:p>
    <w:p>
      <w:pPr>
        <w:pStyle w:val="TextBody"/>
        <w:spacing w:before="240" w:after="0"/>
        <w:jc w:val="center"/>
        <w:rPr>
          <w:rFonts w:ascii="Arial;sans-serif" w:hAnsi="Arial;sans-serif"/>
          <w:b w:val="false"/>
          <w:sz w:val="16"/>
        </w:rPr>
      </w:pPr>
      <w:r>
        <w:rPr>
          <w:rFonts w:ascii="Arial;sans-serif" w:hAnsi="Arial;sans-serif"/>
          <w:b w:val="false"/>
          <w:sz w:val="16"/>
        </w:rPr>
        <w:t>56</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II</w:t>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Item 1A</w:t>
      </w:r>
    </w:p>
    <w:p>
      <w:pPr>
        <w:pStyle w:val="TextBody"/>
        <w:spacing w:before="0" w:after="0"/>
        <w:jc w:val="left"/>
        <w:rPr/>
      </w:pPr>
      <w:r>
        <w:rPr/>
        <w:t> </w:t>
      </w:r>
    </w:p>
    <w:p>
      <w:pPr>
        <w:pStyle w:val="TextBody"/>
        <w:spacing w:before="180" w:after="0"/>
        <w:jc w:val="both"/>
        <w:rPr>
          <w:rFonts w:ascii="Times New Roman" w:hAnsi="Times New Roman"/>
          <w:sz w:val="20"/>
        </w:rPr>
      </w:pPr>
      <w:r>
        <w:rPr>
          <w:rFonts w:ascii="Arial;sans-serif" w:hAnsi="Arial;sans-serif"/>
          <w:b/>
          <w:sz w:val="20"/>
        </w:rPr>
        <w:t>We may not be able to protect information in our products and services from use by others</w:t>
      </w:r>
      <w:r>
        <w:rPr>
          <w:rFonts w:ascii="Arial;sans-serif" w:hAnsi="Arial;sans-serif"/>
          <w:b w:val="false"/>
          <w:sz w:val="20"/>
        </w:rPr>
        <w:t>. LinkedIn and other Microsoft products and services contain valuable information and content protected by contractual restrictions or technical measures. In certain cases, we have made commitments to our members and users to limit access to or use of this information. Changes in the law or interpretations of the law may weaken our ability to prevent third parties from scraping or gathering information or content through use of bots or other measures and using it for their own benefit, thus diminishing the value of our products and services.</w:t>
      </w:r>
    </w:p>
    <w:p>
      <w:pPr>
        <w:pStyle w:val="TextBody"/>
        <w:spacing w:before="270" w:after="0"/>
        <w:jc w:val="both"/>
        <w:rPr>
          <w:rFonts w:ascii="Arial;sans-serif" w:hAnsi="Arial;sans-serif"/>
          <w:b/>
          <w:sz w:val="20"/>
        </w:rPr>
      </w:pPr>
      <w:r>
        <w:rPr>
          <w:rFonts w:ascii="Arial;sans-serif" w:hAnsi="Arial;sans-serif"/>
          <w:b/>
          <w:sz w:val="20"/>
        </w:rPr>
        <w:t>Abuse of our platforms may harm our reputation or user engagement.</w:t>
      </w:r>
    </w:p>
    <w:p>
      <w:pPr>
        <w:pStyle w:val="TextBody"/>
        <w:spacing w:before="180" w:after="0"/>
        <w:jc w:val="both"/>
        <w:rPr>
          <w:rFonts w:ascii="Arial;sans-serif" w:hAnsi="Arial;sans-serif"/>
          <w:b/>
          <w:i/>
          <w:sz w:val="20"/>
        </w:rPr>
      </w:pPr>
      <w:r>
        <w:rPr>
          <w:rFonts w:ascii="Arial;sans-serif" w:hAnsi="Arial;sans-serif"/>
          <w:b/>
          <w:i/>
          <w:sz w:val="20"/>
        </w:rPr>
        <w:t>Advertising, professional, marketplace, and gaming platform abuses</w:t>
      </w:r>
    </w:p>
    <w:p>
      <w:pPr>
        <w:pStyle w:val="TextBody"/>
        <w:spacing w:before="180" w:after="0"/>
        <w:jc w:val="both"/>
        <w:rPr>
          <w:rFonts w:ascii="Arial;sans-serif" w:hAnsi="Arial;sans-serif"/>
          <w:b w:val="false"/>
          <w:sz w:val="20"/>
        </w:rPr>
      </w:pPr>
      <w:r>
        <w:rPr>
          <w:rFonts w:ascii="Arial;sans-serif" w:hAnsi="Arial;sans-serif"/>
          <w:b w:val="false"/>
          <w:sz w:val="20"/>
        </w:rPr>
        <w:t>For platform products and services that provide content or host ads that come from or can be influenced by third parties, including GitHub, LinkedIn, Microsoft Advertising, Microsoft News, Microsoft Store, Bing, and Xbox, our reputation or user engagement may be negatively affected by activity that is hostile or inappropriate. This activity may come from users impersonating other people or organizations, dissemination of information that may be viewed as misleading or intended to manipulate the opinions of our users, or the use of our products or services that violates our terms of service or otherwise for objectionable or illegal ends. Preventing or responding to these actions may require us to make substantial investments in people and technology and these investments may not be successful, adversely affecting our business and consolidated financial statements.</w:t>
      </w:r>
    </w:p>
    <w:p>
      <w:pPr>
        <w:pStyle w:val="TextBody"/>
        <w:spacing w:before="270" w:after="0"/>
        <w:jc w:val="both"/>
        <w:rPr>
          <w:rFonts w:ascii="Arial;sans-serif" w:hAnsi="Arial;sans-serif"/>
          <w:b/>
          <w:i/>
          <w:sz w:val="20"/>
        </w:rPr>
      </w:pPr>
      <w:r>
        <w:rPr>
          <w:rFonts w:ascii="Arial;sans-serif" w:hAnsi="Arial;sans-serif"/>
          <w:b/>
          <w:i/>
          <w:sz w:val="20"/>
        </w:rPr>
        <w:t>Other digital safety abuses</w:t>
      </w:r>
    </w:p>
    <w:p>
      <w:pPr>
        <w:pStyle w:val="TextBody"/>
        <w:spacing w:before="180" w:after="0"/>
        <w:jc w:val="both"/>
        <w:rPr>
          <w:rFonts w:ascii="Arial;sans-serif" w:hAnsi="Arial;sans-serif"/>
          <w:b w:val="false"/>
          <w:sz w:val="20"/>
        </w:rPr>
      </w:pPr>
      <w:r>
        <w:rPr>
          <w:rFonts w:ascii="Arial;sans-serif" w:hAnsi="Arial;sans-serif"/>
          <w:b w:val="false"/>
          <w:sz w:val="20"/>
        </w:rPr>
        <w:t>Our hosted consumer services as well as our enterprise services may be used to disseminate harmful or illegal content in violation of our terms or applicable law. We may not proactively discover such content due to scale, the limitations of existing technologies, and conflicting legal frameworks. When discovered by users, such content may negatively affect our reputation, our brands, and user engagement. Regulations and other initiatives to make platforms responsible for preventing or eliminating harmful content online have been enacted, and we expect this to continue. We may be subject to enhanced regulatory oversight, civil or criminal liability, or reputational damage if we fail to comply with content moderation regulations, adversely affecting our business and consolidated financial statements.</w:t>
      </w:r>
    </w:p>
    <w:p>
      <w:pPr>
        <w:pStyle w:val="TextBody"/>
        <w:spacing w:before="180" w:after="0"/>
        <w:jc w:val="both"/>
        <w:rPr>
          <w:rFonts w:ascii="Times New Roman" w:hAnsi="Times New Roman"/>
          <w:sz w:val="20"/>
        </w:rPr>
      </w:pPr>
      <w:r>
        <w:rPr>
          <w:rFonts w:ascii="Arial;sans-serif" w:hAnsi="Arial;sans-serif"/>
          <w:b/>
          <w:sz w:val="20"/>
        </w:rPr>
        <w:t xml:space="preserve">The development of the IoT presents security, privacy, and execution risks. </w:t>
      </w:r>
      <w:r>
        <w:rPr>
          <w:rFonts w:ascii="Arial;sans-serif" w:hAnsi="Arial;sans-serif"/>
          <w:b w:val="false"/>
          <w:sz w:val="20"/>
        </w:rPr>
        <w:t>To support the growth of the intelligent cloud and the intelligent edge, we are developing products, services, and technologies to power the IoT. The IoT’s great potential also carries substantial risks. IoT products and services may contain defects in design, manufacture, or operation that make them insecure or ineffective for their intended purposes. An IoT solution has multiple layers of hardware, sensors, processors, software, and firmware, several of which we may not develop or control. Each layer, including the weakest layer, can impact the security of the whole system. Many IoT devices have limited interfaces and ability to be updated or patched. IoT solutions may collect large amounts of data, and our handling of IoT data may not satisfy customers or regulatory requirements. IoT scenarios may increasingly affect personal health and safety. If IoT solutions that include our technologies do not work as intended, violate the law, or harm individuals or businesses, we may be subject to legal claims or enforcement actions. These risks, if realized, may increase our costs, damage our reputation or brands, or negatively impact our revenues or margins.</w:t>
      </w:r>
    </w:p>
    <w:p>
      <w:pPr>
        <w:pStyle w:val="TextBody"/>
        <w:spacing w:before="180" w:after="0"/>
        <w:jc w:val="both"/>
        <w:rPr>
          <w:rFonts w:ascii="Times New Roman" w:hAnsi="Times New Roman"/>
          <w:sz w:val="20"/>
        </w:rPr>
      </w:pPr>
      <w:r>
        <w:rPr>
          <w:rFonts w:ascii="Arial;sans-serif" w:hAnsi="Arial;sans-serif"/>
          <w:b/>
          <w:sz w:val="20"/>
        </w:rPr>
        <w:t>Issues in the development and use of AI may result in reputational harm or liability</w:t>
      </w:r>
      <w:r>
        <w:rPr>
          <w:rFonts w:ascii="Arial;sans-serif" w:hAnsi="Arial;sans-serif"/>
          <w:b w:val="false"/>
          <w:sz w:val="20"/>
        </w:rPr>
        <w:t>. We are building AI into many of our offerings, including our productivity services, and we are also making AI available for our customers to use in solutions that they build. This AI may be developed by Microsoft or others, including our strategic partner, OpenAI. We expect these elements of our business to grow. We envision a future in which AI operating in our devices, applications, and the cloud helps our customers be more productive in their work and personal lives. As with many innovations, AI presents risks and challenges that could affect its adoption, and therefore our business. AI algorithms or training methodologies may be flawed. Datasets may be overbroad, insufficient, or contain biased information. Content generated by AI systems may be offensive, illegal, or otherwise harmful. Ineffective or inadequate AI development or deployment practices by Microsoft or others could result in incidents that impair the acceptance of AI solutions or cause harm to individuals or society. As a result of these and other challenges associated with innovative technologies, our implementation of AI systems could subject us to competitive harm, regulatory action, legal liability, including under new proposed legislation regulating AI in jurisdictions such as the European Union (“EU”), new applications of existing data protection, privacy, intellectual property, and other laws, and brand or reputational harm. Some AI scenarios present ethical issues or may have broad impacts on society. If we enable or offer AI solutions that have unintended consequences or are controversial because of their impact on human rights, privacy, employment, or other social, economic, or political issues, we may experience brand or reputational harm.</w:t>
      </w:r>
    </w:p>
    <w:p>
      <w:pPr>
        <w:pStyle w:val="TextBody"/>
        <w:spacing w:before="240" w:after="0"/>
        <w:jc w:val="center"/>
        <w:rPr>
          <w:rFonts w:ascii="Arial;sans-serif" w:hAnsi="Arial;sans-serif"/>
          <w:b w:val="false"/>
          <w:sz w:val="16"/>
        </w:rPr>
      </w:pPr>
      <w:r>
        <w:rPr>
          <w:rFonts w:ascii="Arial;sans-serif" w:hAnsi="Arial;sans-serif"/>
          <w:b w:val="false"/>
          <w:sz w:val="16"/>
        </w:rPr>
        <w:t>57</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II</w:t>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Item 1A</w:t>
      </w:r>
    </w:p>
    <w:p>
      <w:pPr>
        <w:pStyle w:val="TextBody"/>
        <w:spacing w:before="0" w:after="0"/>
        <w:jc w:val="left"/>
        <w:rPr/>
      </w:pPr>
      <w:r>
        <w:rPr/>
        <w:t> </w:t>
      </w:r>
    </w:p>
    <w:p>
      <w:pPr>
        <w:pStyle w:val="TextBody"/>
        <w:spacing w:before="270" w:after="0"/>
        <w:jc w:val="center"/>
        <w:rPr>
          <w:rFonts w:ascii="Arial;sans-serif" w:hAnsi="Arial;sans-serif"/>
          <w:b w:val="false"/>
          <w:sz w:val="20"/>
          <w:u w:val="single"/>
        </w:rPr>
      </w:pPr>
      <w:r>
        <w:rPr>
          <w:rFonts w:ascii="Arial;sans-serif" w:hAnsi="Arial;sans-serif"/>
          <w:b w:val="false"/>
          <w:sz w:val="20"/>
          <w:u w:val="single"/>
        </w:rPr>
        <w:t>OPERATIONAL RISKS</w:t>
      </w:r>
    </w:p>
    <w:p>
      <w:pPr>
        <w:pStyle w:val="TextBody"/>
        <w:spacing w:before="180" w:after="0"/>
        <w:jc w:val="both"/>
        <w:rPr>
          <w:rFonts w:ascii="Times New Roman" w:hAnsi="Times New Roman"/>
          <w:sz w:val="20"/>
        </w:rPr>
      </w:pPr>
      <w:r>
        <w:rPr>
          <w:rFonts w:ascii="Arial;sans-serif" w:hAnsi="Arial;sans-serif"/>
          <w:b/>
          <w:sz w:val="20"/>
        </w:rPr>
        <w:t>We may have excessive outages, data losses, and disruptions of our online services if we fail to maintain an adequate operations infrastructure.</w:t>
      </w:r>
      <w:r>
        <w:rPr>
          <w:rFonts w:ascii="Times New Roman" w:hAnsi="Times New Roman"/>
          <w:sz w:val="20"/>
        </w:rPr>
        <w:t xml:space="preserve"> </w:t>
      </w:r>
      <w:r>
        <w:rPr>
          <w:rFonts w:ascii="Arial;sans-serif" w:hAnsi="Arial;sans-serif"/>
          <w:b w:val="false"/>
          <w:sz w:val="20"/>
        </w:rPr>
        <w:t>Our increasing user traffic, growth in services, and the complexity of our products and services demand more computing power. We spend substantial amounts to build, purchase, or lease datacenters and equipment and to upgrade our technology and network infrastructure to handle more traffic on our websites and in our datacenters. Our datacenters depend on the availability of permitted and buildable land, predictable energy, and networking supplies, the cost or availability of which could be adversely affected by a variety of factors, including the transition to a clean energy economy, local and regional environmental regulations, and geopolitical disruptions. These demands continue to increase as we introduce new products and services and support the growth of existing services such as Bing, Azure, Microsoft Account services, Microsoft 365, Microsoft Teams, Dynamics 365, OneDrive, SharePoint Online, Skype, Xbox, and Outlook.com. We are rapidly growing our business of providing a platform and back-end hosting for services provided by third parties to their end users. Maintaining, securing, and expanding this infrastructure is expensive and complex, and requires development of principles for datacenter builds in geographies with higher safety and reliability risks. It requires that we maintain an Internet connectivity infrastructure and storage and compute capacity that is robust and reliable within competitive and regulatory constraints that continue to evolve. Inefficiencies or operational failures, including temporary or permanent loss of customer data, insufficient Internet connectivity, insufficient or unavailable power supply, or inadequate storage and compute capacity, could diminish the quality of our products, services, and user experience resulting in contractual liability, claims by customers and other third parties, regulatory actions, damage to our reputation, and loss of current and potential users, subscribers, and advertisers, each of which may adversely impact our consolidated financial statements.</w:t>
      </w:r>
    </w:p>
    <w:p>
      <w:pPr>
        <w:pStyle w:val="TextBody"/>
        <w:spacing w:before="180" w:after="0"/>
        <w:jc w:val="both"/>
        <w:rPr>
          <w:rFonts w:ascii="Times New Roman" w:hAnsi="Times New Roman"/>
          <w:sz w:val="20"/>
        </w:rPr>
      </w:pPr>
      <w:r>
        <w:rPr>
          <w:rFonts w:ascii="Arial;sans-serif" w:hAnsi="Arial;sans-serif"/>
          <w:b/>
          <w:sz w:val="20"/>
        </w:rPr>
        <w:t>We may experience quality or supply problems.</w:t>
      </w:r>
      <w:r>
        <w:rPr>
          <w:rFonts w:ascii="Times New Roman" w:hAnsi="Times New Roman"/>
          <w:sz w:val="20"/>
        </w:rPr>
        <w:t xml:space="preserve"> </w:t>
      </w:r>
      <w:r>
        <w:rPr>
          <w:rFonts w:ascii="Arial;sans-serif" w:hAnsi="Arial;sans-serif"/>
          <w:b w:val="false"/>
          <w:sz w:val="20"/>
        </w:rPr>
        <w:t>Our hardware products such as Xbox consoles, Surface devices, and other devices we design and market are highly complex and can have defects in design, manufacture, or associated software. We could incur significant expenses, lost revenue, and reputational harm as a result of recalls, safety alerts, or product liability claims if we fail to prevent, detect, or address such issues through design, testing, or warranty repairs.</w:t>
      </w:r>
    </w:p>
    <w:p>
      <w:pPr>
        <w:pStyle w:val="TextBody"/>
        <w:spacing w:before="180" w:after="0"/>
        <w:jc w:val="both"/>
        <w:rPr>
          <w:rFonts w:ascii="Arial;sans-serif" w:hAnsi="Arial;sans-serif"/>
          <w:b w:val="false"/>
          <w:sz w:val="20"/>
        </w:rPr>
      </w:pPr>
      <w:r>
        <w:rPr>
          <w:rFonts w:ascii="Arial;sans-serif" w:hAnsi="Arial;sans-serif"/>
          <w:b w:val="false"/>
          <w:sz w:val="20"/>
        </w:rPr>
        <w:t>Our software products and services also may experience quality or reliability problems. The highly sophisticated software we develop may contain bugs and other defects that interfere with their intended operation. Our customers increasingly rely on us for critical business functions and multiple workloads. Many of our products and services are interdependent with one another. Each of these circumstances potentially magnifies the impact of quality or reliability issues. Any defects we do not detect and fix in pre-release testing could cause reduced sales and revenue, damage to our reputation, repair or remediation costs, delays in the release of new products or versions, or legal liability. Although our license agreements typically contain provisions that eliminate or limit our exposure to liability, there is no assurance these provisions will withstand legal challenge.</w:t>
      </w:r>
    </w:p>
    <w:p>
      <w:pPr>
        <w:pStyle w:val="TextBody"/>
        <w:spacing w:before="180" w:after="0"/>
        <w:jc w:val="both"/>
        <w:rPr>
          <w:rFonts w:ascii="Arial;sans-serif" w:hAnsi="Arial;sans-serif"/>
          <w:b w:val="false"/>
          <w:sz w:val="20"/>
        </w:rPr>
      </w:pPr>
      <w:r>
        <w:rPr>
          <w:rFonts w:ascii="Arial;sans-serif" w:hAnsi="Arial;sans-serif"/>
          <w:b w:val="false"/>
          <w:sz w:val="20"/>
        </w:rPr>
        <w:t>There are limited suppliers for certain device and datacenter components. Our competitors use some of the same suppliers and their demand for hardware components can affect the capacity available to us. If components are delayed or become unavailable, whether because of supplier capacity constraint, industry shortages, legal or regulatory changes that restrict supply sources, or other reasons, we may not obtain timely replacement supplies, resulting in reduced sales or inadequate datacenter capacity. Component shortages, excess or obsolete inventory, or price reductions resulting in inventory adjustments may increase our cost of revenue. Xbox consoles, Surface devices, datacenter servers, and other hardware are assembled in Asia and other geographies that may be subject to disruptions in the supply chain, resulting in shortages that would affect our revenue and operating margins.</w:t>
      </w:r>
    </w:p>
    <w:p>
      <w:pPr>
        <w:pStyle w:val="TextBody"/>
        <w:spacing w:before="270" w:after="0"/>
        <w:jc w:val="center"/>
        <w:rPr>
          <w:rFonts w:ascii="Arial;sans-serif" w:hAnsi="Arial;sans-serif"/>
          <w:b w:val="false"/>
          <w:sz w:val="20"/>
          <w:u w:val="single"/>
        </w:rPr>
      </w:pPr>
      <w:r>
        <w:rPr>
          <w:rFonts w:ascii="Arial;sans-serif" w:hAnsi="Arial;sans-serif"/>
          <w:b w:val="false"/>
          <w:sz w:val="20"/>
          <w:u w:val="single"/>
        </w:rPr>
        <w:t>LEGAL, REGULATORY, AND LITIGATION RISKS</w:t>
      </w:r>
    </w:p>
    <w:p>
      <w:pPr>
        <w:pStyle w:val="TextBody"/>
        <w:spacing w:before="180" w:after="0"/>
        <w:jc w:val="both"/>
        <w:rPr>
          <w:rFonts w:ascii="Times New Roman" w:hAnsi="Times New Roman"/>
          <w:sz w:val="20"/>
        </w:rPr>
      </w:pPr>
      <w:r>
        <w:rPr>
          <w:rFonts w:ascii="Arial;sans-serif" w:hAnsi="Arial;sans-serif"/>
          <w:b/>
          <w:sz w:val="20"/>
        </w:rPr>
        <w:t xml:space="preserve">Government litigation and regulatory activity relating to competition rules may limit how we design and market our products. </w:t>
      </w:r>
      <w:r>
        <w:rPr>
          <w:rFonts w:ascii="Arial;sans-serif" w:hAnsi="Arial;sans-serif"/>
          <w:b w:val="false"/>
          <w:sz w:val="20"/>
        </w:rPr>
        <w:t>Government agencies closely scrutinize us under U.S. and foreign competition laws. Governments are actively enforcing competition laws and regulations, and this includes scrutiny in potentially large markets such as the EU, the U.S., and China. Some jurisdictions also allow competitors or consumers to assert claims of anti-competitive conduct. U.S. federal and state antitrust authorities have previously brought enforcement actions and continue to scrutinize our business.</w:t>
      </w:r>
    </w:p>
    <w:p>
      <w:pPr>
        <w:pStyle w:val="TextBody"/>
        <w:spacing w:before="240" w:after="0"/>
        <w:jc w:val="center"/>
        <w:rPr>
          <w:rFonts w:ascii="Arial;sans-serif" w:hAnsi="Arial;sans-serif"/>
          <w:b w:val="false"/>
          <w:sz w:val="16"/>
        </w:rPr>
      </w:pPr>
      <w:r>
        <w:rPr>
          <w:rFonts w:ascii="Arial;sans-serif" w:hAnsi="Arial;sans-serif"/>
          <w:b w:val="false"/>
          <w:sz w:val="16"/>
        </w:rPr>
        <w:t>58</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II</w:t>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Item 1A</w:t>
      </w:r>
    </w:p>
    <w:p>
      <w:pPr>
        <w:pStyle w:val="TextBody"/>
        <w:spacing w:before="0" w:after="0"/>
        <w:jc w:val="left"/>
        <w:rPr/>
      </w:pPr>
      <w:r>
        <w:rPr/>
        <w:t> </w:t>
      </w:r>
    </w:p>
    <w:p>
      <w:pPr>
        <w:pStyle w:val="TextBody"/>
        <w:spacing w:before="180" w:after="0"/>
        <w:jc w:val="both"/>
        <w:rPr>
          <w:rFonts w:ascii="Arial;sans-serif" w:hAnsi="Arial;sans-serif"/>
          <w:b w:val="false"/>
          <w:sz w:val="20"/>
        </w:rPr>
      </w:pPr>
      <w:r>
        <w:rPr>
          <w:rFonts w:ascii="Arial;sans-serif" w:hAnsi="Arial;sans-serif"/>
          <w:b w:val="false"/>
          <w:sz w:val="20"/>
        </w:rPr>
        <w:t>The European Commission (“the Commission”) closely scrutinizes the design of high-volume Microsoft products and the terms on which we make certain technologies used in these products, such as file formats, programming interfaces, and protocols, available to other companies. Flagship product releases such as Windows can receive significant scrutiny under competition laws. For example, in 2004, the Commission ordered us to create new versions of our Windows operating system that do not include certain multimedia technologies and to provide our competitors with specifications for how to implement certain proprietary Windows communications protocols in their own products. In 2009, the Commission accepted a set of commitments we offered to address the Commission’s concerns relating to competition in web browsing software, including an undertaking to address Commission concerns relating to interoperability. The web browsing commitments expired in 2014. The remaining obligations may limit our ability to innovate in Windows or other products in the future, diminish the developer appeal of the Windows platform, and increase our product development costs. The availability of licenses related to protocols and file formats may enable competitors to develop software products that better mimic the functionality of our products, which could hamper sales of our products.</w:t>
      </w:r>
    </w:p>
    <w:p>
      <w:pPr>
        <w:pStyle w:val="TextBody"/>
        <w:spacing w:before="180" w:after="0"/>
        <w:jc w:val="both"/>
        <w:rPr>
          <w:rFonts w:ascii="Arial;sans-serif" w:hAnsi="Arial;sans-serif"/>
          <w:b w:val="false"/>
          <w:sz w:val="20"/>
        </w:rPr>
      </w:pPr>
      <w:r>
        <w:rPr>
          <w:rFonts w:ascii="Arial;sans-serif" w:hAnsi="Arial;sans-serif"/>
          <w:b w:val="false"/>
          <w:sz w:val="20"/>
        </w:rPr>
        <w:t>Our portfolio of first-party devices continues to grow; at the same time our OEM partners offer a large variety of devices for our platforms. As a result, increasingly we both cooperate and compete with our OEM partners, creating a risk that we fail to do so in compliance with competition rules. Regulatory scrutiny in this area may increase. Certain foreign governments, particularly in China and other countries in Asia, have advanced arguments under their competition laws that exert downward pressure on royalties for our intellectual property.</w:t>
      </w:r>
    </w:p>
    <w:p>
      <w:pPr>
        <w:pStyle w:val="TextBody"/>
        <w:spacing w:before="180" w:after="0"/>
        <w:jc w:val="both"/>
        <w:rPr>
          <w:rFonts w:ascii="Arial;sans-serif" w:hAnsi="Arial;sans-serif"/>
          <w:b w:val="false"/>
          <w:sz w:val="20"/>
        </w:rPr>
      </w:pPr>
      <w:r>
        <w:rPr>
          <w:rFonts w:ascii="Arial;sans-serif" w:hAnsi="Arial;sans-serif"/>
          <w:b w:val="false"/>
          <w:sz w:val="20"/>
        </w:rPr>
        <w:t>Government regulatory actions and court decisions such as these may result in fines or hinder our ability to provide the benefits of our software to consumers and businesses, reducing the attractiveness of our products and the revenue that comes from them. New competition law actions could be initiated, potentially using previous actions as precedent. The outcome of such actions, or steps taken to avoid them, could adversely affect us in a variety of ways, including:</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We may have to choose between withdrawing products from certain geographies to avoid fines or designing and developing alternative versions of those products to comply with government rulings, which may entail a delay in a product release and removing functionality that customers want or on which developers rely.</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We may be required to make available licenses to our proprietary technologies on terms that do not reflect their fair market value or do not protect our associated intellectual property.</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We are subject to a variety of ongoing commitments because of court or administrative orders, consent decrees, or other voluntary actions we have taken. If we fail to comply with these commitments, we may incur litigation costs and be subject to substantial fines or other remedial actions.</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Our ability to realize anticipated Windows post-sale monetization opportunities may be limited.</w:t>
      </w:r>
    </w:p>
    <w:p>
      <w:pPr>
        <w:pStyle w:val="TextBody"/>
        <w:spacing w:before="90" w:after="0"/>
        <w:jc w:val="both"/>
        <w:rPr/>
      </w:pPr>
      <w:r>
        <w:rPr/>
        <w:t>•</w:t>
      </w:r>
    </w:p>
    <w:p>
      <w:pPr>
        <w:pStyle w:val="TextBody"/>
        <w:spacing w:before="90" w:after="283"/>
        <w:jc w:val="both"/>
        <w:rPr>
          <w:rFonts w:ascii="Arial;sans-serif" w:hAnsi="Arial;sans-serif"/>
          <w:b w:val="false"/>
          <w:sz w:val="20"/>
        </w:rPr>
      </w:pPr>
      <w:r>
        <w:rPr>
          <w:rFonts w:ascii="Arial;sans-serif" w:hAnsi="Arial;sans-serif"/>
          <w:b w:val="false"/>
          <w:sz w:val="20"/>
        </w:rPr>
        <w:t>Regulatory scrutiny may inhibit our ability to consummate acquisitions or impose conditions that reduce the ultimate value of such transactions.</w:t>
      </w:r>
    </w:p>
    <w:p>
      <w:pPr>
        <w:pStyle w:val="TextBody"/>
        <w:spacing w:before="180" w:after="0"/>
        <w:jc w:val="both"/>
        <w:rPr>
          <w:rFonts w:ascii="Times New Roman" w:hAnsi="Times New Roman"/>
          <w:sz w:val="20"/>
        </w:rPr>
      </w:pPr>
      <w:r>
        <w:rPr>
          <w:rFonts w:ascii="Arial;sans-serif" w:hAnsi="Arial;sans-serif"/>
          <w:b/>
          <w:sz w:val="20"/>
        </w:rPr>
        <w:t>Our global operations subject us to potential consequences under anti-corruption, trade, and other laws and regulations.</w:t>
      </w:r>
      <w:r>
        <w:rPr>
          <w:rFonts w:ascii="Times New Roman" w:hAnsi="Times New Roman"/>
          <w:sz w:val="20"/>
        </w:rPr>
        <w:t xml:space="preserve"> </w:t>
      </w:r>
      <w:r>
        <w:rPr>
          <w:rFonts w:ascii="Arial;sans-serif" w:hAnsi="Arial;sans-serif"/>
          <w:b w:val="false"/>
          <w:sz w:val="20"/>
        </w:rPr>
        <w:t>The Foreign Corrupt Practices Act (“FCPA”) and other anti-corruption laws and regulations (“Anti-Corruption Laws”) prohibit corrupt payments by our employees, vendors, or agents, and the accounting provisions of the FCPA require us to maintain accurate books and records and adequate internal controls. From time to time, we receive inquiries from authorities in the U.S. and elsewhere which may be based on reports from employees and others about our business activities outside the U.S. and our compliance with Anti-Corruption Laws. Periodically, we receive such reports directly and investigate them, and also cooperate with investigations by U.S. and foreign law enforcement authorities. An example of increasing international regulatory complexity is the EU Whistleblower Directive, initiated in 2021, which may present compliance challenges to the extent it is implemented in different forms by EU member states. Most countries in which we operate also have competition laws that prohibit competitors from colluding or otherwise attempting to reduce competition between themselves. While we devote substantial resources to our U.S. and international compliance programs and have implemented policies, training, and internal controls designed to reduce the risk of corrupt payments and collusive activity, our employees, vendors, or agents may violate our policies. Our failure to comply with Anti-Corruption Laws or competition laws could result in significant fines and penalties, criminal sanctions against us, our officers, or our employees, prohibitions on the conduct of our business, and damage to our reputation.</w:t>
      </w:r>
    </w:p>
    <w:p>
      <w:pPr>
        <w:pStyle w:val="TextBody"/>
        <w:spacing w:before="240" w:after="0"/>
        <w:jc w:val="center"/>
        <w:rPr>
          <w:rFonts w:ascii="Arial;sans-serif" w:hAnsi="Arial;sans-serif"/>
          <w:b w:val="false"/>
          <w:sz w:val="16"/>
        </w:rPr>
      </w:pPr>
      <w:r>
        <w:rPr>
          <w:rFonts w:ascii="Arial;sans-serif" w:hAnsi="Arial;sans-serif"/>
          <w:b w:val="false"/>
          <w:sz w:val="16"/>
        </w:rPr>
        <w:t>59</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II</w:t>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Item 1A</w:t>
      </w:r>
    </w:p>
    <w:p>
      <w:pPr>
        <w:pStyle w:val="TextBody"/>
        <w:spacing w:before="0" w:after="0"/>
        <w:jc w:val="left"/>
        <w:rPr/>
      </w:pPr>
      <w:r>
        <w:rPr/>
        <w:t> </w:t>
      </w:r>
    </w:p>
    <w:p>
      <w:pPr>
        <w:pStyle w:val="TextBody"/>
        <w:spacing w:before="180" w:after="0"/>
        <w:jc w:val="both"/>
        <w:rPr>
          <w:rFonts w:ascii="Arial;sans-serif" w:hAnsi="Arial;sans-serif"/>
          <w:b w:val="false"/>
          <w:sz w:val="20"/>
        </w:rPr>
      </w:pPr>
      <w:r>
        <w:rPr>
          <w:rFonts w:ascii="Arial;sans-serif" w:hAnsi="Arial;sans-serif"/>
          <w:b w:val="false"/>
          <w:sz w:val="20"/>
        </w:rPr>
        <w:t>Increasing trade laws, policies, sanctions, and other regulatory requirements also affect our operations in and outside the U.S. relating to trade and investment. Economic sanctions in the U.S., the EU, and other countries prohibit most business with restricted entities or countries such as Crimea, Cuba, Iran, North Korea, and Syria. U.S. export controls restrict Microsoft from offering many of its products and services to, or making investments in, certain entities in specified countries. U.S. import controls restrict us from integrating certain information and communication technologies into our supply chain and allow for government review of transactions involving information and communications technology from countries determined to be foreign adversaries. Supply chain regulations may impact the availability of goods or result in additional regulatory scrutiny. Periods of intense diplomatic or armed conflict, such as the ongoing conflict in Ukraine, may result in (1) new and rapidly evolving sanctions and trade restrictions, which may impair trade with sanctioned individuals and countries, and (2) negative impacts to regional trade ecosystems among our customers, partners, and us. Non-compliance with sanctions as well as general ecosystem disruptions could result in reputational harm, operational delays, monetary fines, loss of revenues, increased costs, loss of export privileges, or criminal sanctions.</w:t>
      </w:r>
    </w:p>
    <w:p>
      <w:pPr>
        <w:pStyle w:val="TextBody"/>
        <w:spacing w:before="180" w:after="0"/>
        <w:jc w:val="both"/>
        <w:rPr>
          <w:rFonts w:ascii="Arial;sans-serif" w:hAnsi="Arial;sans-serif"/>
          <w:b w:val="false"/>
          <w:sz w:val="20"/>
        </w:rPr>
      </w:pPr>
      <w:r>
        <w:rPr>
          <w:rFonts w:ascii="Arial;sans-serif" w:hAnsi="Arial;sans-serif"/>
          <w:b w:val="false"/>
          <w:sz w:val="20"/>
        </w:rPr>
        <w:t>Other regulatory areas that may apply to our products and online services offerings include requirements related to user privacy, telecommunications, data storage and protection, advertising, and online content. For example, some regulators are taking the position that our offerings such as Microsoft Teams and Skype are covered by existing laws regulating telecommunications services, and some new laws, including EU Member State laws under the European Electronic Communications Code, are defining more of our services as regulated telecommunications services. This trend may continue and will result in these offerings being subjected to additional data protection, security, and law enforcement surveillance obligations. Regulators may assert that our collection, use, and management of customer data and other information is inconsistent with their laws and regulations, including laws that apply to the tracking of users via technology such as cookies. Legislative or regulatory action relating to cybersecurity requirements may increase the costs to develop, implement, or secure our products and services. Legislative and regulatory action is emerging in the areas of AI and content moderation, which could increase costs or restrict opportunity. Applying these laws and regulations to our business is often unclear, subject to change over time, and sometimes may conflict from jurisdiction to jurisdiction. Additionally, these laws and governments’ approach to their enforcement, and our products and services, are continuing to evolve. Compliance with these types of regulation may involve significant costs or require changes in products or business practices that result in reduced revenue. Noncompliance could result in the imposition of penalties or orders we stop the alleged noncompliant activity.</w:t>
      </w:r>
    </w:p>
    <w:p>
      <w:pPr>
        <w:pStyle w:val="TextBody"/>
        <w:spacing w:before="180" w:after="0"/>
        <w:jc w:val="both"/>
        <w:rPr>
          <w:rFonts w:ascii="Arial;sans-serif" w:hAnsi="Arial;sans-serif"/>
          <w:b w:val="false"/>
          <w:sz w:val="20"/>
        </w:rPr>
      </w:pPr>
      <w:r>
        <w:rPr>
          <w:rFonts w:ascii="Arial;sans-serif" w:hAnsi="Arial;sans-serif"/>
          <w:b w:val="false"/>
          <w:sz w:val="20"/>
        </w:rPr>
        <w:t>We strive to empower all people and organizations to achieve more, and accessibility of our products and services is an important aspect of this goal. In addition to existing and upcoming laws requiring digital accessibility for people with disabilities, there is increasing pressure from advocacy groups, regulators, competitors, customers, and other stakeholders to make technology more accessible. If our products do not meet customer expectations or global accessibility requirements, we could lose sales opportunities or face regulatory or legal actions.</w:t>
      </w:r>
    </w:p>
    <w:p>
      <w:pPr>
        <w:pStyle w:val="TextBody"/>
        <w:spacing w:before="270" w:after="0"/>
        <w:jc w:val="both"/>
        <w:rPr>
          <w:rFonts w:ascii="Times New Roman" w:hAnsi="Times New Roman"/>
          <w:sz w:val="20"/>
        </w:rPr>
      </w:pPr>
      <w:r>
        <w:rPr>
          <w:rFonts w:ascii="Arial;sans-serif" w:hAnsi="Arial;sans-serif"/>
          <w:b/>
          <w:sz w:val="20"/>
        </w:rPr>
        <w:t>Laws and regulations relating to the handling of personal data may impede the adoption of our services or result in increased costs, legal claims, fines against us, or reputational damage.</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i/>
          <w:sz w:val="20"/>
        </w:rPr>
        <w:t>Cross-border transfer of personal data</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The growth of our Internet- and cloud-based services internationally relies increasingly on the movement of data across national boundaries. Legal requirements relating to the collection, storage, handling, and transfer of personal data continue to evolve. For example, in July 2020 the Court of Justice of the EU invalidated a framework called Privacy Shield for companies to transfer data from EU member states to the United States. This ruling continues to generate uncertainty about the legal requirements for data transfers from the EU under other legal mechanisms and has resulted in some EU data protection authorities blocking the use of U.S.-based services that involve the transfer of data to the U.S. The U.S. and the EU in March 2022 agreed in principle on a replacement framework for the Privacy Shield, called the EU-U.S. Data Privacy Framework. In December 2022, the European Commission published a draft “adequacy” determination for this new framework. A failure to finalize implementation of the EU-U.S. Data Privacy Framework, or the framework’s invalidation in EU courts, could compound that uncertainty and result in additional blockages of data transfers. In the EU and other markets, potential new rules and restrictions on the flow of data across borders could increase the cost and complexity of delivering our products and services.</w:t>
      </w:r>
      <w:r>
        <w:rPr>
          <w:rFonts w:ascii="Times New Roman" w:hAnsi="Times New Roman"/>
          <w:sz w:val="20"/>
        </w:rPr>
        <w:t xml:space="preserve"> </w:t>
      </w:r>
    </w:p>
    <w:p>
      <w:pPr>
        <w:pStyle w:val="TextBody"/>
        <w:spacing w:before="240" w:after="0"/>
        <w:jc w:val="center"/>
        <w:rPr>
          <w:rFonts w:ascii="Arial;sans-serif" w:hAnsi="Arial;sans-serif"/>
          <w:b w:val="false"/>
          <w:sz w:val="16"/>
        </w:rPr>
      </w:pPr>
      <w:r>
        <w:rPr>
          <w:rFonts w:ascii="Arial;sans-serif" w:hAnsi="Arial;sans-serif"/>
          <w:b w:val="false"/>
          <w:sz w:val="16"/>
        </w:rPr>
        <w:t>60</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II</w:t>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Item 1A</w:t>
      </w:r>
    </w:p>
    <w:p>
      <w:pPr>
        <w:pStyle w:val="TextBody"/>
        <w:spacing w:before="0" w:after="0"/>
        <w:jc w:val="left"/>
        <w:rPr/>
      </w:pPr>
      <w:r>
        <w:rPr/>
        <w:t> </w:t>
      </w:r>
    </w:p>
    <w:p>
      <w:pPr>
        <w:pStyle w:val="TextBody"/>
        <w:spacing w:before="270" w:after="0"/>
        <w:jc w:val="both"/>
        <w:rPr>
          <w:rFonts w:ascii="Arial;sans-serif" w:hAnsi="Arial;sans-serif"/>
          <w:b/>
          <w:i/>
          <w:sz w:val="20"/>
        </w:rPr>
      </w:pPr>
      <w:r>
        <w:rPr>
          <w:rFonts w:ascii="Arial;sans-serif" w:hAnsi="Arial;sans-serif"/>
          <w:b/>
          <w:i/>
          <w:sz w:val="20"/>
        </w:rPr>
        <w:t>Other laws and regulations relating to the handling of personal data</w:t>
      </w:r>
    </w:p>
    <w:p>
      <w:pPr>
        <w:pStyle w:val="TextBody"/>
        <w:spacing w:before="180" w:after="0"/>
        <w:jc w:val="both"/>
        <w:rPr>
          <w:rFonts w:ascii="Arial;sans-serif" w:hAnsi="Arial;sans-serif"/>
          <w:b w:val="false"/>
          <w:sz w:val="20"/>
        </w:rPr>
      </w:pPr>
      <w:r>
        <w:rPr>
          <w:rFonts w:ascii="Arial;sans-serif" w:hAnsi="Arial;sans-serif"/>
          <w:b w:val="false"/>
          <w:sz w:val="20"/>
        </w:rPr>
        <w:t>The EU General Data Protection Regulation (“GDPR”), which applies to all of our activities conducted from an establishment in the EU or related to products and services offered in the EU, imposes a range of compliance obligations regarding the handling of personal data. More recently, the EU has been developing new requirements related to the use of data, including in the Digital Markets Act, the Digital Services Act, and the Data Act, that will add additional rules and restriction on the use of data in our products and services. Engineering efforts to build and maintain capabilities to facilitate compliance with these laws involve substantial expense and the diversion of engineering resources from other projects. We might experience reduced demand for our offerings if we are unable to engineer products that meet our legal duties or help our customers meet their obligations under the GDPR and other data regulations, or if our implementation to comply with the GDPR makes our offerings less attractive. Compliance with these obligations depends in part on how particular regulators interpret and apply them. If we fail to comply, or if regulators assert we have failed to comply (including in response to complaints made by customers), it may lead to regulatory enforcement actions, which can result in monetary penalties (of up to 4% of worldwide revenue in the case of GDPR), private lawsuits, reputational damage, blockage of international data transfers, and loss of customers. The highest fines assessed under GDPR have recently been increasing, especially against large technology companies. Jurisdictions around the world, such as China, India, and states in the U.S. have adopted, or are considering adopting or expanding, laws and regulations imposing obligations regarding the collection, handling, and transfer of personal data.</w:t>
      </w:r>
    </w:p>
    <w:p>
      <w:pPr>
        <w:pStyle w:val="TextBody"/>
        <w:spacing w:before="180" w:after="0"/>
        <w:jc w:val="both"/>
        <w:rPr>
          <w:rFonts w:ascii="Arial;sans-serif" w:hAnsi="Arial;sans-serif"/>
          <w:b w:val="false"/>
          <w:sz w:val="20"/>
        </w:rPr>
      </w:pPr>
      <w:r>
        <w:rPr>
          <w:rFonts w:ascii="Arial;sans-serif" w:hAnsi="Arial;sans-serif"/>
          <w:b w:val="false"/>
          <w:sz w:val="20"/>
        </w:rPr>
        <w:t>Our investment in gaining insights from data is becoming central to the value of the services, including AI services, we deliver to customers, to operational efficiency and key opportunities in monetization, and to customer perceptions of quality. Our ability to use data in this way may be constrained by regulatory developments that impede realizing the expected return from this investment. Ongoing legal analyses, reviews, and inquiries by regulators of Microsoft practices, or relevant practices of other organizations, may result in burdensome or inconsistent requirements, including data sovereignty and localization requirements, affecting the location, movement, collection, and use of our customer and internal employee data as well as the management of that data. Compliance with applicable laws and regulations regarding personal data may require changes in services, business practices, or internal systems that result in increased costs, lower revenue, reduced efficiency, or greater difficulty in competing with foreign-based firms. Compliance with data regulations might limit our ability to innovate or offer certain features and functionality in some jurisdictions where we operate. Failure to comply with existing or new rules may result in significant penalties or orders to stop the alleged noncompliant activity, as well as negative publicity and diversion of management time and effort.</w:t>
      </w:r>
    </w:p>
    <w:p>
      <w:pPr>
        <w:pStyle w:val="TextBody"/>
        <w:spacing w:before="180" w:after="0"/>
        <w:jc w:val="both"/>
        <w:rPr>
          <w:rFonts w:ascii="Times New Roman" w:hAnsi="Times New Roman"/>
          <w:sz w:val="20"/>
        </w:rPr>
      </w:pPr>
      <w:r>
        <w:rPr>
          <w:rFonts w:ascii="Arial;sans-serif" w:hAnsi="Arial;sans-serif"/>
          <w:b/>
          <w:sz w:val="20"/>
        </w:rPr>
        <w:t>We have claims and lawsuits against us that may result in adverse outcomes.</w:t>
      </w:r>
      <w:r>
        <w:rPr>
          <w:rFonts w:ascii="Times New Roman" w:hAnsi="Times New Roman"/>
          <w:sz w:val="20"/>
        </w:rPr>
        <w:t xml:space="preserve"> </w:t>
      </w:r>
      <w:r>
        <w:rPr>
          <w:rFonts w:ascii="Arial;sans-serif" w:hAnsi="Arial;sans-serif"/>
          <w:b w:val="false"/>
          <w:sz w:val="20"/>
        </w:rPr>
        <w:t>We are subject to a variety of claims and lawsuits. These claims may arise from a wide variety of business practices and initiatives, including major new product releases such as Windows, AI services, significant business transactions, warranty or product claims, employment practices, and regulation. Adverse outcomes in some or all of these claims may result in significant monetary damages or injunctive relief that could adversely affect our ability to conduct our business. The litigation and other claims are subject to inherent uncertainties and management’s view of these matters may change in the future. A material adverse impact in our consolidated financial statements could occur for the period in which the effect of an unfavorable outcome becomes probable and reasonably estimable.</w:t>
      </w:r>
    </w:p>
    <w:p>
      <w:pPr>
        <w:pStyle w:val="TextBody"/>
        <w:spacing w:before="180" w:after="0"/>
        <w:jc w:val="both"/>
        <w:rPr>
          <w:rFonts w:ascii="Times New Roman" w:hAnsi="Times New Roman"/>
          <w:sz w:val="20"/>
        </w:rPr>
      </w:pPr>
      <w:r>
        <w:rPr>
          <w:rFonts w:ascii="Arial;sans-serif" w:hAnsi="Arial;sans-serif"/>
          <w:b/>
          <w:sz w:val="20"/>
        </w:rPr>
        <w:t xml:space="preserve">Our business with government customers may present additional uncertainties. </w:t>
      </w:r>
      <w:r>
        <w:rPr>
          <w:rFonts w:ascii="Arial;sans-serif" w:hAnsi="Arial;sans-serif"/>
          <w:b w:val="false"/>
          <w:sz w:val="20"/>
        </w:rPr>
        <w:t>We derive substantial revenue from government contracts. Government contracts generally can present risks and challenges not present in private commercial agreements. For instance, we may be subject to government audits and investigations relating to these contracts, we could be suspended or debarred as a governmental contractor, we could incur civil and criminal fines and penalties, and under certain circumstances contracts may be rescinded. Some agreements may allow a government to terminate without cause and provide for higher liability limits for certain losses. Some contracts may be subject to periodic funding approval, reductions, cancellations, or delays which could adversely impact public-sector demand for our products and services. These events could negatively impact our results of operations, financial condition, and reputation.</w:t>
      </w:r>
    </w:p>
    <w:p>
      <w:pPr>
        <w:pStyle w:val="TextBody"/>
        <w:spacing w:before="240" w:after="0"/>
        <w:jc w:val="center"/>
        <w:rPr>
          <w:rFonts w:ascii="Arial;sans-serif" w:hAnsi="Arial;sans-serif"/>
          <w:b w:val="false"/>
          <w:sz w:val="16"/>
        </w:rPr>
      </w:pPr>
      <w:r>
        <w:rPr>
          <w:rFonts w:ascii="Arial;sans-serif" w:hAnsi="Arial;sans-serif"/>
          <w:b w:val="false"/>
          <w:sz w:val="16"/>
        </w:rPr>
        <w:t>61</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II</w:t>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Item 1A</w:t>
      </w:r>
    </w:p>
    <w:p>
      <w:pPr>
        <w:pStyle w:val="TextBody"/>
        <w:spacing w:before="0" w:after="0"/>
        <w:jc w:val="left"/>
        <w:rPr/>
      </w:pPr>
      <w:r>
        <w:rPr/>
        <w:t> </w:t>
      </w:r>
    </w:p>
    <w:p>
      <w:pPr>
        <w:pStyle w:val="TextBody"/>
        <w:spacing w:before="180" w:after="0"/>
        <w:jc w:val="both"/>
        <w:rPr>
          <w:rFonts w:ascii="Times New Roman" w:hAnsi="Times New Roman"/>
          <w:sz w:val="20"/>
        </w:rPr>
      </w:pPr>
      <w:r>
        <w:rPr>
          <w:rFonts w:ascii="Arial;sans-serif" w:hAnsi="Arial;sans-serif"/>
          <w:b/>
          <w:sz w:val="20"/>
        </w:rPr>
        <w:t>We may have additional tax liabilities.</w:t>
      </w:r>
      <w:r>
        <w:rPr>
          <w:rFonts w:ascii="Times New Roman" w:hAnsi="Times New Roman"/>
          <w:sz w:val="20"/>
        </w:rPr>
        <w:t xml:space="preserve"> </w:t>
      </w:r>
      <w:r>
        <w:rPr>
          <w:rFonts w:ascii="Arial;sans-serif" w:hAnsi="Arial;sans-serif"/>
          <w:b w:val="false"/>
          <w:sz w:val="20"/>
        </w:rPr>
        <w:t>We are subject to income taxes in the U.S. and many foreign jurisdictions. Significant judgment is required in determining our worldwide provision for income taxes. In the course of our business, there are many transactions and calculations where the ultimate tax determination is uncertain. For example, compliance with the 2017 United States Tax Cuts and Jobs Act (“TCJA”) and possible future legislative changes may require the collection of information not regularly produced within the Company, the use of estimates in our consolidated financial statements, and the exercise of significant judgment in accounting for its provisions. As regulations and guidance evolve with respect to the TCJA or possible future legislative changes, and as we gather more information and perform more analysis, our results may differ from previous estimates and may materially affect our consolidated financial statements.</w:t>
      </w:r>
    </w:p>
    <w:p>
      <w:pPr>
        <w:pStyle w:val="TextBody"/>
        <w:spacing w:before="180" w:after="0"/>
        <w:jc w:val="both"/>
        <w:rPr>
          <w:rFonts w:ascii="Arial;sans-serif" w:hAnsi="Arial;sans-serif"/>
          <w:b w:val="false"/>
          <w:sz w:val="20"/>
        </w:rPr>
      </w:pPr>
      <w:r>
        <w:rPr>
          <w:rFonts w:ascii="Arial;sans-serif" w:hAnsi="Arial;sans-serif"/>
          <w:b w:val="false"/>
          <w:sz w:val="20"/>
        </w:rPr>
        <w:t>We are regularly under audit by tax authorities in different jurisdictions. Although we believe that our provision for income taxes and our tax estimates are reasonable, tax authorities may disagree with certain positions we have taken. In addition, economic and political pressures to increase tax revenue in various jurisdictions may make resolving tax disputes favorably more difficult. We are currently under Internal Revenue Service audit for prior tax years, with the primary unresolved issues relating to transfer pricing. The final resolution of those audits, and other audits or litigation, may differ from the amounts recorded in our consolidated financial statements and may materially affect our consolidated financial statements in the period or periods in which that determination is made.</w:t>
      </w:r>
    </w:p>
    <w:p>
      <w:pPr>
        <w:pStyle w:val="TextBody"/>
        <w:spacing w:before="180" w:after="0"/>
        <w:jc w:val="both"/>
        <w:rPr>
          <w:rFonts w:ascii="Arial;sans-serif" w:hAnsi="Arial;sans-serif"/>
          <w:b w:val="false"/>
          <w:sz w:val="20"/>
        </w:rPr>
      </w:pPr>
      <w:r>
        <w:rPr>
          <w:rFonts w:ascii="Arial;sans-serif" w:hAnsi="Arial;sans-serif"/>
          <w:b w:val="false"/>
          <w:sz w:val="20"/>
        </w:rPr>
        <w:t>We earn a significant amount of our operating income outside the U.S. A change in the mix of earnings and losses in countries with differing statutory tax rates, changes in our business or structure, or the expiration of or disputes about certain tax agreements in a particular country may result in higher effective tax rates for the Company. In addition, changes in U.S. federal and state or international tax laws applicable to corporate multinationals, other fundamental law changes currently being considered by many countries, including in the U.S., and changes in taxing jurisdictions’ administrative interpretations, decisions, policies, and positions may materially adversely impact our consolidated financial statements.</w:t>
      </w:r>
    </w:p>
    <w:p>
      <w:pPr>
        <w:pStyle w:val="TextBody"/>
        <w:spacing w:before="270" w:after="0"/>
        <w:jc w:val="center"/>
        <w:rPr>
          <w:rFonts w:ascii="Arial;sans-serif" w:hAnsi="Arial;sans-serif"/>
          <w:b w:val="false"/>
          <w:sz w:val="20"/>
          <w:u w:val="single"/>
        </w:rPr>
      </w:pPr>
      <w:r>
        <w:rPr>
          <w:rFonts w:ascii="Arial;sans-serif" w:hAnsi="Arial;sans-serif"/>
          <w:b w:val="false"/>
          <w:sz w:val="20"/>
          <w:u w:val="single"/>
        </w:rPr>
        <w:t>INTELLECTUAL PROPERTY RISKS</w:t>
      </w:r>
    </w:p>
    <w:p>
      <w:pPr>
        <w:pStyle w:val="TextBody"/>
        <w:spacing w:before="180" w:after="0"/>
        <w:jc w:val="both"/>
        <w:rPr>
          <w:rFonts w:ascii="Times New Roman" w:hAnsi="Times New Roman"/>
          <w:sz w:val="20"/>
        </w:rPr>
      </w:pPr>
      <w:r>
        <w:rPr>
          <w:rFonts w:ascii="Arial;sans-serif" w:hAnsi="Arial;sans-serif"/>
          <w:b/>
          <w:sz w:val="20"/>
        </w:rPr>
        <w:t>We may not be able to protect our source code from copying if there is an unauthorized disclosure.</w:t>
      </w:r>
      <w:r>
        <w:rPr>
          <w:rFonts w:ascii="Times New Roman" w:hAnsi="Times New Roman"/>
          <w:sz w:val="20"/>
        </w:rPr>
        <w:t xml:space="preserve"> </w:t>
      </w:r>
      <w:r>
        <w:rPr>
          <w:rFonts w:ascii="Arial;sans-serif" w:hAnsi="Arial;sans-serif"/>
          <w:b w:val="false"/>
          <w:sz w:val="20"/>
        </w:rPr>
        <w:t>Source code, the detailed program commands for our operating systems and other software programs, is critical to our business. Although we license portions of our application and operating system source code to several licensees, we take significant measures to protect the secrecy of large portions of our source code. If our source code leaks, we might lose future trade secret protection for that code. It may then become easier for third parties to compete with our products by copying functionality, which could adversely affect our revenue and operating margins. Unauthorized disclosure of source code also could increase the security risks described elsewhere in these risk factors.</w:t>
      </w:r>
    </w:p>
    <w:p>
      <w:pPr>
        <w:pStyle w:val="TextBody"/>
        <w:spacing w:before="180" w:after="0"/>
        <w:jc w:val="both"/>
        <w:rPr>
          <w:rFonts w:ascii="Times New Roman" w:hAnsi="Times New Roman"/>
          <w:sz w:val="20"/>
        </w:rPr>
      </w:pPr>
      <w:r>
        <w:rPr>
          <w:rFonts w:ascii="Arial;sans-serif" w:hAnsi="Arial;sans-serif"/>
          <w:b/>
          <w:sz w:val="20"/>
        </w:rPr>
        <w:t xml:space="preserve">Legal changes, our evolving business model, piracy, and other factors may decrease the value of our intellectual property. </w:t>
      </w:r>
      <w:r>
        <w:rPr>
          <w:rFonts w:ascii="Arial;sans-serif" w:hAnsi="Arial;sans-serif"/>
          <w:b w:val="false"/>
          <w:sz w:val="20"/>
        </w:rPr>
        <w:t>Protecting our intellectual property rights and combating unlicensed copying and use of our software and other intellectual property on a global basis is difficult. While piracy adversely affects U.S. revenue, the impact on revenue from outside the U.S. is more significant, particularly countries in which the legal system provides less protection for intellectual property rights. Our revenue in these markets may grow more slowly than the underlying device market. Similarly, the absence of harmonized patent laws makes it more difficult to ensure consistent respect for patent rights. Throughout the world, we educate users about the benefits of licensing genuine products and obtaining indemnification benefits for intellectual property risks, and we educate lawmakers about the advantages of a business climate where intellectual property rights are protected. Reductions in the legal protection for software intellectual property rights could adversely affect revenue.</w:t>
      </w:r>
    </w:p>
    <w:p>
      <w:pPr>
        <w:pStyle w:val="TextBody"/>
        <w:spacing w:before="180" w:after="0"/>
        <w:jc w:val="both"/>
        <w:rPr>
          <w:rFonts w:ascii="Arial;sans-serif" w:hAnsi="Arial;sans-serif"/>
          <w:b w:val="false"/>
          <w:sz w:val="20"/>
        </w:rPr>
      </w:pPr>
      <w:r>
        <w:rPr>
          <w:rFonts w:ascii="Arial;sans-serif" w:hAnsi="Arial;sans-serif"/>
          <w:b w:val="false"/>
          <w:sz w:val="20"/>
        </w:rPr>
        <w:t>We expend significant resources to patent the intellectual property we create with the expectation that we will generate revenues by incorporating that intellectual property in our products or services or, in some instances, by licensing or cross-licensing our patents to others in return for a royalty and/or increased freedom to operate. Changes in the law may continue to weaken our ability to prevent the use of patented technology or collect revenue for licensing our patents. These include legislative changes and regulatory actions that make it more difficult to obtain injunctions, and the increasing use of legal process to challenge issued patents. Similarly, licensees of our patents may fail to satisfy their obligations to pay us royalties or may contest the scope and extent of their obligations. The royalties we can obtain to monetize our intellectual property may decline because of the evolution of technology, price changes in products using licensed patents, greater value from cross-licensing, or the difficulty of discovering infringements. Finally, our increasing engagement with open source software will also cause us to license our intellectual property rights broadly in certain situations and may negatively impact revenue.</w:t>
      </w:r>
    </w:p>
    <w:p>
      <w:pPr>
        <w:pStyle w:val="TextBody"/>
        <w:spacing w:before="240" w:after="0"/>
        <w:jc w:val="center"/>
        <w:rPr>
          <w:rFonts w:ascii="Arial;sans-serif" w:hAnsi="Arial;sans-serif"/>
          <w:b w:val="false"/>
          <w:sz w:val="16"/>
        </w:rPr>
      </w:pPr>
      <w:r>
        <w:rPr>
          <w:rFonts w:ascii="Arial;sans-serif" w:hAnsi="Arial;sans-serif"/>
          <w:b w:val="false"/>
          <w:sz w:val="16"/>
        </w:rPr>
        <w:t>62</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II</w:t>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Item 1A</w:t>
      </w:r>
    </w:p>
    <w:p>
      <w:pPr>
        <w:pStyle w:val="TextBody"/>
        <w:spacing w:before="0" w:after="0"/>
        <w:jc w:val="left"/>
        <w:rPr/>
      </w:pPr>
      <w:r>
        <w:rPr/>
        <w:t> </w:t>
      </w:r>
    </w:p>
    <w:p>
      <w:pPr>
        <w:pStyle w:val="TextBody"/>
        <w:spacing w:before="180" w:after="0"/>
        <w:jc w:val="both"/>
        <w:rPr>
          <w:rFonts w:ascii="Times New Roman" w:hAnsi="Times New Roman"/>
          <w:sz w:val="20"/>
        </w:rPr>
      </w:pPr>
      <w:r>
        <w:rPr>
          <w:rFonts w:ascii="Arial;sans-serif" w:hAnsi="Arial;sans-serif"/>
          <w:b/>
          <w:sz w:val="20"/>
        </w:rPr>
        <w:t>Third parties may claim we infringe their intellectual property rights.</w:t>
      </w:r>
      <w:r>
        <w:rPr>
          <w:rFonts w:ascii="Times New Roman" w:hAnsi="Times New Roman"/>
          <w:sz w:val="20"/>
        </w:rPr>
        <w:t xml:space="preserve"> </w:t>
      </w:r>
      <w:r>
        <w:rPr>
          <w:rFonts w:ascii="Arial;sans-serif" w:hAnsi="Arial;sans-serif"/>
          <w:b w:val="false"/>
          <w:sz w:val="20"/>
        </w:rPr>
        <w:t>From time to time, others claim we infringe their intellectual property rights. The number of these claims may grow because of constant technological change in the markets in which we compete, the extensive patent coverage of existing technologies, the rapid rate of issuance of new patents, and our offering of first-party devices, such as Surface. To resolve these claims, we may enter into royalty and licensing agreements on terms that are less favorable than currently available, stop selling or redesign affected products or services, or pay damages to satisfy indemnification commitments with our customers. These outcomes may cause operating margins to decline. Besides money damages, in some jurisdictions plaintiffs can seek injunctive relief that may limit or prevent importing, marketing, and selling our products or services that have infringing technologies. In some countries, such as Germany, an injunction can be issued before the parties have fully litigated the validity of the underlying patents. We have paid significant amounts to settle claims related to the use of technology and intellectual property rights and to procure intellectual property rights as part of our strategy to manage this risk, and may continue to do so.</w:t>
      </w:r>
    </w:p>
    <w:p>
      <w:pPr>
        <w:pStyle w:val="TextBody"/>
        <w:spacing w:before="270" w:after="0"/>
        <w:jc w:val="center"/>
        <w:rPr>
          <w:rFonts w:ascii="Arial;sans-serif" w:hAnsi="Arial;sans-serif"/>
          <w:b w:val="false"/>
          <w:sz w:val="20"/>
          <w:u w:val="single"/>
        </w:rPr>
      </w:pPr>
      <w:r>
        <w:rPr>
          <w:rFonts w:ascii="Arial;sans-serif" w:hAnsi="Arial;sans-serif"/>
          <w:b w:val="false"/>
          <w:sz w:val="20"/>
          <w:u w:val="single"/>
        </w:rPr>
        <w:t>GENERAL RISKS</w:t>
      </w:r>
    </w:p>
    <w:p>
      <w:pPr>
        <w:pStyle w:val="TextBody"/>
        <w:spacing w:before="180" w:after="0"/>
        <w:jc w:val="both"/>
        <w:rPr>
          <w:rFonts w:ascii="Times New Roman" w:hAnsi="Times New Roman"/>
          <w:sz w:val="20"/>
        </w:rPr>
      </w:pPr>
      <w:r>
        <w:rPr>
          <w:rFonts w:ascii="Arial;sans-serif" w:hAnsi="Arial;sans-serif"/>
          <w:b/>
          <w:sz w:val="20"/>
        </w:rPr>
        <w:t>If our reputation or our brands are damaged, our business and operating results may be harmed</w:t>
      </w:r>
      <w:r>
        <w:rPr>
          <w:rFonts w:ascii="Arial;sans-serif" w:hAnsi="Arial;sans-serif"/>
          <w:b w:val="false"/>
          <w:sz w:val="20"/>
        </w:rPr>
        <w:t>. Our reputation and brands are globally recognized and are important to our business. Our reputation and brands affect our ability to attract and retain consumer, business, and public-sector customers. There are numerous ways our reputation or brands could be damaged. These include product safety or quality issues, our environmental impact and sustainability, supply chain practices, or human rights record. We may experience backlash from customers, government entities, advocacy groups, employees, and other stakeholders that disagree with our product offering decisions or public policy positions. Damage to our reputation or our brands may occur from, among other things:</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The introduction of new features, products, services, or terms of service that customers, users, or partners do not like.</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Public scrutiny of our decisions regarding user privacy, data practices, or content.</w:t>
      </w:r>
    </w:p>
    <w:p>
      <w:pPr>
        <w:pStyle w:val="TextBody"/>
        <w:spacing w:before="90" w:after="0"/>
        <w:jc w:val="both"/>
        <w:rPr/>
      </w:pPr>
      <w:r>
        <w:rPr/>
        <w:t>•</w:t>
      </w:r>
    </w:p>
    <w:p>
      <w:pPr>
        <w:pStyle w:val="TextBody"/>
        <w:spacing w:before="90" w:after="283"/>
        <w:jc w:val="both"/>
        <w:rPr>
          <w:rFonts w:ascii="Arial;sans-serif" w:hAnsi="Arial;sans-serif"/>
          <w:b w:val="false"/>
          <w:sz w:val="20"/>
        </w:rPr>
      </w:pPr>
      <w:r>
        <w:rPr>
          <w:rFonts w:ascii="Arial;sans-serif" w:hAnsi="Arial;sans-serif"/>
          <w:b w:val="false"/>
          <w:sz w:val="20"/>
        </w:rPr>
        <w:t>Data security breaches, compliance failures, or actions of partners or individual employees.</w:t>
      </w:r>
    </w:p>
    <w:p>
      <w:pPr>
        <w:pStyle w:val="TextBody"/>
        <w:spacing w:before="180" w:after="0"/>
        <w:jc w:val="both"/>
        <w:rPr>
          <w:rFonts w:ascii="Arial;sans-serif" w:hAnsi="Arial;sans-serif"/>
          <w:b w:val="false"/>
          <w:sz w:val="20"/>
        </w:rPr>
      </w:pPr>
      <w:r>
        <w:rPr>
          <w:rFonts w:ascii="Arial;sans-serif" w:hAnsi="Arial;sans-serif"/>
          <w:b w:val="false"/>
          <w:sz w:val="20"/>
        </w:rPr>
        <w:t>The proliferation of social media may increase the likelihood, speed, and magnitude of negative brand events. If our brands or reputation are damaged, it could negatively impact our revenues or margins, or ability to attract the most highly qualified employees.</w:t>
      </w:r>
    </w:p>
    <w:p>
      <w:pPr>
        <w:pStyle w:val="TextBody"/>
        <w:spacing w:before="180" w:after="0"/>
        <w:jc w:val="both"/>
        <w:rPr>
          <w:rFonts w:ascii="Times New Roman" w:hAnsi="Times New Roman"/>
          <w:sz w:val="20"/>
        </w:rPr>
      </w:pPr>
      <w:r>
        <w:rPr>
          <w:rFonts w:ascii="Arial;sans-serif" w:hAnsi="Arial;sans-serif"/>
          <w:b/>
          <w:sz w:val="20"/>
        </w:rPr>
        <w:t>Adverse economic or market conditions may harm our business.</w:t>
      </w:r>
      <w:r>
        <w:rPr>
          <w:rFonts w:ascii="Times New Roman" w:hAnsi="Times New Roman"/>
          <w:sz w:val="20"/>
        </w:rPr>
        <w:t xml:space="preserve"> </w:t>
      </w:r>
      <w:r>
        <w:rPr>
          <w:rFonts w:ascii="Arial;sans-serif" w:hAnsi="Arial;sans-serif"/>
          <w:b w:val="false"/>
          <w:sz w:val="20"/>
        </w:rPr>
        <w:t>Worsening economic conditions, including inflation, recession, pandemic, or other changes in economic conditions, may cause lower IT spending and adversely affect our revenue. If demand for PCs, servers, and other computing devices declines, or consumer or business spending for those products declines, our revenue will be adversely affected.</w:t>
      </w:r>
    </w:p>
    <w:p>
      <w:pPr>
        <w:pStyle w:val="TextBody"/>
        <w:spacing w:before="180" w:after="0"/>
        <w:jc w:val="both"/>
        <w:rPr>
          <w:rFonts w:ascii="Arial;sans-serif" w:hAnsi="Arial;sans-serif"/>
          <w:b w:val="false"/>
          <w:sz w:val="20"/>
        </w:rPr>
      </w:pPr>
      <w:r>
        <w:rPr>
          <w:rFonts w:ascii="Arial;sans-serif" w:hAnsi="Arial;sans-serif"/>
          <w:b w:val="false"/>
          <w:sz w:val="20"/>
        </w:rPr>
        <w:t>Our product distribution system relies on an extensive partner and retail network. OEMs building devices that run our software have also been a significant means of distribution. The impact of economic conditions on our partners, such as the bankruptcy of a major distributor, OEM, or retailer, could cause sales channel disruption.</w:t>
      </w:r>
    </w:p>
    <w:p>
      <w:pPr>
        <w:pStyle w:val="TextBody"/>
        <w:spacing w:before="180" w:after="0"/>
        <w:jc w:val="both"/>
        <w:rPr>
          <w:rFonts w:ascii="Arial;sans-serif" w:hAnsi="Arial;sans-serif"/>
          <w:b w:val="false"/>
          <w:sz w:val="20"/>
        </w:rPr>
      </w:pPr>
      <w:r>
        <w:rPr>
          <w:rFonts w:ascii="Arial;sans-serif" w:hAnsi="Arial;sans-serif"/>
          <w:b w:val="false"/>
          <w:sz w:val="20"/>
        </w:rPr>
        <w:t>Challenging economic conditions also may impair the ability of our customers to pay for products and services they have purchased. As a result, allowances for doubtful accounts and write-offs of accounts receivable may increase.</w:t>
      </w:r>
    </w:p>
    <w:p>
      <w:pPr>
        <w:pStyle w:val="TextBody"/>
        <w:spacing w:before="180" w:after="0"/>
        <w:jc w:val="both"/>
        <w:rPr>
          <w:rFonts w:ascii="Arial;sans-serif" w:hAnsi="Arial;sans-serif"/>
          <w:b w:val="false"/>
          <w:sz w:val="20"/>
        </w:rPr>
      </w:pPr>
      <w:r>
        <w:rPr>
          <w:rFonts w:ascii="Arial;sans-serif" w:hAnsi="Arial;sans-serif"/>
          <w:b w:val="false"/>
          <w:sz w:val="20"/>
        </w:rPr>
        <w:t>We maintain an investment portfolio of various holdings, types, and maturities. These investments are subject to general credit, liquidity, market, and interest rate risks, which may be exacerbated by market downturns or events that affect global financial markets. A significant part of our investment portfolio comprises U.S. government securities. If global financial markets decline for long periods, or if there is a downgrade of the U.S. government credit rating due to an actual or threatened default on government debt, our investment portfolio may be adversely affected and we could determine that more of our investments have experienced a decline in fair value, requiring impairment charges that could adversely affect our consolidated financial statements.</w:t>
      </w:r>
    </w:p>
    <w:p>
      <w:pPr>
        <w:pStyle w:val="TextBody"/>
        <w:spacing w:before="240" w:after="0"/>
        <w:jc w:val="center"/>
        <w:rPr>
          <w:rFonts w:ascii="Arial;sans-serif" w:hAnsi="Arial;sans-serif"/>
          <w:b w:val="false"/>
          <w:sz w:val="16"/>
        </w:rPr>
      </w:pPr>
      <w:r>
        <w:rPr>
          <w:rFonts w:ascii="Arial;sans-serif" w:hAnsi="Arial;sans-serif"/>
          <w:b w:val="false"/>
          <w:sz w:val="16"/>
        </w:rPr>
        <w:t>63</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II</w:t>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Item 1A</w:t>
      </w:r>
    </w:p>
    <w:p>
      <w:pPr>
        <w:pStyle w:val="TextBody"/>
        <w:spacing w:before="0" w:after="0"/>
        <w:jc w:val="left"/>
        <w:rPr/>
      </w:pPr>
      <w:r>
        <w:rPr/>
        <w:t> </w:t>
      </w:r>
    </w:p>
    <w:p>
      <w:pPr>
        <w:pStyle w:val="TextBody"/>
        <w:spacing w:before="180" w:after="0"/>
        <w:jc w:val="both"/>
        <w:rPr>
          <w:rFonts w:ascii="Times New Roman" w:hAnsi="Times New Roman"/>
          <w:sz w:val="20"/>
        </w:rPr>
      </w:pPr>
      <w:r>
        <w:rPr>
          <w:rFonts w:ascii="Arial;sans-serif" w:hAnsi="Arial;sans-serif"/>
          <w:b/>
          <w:sz w:val="20"/>
        </w:rPr>
        <w:t>Catastrophic events or geopolitical conditions may disrupt our business.</w:t>
      </w:r>
      <w:r>
        <w:rPr>
          <w:rFonts w:ascii="Times New Roman" w:hAnsi="Times New Roman"/>
          <w:sz w:val="20"/>
        </w:rPr>
        <w:t xml:space="preserve"> </w:t>
      </w:r>
      <w:r>
        <w:rPr>
          <w:rFonts w:ascii="Arial;sans-serif" w:hAnsi="Arial;sans-serif"/>
          <w:b w:val="false"/>
          <w:sz w:val="20"/>
        </w:rPr>
        <w:t>A disruption or failure of our systems or operations because of a major earthquake, weather event, cyberattack, terrorist attack, pandemic, or other catastrophic event could cause delays in completing sales, providing services, or performing other critical functions. Our corporate headquarters, a significant portion of our research and development activities, and certain other essential business operations are in the Seattle, Washington area, and we have other business operations in the Silicon Valley area of California, both of which are seismically active regions. A catastrophic event that results in the destruction or disruption of any of our critical business or IT systems, or the infrastructure or systems they rely on, such as power grids, could harm our ability to conduct normal business operations. Providing our customers with more services and solutions in the cloud puts a premium on the resilience of our systems and strength of our business continuity management plans and magnifies the potential impact of prolonged service outages in our consolidated financial statements.</w:t>
      </w:r>
    </w:p>
    <w:p>
      <w:pPr>
        <w:pStyle w:val="TextBody"/>
        <w:spacing w:before="180" w:after="0"/>
        <w:jc w:val="both"/>
        <w:rPr>
          <w:rFonts w:ascii="Arial;sans-serif" w:hAnsi="Arial;sans-serif"/>
          <w:b w:val="false"/>
          <w:sz w:val="20"/>
        </w:rPr>
      </w:pPr>
      <w:r>
        <w:rPr>
          <w:rFonts w:ascii="Arial;sans-serif" w:hAnsi="Arial;sans-serif"/>
          <w:b w:val="false"/>
          <w:sz w:val="20"/>
        </w:rPr>
        <w:t>Abrupt political change, terrorist activity, and armed conflict, such as the ongoing conflict in Ukraine, pose a risk of general economic disruption in affected countries, which may increase our operating costs and negatively impact our ability to sell to and collect from customers in affected markets. These conditions also may add uncertainty to the timing and budget for technology investment decisions by our customers and may cause supply chain disruptions for hardware manufacturers. Geopolitical change may result in changing regulatory systems and requirements and market interventions that could impact our operating strategies, access to national, regional, and global markets, hiring, and profitability. Geopolitical instability may lead to sanctions and impact our ability to do business in some markets or with some public-sector customers. Any of these changes may negatively impact our revenues.</w:t>
      </w:r>
    </w:p>
    <w:p>
      <w:pPr>
        <w:pStyle w:val="TextBody"/>
        <w:spacing w:before="180" w:after="0"/>
        <w:jc w:val="both"/>
        <w:rPr>
          <w:rFonts w:ascii="Arial;sans-serif" w:hAnsi="Arial;sans-serif"/>
          <w:b w:val="false"/>
          <w:sz w:val="20"/>
        </w:rPr>
      </w:pPr>
      <w:r>
        <w:rPr>
          <w:rFonts w:ascii="Arial;sans-serif" w:hAnsi="Arial;sans-serif"/>
          <w:b w:val="false"/>
          <w:sz w:val="20"/>
        </w:rPr>
        <w:t>The occurrence of regional epidemics or a global pandemic, such as COVID-19, may adversely affect our operations, financial condition, and results of operations. The COVID-19 pandemic has had widespread, rapidly evolving, and unpredictable impacts on global society, economies, financial markets, and business practices. The extent to which global pandemics impact our business going forward will depend on factors such as the duration and scope of the pandemic; governmental, business, and individuals' actions in response to the pandemic; and the impact on economic activity, including the possibility of recession or financial market instability.</w:t>
      </w:r>
    </w:p>
    <w:p>
      <w:pPr>
        <w:pStyle w:val="TextBody"/>
        <w:spacing w:before="180" w:after="0"/>
        <w:jc w:val="both"/>
        <w:rPr>
          <w:rFonts w:ascii="Arial;sans-serif" w:hAnsi="Arial;sans-serif"/>
          <w:b w:val="false"/>
          <w:sz w:val="20"/>
        </w:rPr>
      </w:pPr>
      <w:r>
        <w:rPr>
          <w:rFonts w:ascii="Arial;sans-serif" w:hAnsi="Arial;sans-serif"/>
          <w:b w:val="false"/>
          <w:sz w:val="20"/>
        </w:rPr>
        <w:t>Measures to contain a global pandemic may intensify other risks described in these Risk Factors. Any of these measures may adversely impact our ability to:</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Maintain our operations infrastructure, including the reliability and adequate capacity of cloud services.</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Satisfy our contractual and regulatory compliance obligations as we adapt to changing usage patterns, such as through datacenter load balancing.</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Ensure a high-quality and consistent supply chain and manufacturing operations for our hardware devices and datacenter operations.</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Effectively manage our international operations through changes in trade practices and policies.</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Hire and deploy people where we most need them.</w:t>
      </w:r>
    </w:p>
    <w:p>
      <w:pPr>
        <w:pStyle w:val="TextBody"/>
        <w:spacing w:before="90" w:after="0"/>
        <w:jc w:val="both"/>
        <w:rPr/>
      </w:pPr>
      <w:r>
        <w:rPr/>
        <w:t>•</w:t>
      </w:r>
    </w:p>
    <w:p>
      <w:pPr>
        <w:pStyle w:val="TextBody"/>
        <w:spacing w:before="90" w:after="283"/>
        <w:jc w:val="both"/>
        <w:rPr>
          <w:rFonts w:ascii="Arial;sans-serif" w:hAnsi="Arial;sans-serif"/>
          <w:b w:val="false"/>
          <w:sz w:val="20"/>
        </w:rPr>
      </w:pPr>
      <w:r>
        <w:rPr>
          <w:rFonts w:ascii="Arial;sans-serif" w:hAnsi="Arial;sans-serif"/>
          <w:b w:val="false"/>
          <w:sz w:val="20"/>
        </w:rPr>
        <w:t>Sustain the effectiveness and productivity of our operations, including our sales, marketing, engineering, and distribution functions.</w:t>
      </w:r>
    </w:p>
    <w:p>
      <w:pPr>
        <w:pStyle w:val="TextBody"/>
        <w:spacing w:before="180" w:after="0"/>
        <w:jc w:val="both"/>
        <w:rPr>
          <w:rFonts w:ascii="Arial;sans-serif" w:hAnsi="Arial;sans-serif"/>
          <w:b w:val="false"/>
          <w:sz w:val="20"/>
        </w:rPr>
      </w:pPr>
      <w:r>
        <w:rPr>
          <w:rFonts w:ascii="Arial;sans-serif" w:hAnsi="Arial;sans-serif"/>
          <w:b w:val="false"/>
          <w:sz w:val="20"/>
        </w:rPr>
        <w:t>We may incur increased costs to effectively manage these aspects of our business. If we are unsuccessful, it may adversely impact our revenues, cash flows, market share growth, and reputation.</w:t>
      </w:r>
    </w:p>
    <w:p>
      <w:pPr>
        <w:pStyle w:val="TextBody"/>
        <w:spacing w:before="180" w:after="0"/>
        <w:jc w:val="both"/>
        <w:rPr>
          <w:rFonts w:ascii="Arial;sans-serif" w:hAnsi="Arial;sans-serif"/>
          <w:b w:val="false"/>
          <w:sz w:val="20"/>
        </w:rPr>
      </w:pPr>
      <w:r>
        <w:rPr>
          <w:rFonts w:ascii="Arial;sans-serif" w:hAnsi="Arial;sans-serif"/>
          <w:b w:val="false"/>
          <w:sz w:val="20"/>
        </w:rPr>
        <w:t>The long-term effects of climate change on the global economy and the IT industry in particular are unclear. Environmental regulations or changes in the supply, demand, or available sources of energy or other resources may affect the availability or cost of goods and services, including natural resources, necessary to run our business. Changes in climate where we operate may increase the costs of powering and cooling computer hardware we use to develop software and provide cloud-based services.</w:t>
      </w:r>
    </w:p>
    <w:p>
      <w:pPr>
        <w:pStyle w:val="TextBody"/>
        <w:spacing w:before="240" w:after="0"/>
        <w:jc w:val="center"/>
        <w:rPr>
          <w:rFonts w:ascii="Arial;sans-serif" w:hAnsi="Arial;sans-serif"/>
          <w:b w:val="false"/>
          <w:sz w:val="16"/>
        </w:rPr>
      </w:pPr>
      <w:r>
        <w:rPr>
          <w:rFonts w:ascii="Arial;sans-serif" w:hAnsi="Arial;sans-serif"/>
          <w:b w:val="false"/>
          <w:sz w:val="16"/>
        </w:rPr>
        <w:t>64</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II</w:t>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Item 1A</w:t>
      </w:r>
    </w:p>
    <w:p>
      <w:pPr>
        <w:pStyle w:val="TextBody"/>
        <w:spacing w:before="0" w:after="0"/>
        <w:jc w:val="left"/>
        <w:rPr/>
      </w:pPr>
      <w:r>
        <w:rPr/>
        <w:t> </w:t>
      </w:r>
    </w:p>
    <w:p>
      <w:pPr>
        <w:pStyle w:val="TextBody"/>
        <w:spacing w:before="180" w:after="0"/>
        <w:jc w:val="both"/>
        <w:rPr>
          <w:rFonts w:ascii="Times New Roman" w:hAnsi="Times New Roman"/>
          <w:sz w:val="20"/>
        </w:rPr>
      </w:pPr>
      <w:r>
        <w:rPr>
          <w:rFonts w:ascii="Arial;sans-serif" w:hAnsi="Arial;sans-serif"/>
          <w:b/>
          <w:sz w:val="20"/>
        </w:rPr>
        <w:t>Our global business exposes us to operational and economic risks.</w:t>
      </w:r>
      <w:r>
        <w:rPr>
          <w:rFonts w:ascii="Times New Roman" w:hAnsi="Times New Roman"/>
          <w:sz w:val="20"/>
        </w:rPr>
        <w:t xml:space="preserve"> </w:t>
      </w:r>
      <w:r>
        <w:rPr>
          <w:rFonts w:ascii="Arial;sans-serif" w:hAnsi="Arial;sans-serif"/>
          <w:b w:val="false"/>
          <w:sz w:val="20"/>
        </w:rPr>
        <w:t>Our customers are located throughout the world and a significant part of our revenue comes from international sales. The global nature of our business creates operational, economic, and geopolitical risks. Our results of operations may be affected by global, regional, and local economic developments, monetary policy, inflation, and recession, as well as political and military disputes. In addition, our international growth strategy includes certain markets, the developing nature of which presents several risks, including deterioration of social, political, labor, or economic conditions in a country or region, and difficulties in staffing and managing foreign operations. Emerging nationalist and protectionist trends and concerns about human rights, the environment, and political expression in specific countries may significantly alter the trade and commercial environments. Changes to trade policy or agreements as a result of populism, protectionism, or economic nationalism may result in higher tariffs, local sourcing initiatives, and non-local sourcing restrictions, export controls, investment restrictions, or other developments that make it more difficult to sell our products in foreign countries. Disruptions of these kinds in developed or emerging markets could negatively impact demand for our products and services, impair our ability to operate in certain regions, or increase operating costs. Although we hedge a portion of our international currency exposure, significant fluctuations in foreign exchange rates between the U.S. dollar and foreign currencies may adversely affect our results of operations.</w:t>
      </w:r>
    </w:p>
    <w:p>
      <w:pPr>
        <w:pStyle w:val="TextBody"/>
        <w:spacing w:before="180" w:after="0"/>
        <w:jc w:val="both"/>
        <w:rPr>
          <w:rFonts w:ascii="Times New Roman" w:hAnsi="Times New Roman"/>
          <w:sz w:val="20"/>
        </w:rPr>
      </w:pPr>
      <w:r>
        <w:rPr>
          <w:rFonts w:ascii="Arial;sans-serif" w:hAnsi="Arial;sans-serif"/>
          <w:b/>
          <w:sz w:val="20"/>
        </w:rPr>
        <w:t>Our business depends on our ability to attract and retain talented employees.</w:t>
      </w:r>
      <w:r>
        <w:rPr>
          <w:rFonts w:ascii="Times New Roman" w:hAnsi="Times New Roman"/>
          <w:sz w:val="20"/>
        </w:rPr>
        <w:t xml:space="preserve"> </w:t>
      </w:r>
      <w:r>
        <w:rPr>
          <w:rFonts w:ascii="Arial;sans-serif" w:hAnsi="Arial;sans-serif"/>
          <w:b w:val="false"/>
          <w:sz w:val="20"/>
        </w:rPr>
        <w:t>Our business is based on successfully attracting and retaining talented employees representing diverse backgrounds, experiences, and skill sets. The market for highly skilled workers and leaders in our industry is extremely competitive. Maintaining our brand and reputation, as well as a diverse and inclusive work environment that enables all our employees to thrive, are important to our ability to recruit and retain employees. We are also limited in our ability to recruit internationally by restrictive domestic immigration laws. Changes to U.S. immigration policies that restrain the flow of technical and professional talent may inhibit our ability to adequately staff our research and development efforts. If we are less successful in our recruiting efforts, or if we cannot retain highly skilled workers and key leaders, our ability to develop and deliver successful products and services may be adversely affected. Effective succession planning is also important to our long-term success. Failure to ensure effective transfer of knowledge and smooth transitions involving key employees could hinder our strategic planning and execution. How employment-related laws are interpreted and applied to our workforce practices may result in increased operating costs and less flexibility in how we meet our workforce needs. Our global workforce is predominantly non-unionized, although we do have some employees in the U.S. and internationally who are represented by unions or works councils. In the U.S., there has been a general increase in workers exercising their right to form or join a union. The unionization of significant employee populations could result in higher costs and other operational changes necessary to respond to changing conditions and to establish new relationships with worker representatives.</w:t>
      </w:r>
    </w:p>
    <w:p>
      <w:pPr>
        <w:pStyle w:val="TextBody"/>
        <w:spacing w:before="240" w:after="0"/>
        <w:jc w:val="center"/>
        <w:rPr>
          <w:rFonts w:ascii="Arial;sans-serif" w:hAnsi="Arial;sans-serif"/>
          <w:b w:val="false"/>
          <w:sz w:val="16"/>
        </w:rPr>
      </w:pPr>
      <w:r>
        <w:rPr>
          <w:rFonts w:ascii="Arial;sans-serif" w:hAnsi="Arial;sans-serif"/>
          <w:b w:val="false"/>
          <w:sz w:val="16"/>
        </w:rPr>
        <w:t>65</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II</w:t>
      </w:r>
    </w:p>
    <w:p>
      <w:pPr>
        <w:pStyle w:val="TextBody"/>
        <w:spacing w:before="0" w:after="0"/>
        <w:jc w:val="center"/>
        <w:rPr>
          <w:rFonts w:ascii="Arial;sans-serif" w:hAnsi="Arial;sans-serif"/>
          <w:b w:val="false"/>
          <w:sz w:val="15"/>
        </w:rPr>
      </w:pPr>
      <w:r>
        <w:rPr>
          <w:rFonts w:ascii="Arial;sans-serif" w:hAnsi="Arial;sans-serif"/>
          <w:b w:val="false"/>
          <w:sz w:val="15"/>
        </w:rPr>
        <w:t>Item 2</w:t>
      </w:r>
    </w:p>
    <w:p>
      <w:pPr>
        <w:pStyle w:val="TextBody"/>
        <w:spacing w:before="0" w:after="0"/>
        <w:jc w:val="left"/>
        <w:rPr/>
      </w:pPr>
      <w:r>
        <w:rPr/>
        <w:t> </w:t>
      </w:r>
    </w:p>
    <w:p>
      <w:pPr>
        <w:pStyle w:val="TextBody"/>
        <w:spacing w:before="0" w:after="0"/>
        <w:jc w:val="center"/>
        <w:rPr>
          <w:rFonts w:ascii="Arial;sans-serif" w:hAnsi="Arial;sans-serif"/>
          <w:b/>
          <w:sz w:val="24"/>
        </w:rPr>
      </w:pPr>
      <w:bookmarkStart w:id="19" w:name="item_2_unregistered_sales_equity_securit"/>
      <w:bookmarkEnd w:id="19"/>
      <w:r>
        <w:rPr>
          <w:rFonts w:ascii="Arial;sans-serif" w:hAnsi="Arial;sans-serif"/>
          <w:b/>
          <w:sz w:val="24"/>
        </w:rPr>
        <w:t>ITEM 2. UNREGISTERED SALES OF EQUITY SECURITIES AND USE OF PROCEEDS</w:t>
      </w:r>
    </w:p>
    <w:p>
      <w:pPr>
        <w:pStyle w:val="TextBody"/>
        <w:spacing w:before="180" w:after="0"/>
        <w:jc w:val="center"/>
        <w:rPr>
          <w:rFonts w:ascii="Arial;sans-serif" w:hAnsi="Arial;sans-serif"/>
          <w:b w:val="false"/>
          <w:sz w:val="20"/>
          <w:u w:val="single"/>
        </w:rPr>
      </w:pPr>
      <w:r>
        <w:rPr>
          <w:rFonts w:ascii="Arial;sans-serif" w:hAnsi="Arial;sans-serif"/>
          <w:b w:val="false"/>
          <w:sz w:val="20"/>
          <w:u w:val="single"/>
        </w:rPr>
        <w:t>SHARE REPURCHASES AND DIVIDENDS</w:t>
      </w:r>
    </w:p>
    <w:p>
      <w:pPr>
        <w:pStyle w:val="TextBody"/>
        <w:spacing w:before="180" w:after="0"/>
        <w:jc w:val="both"/>
        <w:rPr>
          <w:rFonts w:ascii="Arial;sans-serif" w:hAnsi="Arial;sans-serif"/>
          <w:b w:val="false"/>
          <w:sz w:val="20"/>
        </w:rPr>
      </w:pPr>
      <w:r>
        <w:rPr>
          <w:rFonts w:ascii="Arial;sans-serif" w:hAnsi="Arial;sans-serif"/>
          <w:b w:val="false"/>
          <w:sz w:val="20"/>
        </w:rPr>
        <w:t>Following are our monthly share repurchases for the third quarter of fiscal year 2023:</w:t>
      </w:r>
    </w:p>
    <w:p>
      <w:pPr>
        <w:pStyle w:val="TextBody"/>
        <w:spacing w:before="0" w:after="0"/>
        <w:jc w:val="both"/>
        <w:rPr/>
      </w:pPr>
      <w:r>
        <w:rPr/>
        <w:t> </w:t>
      </w:r>
    </w:p>
    <w:tbl>
      <w:tblPr>
        <w:tblW w:w="9598" w:type="dxa"/>
        <w:jc w:val="left"/>
        <w:tblInd w:w="0" w:type="dxa"/>
        <w:tblCellMar>
          <w:top w:w="28" w:type="dxa"/>
          <w:left w:w="28" w:type="dxa"/>
          <w:bottom w:w="28" w:type="dxa"/>
          <w:right w:w="28" w:type="dxa"/>
        </w:tblCellMar>
      </w:tblPr>
      <w:tblGrid>
        <w:gridCol w:w="3391"/>
        <w:gridCol w:w="146"/>
        <w:gridCol w:w="146"/>
        <w:gridCol w:w="1066"/>
        <w:gridCol w:w="146"/>
        <w:gridCol w:w="146"/>
        <w:gridCol w:w="211"/>
        <w:gridCol w:w="691"/>
        <w:gridCol w:w="146"/>
        <w:gridCol w:w="146"/>
        <w:gridCol w:w="168"/>
        <w:gridCol w:w="1227"/>
        <w:gridCol w:w="146"/>
        <w:gridCol w:w="146"/>
        <w:gridCol w:w="347"/>
        <w:gridCol w:w="1138"/>
        <w:gridCol w:w="191"/>
      </w:tblGrid>
      <w:tr>
        <w:trPr/>
        <w:tc>
          <w:tcPr>
            <w:tcW w:w="33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22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391"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Period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212"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Total Number</w:t>
            </w:r>
          </w:p>
          <w:p>
            <w:pPr>
              <w:pStyle w:val="TableContents"/>
              <w:spacing w:before="0" w:after="0"/>
              <w:ind w:left="0" w:right="0" w:hanging="0"/>
              <w:jc w:val="right"/>
              <w:rPr>
                <w:rFonts w:ascii="Arial;sans-serif" w:hAnsi="Arial;sans-serif"/>
                <w:b/>
                <w:sz w:val="15"/>
              </w:rPr>
            </w:pPr>
            <w:r>
              <w:rPr>
                <w:rFonts w:ascii="Arial;sans-serif" w:hAnsi="Arial;sans-serif"/>
                <w:b/>
                <w:sz w:val="15"/>
              </w:rPr>
              <w:t>of Shares</w:t>
            </w:r>
          </w:p>
          <w:p>
            <w:pPr>
              <w:pStyle w:val="TableContents"/>
              <w:spacing w:before="0" w:after="0"/>
              <w:ind w:left="0" w:right="0" w:hanging="0"/>
              <w:jc w:val="right"/>
              <w:rPr>
                <w:rFonts w:ascii="Arial;sans-serif" w:hAnsi="Arial;sans-serif"/>
                <w:b/>
                <w:sz w:val="15"/>
              </w:rPr>
            </w:pPr>
            <w:r>
              <w:rPr>
                <w:rFonts w:ascii="Arial;sans-serif" w:hAnsi="Arial;sans-serif"/>
                <w:b/>
                <w:sz w:val="15"/>
              </w:rPr>
              <w:t>Purchased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02"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Average</w:t>
            </w:r>
          </w:p>
          <w:p>
            <w:pPr>
              <w:pStyle w:val="TableContents"/>
              <w:spacing w:before="0" w:after="0"/>
              <w:ind w:left="0" w:right="0" w:hanging="0"/>
              <w:jc w:val="right"/>
              <w:rPr>
                <w:rFonts w:ascii="Arial;sans-serif" w:hAnsi="Arial;sans-serif"/>
                <w:b/>
                <w:sz w:val="15"/>
              </w:rPr>
            </w:pPr>
            <w:r>
              <w:rPr>
                <w:rFonts w:ascii="Arial;sans-serif" w:hAnsi="Arial;sans-serif"/>
                <w:b/>
                <w:sz w:val="15"/>
              </w:rPr>
              <w:t>Price Paid</w:t>
            </w:r>
          </w:p>
          <w:p>
            <w:pPr>
              <w:pStyle w:val="TableContents"/>
              <w:spacing w:before="0" w:after="0"/>
              <w:ind w:left="0" w:right="0" w:hanging="0"/>
              <w:jc w:val="right"/>
              <w:rPr>
                <w:rFonts w:ascii="Arial;sans-serif" w:hAnsi="Arial;sans-serif"/>
                <w:b/>
                <w:sz w:val="15"/>
              </w:rPr>
            </w:pPr>
            <w:r>
              <w:rPr>
                <w:rFonts w:ascii="Arial;sans-serif" w:hAnsi="Arial;sans-serif"/>
                <w:b/>
                <w:sz w:val="15"/>
              </w:rPr>
              <w:t>Per Share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395"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Total Number</w:t>
            </w:r>
          </w:p>
          <w:p>
            <w:pPr>
              <w:pStyle w:val="TableContents"/>
              <w:spacing w:before="0" w:after="0"/>
              <w:ind w:left="0" w:right="0" w:hanging="0"/>
              <w:jc w:val="right"/>
              <w:rPr/>
            </w:pPr>
            <w:r>
              <w:rPr/>
              <w:t> </w:t>
            </w:r>
            <w:r>
              <w:rPr>
                <w:rFonts w:ascii="Arial;sans-serif" w:hAnsi="Arial;sans-serif"/>
                <w:b/>
                <w:sz w:val="15"/>
              </w:rPr>
              <w:t>of Shares</w:t>
            </w:r>
          </w:p>
          <w:p>
            <w:pPr>
              <w:pStyle w:val="TableContents"/>
              <w:spacing w:before="0" w:after="0"/>
              <w:ind w:left="0" w:right="0" w:hanging="0"/>
              <w:jc w:val="right"/>
              <w:rPr/>
            </w:pPr>
            <w:r>
              <w:rPr/>
              <w:t> </w:t>
            </w:r>
            <w:r>
              <w:rPr>
                <w:rFonts w:ascii="Arial;sans-serif" w:hAnsi="Arial;sans-serif"/>
                <w:b/>
                <w:sz w:val="15"/>
              </w:rPr>
              <w:t>Purchased as</w:t>
            </w:r>
          </w:p>
          <w:p>
            <w:pPr>
              <w:pStyle w:val="TableContents"/>
              <w:spacing w:before="0" w:after="0"/>
              <w:ind w:left="0" w:right="0" w:hanging="0"/>
              <w:jc w:val="right"/>
              <w:rPr>
                <w:rFonts w:ascii="Arial;sans-serif" w:hAnsi="Arial;sans-serif"/>
                <w:b/>
                <w:sz w:val="15"/>
              </w:rPr>
            </w:pPr>
            <w:r>
              <w:rPr>
                <w:rFonts w:ascii="Arial;sans-serif" w:hAnsi="Arial;sans-serif"/>
                <w:b/>
                <w:sz w:val="15"/>
              </w:rPr>
              <w:t>Part of Publicly</w:t>
            </w:r>
          </w:p>
          <w:p>
            <w:pPr>
              <w:pStyle w:val="TableContents"/>
              <w:spacing w:before="0" w:after="0"/>
              <w:ind w:left="0" w:right="0" w:hanging="0"/>
              <w:jc w:val="right"/>
              <w:rPr>
                <w:rFonts w:ascii="Arial;sans-serif" w:hAnsi="Arial;sans-serif"/>
                <w:b/>
                <w:sz w:val="15"/>
              </w:rPr>
            </w:pPr>
            <w:r>
              <w:rPr>
                <w:rFonts w:ascii="Arial;sans-serif" w:hAnsi="Arial;sans-serif"/>
                <w:b/>
                <w:sz w:val="15"/>
              </w:rPr>
              <w:t>Announced Plans</w:t>
            </w:r>
          </w:p>
          <w:p>
            <w:pPr>
              <w:pStyle w:val="TableContents"/>
              <w:spacing w:before="0" w:after="0"/>
              <w:ind w:left="0" w:right="0" w:hanging="0"/>
              <w:jc w:val="right"/>
              <w:rPr>
                <w:rFonts w:ascii="Arial;sans-serif" w:hAnsi="Arial;sans-serif"/>
                <w:b/>
                <w:sz w:val="15"/>
              </w:rPr>
            </w:pPr>
            <w:r>
              <w:rPr>
                <w:rFonts w:ascii="Arial;sans-serif" w:hAnsi="Arial;sans-serif"/>
                <w:b/>
                <w:sz w:val="15"/>
              </w:rPr>
              <w:t>or Programs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85"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Approximate</w:t>
            </w:r>
          </w:p>
          <w:p>
            <w:pPr>
              <w:pStyle w:val="TableContents"/>
              <w:spacing w:before="0" w:after="0"/>
              <w:ind w:left="0" w:right="0" w:hanging="0"/>
              <w:jc w:val="right"/>
              <w:rPr/>
            </w:pPr>
            <w:r>
              <w:rPr/>
              <w:t> </w:t>
            </w:r>
            <w:r>
              <w:rPr>
                <w:rFonts w:ascii="Arial;sans-serif" w:hAnsi="Arial;sans-serif"/>
                <w:b/>
                <w:sz w:val="15"/>
              </w:rPr>
              <w:t>Dollar Value of</w:t>
            </w:r>
          </w:p>
          <w:p>
            <w:pPr>
              <w:pStyle w:val="TableContents"/>
              <w:spacing w:before="0" w:after="0"/>
              <w:ind w:left="0" w:right="0" w:hanging="0"/>
              <w:jc w:val="right"/>
              <w:rPr>
                <w:rFonts w:ascii="Arial;sans-serif" w:hAnsi="Arial;sans-serif"/>
                <w:b/>
                <w:sz w:val="15"/>
              </w:rPr>
            </w:pPr>
            <w:r>
              <w:rPr>
                <w:rFonts w:ascii="Arial;sans-serif" w:hAnsi="Arial;sans-serif"/>
                <w:b/>
                <w:sz w:val="15"/>
              </w:rPr>
              <w:t>Shares That May</w:t>
            </w:r>
          </w:p>
          <w:p>
            <w:pPr>
              <w:pStyle w:val="TableContents"/>
              <w:spacing w:before="0" w:after="0"/>
              <w:ind w:left="0" w:right="0" w:hanging="0"/>
              <w:jc w:val="right"/>
              <w:rPr/>
            </w:pPr>
            <w:r>
              <w:rPr/>
              <w:t> </w:t>
            </w:r>
            <w:r>
              <w:rPr>
                <w:rFonts w:ascii="Arial;sans-serif" w:hAnsi="Arial;sans-serif"/>
                <w:b/>
                <w:sz w:val="15"/>
              </w:rPr>
              <w:t>Yet Be Purchased</w:t>
            </w:r>
          </w:p>
          <w:p>
            <w:pPr>
              <w:pStyle w:val="TableContents"/>
              <w:spacing w:before="0" w:after="0"/>
              <w:ind w:left="0" w:right="0" w:hanging="0"/>
              <w:jc w:val="right"/>
              <w:rPr/>
            </w:pPr>
            <w:r>
              <w:rPr/>
              <w:t> </w:t>
            </w:r>
            <w:r>
              <w:rPr>
                <w:rFonts w:ascii="Arial;sans-serif" w:hAnsi="Arial;sans-serif"/>
                <w:b/>
                <w:sz w:val="15"/>
              </w:rPr>
              <w:t>Under the Plans</w:t>
            </w:r>
          </w:p>
          <w:p>
            <w:pPr>
              <w:pStyle w:val="TableContents"/>
              <w:spacing w:before="0" w:after="0"/>
              <w:ind w:left="0" w:right="0" w:hanging="0"/>
              <w:jc w:val="right"/>
              <w:rPr>
                <w:rFonts w:ascii="Arial;sans-serif" w:hAnsi="Arial;sans-serif"/>
                <w:b/>
                <w:sz w:val="15"/>
              </w:rPr>
            </w:pPr>
            <w:r>
              <w:rPr>
                <w:rFonts w:ascii="Arial;sans-serif" w:hAnsi="Arial;sans-serif"/>
                <w:b/>
                <w:sz w:val="15"/>
              </w:rPr>
              <w:t>or Programs</w:t>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339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39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122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7" w:type="dxa"/>
            <w:tcBorders/>
            <w:shd w:fill="auto" w:val="clear"/>
            <w:vAlign w:val="center"/>
          </w:tcPr>
          <w:p>
            <w:pPr>
              <w:pStyle w:val="TableContents"/>
              <w:spacing w:before="0" w:after="0"/>
              <w:ind w:left="0" w:right="0" w:hanging="0"/>
              <w:jc w:val="left"/>
              <w:rPr/>
            </w:pPr>
            <w:r>
              <w:rPr/>
              <w:t> </w:t>
            </w:r>
          </w:p>
        </w:tc>
        <w:tc>
          <w:tcPr>
            <w:tcW w:w="1138"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33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1227"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5" w:type="dxa"/>
            <w:gridSpan w:val="2"/>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(In millions)</w:t>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339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68" w:type="dxa"/>
            <w:tcBorders/>
            <w:shd w:fill="auto" w:val="clear"/>
            <w:vAlign w:val="center"/>
          </w:tcPr>
          <w:p>
            <w:pPr>
              <w:pStyle w:val="TableContents"/>
              <w:spacing w:before="0" w:after="283"/>
              <w:ind w:left="0" w:right="0" w:hanging="0"/>
              <w:rPr>
                <w:sz w:val="4"/>
                <w:szCs w:val="4"/>
              </w:rPr>
            </w:pPr>
            <w:r>
              <w:rPr>
                <w:sz w:val="4"/>
                <w:szCs w:val="4"/>
              </w:rPr>
            </w:r>
          </w:p>
        </w:tc>
        <w:tc>
          <w:tcPr>
            <w:tcW w:w="1227"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47" w:type="dxa"/>
            <w:tcBorders/>
            <w:shd w:fill="auto" w:val="clear"/>
            <w:vAlign w:val="center"/>
          </w:tcPr>
          <w:p>
            <w:pPr>
              <w:pStyle w:val="TableContents"/>
              <w:spacing w:before="0" w:after="283"/>
              <w:ind w:left="0" w:right="0" w:hanging="0"/>
              <w:rPr>
                <w:sz w:val="4"/>
                <w:szCs w:val="4"/>
              </w:rPr>
            </w:pPr>
            <w:r>
              <w:rPr>
                <w:sz w:val="4"/>
                <w:szCs w:val="4"/>
              </w:rPr>
            </w:r>
          </w:p>
        </w:tc>
        <w:tc>
          <w:tcPr>
            <w:tcW w:w="1138" w:type="dxa"/>
            <w:tcBorders/>
            <w:shd w:fill="auto" w:val="clear"/>
            <w:vAlign w:val="center"/>
          </w:tcPr>
          <w:p>
            <w:pPr>
              <w:pStyle w:val="TableContents"/>
              <w:spacing w:before="0" w:after="283"/>
              <w:ind w:left="0" w:right="0" w:hanging="0"/>
              <w:rPr>
                <w:sz w:val="4"/>
                <w:szCs w:val="4"/>
              </w:rPr>
            </w:pPr>
            <w:r>
              <w:rPr>
                <w:sz w:val="4"/>
                <w:szCs w:val="4"/>
              </w:rPr>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33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January 1, 2023 – January 31, 2023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6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6,499,500</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236.28</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68" w:type="dxa"/>
            <w:tcBorders/>
            <w:shd w:fill="auto" w:val="clear"/>
            <w:vAlign w:val="center"/>
          </w:tcPr>
          <w:p>
            <w:pPr>
              <w:pStyle w:val="TableContents"/>
              <w:spacing w:before="0" w:after="283"/>
              <w:ind w:left="0" w:right="0" w:hanging="0"/>
              <w:rPr>
                <w:sz w:val="4"/>
                <w:szCs w:val="4"/>
              </w:rPr>
            </w:pPr>
            <w:r>
              <w:rPr>
                <w:sz w:val="4"/>
                <w:szCs w:val="4"/>
              </w:rPr>
            </w:r>
          </w:p>
        </w:tc>
        <w:tc>
          <w:tcPr>
            <w:tcW w:w="1227"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6,499,500</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47"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w:t>
            </w:r>
          </w:p>
        </w:tc>
        <w:tc>
          <w:tcPr>
            <w:tcW w:w="1138"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29,974</w:t>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33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February 1, 2023 – February 28, 2023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6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5,485,798</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259.49</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68" w:type="dxa"/>
            <w:tcBorders/>
            <w:shd w:fill="auto" w:val="clear"/>
            <w:vAlign w:val="center"/>
          </w:tcPr>
          <w:p>
            <w:pPr>
              <w:pStyle w:val="TableContents"/>
              <w:spacing w:before="0" w:after="283"/>
              <w:ind w:left="0" w:right="0" w:hanging="0"/>
              <w:rPr>
                <w:sz w:val="4"/>
                <w:szCs w:val="4"/>
              </w:rPr>
            </w:pPr>
            <w:r>
              <w:rPr>
                <w:sz w:val="4"/>
                <w:szCs w:val="4"/>
              </w:rPr>
            </w:r>
          </w:p>
        </w:tc>
        <w:tc>
          <w:tcPr>
            <w:tcW w:w="1227"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5,485,798</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47" w:type="dxa"/>
            <w:tcBorders/>
            <w:shd w:fill="auto" w:val="clear"/>
            <w:vAlign w:val="center"/>
          </w:tcPr>
          <w:p>
            <w:pPr>
              <w:pStyle w:val="TableContents"/>
              <w:spacing w:before="0" w:after="283"/>
              <w:ind w:left="0" w:right="0" w:hanging="0"/>
              <w:rPr>
                <w:sz w:val="4"/>
                <w:szCs w:val="4"/>
              </w:rPr>
            </w:pPr>
            <w:r>
              <w:rPr>
                <w:sz w:val="4"/>
                <w:szCs w:val="4"/>
              </w:rPr>
            </w:r>
          </w:p>
        </w:tc>
        <w:tc>
          <w:tcPr>
            <w:tcW w:w="1138"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28,550</w:t>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33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March 1, 2023 – March 31, 2023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6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6,196,372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264.80</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68" w:type="dxa"/>
            <w:tcBorders/>
            <w:shd w:fill="auto" w:val="clear"/>
            <w:vAlign w:val="center"/>
          </w:tcPr>
          <w:p>
            <w:pPr>
              <w:pStyle w:val="TableContents"/>
              <w:spacing w:before="0" w:after="283"/>
              <w:ind w:left="0" w:right="0" w:hanging="0"/>
              <w:rPr>
                <w:sz w:val="4"/>
                <w:szCs w:val="4"/>
              </w:rPr>
            </w:pPr>
            <w:r>
              <w:rPr>
                <w:sz w:val="4"/>
                <w:szCs w:val="4"/>
              </w:rPr>
            </w:r>
          </w:p>
        </w:tc>
        <w:tc>
          <w:tcPr>
            <w:tcW w:w="1227"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6,196,372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47" w:type="dxa"/>
            <w:tcBorders/>
            <w:shd w:fill="auto" w:val="clear"/>
            <w:vAlign w:val="center"/>
          </w:tcPr>
          <w:p>
            <w:pPr>
              <w:pStyle w:val="TableContents"/>
              <w:spacing w:before="0" w:after="283"/>
              <w:ind w:left="0" w:right="0" w:hanging="0"/>
              <w:rPr>
                <w:sz w:val="4"/>
                <w:szCs w:val="4"/>
              </w:rPr>
            </w:pPr>
            <w:r>
              <w:rPr>
                <w:sz w:val="4"/>
                <w:szCs w:val="4"/>
              </w:rPr>
            </w:r>
          </w:p>
        </w:tc>
        <w:tc>
          <w:tcPr>
            <w:tcW w:w="1138"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26,909</w:t>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339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06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68" w:type="dxa"/>
            <w:tcBorders/>
            <w:shd w:fill="auto" w:val="clear"/>
            <w:vAlign w:val="center"/>
          </w:tcPr>
          <w:p>
            <w:pPr>
              <w:pStyle w:val="TableContents"/>
              <w:spacing w:before="0" w:after="283"/>
              <w:ind w:left="0" w:right="0" w:hanging="0"/>
              <w:rPr>
                <w:sz w:val="4"/>
                <w:szCs w:val="4"/>
              </w:rPr>
            </w:pPr>
            <w:r>
              <w:rPr>
                <w:sz w:val="4"/>
                <w:szCs w:val="4"/>
              </w:rPr>
            </w:r>
          </w:p>
        </w:tc>
        <w:tc>
          <w:tcPr>
            <w:tcW w:w="1227"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47" w:type="dxa"/>
            <w:tcBorders/>
            <w:shd w:fill="auto" w:val="clear"/>
            <w:vAlign w:val="center"/>
          </w:tcPr>
          <w:p>
            <w:pPr>
              <w:pStyle w:val="TableContents"/>
              <w:spacing w:before="0" w:after="283"/>
              <w:ind w:left="0" w:right="0" w:hanging="0"/>
              <w:rPr>
                <w:sz w:val="4"/>
                <w:szCs w:val="4"/>
              </w:rPr>
            </w:pPr>
            <w:r>
              <w:rPr>
                <w:sz w:val="4"/>
                <w:szCs w:val="4"/>
              </w:rPr>
            </w:r>
          </w:p>
        </w:tc>
        <w:tc>
          <w:tcPr>
            <w:tcW w:w="1138" w:type="dxa"/>
            <w:tcBorders/>
            <w:shd w:fill="auto" w:val="clear"/>
            <w:vAlign w:val="center"/>
          </w:tcPr>
          <w:p>
            <w:pPr>
              <w:pStyle w:val="TableContents"/>
              <w:spacing w:before="0" w:after="283"/>
              <w:ind w:left="0" w:right="0" w:hanging="0"/>
              <w:rPr>
                <w:sz w:val="4"/>
                <w:szCs w:val="4"/>
              </w:rPr>
            </w:pPr>
            <w:r>
              <w:rPr>
                <w:sz w:val="4"/>
                <w:szCs w:val="4"/>
              </w:rPr>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339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68" w:type="dxa"/>
            <w:tcBorders/>
            <w:shd w:fill="auto" w:val="clear"/>
            <w:vAlign w:val="center"/>
          </w:tcPr>
          <w:p>
            <w:pPr>
              <w:pStyle w:val="TableContents"/>
              <w:spacing w:before="0" w:after="283"/>
              <w:ind w:left="0" w:right="0" w:hanging="0"/>
              <w:rPr>
                <w:sz w:val="4"/>
                <w:szCs w:val="4"/>
              </w:rPr>
            </w:pPr>
            <w:r>
              <w:rPr>
                <w:sz w:val="4"/>
                <w:szCs w:val="4"/>
              </w:rPr>
            </w:r>
          </w:p>
        </w:tc>
        <w:tc>
          <w:tcPr>
            <w:tcW w:w="1227"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47" w:type="dxa"/>
            <w:tcBorders/>
            <w:shd w:fill="auto" w:val="clear"/>
            <w:vAlign w:val="center"/>
          </w:tcPr>
          <w:p>
            <w:pPr>
              <w:pStyle w:val="TableContents"/>
              <w:spacing w:before="0" w:after="283"/>
              <w:ind w:left="0" w:right="0" w:hanging="0"/>
              <w:rPr>
                <w:sz w:val="4"/>
                <w:szCs w:val="4"/>
              </w:rPr>
            </w:pPr>
            <w:r>
              <w:rPr>
                <w:sz w:val="4"/>
                <w:szCs w:val="4"/>
              </w:rPr>
            </w:r>
          </w:p>
        </w:tc>
        <w:tc>
          <w:tcPr>
            <w:tcW w:w="1138" w:type="dxa"/>
            <w:tcBorders/>
            <w:shd w:fill="auto" w:val="clear"/>
            <w:vAlign w:val="center"/>
          </w:tcPr>
          <w:p>
            <w:pPr>
              <w:pStyle w:val="TableContents"/>
              <w:spacing w:before="0" w:after="283"/>
              <w:ind w:left="0" w:right="0" w:hanging="0"/>
              <w:rPr>
                <w:sz w:val="4"/>
                <w:szCs w:val="4"/>
              </w:rPr>
            </w:pPr>
            <w:r>
              <w:rPr>
                <w:sz w:val="4"/>
                <w:szCs w:val="4"/>
              </w:rPr>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33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6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18,181,670</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68" w:type="dxa"/>
            <w:tcBorders/>
            <w:shd w:fill="auto" w:val="clear"/>
            <w:vAlign w:val="center"/>
          </w:tcPr>
          <w:p>
            <w:pPr>
              <w:pStyle w:val="TableContents"/>
              <w:spacing w:before="0" w:after="283"/>
              <w:ind w:left="0" w:right="0" w:hanging="0"/>
              <w:rPr>
                <w:sz w:val="4"/>
                <w:szCs w:val="4"/>
              </w:rPr>
            </w:pPr>
            <w:r>
              <w:rPr>
                <w:sz w:val="4"/>
                <w:szCs w:val="4"/>
              </w:rPr>
            </w:r>
          </w:p>
        </w:tc>
        <w:tc>
          <w:tcPr>
            <w:tcW w:w="1227"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18,181,670</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47" w:type="dxa"/>
            <w:tcBorders/>
            <w:shd w:fill="auto" w:val="clear"/>
            <w:vAlign w:val="center"/>
          </w:tcPr>
          <w:p>
            <w:pPr>
              <w:pStyle w:val="TableContents"/>
              <w:spacing w:before="0" w:after="283"/>
              <w:ind w:left="0" w:right="0" w:hanging="0"/>
              <w:rPr>
                <w:sz w:val="4"/>
                <w:szCs w:val="4"/>
              </w:rPr>
            </w:pPr>
            <w:r>
              <w:rPr>
                <w:sz w:val="4"/>
                <w:szCs w:val="4"/>
              </w:rPr>
            </w:r>
          </w:p>
        </w:tc>
        <w:tc>
          <w:tcPr>
            <w:tcW w:w="1138" w:type="dxa"/>
            <w:tcBorders/>
            <w:shd w:fill="auto" w:val="clear"/>
            <w:vAlign w:val="center"/>
          </w:tcPr>
          <w:p>
            <w:pPr>
              <w:pStyle w:val="TableContents"/>
              <w:spacing w:before="0" w:after="283"/>
              <w:ind w:left="0" w:right="0" w:hanging="0"/>
              <w:rPr>
                <w:sz w:val="4"/>
                <w:szCs w:val="4"/>
              </w:rPr>
            </w:pPr>
            <w:r>
              <w:rPr>
                <w:sz w:val="4"/>
                <w:szCs w:val="4"/>
              </w:rPr>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339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66"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68" w:type="dxa"/>
            <w:tcBorders/>
            <w:shd w:fill="auto" w:val="clear"/>
            <w:vAlign w:val="center"/>
          </w:tcPr>
          <w:p>
            <w:pPr>
              <w:pStyle w:val="TableContents"/>
              <w:spacing w:before="0" w:after="283"/>
              <w:ind w:left="0" w:right="0" w:hanging="0"/>
              <w:rPr>
                <w:sz w:val="4"/>
                <w:szCs w:val="4"/>
              </w:rPr>
            </w:pPr>
            <w:r>
              <w:rPr>
                <w:sz w:val="4"/>
                <w:szCs w:val="4"/>
              </w:rPr>
            </w:r>
          </w:p>
        </w:tc>
        <w:tc>
          <w:tcPr>
            <w:tcW w:w="1227"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47" w:type="dxa"/>
            <w:tcBorders/>
            <w:shd w:fill="auto" w:val="clear"/>
            <w:vAlign w:val="center"/>
          </w:tcPr>
          <w:p>
            <w:pPr>
              <w:pStyle w:val="TableContents"/>
              <w:spacing w:before="0" w:after="283"/>
              <w:ind w:left="0" w:right="0" w:hanging="0"/>
              <w:rPr>
                <w:sz w:val="4"/>
                <w:szCs w:val="4"/>
              </w:rPr>
            </w:pPr>
            <w:r>
              <w:rPr>
                <w:sz w:val="4"/>
                <w:szCs w:val="4"/>
              </w:rPr>
            </w:r>
          </w:p>
        </w:tc>
        <w:tc>
          <w:tcPr>
            <w:tcW w:w="1138" w:type="dxa"/>
            <w:tcBorders/>
            <w:shd w:fill="auto" w:val="clear"/>
            <w:vAlign w:val="center"/>
          </w:tcPr>
          <w:p>
            <w:pPr>
              <w:pStyle w:val="TableContents"/>
              <w:spacing w:before="0" w:after="283"/>
              <w:ind w:left="0" w:right="0" w:hanging="0"/>
              <w:rPr>
                <w:sz w:val="4"/>
                <w:szCs w:val="4"/>
              </w:rPr>
            </w:pPr>
            <w:r>
              <w:rPr>
                <w:sz w:val="4"/>
                <w:szCs w:val="4"/>
              </w:rPr>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Arial;sans-serif" w:hAnsi="Arial;sans-serif"/>
          <w:b w:val="false"/>
          <w:sz w:val="20"/>
        </w:rPr>
      </w:pPr>
      <w:r>
        <w:rPr>
          <w:rFonts w:ascii="Arial;sans-serif" w:hAnsi="Arial;sans-serif"/>
          <w:b w:val="false"/>
          <w:sz w:val="20"/>
        </w:rPr>
        <w:t>All share repurchases were made using cash resources. Our share repurchases may occur through open market purchases or pursuant to a Rule 10b5-1 trading plan. The above table excludes shares repurchased to settle employee tax withholding related to the vesting of stock awards.</w:t>
      </w:r>
    </w:p>
    <w:p>
      <w:pPr>
        <w:pStyle w:val="TextBody"/>
        <w:spacing w:before="180" w:after="0"/>
        <w:jc w:val="both"/>
        <w:rPr>
          <w:rFonts w:ascii="Arial;sans-serif" w:hAnsi="Arial;sans-serif"/>
          <w:b w:val="false"/>
          <w:sz w:val="20"/>
        </w:rPr>
      </w:pPr>
      <w:r>
        <w:rPr>
          <w:rFonts w:ascii="Arial;sans-serif" w:hAnsi="Arial;sans-serif"/>
          <w:b w:val="false"/>
          <w:sz w:val="20"/>
        </w:rPr>
        <w:t>Our Board of Directors declared the following dividends during the third quarter of fiscal year 2023:</w:t>
      </w:r>
    </w:p>
    <w:p>
      <w:pPr>
        <w:pStyle w:val="TextBody"/>
        <w:spacing w:before="0" w:after="0"/>
        <w:jc w:val="both"/>
        <w:rPr/>
      </w:pPr>
      <w:r>
        <w:rPr/>
        <w:t> </w:t>
      </w:r>
    </w:p>
    <w:tbl>
      <w:tblPr>
        <w:tblW w:w="7782" w:type="dxa"/>
        <w:jc w:val="left"/>
        <w:tblInd w:w="0" w:type="dxa"/>
        <w:tblCellMar>
          <w:top w:w="28" w:type="dxa"/>
          <w:left w:w="28" w:type="dxa"/>
          <w:bottom w:w="28" w:type="dxa"/>
          <w:right w:w="28" w:type="dxa"/>
        </w:tblCellMar>
      </w:tblPr>
      <w:tblGrid>
        <w:gridCol w:w="1501"/>
        <w:gridCol w:w="146"/>
        <w:gridCol w:w="146"/>
        <w:gridCol w:w="1291"/>
        <w:gridCol w:w="146"/>
        <w:gridCol w:w="146"/>
        <w:gridCol w:w="146"/>
        <w:gridCol w:w="1261"/>
        <w:gridCol w:w="146"/>
        <w:gridCol w:w="146"/>
        <w:gridCol w:w="211"/>
        <w:gridCol w:w="841"/>
        <w:gridCol w:w="146"/>
        <w:gridCol w:w="146"/>
        <w:gridCol w:w="211"/>
        <w:gridCol w:w="961"/>
        <w:gridCol w:w="191"/>
      </w:tblGrid>
      <w:tr>
        <w:trPr/>
        <w:tc>
          <w:tcPr>
            <w:tcW w:w="15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501"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Declaration Date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91"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Record Date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1"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Payment Date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Dividend</w:t>
            </w:r>
          </w:p>
          <w:p>
            <w:pPr>
              <w:pStyle w:val="TableContents"/>
              <w:spacing w:before="0" w:after="0"/>
              <w:ind w:left="0" w:right="0" w:hanging="0"/>
              <w:jc w:val="right"/>
              <w:rPr>
                <w:rFonts w:ascii="Arial;sans-serif" w:hAnsi="Arial;sans-serif"/>
                <w:b/>
                <w:sz w:val="15"/>
              </w:rPr>
            </w:pPr>
            <w:r>
              <w:rPr>
                <w:rFonts w:ascii="Arial;sans-serif" w:hAnsi="Arial;sans-serif"/>
                <w:b/>
                <w:sz w:val="15"/>
              </w:rPr>
              <w:t>Per Share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Amount</w:t>
            </w:r>
          </w:p>
        </w:tc>
        <w:tc>
          <w:tcPr>
            <w:tcW w:w="191" w:type="dxa"/>
            <w:tcBorders/>
            <w:shd w:fill="auto" w:val="clear"/>
            <w:vAlign w:val="center"/>
          </w:tcPr>
          <w:p>
            <w:pPr>
              <w:pStyle w:val="TableContents"/>
              <w:spacing w:before="0" w:after="0"/>
              <w:ind w:left="0" w:right="0" w:hanging="0"/>
              <w:jc w:val="left"/>
              <w:rPr/>
            </w:pPr>
            <w:r>
              <w:rPr/>
              <w:t> </w:t>
            </w:r>
          </w:p>
        </w:tc>
      </w:tr>
      <w:tr>
        <w:trPr/>
        <w:tc>
          <w:tcPr>
            <w:tcW w:w="150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50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15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(In millions)</w:t>
            </w:r>
          </w:p>
        </w:tc>
        <w:tc>
          <w:tcPr>
            <w:tcW w:w="191" w:type="dxa"/>
            <w:tcBorders/>
            <w:shd w:fill="auto" w:val="clear"/>
            <w:vAlign w:val="center"/>
          </w:tcPr>
          <w:p>
            <w:pPr>
              <w:pStyle w:val="TableContents"/>
              <w:spacing w:before="0" w:after="0"/>
              <w:ind w:left="0" w:right="0" w:hanging="0"/>
              <w:jc w:val="left"/>
              <w:rPr/>
            </w:pPr>
            <w:r>
              <w:rPr/>
              <w:t> </w:t>
            </w:r>
          </w:p>
        </w:tc>
      </w:tr>
      <w:tr>
        <w:trPr/>
        <w:tc>
          <w:tcPr>
            <w:tcW w:w="150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150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March 14,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9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May 18,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June 8,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84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0.68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961" w:type="dxa"/>
            <w:tcBorders/>
            <w:shd w:fill="auto" w:val="clear"/>
            <w:vAlign w:val="center"/>
          </w:tcPr>
          <w:p>
            <w:pPr>
              <w:pStyle w:val="TableContents"/>
              <w:spacing w:before="0" w:after="0"/>
              <w:ind w:left="0" w:right="0" w:hanging="0"/>
              <w:jc w:val="right"/>
              <w:rPr>
                <w:rFonts w:ascii="Times New Roman" w:hAnsi="Times New Roman"/>
                <w:sz w:val="20"/>
              </w:rPr>
            </w:pPr>
            <w:r>
              <w:rPr>
                <w:rFonts w:ascii="Arial;sans-serif" w:hAnsi="Arial;sans-serif"/>
                <w:b/>
                <w:sz w:val="20"/>
              </w:rPr>
              <w:t>5,057</w:t>
            </w:r>
            <w:r>
              <w:rPr>
                <w:rFonts w:ascii="Times New Roman" w:hAnsi="Times New Roman"/>
                <w:sz w:val="20"/>
              </w:rPr>
              <w:t xml:space="preserve"> </w:t>
            </w:r>
          </w:p>
        </w:tc>
        <w:tc>
          <w:tcPr>
            <w:tcW w:w="191" w:type="dxa"/>
            <w:tcBorders/>
            <w:shd w:fill="auto" w:val="clear"/>
            <w:vAlign w:val="center"/>
          </w:tcPr>
          <w:p>
            <w:pPr>
              <w:pStyle w:val="TableContents"/>
              <w:spacing w:before="0" w:after="0"/>
              <w:ind w:left="0" w:right="0" w:hanging="0"/>
              <w:jc w:val="left"/>
              <w:rPr/>
            </w:pPr>
            <w:r>
              <w:rPr/>
              <w:t> </w:t>
            </w:r>
          </w:p>
        </w:tc>
      </w:tr>
      <w:tr>
        <w:trPr/>
        <w:tc>
          <w:tcPr>
            <w:tcW w:w="150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50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Arial;sans-serif" w:hAnsi="Arial;sans-serif"/>
          <w:b w:val="false"/>
          <w:sz w:val="20"/>
        </w:rPr>
      </w:pPr>
      <w:r>
        <w:rPr>
          <w:rFonts w:ascii="Arial;sans-serif" w:hAnsi="Arial;sans-serif"/>
          <w:b w:val="false"/>
          <w:sz w:val="20"/>
        </w:rPr>
        <w:t>We returned $9.7 billion to shareholders in the form of share repurchases and dividends in the third quarter of fiscal year 2023. Refer to Note 15 – Stockholders’ Equity of the Notes to Financial Statements (Part I, Item 1 of this Form 10-Q) for further discussion regarding share repurchases and dividends.</w:t>
      </w:r>
    </w:p>
    <w:p>
      <w:pPr>
        <w:pStyle w:val="TextBody"/>
        <w:spacing w:before="240" w:after="0"/>
        <w:jc w:val="center"/>
        <w:rPr>
          <w:rFonts w:ascii="Arial;sans-serif" w:hAnsi="Arial;sans-serif"/>
          <w:b w:val="false"/>
          <w:sz w:val="16"/>
        </w:rPr>
      </w:pPr>
      <w:r>
        <w:rPr>
          <w:rFonts w:ascii="Arial;sans-serif" w:hAnsi="Arial;sans-serif"/>
          <w:b w:val="false"/>
          <w:sz w:val="16"/>
        </w:rPr>
        <w:t>66</w:t>
      </w:r>
    </w:p>
    <w:p>
      <w:pPr>
        <w:pStyle w:val="HorizontalLine"/>
        <w:rPr/>
      </w:pPr>
      <w:r>
        <w:rPr/>
      </w:r>
    </w:p>
    <w:p>
      <w:pPr>
        <w:pStyle w:val="TextBody"/>
        <w:spacing w:before="0" w:after="0"/>
        <w:jc w:val="center"/>
        <w:rPr>
          <w:rFonts w:ascii="Arial;sans-serif" w:hAnsi="Arial;sans-serif"/>
          <w:b w:val="false"/>
          <w:sz w:val="15"/>
          <w:u w:val="single"/>
        </w:rPr>
      </w:pPr>
      <w:r>
        <w:rPr>
          <w:rFonts w:ascii="Arial;sans-serif" w:hAnsi="Arial;sans-serif"/>
          <w:b w:val="false"/>
          <w:sz w:val="15"/>
          <w:u w:val="single"/>
        </w:rPr>
        <w:t>PART II</w:t>
      </w:r>
    </w:p>
    <w:p>
      <w:pPr>
        <w:pStyle w:val="TextBody"/>
        <w:spacing w:before="0" w:after="0"/>
        <w:jc w:val="center"/>
        <w:rPr>
          <w:rFonts w:ascii="Arial;sans-serif" w:hAnsi="Arial;sans-serif"/>
          <w:b w:val="false"/>
          <w:sz w:val="15"/>
        </w:rPr>
      </w:pPr>
      <w:r>
        <w:rPr>
          <w:rFonts w:ascii="Arial;sans-serif" w:hAnsi="Arial;sans-serif"/>
          <w:b w:val="false"/>
          <w:sz w:val="15"/>
        </w:rPr>
        <w:t>Item 6</w:t>
      </w:r>
    </w:p>
    <w:p>
      <w:pPr>
        <w:pStyle w:val="TextBody"/>
        <w:spacing w:before="0" w:after="0"/>
        <w:jc w:val="left"/>
        <w:rPr/>
      </w:pPr>
      <w:r>
        <w:rPr/>
        <w:t> </w:t>
      </w:r>
    </w:p>
    <w:p>
      <w:pPr>
        <w:pStyle w:val="TextBody"/>
        <w:spacing w:before="0" w:after="0"/>
        <w:jc w:val="center"/>
        <w:rPr>
          <w:rFonts w:ascii="Arial;sans-serif" w:hAnsi="Arial;sans-serif"/>
          <w:b/>
          <w:sz w:val="24"/>
        </w:rPr>
      </w:pPr>
      <w:bookmarkStart w:id="20" w:name="item_6_exhibits"/>
      <w:bookmarkEnd w:id="20"/>
      <w:r>
        <w:rPr>
          <w:rFonts w:ascii="Arial;sans-serif" w:hAnsi="Arial;sans-serif"/>
          <w:b/>
          <w:sz w:val="24"/>
        </w:rPr>
        <w:t>ITEM 6. EXHIBITS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749"/>
        <w:gridCol w:w="146"/>
        <w:gridCol w:w="9310"/>
      </w:tblGrid>
      <w:tr>
        <w:trPr/>
        <w:tc>
          <w:tcPr>
            <w:tcW w:w="74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0" w:type="dxa"/>
            <w:tcBorders/>
            <w:shd w:fill="auto" w:val="clear"/>
            <w:vAlign w:val="center"/>
          </w:tcPr>
          <w:p>
            <w:pPr>
              <w:pStyle w:val="TableContents"/>
              <w:spacing w:before="0" w:after="283"/>
              <w:rPr>
                <w:sz w:val="4"/>
                <w:szCs w:val="4"/>
              </w:rPr>
            </w:pPr>
            <w:r>
              <w:rPr>
                <w:sz w:val="4"/>
                <w:szCs w:val="4"/>
              </w:rPr>
            </w:r>
          </w:p>
        </w:tc>
      </w:tr>
      <w:tr>
        <w:trPr/>
        <w:tc>
          <w:tcPr>
            <w:tcW w:w="74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15.1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10" w:type="dxa"/>
            <w:tcBorders/>
            <w:shd w:fill="auto" w:val="clear"/>
            <w:vAlign w:val="center"/>
          </w:tcPr>
          <w:p>
            <w:pPr>
              <w:pStyle w:val="TableContents"/>
              <w:spacing w:before="0" w:after="0"/>
              <w:ind w:left="0" w:right="0" w:hanging="0"/>
              <w:jc w:val="left"/>
              <w:rPr/>
            </w:pPr>
            <w:hyperlink w:anchor="msft-ex15_1.htm">
              <w:r>
                <w:rPr>
                  <w:rStyle w:val="InternetLink"/>
                  <w:rFonts w:ascii="Arial;sans-serif" w:hAnsi="Arial;sans-serif"/>
                  <w:b w:val="false"/>
                  <w:sz w:val="20"/>
                </w:rPr>
                <w:t>Letter regarding unaudited interim financial information</w:t>
              </w:r>
            </w:hyperlink>
          </w:p>
        </w:tc>
      </w:tr>
      <w:tr>
        <w:trPr/>
        <w:tc>
          <w:tcPr>
            <w:tcW w:w="749" w:type="dxa"/>
            <w:tcBorders/>
            <w:shd w:fill="auto" w:val="clear"/>
            <w:vAlign w:val="center"/>
          </w:tcPr>
          <w:p>
            <w:pPr>
              <w:pStyle w:val="TableContents"/>
              <w:spacing w:before="0" w:after="283"/>
              <w:ind w:left="0" w:right="0" w:hanging="0"/>
              <w:rPr>
                <w:sz w:val="4"/>
                <w:szCs w:val="4"/>
              </w:rPr>
            </w:pPr>
            <w:r>
              <w:rPr>
                <w:sz w:val="4"/>
                <w:szCs w:val="4"/>
              </w:rPr>
            </w:r>
          </w:p>
        </w:tc>
        <w:tc>
          <w:tcPr>
            <w:tcW w:w="9456" w:type="dxa"/>
            <w:gridSpan w:val="2"/>
            <w:tcBorders/>
            <w:shd w:fill="auto" w:val="clear"/>
            <w:vAlign w:val="center"/>
          </w:tcPr>
          <w:p>
            <w:pPr>
              <w:pStyle w:val="TableContents"/>
              <w:spacing w:before="0" w:after="0"/>
              <w:ind w:left="0" w:right="0" w:hanging="0"/>
              <w:jc w:val="left"/>
              <w:rPr/>
            </w:pPr>
            <w:r>
              <w:rPr/>
              <w:t> </w:t>
            </w:r>
          </w:p>
        </w:tc>
      </w:tr>
      <w:tr>
        <w:trPr/>
        <w:tc>
          <w:tcPr>
            <w:tcW w:w="74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31.1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10" w:type="dxa"/>
            <w:tcBorders/>
            <w:shd w:fill="auto" w:val="clear"/>
            <w:vAlign w:val="center"/>
          </w:tcPr>
          <w:p>
            <w:pPr>
              <w:pStyle w:val="TableContents"/>
              <w:spacing w:before="0" w:after="0"/>
              <w:ind w:left="0" w:right="0" w:hanging="0"/>
              <w:jc w:val="both"/>
              <w:rPr/>
            </w:pPr>
            <w:hyperlink w:anchor="msft-ex31_1.htm">
              <w:r>
                <w:rPr>
                  <w:rStyle w:val="InternetLink"/>
                  <w:rFonts w:ascii="Arial;sans-serif" w:hAnsi="Arial;sans-serif"/>
                  <w:b w:val="false"/>
                  <w:sz w:val="20"/>
                </w:rPr>
                <w:t>Certification of Chief Executive Officer Pursuant to Section 302 of the Sarbanes-Oxley Act of 2002</w:t>
              </w:r>
            </w:hyperlink>
          </w:p>
        </w:tc>
      </w:tr>
      <w:tr>
        <w:trPr/>
        <w:tc>
          <w:tcPr>
            <w:tcW w:w="749" w:type="dxa"/>
            <w:tcBorders/>
            <w:shd w:fill="auto" w:val="clear"/>
            <w:vAlign w:val="center"/>
          </w:tcPr>
          <w:p>
            <w:pPr>
              <w:pStyle w:val="TableContents"/>
              <w:spacing w:before="0" w:after="283"/>
              <w:ind w:left="0" w:right="0" w:hanging="0"/>
              <w:rPr>
                <w:sz w:val="4"/>
                <w:szCs w:val="4"/>
              </w:rPr>
            </w:pPr>
            <w:r>
              <w:rPr>
                <w:sz w:val="4"/>
                <w:szCs w:val="4"/>
              </w:rPr>
            </w:r>
          </w:p>
        </w:tc>
        <w:tc>
          <w:tcPr>
            <w:tcW w:w="9456" w:type="dxa"/>
            <w:gridSpan w:val="2"/>
            <w:tcBorders/>
            <w:shd w:fill="auto" w:val="clear"/>
            <w:vAlign w:val="center"/>
          </w:tcPr>
          <w:p>
            <w:pPr>
              <w:pStyle w:val="TableContents"/>
              <w:spacing w:before="0" w:after="0"/>
              <w:ind w:left="0" w:right="0" w:hanging="0"/>
              <w:jc w:val="left"/>
              <w:rPr/>
            </w:pPr>
            <w:r>
              <w:rPr/>
              <w:t> </w:t>
            </w:r>
          </w:p>
        </w:tc>
      </w:tr>
      <w:tr>
        <w:trPr/>
        <w:tc>
          <w:tcPr>
            <w:tcW w:w="74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31.2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10" w:type="dxa"/>
            <w:tcBorders/>
            <w:shd w:fill="auto" w:val="clear"/>
            <w:vAlign w:val="center"/>
          </w:tcPr>
          <w:p>
            <w:pPr>
              <w:pStyle w:val="TableContents"/>
              <w:spacing w:before="0" w:after="0"/>
              <w:ind w:left="0" w:right="0" w:hanging="0"/>
              <w:jc w:val="both"/>
              <w:rPr/>
            </w:pPr>
            <w:hyperlink w:anchor="msft-ex31_2.htm">
              <w:r>
                <w:rPr>
                  <w:rStyle w:val="InternetLink"/>
                  <w:rFonts w:ascii="Arial;sans-serif" w:hAnsi="Arial;sans-serif"/>
                  <w:b w:val="false"/>
                  <w:sz w:val="20"/>
                </w:rPr>
                <w:t>Certification of Chief Financial Officer Pursuant to Section 302 of the Sarbanes-Oxley Act of 2002</w:t>
              </w:r>
            </w:hyperlink>
          </w:p>
        </w:tc>
      </w:tr>
      <w:tr>
        <w:trPr/>
        <w:tc>
          <w:tcPr>
            <w:tcW w:w="749" w:type="dxa"/>
            <w:tcBorders/>
            <w:shd w:fill="auto" w:val="clear"/>
            <w:vAlign w:val="center"/>
          </w:tcPr>
          <w:p>
            <w:pPr>
              <w:pStyle w:val="TableContents"/>
              <w:spacing w:before="0" w:after="283"/>
              <w:ind w:left="0" w:right="0" w:hanging="0"/>
              <w:rPr>
                <w:sz w:val="4"/>
                <w:szCs w:val="4"/>
              </w:rPr>
            </w:pPr>
            <w:r>
              <w:rPr>
                <w:sz w:val="4"/>
                <w:szCs w:val="4"/>
              </w:rPr>
            </w:r>
          </w:p>
        </w:tc>
        <w:tc>
          <w:tcPr>
            <w:tcW w:w="9456" w:type="dxa"/>
            <w:gridSpan w:val="2"/>
            <w:tcBorders/>
            <w:shd w:fill="auto" w:val="clear"/>
            <w:vAlign w:val="center"/>
          </w:tcPr>
          <w:p>
            <w:pPr>
              <w:pStyle w:val="TableContents"/>
              <w:spacing w:before="0" w:after="0"/>
              <w:ind w:left="0" w:right="0" w:hanging="0"/>
              <w:jc w:val="left"/>
              <w:rPr/>
            </w:pPr>
            <w:r>
              <w:rPr/>
              <w:t> </w:t>
            </w:r>
          </w:p>
        </w:tc>
      </w:tr>
      <w:tr>
        <w:trPr/>
        <w:tc>
          <w:tcPr>
            <w:tcW w:w="74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32.1*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10" w:type="dxa"/>
            <w:tcBorders/>
            <w:shd w:fill="auto" w:val="clear"/>
            <w:vAlign w:val="center"/>
          </w:tcPr>
          <w:p>
            <w:pPr>
              <w:pStyle w:val="TableContents"/>
              <w:spacing w:before="0" w:after="0"/>
              <w:ind w:left="0" w:right="0" w:hanging="0"/>
              <w:jc w:val="both"/>
              <w:rPr/>
            </w:pPr>
            <w:hyperlink w:anchor="msft-ex32_1.htm">
              <w:r>
                <w:rPr>
                  <w:rStyle w:val="InternetLink"/>
                  <w:rFonts w:ascii="Arial;sans-serif" w:hAnsi="Arial;sans-serif"/>
                  <w:b w:val="false"/>
                  <w:sz w:val="20"/>
                </w:rPr>
                <w:t>Certification of Chief Executive Officer Pursuant to Section 906 of the Sarbanes-Oxley Act of 2002</w:t>
              </w:r>
            </w:hyperlink>
          </w:p>
        </w:tc>
      </w:tr>
      <w:tr>
        <w:trPr/>
        <w:tc>
          <w:tcPr>
            <w:tcW w:w="749" w:type="dxa"/>
            <w:tcBorders/>
            <w:shd w:fill="auto" w:val="clear"/>
            <w:vAlign w:val="center"/>
          </w:tcPr>
          <w:p>
            <w:pPr>
              <w:pStyle w:val="TableContents"/>
              <w:spacing w:before="0" w:after="283"/>
              <w:ind w:left="0" w:right="0" w:hanging="0"/>
              <w:rPr>
                <w:sz w:val="4"/>
                <w:szCs w:val="4"/>
              </w:rPr>
            </w:pPr>
            <w:r>
              <w:rPr>
                <w:sz w:val="4"/>
                <w:szCs w:val="4"/>
              </w:rPr>
            </w:r>
          </w:p>
        </w:tc>
        <w:tc>
          <w:tcPr>
            <w:tcW w:w="9456" w:type="dxa"/>
            <w:gridSpan w:val="2"/>
            <w:tcBorders/>
            <w:shd w:fill="auto" w:val="clear"/>
            <w:vAlign w:val="center"/>
          </w:tcPr>
          <w:p>
            <w:pPr>
              <w:pStyle w:val="TableContents"/>
              <w:spacing w:before="0" w:after="0"/>
              <w:ind w:left="0" w:right="0" w:hanging="0"/>
              <w:jc w:val="left"/>
              <w:rPr/>
            </w:pPr>
            <w:r>
              <w:rPr/>
              <w:t> </w:t>
            </w:r>
          </w:p>
        </w:tc>
      </w:tr>
      <w:tr>
        <w:trPr/>
        <w:tc>
          <w:tcPr>
            <w:tcW w:w="74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32.2*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10" w:type="dxa"/>
            <w:tcBorders/>
            <w:shd w:fill="auto" w:val="clear"/>
            <w:vAlign w:val="center"/>
          </w:tcPr>
          <w:p>
            <w:pPr>
              <w:pStyle w:val="TableContents"/>
              <w:spacing w:before="0" w:after="0"/>
              <w:ind w:left="0" w:right="0" w:hanging="0"/>
              <w:jc w:val="both"/>
              <w:rPr/>
            </w:pPr>
            <w:hyperlink w:anchor="msft-ex32_2.htm">
              <w:r>
                <w:rPr>
                  <w:rStyle w:val="InternetLink"/>
                  <w:rFonts w:ascii="Arial;sans-serif" w:hAnsi="Arial;sans-serif"/>
                  <w:b w:val="false"/>
                  <w:sz w:val="20"/>
                </w:rPr>
                <w:t>Certification of Chief Financial Officer Pursuant to Section 906 of the Sarbanes-Oxley Act of 2002</w:t>
              </w:r>
            </w:hyperlink>
          </w:p>
        </w:tc>
      </w:tr>
      <w:tr>
        <w:trPr/>
        <w:tc>
          <w:tcPr>
            <w:tcW w:w="749" w:type="dxa"/>
            <w:tcBorders/>
            <w:shd w:fill="auto" w:val="clear"/>
            <w:vAlign w:val="center"/>
          </w:tcPr>
          <w:p>
            <w:pPr>
              <w:pStyle w:val="TableContents"/>
              <w:spacing w:before="0" w:after="283"/>
              <w:ind w:left="0" w:right="0" w:hanging="0"/>
              <w:rPr>
                <w:sz w:val="4"/>
                <w:szCs w:val="4"/>
              </w:rPr>
            </w:pPr>
            <w:r>
              <w:rPr>
                <w:sz w:val="4"/>
                <w:szCs w:val="4"/>
              </w:rPr>
            </w:r>
          </w:p>
        </w:tc>
        <w:tc>
          <w:tcPr>
            <w:tcW w:w="9456" w:type="dxa"/>
            <w:gridSpan w:val="2"/>
            <w:tcBorders/>
            <w:shd w:fill="auto" w:val="clear"/>
            <w:vAlign w:val="center"/>
          </w:tcPr>
          <w:p>
            <w:pPr>
              <w:pStyle w:val="TableContents"/>
              <w:spacing w:before="0" w:after="0"/>
              <w:ind w:left="0" w:right="0" w:hanging="0"/>
              <w:jc w:val="left"/>
              <w:rPr/>
            </w:pPr>
            <w:r>
              <w:rPr/>
              <w:t> </w:t>
            </w:r>
          </w:p>
        </w:tc>
      </w:tr>
      <w:tr>
        <w:trPr/>
        <w:tc>
          <w:tcPr>
            <w:tcW w:w="74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101.INS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10" w:type="dxa"/>
            <w:tcBorders/>
            <w:shd w:fill="auto" w:val="clear"/>
            <w:vAlign w:val="center"/>
          </w:tcPr>
          <w:p>
            <w:pPr>
              <w:pStyle w:val="TableContents"/>
              <w:spacing w:before="0" w:after="0"/>
              <w:ind w:left="0" w:right="0" w:hanging="0"/>
              <w:jc w:val="both"/>
              <w:rPr>
                <w:rFonts w:ascii="Arial;sans-serif" w:hAnsi="Arial;sans-serif"/>
                <w:b w:val="false"/>
                <w:sz w:val="20"/>
              </w:rPr>
            </w:pPr>
            <w:r>
              <w:rPr>
                <w:rFonts w:ascii="Arial;sans-serif" w:hAnsi="Arial;sans-serif"/>
                <w:b w:val="false"/>
                <w:sz w:val="20"/>
              </w:rPr>
              <w:t>Inline XBRL Instance Document–the instance document does not appear in the Interactive Data File as its XBRL tags are embedded within the Inline XBRL document</w:t>
            </w:r>
          </w:p>
        </w:tc>
      </w:tr>
      <w:tr>
        <w:trPr/>
        <w:tc>
          <w:tcPr>
            <w:tcW w:w="749" w:type="dxa"/>
            <w:tcBorders/>
            <w:shd w:fill="auto" w:val="clear"/>
            <w:vAlign w:val="center"/>
          </w:tcPr>
          <w:p>
            <w:pPr>
              <w:pStyle w:val="TableContents"/>
              <w:spacing w:before="0" w:after="283"/>
              <w:ind w:left="0" w:right="0" w:hanging="0"/>
              <w:rPr>
                <w:sz w:val="4"/>
                <w:szCs w:val="4"/>
              </w:rPr>
            </w:pPr>
            <w:r>
              <w:rPr>
                <w:sz w:val="4"/>
                <w:szCs w:val="4"/>
              </w:rPr>
            </w:r>
          </w:p>
        </w:tc>
        <w:tc>
          <w:tcPr>
            <w:tcW w:w="9456" w:type="dxa"/>
            <w:gridSpan w:val="2"/>
            <w:tcBorders/>
            <w:shd w:fill="auto" w:val="clear"/>
            <w:vAlign w:val="center"/>
          </w:tcPr>
          <w:p>
            <w:pPr>
              <w:pStyle w:val="TableContents"/>
              <w:spacing w:before="0" w:after="0"/>
              <w:ind w:left="0" w:right="0" w:hanging="0"/>
              <w:jc w:val="left"/>
              <w:rPr/>
            </w:pPr>
            <w:r>
              <w:rPr/>
              <w:t> </w:t>
            </w:r>
          </w:p>
        </w:tc>
      </w:tr>
      <w:tr>
        <w:trPr/>
        <w:tc>
          <w:tcPr>
            <w:tcW w:w="74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101.SCH</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10" w:type="dxa"/>
            <w:tcBorders/>
            <w:shd w:fill="auto" w:val="clear"/>
            <w:vAlign w:val="center"/>
          </w:tcPr>
          <w:p>
            <w:pPr>
              <w:pStyle w:val="TableContents"/>
              <w:spacing w:before="0" w:after="0"/>
              <w:ind w:left="0" w:right="0" w:hanging="0"/>
              <w:jc w:val="both"/>
              <w:rPr>
                <w:rFonts w:ascii="Arial;sans-serif" w:hAnsi="Arial;sans-serif"/>
                <w:b w:val="false"/>
                <w:sz w:val="20"/>
              </w:rPr>
            </w:pPr>
            <w:r>
              <w:rPr>
                <w:rFonts w:ascii="Arial;sans-serif" w:hAnsi="Arial;sans-serif"/>
                <w:b w:val="false"/>
                <w:sz w:val="20"/>
              </w:rPr>
              <w:t>Inline XBRL Taxonomy Extension Schema</w:t>
            </w:r>
          </w:p>
        </w:tc>
      </w:tr>
      <w:tr>
        <w:trPr/>
        <w:tc>
          <w:tcPr>
            <w:tcW w:w="749" w:type="dxa"/>
            <w:tcBorders/>
            <w:shd w:fill="auto" w:val="clear"/>
            <w:vAlign w:val="center"/>
          </w:tcPr>
          <w:p>
            <w:pPr>
              <w:pStyle w:val="TableContents"/>
              <w:spacing w:before="0" w:after="283"/>
              <w:ind w:left="0" w:right="0" w:hanging="0"/>
              <w:rPr>
                <w:sz w:val="4"/>
                <w:szCs w:val="4"/>
              </w:rPr>
            </w:pPr>
            <w:r>
              <w:rPr>
                <w:sz w:val="4"/>
                <w:szCs w:val="4"/>
              </w:rPr>
            </w:r>
          </w:p>
        </w:tc>
        <w:tc>
          <w:tcPr>
            <w:tcW w:w="9456" w:type="dxa"/>
            <w:gridSpan w:val="2"/>
            <w:tcBorders/>
            <w:shd w:fill="auto" w:val="clear"/>
            <w:vAlign w:val="center"/>
          </w:tcPr>
          <w:p>
            <w:pPr>
              <w:pStyle w:val="TableContents"/>
              <w:spacing w:before="0" w:after="0"/>
              <w:ind w:left="0" w:right="0" w:hanging="0"/>
              <w:jc w:val="left"/>
              <w:rPr/>
            </w:pPr>
            <w:r>
              <w:rPr/>
              <w:t> </w:t>
            </w:r>
          </w:p>
        </w:tc>
      </w:tr>
      <w:tr>
        <w:trPr/>
        <w:tc>
          <w:tcPr>
            <w:tcW w:w="74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101.CAL</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10" w:type="dxa"/>
            <w:tcBorders/>
            <w:shd w:fill="auto" w:val="clear"/>
            <w:vAlign w:val="center"/>
          </w:tcPr>
          <w:p>
            <w:pPr>
              <w:pStyle w:val="TableContents"/>
              <w:spacing w:before="0" w:after="0"/>
              <w:ind w:left="0" w:right="0" w:hanging="0"/>
              <w:jc w:val="both"/>
              <w:rPr>
                <w:rFonts w:ascii="Arial;sans-serif" w:hAnsi="Arial;sans-serif"/>
                <w:b w:val="false"/>
                <w:sz w:val="20"/>
              </w:rPr>
            </w:pPr>
            <w:r>
              <w:rPr>
                <w:rFonts w:ascii="Arial;sans-serif" w:hAnsi="Arial;sans-serif"/>
                <w:b w:val="false"/>
                <w:sz w:val="20"/>
              </w:rPr>
              <w:t>Inline XBRL Taxonomy Extension Calculation Linkbase</w:t>
            </w:r>
          </w:p>
        </w:tc>
      </w:tr>
      <w:tr>
        <w:trPr/>
        <w:tc>
          <w:tcPr>
            <w:tcW w:w="749" w:type="dxa"/>
            <w:tcBorders/>
            <w:shd w:fill="auto" w:val="clear"/>
            <w:vAlign w:val="center"/>
          </w:tcPr>
          <w:p>
            <w:pPr>
              <w:pStyle w:val="TableContents"/>
              <w:spacing w:before="0" w:after="283"/>
              <w:ind w:left="0" w:right="0" w:hanging="0"/>
              <w:rPr>
                <w:sz w:val="4"/>
                <w:szCs w:val="4"/>
              </w:rPr>
            </w:pPr>
            <w:r>
              <w:rPr>
                <w:sz w:val="4"/>
                <w:szCs w:val="4"/>
              </w:rPr>
            </w:r>
          </w:p>
        </w:tc>
        <w:tc>
          <w:tcPr>
            <w:tcW w:w="9456" w:type="dxa"/>
            <w:gridSpan w:val="2"/>
            <w:tcBorders/>
            <w:shd w:fill="auto" w:val="clear"/>
            <w:vAlign w:val="center"/>
          </w:tcPr>
          <w:p>
            <w:pPr>
              <w:pStyle w:val="TableContents"/>
              <w:spacing w:before="0" w:after="0"/>
              <w:ind w:left="0" w:right="0" w:hanging="0"/>
              <w:jc w:val="left"/>
              <w:rPr/>
            </w:pPr>
            <w:r>
              <w:rPr/>
              <w:t> </w:t>
            </w:r>
          </w:p>
        </w:tc>
      </w:tr>
      <w:tr>
        <w:trPr/>
        <w:tc>
          <w:tcPr>
            <w:tcW w:w="74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101.DEF</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10" w:type="dxa"/>
            <w:tcBorders/>
            <w:shd w:fill="auto" w:val="clear"/>
            <w:vAlign w:val="center"/>
          </w:tcPr>
          <w:p>
            <w:pPr>
              <w:pStyle w:val="TableContents"/>
              <w:spacing w:before="0" w:after="0"/>
              <w:ind w:left="0" w:right="0" w:hanging="0"/>
              <w:jc w:val="both"/>
              <w:rPr>
                <w:rFonts w:ascii="Arial;sans-serif" w:hAnsi="Arial;sans-serif"/>
                <w:b w:val="false"/>
                <w:sz w:val="20"/>
              </w:rPr>
            </w:pPr>
            <w:r>
              <w:rPr>
                <w:rFonts w:ascii="Arial;sans-serif" w:hAnsi="Arial;sans-serif"/>
                <w:b w:val="false"/>
                <w:sz w:val="20"/>
              </w:rPr>
              <w:t>Inline XBRL Taxonomy Extension Definition Linkbase</w:t>
            </w:r>
          </w:p>
        </w:tc>
      </w:tr>
      <w:tr>
        <w:trPr/>
        <w:tc>
          <w:tcPr>
            <w:tcW w:w="749" w:type="dxa"/>
            <w:tcBorders/>
            <w:shd w:fill="auto" w:val="clear"/>
            <w:vAlign w:val="center"/>
          </w:tcPr>
          <w:p>
            <w:pPr>
              <w:pStyle w:val="TableContents"/>
              <w:spacing w:before="0" w:after="283"/>
              <w:ind w:left="0" w:right="0" w:hanging="0"/>
              <w:rPr>
                <w:sz w:val="4"/>
                <w:szCs w:val="4"/>
              </w:rPr>
            </w:pPr>
            <w:r>
              <w:rPr>
                <w:sz w:val="4"/>
                <w:szCs w:val="4"/>
              </w:rPr>
            </w:r>
          </w:p>
        </w:tc>
        <w:tc>
          <w:tcPr>
            <w:tcW w:w="9456" w:type="dxa"/>
            <w:gridSpan w:val="2"/>
            <w:tcBorders/>
            <w:shd w:fill="auto" w:val="clear"/>
            <w:vAlign w:val="center"/>
          </w:tcPr>
          <w:p>
            <w:pPr>
              <w:pStyle w:val="TableContents"/>
              <w:spacing w:before="0" w:after="0"/>
              <w:ind w:left="0" w:right="0" w:hanging="0"/>
              <w:jc w:val="left"/>
              <w:rPr/>
            </w:pPr>
            <w:r>
              <w:rPr/>
              <w:t> </w:t>
            </w:r>
          </w:p>
        </w:tc>
      </w:tr>
      <w:tr>
        <w:trPr/>
        <w:tc>
          <w:tcPr>
            <w:tcW w:w="74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101.LAB</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10" w:type="dxa"/>
            <w:tcBorders/>
            <w:shd w:fill="auto" w:val="clear"/>
            <w:vAlign w:val="center"/>
          </w:tcPr>
          <w:p>
            <w:pPr>
              <w:pStyle w:val="TableContents"/>
              <w:spacing w:before="0" w:after="0"/>
              <w:ind w:left="0" w:right="0" w:hanging="0"/>
              <w:jc w:val="both"/>
              <w:rPr>
                <w:rFonts w:ascii="Arial;sans-serif" w:hAnsi="Arial;sans-serif"/>
                <w:b w:val="false"/>
                <w:sz w:val="20"/>
              </w:rPr>
            </w:pPr>
            <w:r>
              <w:rPr>
                <w:rFonts w:ascii="Arial;sans-serif" w:hAnsi="Arial;sans-serif"/>
                <w:b w:val="false"/>
                <w:sz w:val="20"/>
              </w:rPr>
              <w:t>Inline XBRL Taxonomy Extension Label Linkbase</w:t>
            </w:r>
          </w:p>
        </w:tc>
      </w:tr>
      <w:tr>
        <w:trPr/>
        <w:tc>
          <w:tcPr>
            <w:tcW w:w="749" w:type="dxa"/>
            <w:tcBorders/>
            <w:shd w:fill="auto" w:val="clear"/>
            <w:vAlign w:val="center"/>
          </w:tcPr>
          <w:p>
            <w:pPr>
              <w:pStyle w:val="TableContents"/>
              <w:spacing w:before="0" w:after="283"/>
              <w:ind w:left="0" w:right="0" w:hanging="0"/>
              <w:rPr>
                <w:sz w:val="4"/>
                <w:szCs w:val="4"/>
              </w:rPr>
            </w:pPr>
            <w:r>
              <w:rPr>
                <w:sz w:val="4"/>
                <w:szCs w:val="4"/>
              </w:rPr>
            </w:r>
          </w:p>
        </w:tc>
        <w:tc>
          <w:tcPr>
            <w:tcW w:w="9456" w:type="dxa"/>
            <w:gridSpan w:val="2"/>
            <w:tcBorders/>
            <w:shd w:fill="auto" w:val="clear"/>
            <w:vAlign w:val="center"/>
          </w:tcPr>
          <w:p>
            <w:pPr>
              <w:pStyle w:val="TableContents"/>
              <w:spacing w:before="0" w:after="0"/>
              <w:ind w:left="0" w:right="0" w:hanging="0"/>
              <w:jc w:val="left"/>
              <w:rPr/>
            </w:pPr>
            <w:r>
              <w:rPr/>
              <w:t> </w:t>
            </w:r>
          </w:p>
        </w:tc>
      </w:tr>
      <w:tr>
        <w:trPr/>
        <w:tc>
          <w:tcPr>
            <w:tcW w:w="74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101.PRE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10" w:type="dxa"/>
            <w:tcBorders/>
            <w:shd w:fill="auto" w:val="clear"/>
            <w:vAlign w:val="center"/>
          </w:tcPr>
          <w:p>
            <w:pPr>
              <w:pStyle w:val="TableContents"/>
              <w:spacing w:before="0" w:after="0"/>
              <w:ind w:left="0" w:right="0" w:hanging="0"/>
              <w:jc w:val="both"/>
              <w:rPr>
                <w:rFonts w:ascii="Arial;sans-serif" w:hAnsi="Arial;sans-serif"/>
                <w:b w:val="false"/>
                <w:sz w:val="20"/>
              </w:rPr>
            </w:pPr>
            <w:r>
              <w:rPr>
                <w:rFonts w:ascii="Arial;sans-serif" w:hAnsi="Arial;sans-serif"/>
                <w:b w:val="false"/>
                <w:sz w:val="20"/>
              </w:rPr>
              <w:t>Inline XBRL Taxonomy Extension Presentation Linkbase</w:t>
            </w:r>
          </w:p>
        </w:tc>
      </w:tr>
      <w:tr>
        <w:trPr/>
        <w:tc>
          <w:tcPr>
            <w:tcW w:w="749"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9310" w:type="dxa"/>
            <w:tcBorders/>
            <w:shd w:fill="auto" w:val="clear"/>
            <w:vAlign w:val="center"/>
          </w:tcPr>
          <w:p>
            <w:pPr>
              <w:pStyle w:val="TableContents"/>
              <w:spacing w:before="0" w:after="0"/>
              <w:ind w:left="0" w:right="0" w:hanging="0"/>
              <w:jc w:val="both"/>
              <w:rPr/>
            </w:pPr>
            <w:r>
              <w:rPr/>
              <w:t> </w:t>
            </w:r>
          </w:p>
        </w:tc>
      </w:tr>
      <w:tr>
        <w:trPr/>
        <w:tc>
          <w:tcPr>
            <w:tcW w:w="74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104</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10" w:type="dxa"/>
            <w:tcBorders/>
            <w:shd w:fill="auto" w:val="clear"/>
            <w:vAlign w:val="center"/>
          </w:tcPr>
          <w:p>
            <w:pPr>
              <w:pStyle w:val="TableContents"/>
              <w:spacing w:before="0" w:after="0"/>
              <w:ind w:left="0" w:right="0" w:hanging="0"/>
              <w:jc w:val="both"/>
              <w:rPr>
                <w:rFonts w:ascii="Arial;sans-serif" w:hAnsi="Arial;sans-serif"/>
                <w:b w:val="false"/>
                <w:sz w:val="20"/>
              </w:rPr>
            </w:pPr>
            <w:r>
              <w:rPr>
                <w:rFonts w:ascii="Arial;sans-serif" w:hAnsi="Arial;sans-serif"/>
                <w:b w:val="false"/>
                <w:sz w:val="20"/>
              </w:rPr>
              <w:t>Cover page formatted as Inline XBRL and contained in Exhibit 101</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Arial;sans-serif" w:hAnsi="Arial;sans-serif"/>
          <w:b w:val="false"/>
          <w:i/>
          <w:sz w:val="20"/>
        </w:rPr>
        <w:t>*</w:t>
      </w:r>
      <w:r>
        <w:rPr>
          <w:rFonts w:ascii="Times New Roman" w:hAnsi="Times New Roman"/>
          <w:sz w:val="20"/>
        </w:rPr>
        <w:t xml:space="preserve"> </w:t>
      </w:r>
      <w:r>
        <w:rPr>
          <w:rFonts w:ascii="Arial;sans-serif" w:hAnsi="Arial;sans-serif"/>
          <w:b w:val="false"/>
          <w:i/>
          <w:sz w:val="20"/>
        </w:rPr>
        <w:t>Furnished, not filed.</w:t>
      </w:r>
    </w:p>
    <w:p>
      <w:pPr>
        <w:pStyle w:val="TextBody"/>
        <w:spacing w:before="0" w:after="0"/>
        <w:jc w:val="left"/>
        <w:rPr/>
      </w:pPr>
      <w:r>
        <w:rPr/>
        <w:t> </w:t>
      </w:r>
    </w:p>
    <w:p>
      <w:pPr>
        <w:pStyle w:val="TextBody"/>
        <w:spacing w:before="70" w:after="0"/>
        <w:jc w:val="both"/>
        <w:rPr>
          <w:rFonts w:ascii="Arial;sans-serif" w:hAnsi="Arial;sans-serif"/>
          <w:b/>
          <w:sz w:val="20"/>
        </w:rPr>
      </w:pPr>
      <w:r>
        <w:rPr>
          <w:rFonts w:ascii="Arial;sans-serif" w:hAnsi="Arial;sans-serif"/>
          <w:b/>
          <w:sz w:val="20"/>
        </w:rPr>
        <w:t>Items 3, 4, and 5 are not applicable and have been omitted.</w:t>
      </w:r>
    </w:p>
    <w:p>
      <w:pPr>
        <w:pStyle w:val="TextBody"/>
        <w:spacing w:before="240" w:after="0"/>
        <w:jc w:val="center"/>
        <w:rPr>
          <w:rFonts w:ascii="Arial;sans-serif" w:hAnsi="Arial;sans-serif"/>
          <w:b w:val="false"/>
          <w:sz w:val="16"/>
        </w:rPr>
      </w:pPr>
      <w:r>
        <w:rPr>
          <w:rFonts w:ascii="Arial;sans-serif" w:hAnsi="Arial;sans-serif"/>
          <w:b w:val="false"/>
          <w:sz w:val="16"/>
        </w:rPr>
        <w:t>67</w:t>
      </w:r>
    </w:p>
    <w:p>
      <w:pPr>
        <w:pStyle w:val="HorizontalLine"/>
        <w:rPr/>
      </w:pPr>
      <w:r>
        <w:rPr/>
      </w:r>
    </w:p>
    <w:p>
      <w:pPr>
        <w:pStyle w:val="TextBody"/>
        <w:spacing w:before="0" w:after="0"/>
        <w:jc w:val="left"/>
        <w:rPr/>
      </w:pPr>
      <w:r>
        <w:rPr/>
        <w:t> </w:t>
      </w:r>
    </w:p>
    <w:p>
      <w:pPr>
        <w:pStyle w:val="TextBody"/>
        <w:spacing w:before="0" w:after="0"/>
        <w:jc w:val="center"/>
        <w:rPr>
          <w:rFonts w:ascii="Arial;sans-serif" w:hAnsi="Arial;sans-serif"/>
          <w:b/>
          <w:sz w:val="20"/>
        </w:rPr>
      </w:pPr>
      <w:bookmarkStart w:id="21" w:name="signatures"/>
      <w:bookmarkEnd w:id="21"/>
      <w:r>
        <w:rPr>
          <w:rFonts w:ascii="Arial;sans-serif" w:hAnsi="Arial;sans-serif"/>
          <w:b/>
          <w:sz w:val="20"/>
        </w:rPr>
        <w:t>SIGNATURE</w:t>
      </w:r>
    </w:p>
    <w:p>
      <w:pPr>
        <w:pStyle w:val="TextBody"/>
        <w:spacing w:before="180" w:after="0"/>
        <w:jc w:val="both"/>
        <w:rPr>
          <w:rFonts w:ascii="Arial;sans-serif" w:hAnsi="Arial;sans-serif"/>
          <w:b w:val="false"/>
          <w:sz w:val="20"/>
        </w:rPr>
      </w:pPr>
      <w:r>
        <w:rPr>
          <w:rFonts w:ascii="Arial;sans-serif" w:hAnsi="Arial;sans-serif"/>
          <w:b w:val="false"/>
          <w:sz w:val="20"/>
        </w:rPr>
        <w:t>Pursuant to the requirements of the Securities Exchange Act of 1934, the registrant has duly caused this report to be signed on its behalf by the undersigned; thereunto duly authorized.</w:t>
      </w:r>
    </w:p>
    <w:p>
      <w:pPr>
        <w:pStyle w:val="TextBody"/>
        <w:spacing w:before="0" w:after="0"/>
        <w:jc w:val="both"/>
        <w:rPr/>
      </w:pPr>
      <w:r>
        <w:rPr/>
        <w:t> </w:t>
      </w:r>
    </w:p>
    <w:tbl>
      <w:tblPr>
        <w:tblW w:w="7111" w:type="dxa"/>
        <w:jc w:val="left"/>
        <w:tblInd w:w="0" w:type="dxa"/>
        <w:tblCellMar>
          <w:top w:w="28" w:type="dxa"/>
          <w:left w:w="28" w:type="dxa"/>
          <w:bottom w:w="28" w:type="dxa"/>
          <w:right w:w="28" w:type="dxa"/>
        </w:tblCellMar>
      </w:tblPr>
      <w:tblGrid>
        <w:gridCol w:w="7111"/>
      </w:tblGrid>
      <w:tr>
        <w:trPr/>
        <w:tc>
          <w:tcPr>
            <w:tcW w:w="7111" w:type="dxa"/>
            <w:tcBorders/>
            <w:shd w:fill="auto" w:val="clear"/>
            <w:vAlign w:val="center"/>
          </w:tcPr>
          <w:p>
            <w:pPr>
              <w:pStyle w:val="TableContents"/>
              <w:spacing w:before="0" w:after="283"/>
              <w:rPr>
                <w:sz w:val="4"/>
                <w:szCs w:val="4"/>
              </w:rPr>
            </w:pPr>
            <w:r>
              <w:rPr>
                <w:sz w:val="4"/>
                <w:szCs w:val="4"/>
              </w:rPr>
            </w:r>
          </w:p>
        </w:tc>
      </w:tr>
      <w:tr>
        <w:trPr/>
        <w:tc>
          <w:tcPr>
            <w:tcW w:w="7111" w:type="dxa"/>
            <w:tcBorders/>
            <w:shd w:fill="auto" w:val="clear"/>
            <w:vAlign w:val="center"/>
          </w:tcPr>
          <w:p>
            <w:pPr>
              <w:pStyle w:val="TableContents"/>
              <w:spacing w:before="0" w:after="0"/>
              <w:ind w:left="0" w:right="0" w:hanging="0"/>
              <w:jc w:val="both"/>
              <w:rPr>
                <w:rFonts w:ascii="Times New Roman" w:hAnsi="Times New Roman"/>
                <w:sz w:val="20"/>
              </w:rPr>
            </w:pPr>
            <w:r>
              <w:rPr>
                <w:rFonts w:ascii="Arial;sans-serif" w:hAnsi="Arial;sans-serif"/>
                <w:b w:val="false"/>
                <w:sz w:val="20"/>
              </w:rPr>
              <w:t>M</w:t>
            </w:r>
            <w:r>
              <w:rPr>
                <w:rFonts w:ascii="Arial;sans-serif" w:hAnsi="Arial;sans-serif"/>
                <w:b w:val="false"/>
                <w:sz w:val="15"/>
              </w:rPr>
              <w:t>ICROSOFT</w:t>
            </w:r>
            <w:r>
              <w:rPr>
                <w:rFonts w:ascii="Times New Roman" w:hAnsi="Times New Roman"/>
                <w:sz w:val="20"/>
              </w:rPr>
              <w:t> </w:t>
            </w:r>
            <w:r>
              <w:rPr>
                <w:rFonts w:ascii="Arial;sans-serif" w:hAnsi="Arial;sans-serif"/>
                <w:b w:val="false"/>
                <w:sz w:val="20"/>
              </w:rPr>
              <w:t>C</w:t>
            </w:r>
            <w:r>
              <w:rPr>
                <w:rFonts w:ascii="Arial;sans-serif" w:hAnsi="Arial;sans-serif"/>
                <w:b w:val="false"/>
                <w:sz w:val="15"/>
              </w:rPr>
              <w:t>ORPORATION</w:t>
            </w:r>
          </w:p>
        </w:tc>
      </w:tr>
      <w:tr>
        <w:trPr/>
        <w:tc>
          <w:tcPr>
            <w:tcW w:w="7111" w:type="dxa"/>
            <w:tcBorders/>
            <w:shd w:fill="auto" w:val="clear"/>
            <w:vAlign w:val="center"/>
          </w:tcPr>
          <w:p>
            <w:pPr>
              <w:pStyle w:val="TableContents"/>
              <w:spacing w:before="0" w:after="283"/>
              <w:ind w:left="0" w:right="0" w:hanging="0"/>
              <w:rPr>
                <w:sz w:val="4"/>
                <w:szCs w:val="4"/>
              </w:rPr>
            </w:pPr>
            <w:r>
              <w:rPr>
                <w:sz w:val="4"/>
                <w:szCs w:val="4"/>
              </w:rPr>
            </w:r>
          </w:p>
        </w:tc>
      </w:tr>
      <w:tr>
        <w:trPr/>
        <w:tc>
          <w:tcPr>
            <w:tcW w:w="7111"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both"/>
              <w:rPr>
                <w:rFonts w:ascii="Times New Roman" w:hAnsi="Times New Roman"/>
                <w:sz w:val="20"/>
              </w:rPr>
            </w:pPr>
            <w:r>
              <w:rPr>
                <w:rFonts w:ascii="Arial;sans-serif" w:hAnsi="Arial;sans-serif"/>
                <w:b w:val="false"/>
                <w:sz w:val="20"/>
              </w:rPr>
              <w:t>/s/ A</w:t>
            </w:r>
            <w:r>
              <w:rPr>
                <w:rFonts w:ascii="Arial;sans-serif" w:hAnsi="Arial;sans-serif"/>
                <w:b w:val="false"/>
                <w:sz w:val="15"/>
              </w:rPr>
              <w:t>LICE</w:t>
            </w:r>
            <w:r>
              <w:rPr>
                <w:rFonts w:ascii="Times New Roman" w:hAnsi="Times New Roman"/>
                <w:sz w:val="20"/>
              </w:rPr>
              <w:t> </w:t>
            </w:r>
            <w:r>
              <w:rPr>
                <w:rFonts w:ascii="Arial;sans-serif" w:hAnsi="Arial;sans-serif"/>
                <w:b w:val="false"/>
                <w:sz w:val="20"/>
              </w:rPr>
              <w:t>L. J</w:t>
            </w:r>
            <w:r>
              <w:rPr>
                <w:rFonts w:ascii="Arial;sans-serif" w:hAnsi="Arial;sans-serif"/>
                <w:b w:val="false"/>
                <w:sz w:val="15"/>
              </w:rPr>
              <w:t>OLLA</w:t>
            </w:r>
          </w:p>
        </w:tc>
      </w:tr>
      <w:tr>
        <w:trPr/>
        <w:tc>
          <w:tcPr>
            <w:tcW w:w="7111" w:type="dxa"/>
            <w:tcBorders/>
            <w:shd w:fill="auto" w:val="clear"/>
            <w:vAlign w:val="center"/>
          </w:tcPr>
          <w:p>
            <w:pPr>
              <w:pStyle w:val="TableContents"/>
              <w:spacing w:before="0" w:after="0"/>
              <w:ind w:left="0" w:right="0" w:hanging="0"/>
              <w:jc w:val="both"/>
              <w:rPr>
                <w:rFonts w:ascii="Arial;sans-serif" w:hAnsi="Arial;sans-serif"/>
                <w:b w:val="false"/>
                <w:sz w:val="20"/>
              </w:rPr>
            </w:pPr>
            <w:r>
              <w:rPr>
                <w:rFonts w:ascii="Arial;sans-serif" w:hAnsi="Arial;sans-serif"/>
                <w:b w:val="false"/>
                <w:sz w:val="20"/>
              </w:rPr>
              <w:t>Alice L. Jolla</w:t>
            </w:r>
          </w:p>
        </w:tc>
      </w:tr>
      <w:tr>
        <w:trPr/>
        <w:tc>
          <w:tcPr>
            <w:tcW w:w="71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Corporate Vice President and Chief Accounting Officer (Duly Authorized Officer)</w:t>
            </w:r>
          </w:p>
        </w:tc>
      </w:tr>
      <w:tr>
        <w:trPr/>
        <w:tc>
          <w:tcPr>
            <w:tcW w:w="7111" w:type="dxa"/>
            <w:tcBorders/>
            <w:shd w:fill="auto" w:val="clear"/>
            <w:vAlign w:val="center"/>
          </w:tcPr>
          <w:p>
            <w:pPr>
              <w:pStyle w:val="TableContents"/>
              <w:spacing w:before="0" w:after="283"/>
              <w:ind w:left="0" w:right="0" w:hanging="0"/>
              <w:rPr>
                <w:sz w:val="4"/>
                <w:szCs w:val="4"/>
              </w:rPr>
            </w:pPr>
            <w:r>
              <w:rPr>
                <w:sz w:val="4"/>
                <w:szCs w:val="4"/>
              </w:rPr>
            </w:r>
          </w:p>
        </w:tc>
      </w:tr>
      <w:tr>
        <w:trPr/>
        <w:tc>
          <w:tcPr>
            <w:tcW w:w="71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April 25, 2023</w:t>
            </w:r>
          </w:p>
        </w:tc>
      </w:tr>
    </w:tbl>
    <w:p>
      <w:pPr>
        <w:pStyle w:val="TextBody"/>
        <w:spacing w:before="0" w:after="0"/>
        <w:jc w:val="both"/>
        <w:rPr/>
      </w:pPr>
      <w:r>
        <w:rPr/>
        <w:t> </w:t>
      </w:r>
    </w:p>
    <w:p>
      <w:pPr>
        <w:pStyle w:val="TextBody"/>
        <w:spacing w:before="240" w:after="0"/>
        <w:jc w:val="center"/>
        <w:rPr>
          <w:rFonts w:ascii="Arial;sans-serif" w:hAnsi="Arial;sans-serif"/>
          <w:b w:val="false"/>
          <w:sz w:val="16"/>
        </w:rPr>
      </w:pPr>
      <w:r>
        <w:rPr>
          <w:rFonts w:ascii="Arial;sans-serif" w:hAnsi="Arial;sans-serif"/>
          <w:b w:val="false"/>
          <w:sz w:val="16"/>
        </w:rPr>
        <w:t>68</w:t>
      </w:r>
    </w:p>
    <w:p>
      <w:pPr>
        <w:pStyle w:val="HorizontalLine"/>
        <w:rPr/>
      </w:pPr>
      <w:r>
        <w:rPr/>
      </w:r>
      <w:r>
        <w:br w:type="page"/>
      </w:r>
    </w:p>
    <w:p>
      <w:pPr>
        <w:pStyle w:val="TextBody"/>
        <w:spacing w:before="0" w:after="0"/>
        <w:jc w:val="left"/>
        <w:rPr/>
      </w:pPr>
      <w:bookmarkStart w:id="22" w:name="msft-ex15_1.htm"/>
      <w:bookmarkStart w:id="23" w:name="ksmsftex15_1"/>
      <w:bookmarkEnd w:id="22"/>
      <w:bookmarkEnd w:id="23"/>
      <w:r>
        <w:rPr/>
        <w:t> </w:t>
      </w:r>
    </w:p>
    <w:p>
      <w:pPr>
        <w:pStyle w:val="TextBody"/>
        <w:spacing w:before="0" w:after="0"/>
        <w:jc w:val="right"/>
        <w:rPr>
          <w:rFonts w:ascii="Times New Roman" w:hAnsi="Times New Roman"/>
          <w:sz w:val="20"/>
        </w:rPr>
      </w:pPr>
      <w:r>
        <w:rPr>
          <w:rFonts w:ascii="Arial;sans-serif" w:hAnsi="Arial;sans-serif"/>
          <w:b w:val="false"/>
          <w:sz w:val="20"/>
        </w:rPr>
        <w:t>Exhibit 15.1</w:t>
      </w:r>
      <w:r>
        <w:rPr>
          <w:rFonts w:ascii="Times New Roman" w:hAnsi="Times New Roman"/>
          <w:sz w:val="20"/>
        </w:rPr>
        <w:t xml:space="preserve"> </w:t>
      </w:r>
    </w:p>
    <w:p>
      <w:pPr>
        <w:pStyle w:val="TextBody"/>
        <w:spacing w:before="180" w:after="0"/>
        <w:jc w:val="left"/>
        <w:rPr>
          <w:rFonts w:ascii="Arial;sans-serif" w:hAnsi="Arial;sans-serif"/>
          <w:b w:val="false"/>
          <w:sz w:val="20"/>
        </w:rPr>
      </w:pPr>
      <w:r>
        <w:rPr>
          <w:rFonts w:ascii="Arial;sans-serif" w:hAnsi="Arial;sans-serif"/>
          <w:b w:val="false"/>
          <w:sz w:val="20"/>
        </w:rPr>
        <w:t>April 25, 2023</w:t>
      </w:r>
    </w:p>
    <w:p>
      <w:pPr>
        <w:pStyle w:val="TextBody"/>
        <w:spacing w:before="180" w:after="0"/>
        <w:jc w:val="left"/>
        <w:rPr>
          <w:rFonts w:ascii="Times New Roman" w:hAnsi="Times New Roman"/>
          <w:sz w:val="20"/>
        </w:rPr>
      </w:pPr>
      <w:r>
        <w:rPr>
          <w:rFonts w:ascii="Arial;sans-serif" w:hAnsi="Arial;sans-serif"/>
          <w:b w:val="false"/>
          <w:sz w:val="20"/>
        </w:rPr>
        <w:t>The Board of Directors and Stockholders of Microsoft Corporation</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One Microsoft Way</w:t>
      </w:r>
      <w:r>
        <w:rPr>
          <w:rFonts w:ascii="Times New Roman" w:hAnsi="Times New Roman"/>
          <w:sz w:val="20"/>
        </w:rPr>
        <w:t xml:space="preserve"> </w:t>
      </w:r>
    </w:p>
    <w:p>
      <w:pPr>
        <w:pStyle w:val="TextBody"/>
        <w:spacing w:before="0" w:after="0"/>
        <w:jc w:val="left"/>
        <w:rPr>
          <w:rFonts w:ascii="Arial;sans-serif" w:hAnsi="Arial;sans-serif"/>
          <w:b w:val="false"/>
          <w:sz w:val="20"/>
        </w:rPr>
      </w:pPr>
      <w:r>
        <w:rPr>
          <w:rFonts w:ascii="Arial;sans-serif" w:hAnsi="Arial;sans-serif"/>
          <w:b w:val="false"/>
          <w:sz w:val="20"/>
        </w:rPr>
        <w:t>Redmond, WA 98052-6399</w:t>
      </w:r>
    </w:p>
    <w:p>
      <w:pPr>
        <w:pStyle w:val="TextBody"/>
        <w:spacing w:before="180" w:after="180"/>
        <w:jc w:val="left"/>
        <w:rPr>
          <w:rFonts w:ascii="Times New Roman" w:hAnsi="Times New Roman"/>
          <w:sz w:val="20"/>
        </w:rPr>
      </w:pPr>
      <w:r>
        <w:rPr>
          <w:rFonts w:ascii="Arial;sans-serif" w:hAnsi="Arial;sans-serif"/>
          <w:b w:val="false"/>
          <w:sz w:val="20"/>
        </w:rPr>
        <w:t>We are aware that our report dated April 25, 2023, on our review of the interim financial information of Microsoft Corporation and subsidiaries (“Microsoft”) appearing in Microsoft’s Quarterly Report on Form 10-Q for the quarter ended March 31, 2023, is incorporated by reference in Registration Statement Nos. 333-109185, 333-118764, 333-52852, 333-132100, 333-161516, 333-75243, 333-185757, and 333-221833 on Form S-8 and Registration Statement Nos. 333-240227 and 333-261590 on Form S-3.</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/s/ D</w:t>
      </w:r>
      <w:r>
        <w:rPr>
          <w:rFonts w:ascii="Arial;sans-serif" w:hAnsi="Arial;sans-serif"/>
          <w:b w:val="false"/>
          <w:sz w:val="15"/>
        </w:rPr>
        <w:t>ELOITTE</w:t>
      </w:r>
      <w:r>
        <w:rPr>
          <w:rFonts w:ascii="Times New Roman" w:hAnsi="Times New Roman"/>
          <w:sz w:val="20"/>
        </w:rPr>
        <w:t xml:space="preserve"> </w:t>
      </w:r>
      <w:r>
        <w:rPr>
          <w:rFonts w:ascii="Arial;sans-serif" w:hAnsi="Arial;sans-serif"/>
          <w:b w:val="false"/>
          <w:sz w:val="20"/>
        </w:rPr>
        <w:t>&amp; T</w:t>
      </w:r>
      <w:r>
        <w:rPr>
          <w:rFonts w:ascii="Arial;sans-serif" w:hAnsi="Arial;sans-serif"/>
          <w:b w:val="false"/>
          <w:sz w:val="15"/>
        </w:rPr>
        <w:t>OUCHE</w:t>
      </w:r>
      <w:r>
        <w:rPr>
          <w:rFonts w:ascii="Times New Roman" w:hAnsi="Times New Roman"/>
          <w:sz w:val="20"/>
        </w:rPr>
        <w:t xml:space="preserve"> </w:t>
      </w:r>
      <w:r>
        <w:rPr>
          <w:rFonts w:ascii="Arial;sans-serif" w:hAnsi="Arial;sans-serif"/>
          <w:b w:val="false"/>
          <w:sz w:val="20"/>
        </w:rPr>
        <w:t>LLP</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Seattle, Washington</w:t>
      </w:r>
      <w:r>
        <w:rPr>
          <w:rFonts w:ascii="Times New Roman" w:hAnsi="Times New Roman"/>
          <w:sz w:val="20"/>
        </w:rPr>
        <w:t xml:space="preserve"> </w:t>
      </w:r>
    </w:p>
    <w:p>
      <w:pPr>
        <w:pStyle w:val="TextBody"/>
        <w:spacing w:before="240" w:after="0"/>
        <w:jc w:val="left"/>
        <w:rPr/>
      </w:pPr>
      <w:r>
        <w:rPr/>
        <w:t> </w:t>
      </w:r>
    </w:p>
    <w:p>
      <w:pPr>
        <w:pStyle w:val="HorizontalLine"/>
        <w:rPr/>
      </w:pPr>
      <w:r>
        <w:rPr/>
      </w:r>
      <w:r>
        <w:br w:type="page"/>
      </w:r>
    </w:p>
    <w:p>
      <w:pPr>
        <w:pStyle w:val="TextBody"/>
        <w:spacing w:before="0" w:after="0"/>
        <w:jc w:val="right"/>
        <w:rPr>
          <w:rFonts w:ascii="Arial;sans-serif" w:hAnsi="Arial;sans-serif"/>
          <w:b w:val="false"/>
          <w:sz w:val="20"/>
        </w:rPr>
      </w:pPr>
      <w:bookmarkStart w:id="24" w:name="msft-ex31_1.htm"/>
      <w:bookmarkStart w:id="25" w:name="ksmsftex31_1"/>
      <w:bookmarkEnd w:id="24"/>
      <w:bookmarkEnd w:id="25"/>
      <w:r>
        <w:rPr>
          <w:rFonts w:ascii="Arial;sans-serif" w:hAnsi="Arial;sans-serif"/>
          <w:b w:val="false"/>
          <w:sz w:val="20"/>
        </w:rPr>
        <w:t>Exhibit 31.1</w:t>
      </w:r>
    </w:p>
    <w:p>
      <w:pPr>
        <w:pStyle w:val="TextBody"/>
        <w:spacing w:before="180" w:after="0"/>
        <w:jc w:val="center"/>
        <w:rPr>
          <w:rFonts w:ascii="Times New Roman" w:hAnsi="Times New Roman"/>
          <w:sz w:val="20"/>
        </w:rPr>
      </w:pPr>
      <w:r>
        <w:rPr>
          <w:rFonts w:ascii="Arial;sans-serif" w:hAnsi="Arial;sans-serif"/>
          <w:b/>
          <w:sz w:val="20"/>
        </w:rPr>
        <w:t>CERTIFICATION</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I, Satya Nadella, certify that:</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1. I have reviewed this quarterly report on Form 10-Q of Microsoft Corporation;</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b) Any fraud, whether or not material, that involves management or other employees who have a significant role in the registrant’s internal control over financial reporting.</w:t>
      </w:r>
      <w:r>
        <w:rPr>
          <w:rFonts w:ascii="Times New Roman" w:hAnsi="Times New Roman"/>
          <w:sz w:val="20"/>
        </w:rPr>
        <w:t xml:space="preserve"> </w:t>
      </w:r>
    </w:p>
    <w:p>
      <w:pPr>
        <w:pStyle w:val="TextBody"/>
        <w:spacing w:before="0" w:after="0"/>
        <w:jc w:val="both"/>
        <w:rPr/>
      </w:pPr>
      <w:r>
        <w:rPr/>
        <w:t> </w:t>
      </w:r>
    </w:p>
    <w:tbl>
      <w:tblPr>
        <w:tblW w:w="2191" w:type="dxa"/>
        <w:jc w:val="left"/>
        <w:tblInd w:w="0" w:type="dxa"/>
        <w:tblCellMar>
          <w:top w:w="28" w:type="dxa"/>
          <w:left w:w="28" w:type="dxa"/>
          <w:bottom w:w="28" w:type="dxa"/>
          <w:right w:w="28" w:type="dxa"/>
        </w:tblCellMar>
      </w:tblPr>
      <w:tblGrid>
        <w:gridCol w:w="2191"/>
      </w:tblGrid>
      <w:tr>
        <w:trPr/>
        <w:tc>
          <w:tcPr>
            <w:tcW w:w="2191" w:type="dxa"/>
            <w:tcBorders/>
            <w:shd w:fill="auto" w:val="clear"/>
            <w:vAlign w:val="center"/>
          </w:tcPr>
          <w:p>
            <w:pPr>
              <w:pStyle w:val="TableContents"/>
              <w:spacing w:before="0" w:after="283"/>
              <w:rPr>
                <w:sz w:val="4"/>
                <w:szCs w:val="4"/>
              </w:rPr>
            </w:pPr>
            <w:r>
              <w:rPr>
                <w:sz w:val="4"/>
                <w:szCs w:val="4"/>
              </w:rPr>
            </w:r>
          </w:p>
        </w:tc>
      </w:tr>
      <w:tr>
        <w:trPr/>
        <w:tc>
          <w:tcPr>
            <w:tcW w:w="2191"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both"/>
              <w:rPr>
                <w:rFonts w:ascii="Times New Roman" w:hAnsi="Times New Roman"/>
                <w:sz w:val="20"/>
              </w:rPr>
            </w:pPr>
            <w:r>
              <w:rPr>
                <w:rFonts w:ascii="Arial;sans-serif" w:hAnsi="Arial;sans-serif"/>
                <w:b w:val="false"/>
                <w:sz w:val="20"/>
              </w:rPr>
              <w:t>/s/ S</w:t>
            </w:r>
            <w:r>
              <w:rPr>
                <w:rFonts w:ascii="Arial;sans-serif" w:hAnsi="Arial;sans-serif"/>
                <w:b w:val="false"/>
                <w:sz w:val="15"/>
              </w:rPr>
              <w:t>ATYA</w:t>
            </w:r>
            <w:r>
              <w:rPr>
                <w:rFonts w:ascii="Times New Roman" w:hAnsi="Times New Roman"/>
                <w:sz w:val="20"/>
              </w:rPr>
              <w:t> </w:t>
            </w:r>
            <w:r>
              <w:rPr>
                <w:rFonts w:ascii="Arial;sans-serif" w:hAnsi="Arial;sans-serif"/>
                <w:b w:val="false"/>
                <w:sz w:val="20"/>
              </w:rPr>
              <w:t>N</w:t>
            </w:r>
            <w:r>
              <w:rPr>
                <w:rFonts w:ascii="Arial;sans-serif" w:hAnsi="Arial;sans-serif"/>
                <w:b w:val="false"/>
                <w:sz w:val="15"/>
              </w:rPr>
              <w:t>ADELLA</w:t>
            </w:r>
          </w:p>
        </w:tc>
      </w:tr>
      <w:tr>
        <w:trPr/>
        <w:tc>
          <w:tcPr>
            <w:tcW w:w="2191" w:type="dxa"/>
            <w:tcBorders/>
            <w:shd w:fill="auto" w:val="clear"/>
            <w:vAlign w:val="center"/>
          </w:tcPr>
          <w:p>
            <w:pPr>
              <w:pStyle w:val="TableContents"/>
              <w:spacing w:before="0" w:after="0"/>
              <w:ind w:left="0" w:right="0" w:hanging="0"/>
              <w:jc w:val="both"/>
              <w:rPr>
                <w:rFonts w:ascii="Arial;sans-serif" w:hAnsi="Arial;sans-serif"/>
                <w:b w:val="false"/>
                <w:sz w:val="20"/>
              </w:rPr>
            </w:pPr>
            <w:r>
              <w:rPr>
                <w:rFonts w:ascii="Arial;sans-serif" w:hAnsi="Arial;sans-serif"/>
                <w:b w:val="false"/>
                <w:sz w:val="20"/>
              </w:rPr>
              <w:t>Satya Nadella</w:t>
            </w:r>
          </w:p>
        </w:tc>
      </w:tr>
      <w:tr>
        <w:trPr/>
        <w:tc>
          <w:tcPr>
            <w:tcW w:w="21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Chief Executive Officer</w:t>
            </w:r>
          </w:p>
        </w:tc>
      </w:tr>
      <w:tr>
        <w:trPr/>
        <w:tc>
          <w:tcPr>
            <w:tcW w:w="2191" w:type="dxa"/>
            <w:tcBorders/>
            <w:shd w:fill="auto" w:val="clear"/>
            <w:vAlign w:val="center"/>
          </w:tcPr>
          <w:p>
            <w:pPr>
              <w:pStyle w:val="TableContents"/>
              <w:spacing w:before="0" w:after="0"/>
              <w:ind w:left="0" w:right="0" w:hanging="0"/>
              <w:jc w:val="left"/>
              <w:rPr/>
            </w:pPr>
            <w:r>
              <w:rPr/>
              <w:t> </w:t>
            </w:r>
          </w:p>
        </w:tc>
      </w:tr>
      <w:tr>
        <w:trPr/>
        <w:tc>
          <w:tcPr>
            <w:tcW w:w="21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April 25, 2023</w:t>
            </w:r>
          </w:p>
        </w:tc>
      </w:tr>
    </w:tbl>
    <w:p>
      <w:pPr>
        <w:pStyle w:val="TextBody"/>
        <w:spacing w:before="0" w:after="0"/>
        <w:jc w:val="both"/>
        <w:rPr/>
      </w:pPr>
      <w:r>
        <w:rPr/>
        <w:t> </w:t>
      </w:r>
    </w:p>
    <w:p>
      <w:pPr>
        <w:pStyle w:val="HorizontalLine"/>
        <w:rPr/>
      </w:pPr>
      <w:r>
        <w:rPr/>
      </w:r>
      <w:r>
        <w:br w:type="page"/>
      </w:r>
    </w:p>
    <w:p>
      <w:pPr>
        <w:pStyle w:val="TextBody"/>
        <w:spacing w:before="0" w:after="0"/>
        <w:jc w:val="right"/>
        <w:rPr>
          <w:rFonts w:ascii="Arial;sans-serif" w:hAnsi="Arial;sans-serif"/>
          <w:b w:val="false"/>
          <w:sz w:val="20"/>
        </w:rPr>
      </w:pPr>
      <w:bookmarkStart w:id="26" w:name="msft-ex31_2.htm"/>
      <w:bookmarkStart w:id="27" w:name="ksmsftex31_2"/>
      <w:bookmarkEnd w:id="26"/>
      <w:bookmarkEnd w:id="27"/>
      <w:r>
        <w:rPr>
          <w:rFonts w:ascii="Arial;sans-serif" w:hAnsi="Arial;sans-serif"/>
          <w:b w:val="false"/>
          <w:sz w:val="20"/>
        </w:rPr>
        <w:t>Exhibit 31.2</w:t>
      </w:r>
    </w:p>
    <w:p>
      <w:pPr>
        <w:pStyle w:val="TextBody"/>
        <w:spacing w:before="180" w:after="0"/>
        <w:jc w:val="center"/>
        <w:rPr>
          <w:rFonts w:ascii="Times New Roman" w:hAnsi="Times New Roman"/>
          <w:sz w:val="20"/>
        </w:rPr>
      </w:pPr>
      <w:r>
        <w:rPr>
          <w:rFonts w:ascii="Arial;sans-serif" w:hAnsi="Arial;sans-serif"/>
          <w:b/>
          <w:sz w:val="20"/>
        </w:rPr>
        <w:t>CERTIFICATION</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I, Amy E. Hood, certify that:</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1. I have reviewed this quarterly report on Form 10-Q of Microsoft Corporation;</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b) Any fraud, whether or not material, that involves management or other employees who have a significant role in the registrant’s internal control over financial reporting.</w:t>
      </w:r>
      <w:r>
        <w:rPr>
          <w:rFonts w:ascii="Times New Roman" w:hAnsi="Times New Roman"/>
          <w:sz w:val="20"/>
        </w:rPr>
        <w:t xml:space="preserve"> </w:t>
      </w:r>
    </w:p>
    <w:p>
      <w:pPr>
        <w:pStyle w:val="TextBody"/>
        <w:spacing w:before="0" w:after="0"/>
        <w:jc w:val="both"/>
        <w:rPr/>
      </w:pPr>
      <w:r>
        <w:rPr/>
        <w:t> </w:t>
      </w:r>
    </w:p>
    <w:tbl>
      <w:tblPr>
        <w:tblW w:w="2746" w:type="dxa"/>
        <w:jc w:val="left"/>
        <w:tblInd w:w="0" w:type="dxa"/>
        <w:tblCellMar>
          <w:top w:w="28" w:type="dxa"/>
          <w:left w:w="28" w:type="dxa"/>
          <w:bottom w:w="28" w:type="dxa"/>
          <w:right w:w="28" w:type="dxa"/>
        </w:tblCellMar>
      </w:tblPr>
      <w:tblGrid>
        <w:gridCol w:w="2746"/>
      </w:tblGrid>
      <w:tr>
        <w:trPr/>
        <w:tc>
          <w:tcPr>
            <w:tcW w:w="2746" w:type="dxa"/>
            <w:tcBorders/>
            <w:shd w:fill="auto" w:val="clear"/>
            <w:vAlign w:val="center"/>
          </w:tcPr>
          <w:p>
            <w:pPr>
              <w:pStyle w:val="TableContents"/>
              <w:spacing w:before="0" w:after="283"/>
              <w:rPr>
                <w:sz w:val="4"/>
                <w:szCs w:val="4"/>
              </w:rPr>
            </w:pPr>
            <w:r>
              <w:rPr>
                <w:sz w:val="4"/>
                <w:szCs w:val="4"/>
              </w:rPr>
            </w:r>
          </w:p>
        </w:tc>
      </w:tr>
      <w:tr>
        <w:trPr/>
        <w:tc>
          <w:tcPr>
            <w:tcW w:w="2746"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/s/ A</w:t>
            </w:r>
            <w:r>
              <w:rPr>
                <w:rFonts w:ascii="Arial;sans-serif" w:hAnsi="Arial;sans-serif"/>
                <w:b w:val="false"/>
                <w:sz w:val="15"/>
              </w:rPr>
              <w:t>MY</w:t>
            </w:r>
            <w:r>
              <w:rPr>
                <w:rFonts w:ascii="Times New Roman" w:hAnsi="Times New Roman"/>
                <w:sz w:val="20"/>
              </w:rPr>
              <w:t> </w:t>
            </w:r>
            <w:r>
              <w:rPr>
                <w:rFonts w:ascii="Arial;sans-serif" w:hAnsi="Arial;sans-serif"/>
                <w:b w:val="false"/>
                <w:sz w:val="20"/>
              </w:rPr>
              <w:t>E. H</w:t>
            </w:r>
            <w:r>
              <w:rPr>
                <w:rFonts w:ascii="Arial;sans-serif" w:hAnsi="Arial;sans-serif"/>
                <w:b w:val="false"/>
                <w:sz w:val="15"/>
              </w:rPr>
              <w:t>OOD</w:t>
            </w:r>
          </w:p>
        </w:tc>
      </w:tr>
      <w:tr>
        <w:trPr/>
        <w:tc>
          <w:tcPr>
            <w:tcW w:w="274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Amy E. Hood</w:t>
            </w:r>
          </w:p>
        </w:tc>
      </w:tr>
      <w:tr>
        <w:trPr/>
        <w:tc>
          <w:tcPr>
            <w:tcW w:w="274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Executive Vice President and</w:t>
            </w:r>
          </w:p>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Chief Financial Officer</w:t>
            </w:r>
          </w:p>
        </w:tc>
      </w:tr>
      <w:tr>
        <w:trPr/>
        <w:tc>
          <w:tcPr>
            <w:tcW w:w="2746" w:type="dxa"/>
            <w:tcBorders/>
            <w:shd w:fill="auto" w:val="clear"/>
            <w:vAlign w:val="center"/>
          </w:tcPr>
          <w:p>
            <w:pPr>
              <w:pStyle w:val="TableContents"/>
              <w:spacing w:before="0" w:after="0"/>
              <w:ind w:left="0" w:right="0" w:hanging="0"/>
              <w:jc w:val="left"/>
              <w:rPr/>
            </w:pPr>
            <w:r>
              <w:rPr/>
              <w:t> </w:t>
            </w:r>
          </w:p>
        </w:tc>
      </w:tr>
      <w:tr>
        <w:trPr/>
        <w:tc>
          <w:tcPr>
            <w:tcW w:w="274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April 25, 2023</w:t>
            </w:r>
          </w:p>
        </w:tc>
      </w:tr>
    </w:tbl>
    <w:p>
      <w:pPr>
        <w:pStyle w:val="TextBody"/>
        <w:spacing w:before="0" w:after="0"/>
        <w:jc w:val="both"/>
        <w:rPr/>
      </w:pPr>
      <w:r>
        <w:rPr/>
        <w:t> </w:t>
      </w:r>
    </w:p>
    <w:p>
      <w:pPr>
        <w:pStyle w:val="HorizontalLine"/>
        <w:rPr/>
      </w:pPr>
      <w:r>
        <w:rPr/>
      </w:r>
      <w:r>
        <w:br w:type="page"/>
      </w:r>
    </w:p>
    <w:p>
      <w:pPr>
        <w:pStyle w:val="TextBody"/>
        <w:spacing w:before="0" w:after="0"/>
        <w:jc w:val="left"/>
        <w:rPr/>
      </w:pPr>
      <w:bookmarkStart w:id="28" w:name="msft-ex32_1.htm"/>
      <w:bookmarkStart w:id="29" w:name="ksmsftex32_1"/>
      <w:bookmarkEnd w:id="28"/>
      <w:bookmarkEnd w:id="29"/>
      <w:r>
        <w:rPr/>
        <w:t> </w:t>
      </w:r>
    </w:p>
    <w:p>
      <w:pPr>
        <w:pStyle w:val="TextBody"/>
        <w:spacing w:before="0" w:after="0"/>
        <w:jc w:val="right"/>
        <w:rPr>
          <w:rFonts w:ascii="Times New Roman" w:hAnsi="Times New Roman"/>
          <w:sz w:val="20"/>
        </w:rPr>
      </w:pPr>
      <w:r>
        <w:rPr>
          <w:rFonts w:ascii="Arial;sans-serif" w:hAnsi="Arial;sans-serif"/>
          <w:b w:val="false"/>
          <w:sz w:val="20"/>
        </w:rPr>
        <w:t>Exhibit 32.1</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Arial;sans-serif" w:hAnsi="Arial;sans-serif"/>
          <w:b/>
          <w:sz w:val="20"/>
        </w:rPr>
        <w:t>CERTIFICATION PURSUANT TO</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sz w:val="20"/>
        </w:rPr>
        <w:t>SECTION 906 OF THE SARBANES-OXLEY ACT OF 2002</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sz w:val="20"/>
        </w:rPr>
        <w:t>(18 U.S.C. SECTION 1350)</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In connection with the Quarterly Report of Microsoft Corporation, a Washington corporation (the “Company”), on Form 10-Q for the quarter ended March 31, 2023, as filed with the Securities and Exchange Commission (the “Report”), Satya Nadella, Chief Executive Officer of the Company, does hereby certify, pursuant to § 906 of the Sarbanes-Oxley Act of 2002 (18 U.S.C. § 1350), that to his knowledge:</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(1) The Report fully complies with the requirements of section 13(a) or 15(d) of the Securities Exchange Act of 1934; and</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(2) The information contained in the Report fairly presents, in all material respects, the financial condition and results of operations of the Company.</w:t>
      </w:r>
      <w:r>
        <w:rPr>
          <w:rFonts w:ascii="Times New Roman" w:hAnsi="Times New Roman"/>
          <w:sz w:val="20"/>
        </w:rPr>
        <w:t xml:space="preserve"> </w:t>
      </w:r>
    </w:p>
    <w:p>
      <w:pPr>
        <w:pStyle w:val="TextBody"/>
        <w:spacing w:before="0" w:after="0"/>
        <w:jc w:val="both"/>
        <w:rPr/>
      </w:pPr>
      <w:r>
        <w:rPr/>
        <w:t> </w:t>
      </w:r>
    </w:p>
    <w:tbl>
      <w:tblPr>
        <w:tblW w:w="2191" w:type="dxa"/>
        <w:jc w:val="left"/>
        <w:tblInd w:w="0" w:type="dxa"/>
        <w:tblCellMar>
          <w:top w:w="28" w:type="dxa"/>
          <w:left w:w="28" w:type="dxa"/>
          <w:bottom w:w="28" w:type="dxa"/>
          <w:right w:w="28" w:type="dxa"/>
        </w:tblCellMar>
      </w:tblPr>
      <w:tblGrid>
        <w:gridCol w:w="2191"/>
      </w:tblGrid>
      <w:tr>
        <w:trPr/>
        <w:tc>
          <w:tcPr>
            <w:tcW w:w="2191" w:type="dxa"/>
            <w:tcBorders/>
            <w:shd w:fill="auto" w:val="clear"/>
            <w:vAlign w:val="center"/>
          </w:tcPr>
          <w:p>
            <w:pPr>
              <w:pStyle w:val="TableContents"/>
              <w:spacing w:before="0" w:after="283"/>
              <w:rPr>
                <w:sz w:val="4"/>
                <w:szCs w:val="4"/>
              </w:rPr>
            </w:pPr>
            <w:r>
              <w:rPr>
                <w:sz w:val="4"/>
                <w:szCs w:val="4"/>
              </w:rPr>
            </w:r>
          </w:p>
        </w:tc>
      </w:tr>
      <w:tr>
        <w:trPr/>
        <w:tc>
          <w:tcPr>
            <w:tcW w:w="2191"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/s/ S</w:t>
            </w:r>
            <w:r>
              <w:rPr>
                <w:rFonts w:ascii="Arial;sans-serif" w:hAnsi="Arial;sans-serif"/>
                <w:b w:val="false"/>
                <w:sz w:val="15"/>
              </w:rPr>
              <w:t>ATYA</w:t>
            </w:r>
            <w:r>
              <w:rPr>
                <w:rFonts w:ascii="Times New Roman" w:hAnsi="Times New Roman"/>
                <w:sz w:val="20"/>
              </w:rPr>
              <w:t> </w:t>
            </w:r>
            <w:r>
              <w:rPr>
                <w:rFonts w:ascii="Arial;sans-serif" w:hAnsi="Arial;sans-serif"/>
                <w:b w:val="false"/>
                <w:sz w:val="20"/>
              </w:rPr>
              <w:t>N</w:t>
            </w:r>
            <w:r>
              <w:rPr>
                <w:rFonts w:ascii="Arial;sans-serif" w:hAnsi="Arial;sans-serif"/>
                <w:b w:val="false"/>
                <w:sz w:val="15"/>
              </w:rPr>
              <w:t>ADELLA</w:t>
            </w:r>
          </w:p>
        </w:tc>
      </w:tr>
      <w:tr>
        <w:trPr/>
        <w:tc>
          <w:tcPr>
            <w:tcW w:w="21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Satya Nadella</w:t>
            </w:r>
          </w:p>
        </w:tc>
      </w:tr>
      <w:tr>
        <w:trPr/>
        <w:tc>
          <w:tcPr>
            <w:tcW w:w="21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Chief Executive Officer</w:t>
            </w:r>
          </w:p>
        </w:tc>
      </w:tr>
    </w:tbl>
    <w:p>
      <w:pPr>
        <w:pStyle w:val="TextBody"/>
        <w:spacing w:before="0" w:after="0"/>
        <w:jc w:val="both"/>
        <w:rPr/>
      </w:pPr>
      <w:r>
        <w:rPr/>
        <w:t> </w:t>
      </w:r>
    </w:p>
    <w:p>
      <w:pPr>
        <w:pStyle w:val="TextBody"/>
        <w:spacing w:before="0" w:after="0"/>
        <w:jc w:val="both"/>
        <w:rPr>
          <w:rFonts w:ascii="Arial;sans-serif" w:hAnsi="Arial;sans-serif"/>
          <w:b w:val="false"/>
          <w:sz w:val="20"/>
        </w:rPr>
      </w:pPr>
      <w:r>
        <w:rPr>
          <w:rFonts w:ascii="Arial;sans-serif" w:hAnsi="Arial;sans-serif"/>
          <w:b w:val="false"/>
          <w:sz w:val="20"/>
        </w:rPr>
        <w:t>April 25, 2023</w:t>
      </w:r>
    </w:p>
    <w:p>
      <w:pPr>
        <w:pStyle w:val="TextBody"/>
        <w:spacing w:before="180" w:after="0"/>
        <w:jc w:val="both"/>
        <w:rPr>
          <w:rFonts w:ascii="Times New Roman" w:hAnsi="Times New Roman"/>
          <w:sz w:val="20"/>
        </w:rPr>
      </w:pPr>
      <w:r>
        <w:rPr>
          <w:rFonts w:ascii="Arial;sans-serif" w:hAnsi="Arial;sans-serif"/>
          <w:b w:val="false"/>
          <w:sz w:val="20"/>
        </w:rPr>
        <w:t>[A signed original of this written statement required by Section 906 has been provided to Microsoft Corporation and will be retained by Microsoft Corporation and furnished to the Securities and Exchange Commission or its staff upon request.]</w:t>
      </w:r>
      <w:r>
        <w:rPr>
          <w:rFonts w:ascii="Times New Roman" w:hAnsi="Times New Roman"/>
          <w:sz w:val="20"/>
        </w:rPr>
        <w:t xml:space="preserve">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30" w:name="msft-ex32_2.htm"/>
      <w:bookmarkStart w:id="31" w:name="ksmsftex32_2"/>
      <w:bookmarkEnd w:id="30"/>
      <w:bookmarkEnd w:id="31"/>
      <w:r>
        <w:rPr/>
        <w:t> </w:t>
      </w:r>
    </w:p>
    <w:p>
      <w:pPr>
        <w:pStyle w:val="TextBody"/>
        <w:spacing w:before="0" w:after="0"/>
        <w:jc w:val="right"/>
        <w:rPr>
          <w:rFonts w:ascii="Times New Roman" w:hAnsi="Times New Roman"/>
          <w:sz w:val="20"/>
        </w:rPr>
      </w:pPr>
      <w:r>
        <w:rPr>
          <w:rFonts w:ascii="Arial;sans-serif" w:hAnsi="Arial;sans-serif"/>
          <w:b w:val="false"/>
          <w:sz w:val="20"/>
        </w:rPr>
        <w:t>Exhibit 32.2</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Arial;sans-serif" w:hAnsi="Arial;sans-serif"/>
          <w:b/>
          <w:sz w:val="20"/>
        </w:rPr>
        <w:t>CERTIFICATION PURSUANT TO</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sz w:val="20"/>
        </w:rPr>
        <w:t>SECTION 906 OF THE SARBANES-OXLEY ACT OF 2002</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sz w:val="20"/>
        </w:rPr>
        <w:t>(18 U.S.C. SECTION 1350)</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In connection with the Quarterly Report of Microsoft Corporation, a Washington corporation (the “Company”), on Form 10-Q for the quarter ended March 31, 2023, as filed with the Securities and Exchange Commission (the “Report”), Amy E. Hood, Chief Financial Officer of the Company, does hereby certify, pursuant to § 906 of the Sarbanes-Oxley Act of 2002 (18 U.S.C. § 1350), that to her knowledge:</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(1) The Report fully complies with the requirements of section 13(a) or 15(d) of the Securities Exchange Act of 1934; and</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(2) The information contained in the Report fairly presents, in all material respects, the financial condition and results of operations of the Company.</w:t>
      </w:r>
      <w:r>
        <w:rPr>
          <w:rFonts w:ascii="Times New Roman" w:hAnsi="Times New Roman"/>
          <w:sz w:val="20"/>
        </w:rPr>
        <w:t xml:space="preserve"> </w:t>
      </w:r>
    </w:p>
    <w:p>
      <w:pPr>
        <w:pStyle w:val="TextBody"/>
        <w:spacing w:before="0" w:after="0"/>
        <w:jc w:val="both"/>
        <w:rPr/>
      </w:pPr>
      <w:r>
        <w:rPr/>
        <w:t> </w:t>
      </w:r>
    </w:p>
    <w:tbl>
      <w:tblPr>
        <w:tblW w:w="2746" w:type="dxa"/>
        <w:jc w:val="left"/>
        <w:tblInd w:w="0" w:type="dxa"/>
        <w:tblCellMar>
          <w:top w:w="28" w:type="dxa"/>
          <w:left w:w="28" w:type="dxa"/>
          <w:bottom w:w="28" w:type="dxa"/>
          <w:right w:w="28" w:type="dxa"/>
        </w:tblCellMar>
      </w:tblPr>
      <w:tblGrid>
        <w:gridCol w:w="2746"/>
      </w:tblGrid>
      <w:tr>
        <w:trPr/>
        <w:tc>
          <w:tcPr>
            <w:tcW w:w="2746" w:type="dxa"/>
            <w:tcBorders/>
            <w:shd w:fill="auto" w:val="clear"/>
            <w:vAlign w:val="center"/>
          </w:tcPr>
          <w:p>
            <w:pPr>
              <w:pStyle w:val="TableContents"/>
              <w:spacing w:before="0" w:after="283"/>
              <w:rPr>
                <w:sz w:val="4"/>
                <w:szCs w:val="4"/>
              </w:rPr>
            </w:pPr>
            <w:r>
              <w:rPr>
                <w:sz w:val="4"/>
                <w:szCs w:val="4"/>
              </w:rPr>
            </w:r>
          </w:p>
        </w:tc>
      </w:tr>
      <w:tr>
        <w:trPr/>
        <w:tc>
          <w:tcPr>
            <w:tcW w:w="2746"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/s/ A</w:t>
            </w:r>
            <w:r>
              <w:rPr>
                <w:rFonts w:ascii="Arial;sans-serif" w:hAnsi="Arial;sans-serif"/>
                <w:b w:val="false"/>
                <w:sz w:val="15"/>
              </w:rPr>
              <w:t>MY</w:t>
            </w:r>
            <w:r>
              <w:rPr>
                <w:rFonts w:ascii="Times New Roman" w:hAnsi="Times New Roman"/>
                <w:sz w:val="20"/>
              </w:rPr>
              <w:t> </w:t>
            </w:r>
            <w:r>
              <w:rPr>
                <w:rFonts w:ascii="Arial;sans-serif" w:hAnsi="Arial;sans-serif"/>
                <w:b w:val="false"/>
                <w:sz w:val="20"/>
              </w:rPr>
              <w:t>E. H</w:t>
            </w:r>
            <w:r>
              <w:rPr>
                <w:rFonts w:ascii="Arial;sans-serif" w:hAnsi="Arial;sans-serif"/>
                <w:b w:val="false"/>
                <w:sz w:val="15"/>
              </w:rPr>
              <w:t>OOD</w:t>
            </w:r>
          </w:p>
        </w:tc>
      </w:tr>
      <w:tr>
        <w:trPr/>
        <w:tc>
          <w:tcPr>
            <w:tcW w:w="274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Amy E. Hood</w:t>
            </w:r>
          </w:p>
        </w:tc>
      </w:tr>
      <w:tr>
        <w:trPr/>
        <w:tc>
          <w:tcPr>
            <w:tcW w:w="274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Executive Vice President and</w:t>
            </w:r>
          </w:p>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Chief Financial Officer</w:t>
            </w:r>
          </w:p>
        </w:tc>
      </w:tr>
    </w:tbl>
    <w:p>
      <w:pPr>
        <w:pStyle w:val="TextBody"/>
        <w:spacing w:before="0" w:after="0"/>
        <w:jc w:val="both"/>
        <w:rPr/>
      </w:pPr>
      <w:r>
        <w:rPr/>
        <w:t> </w:t>
      </w:r>
    </w:p>
    <w:p>
      <w:pPr>
        <w:pStyle w:val="TextBody"/>
        <w:spacing w:before="0" w:after="0"/>
        <w:jc w:val="both"/>
        <w:rPr>
          <w:rFonts w:ascii="Arial;sans-serif" w:hAnsi="Arial;sans-serif"/>
          <w:b w:val="false"/>
          <w:sz w:val="20"/>
        </w:rPr>
      </w:pPr>
      <w:r>
        <w:rPr>
          <w:rFonts w:ascii="Arial;sans-serif" w:hAnsi="Arial;sans-serif"/>
          <w:b w:val="false"/>
          <w:sz w:val="20"/>
        </w:rPr>
        <w:t>April 25, 2023</w:t>
      </w:r>
    </w:p>
    <w:p>
      <w:pPr>
        <w:pStyle w:val="TextBody"/>
        <w:spacing w:before="180" w:after="0"/>
        <w:jc w:val="both"/>
        <w:rPr>
          <w:rFonts w:ascii="Arial;sans-serif" w:hAnsi="Arial;sans-serif"/>
          <w:b w:val="false"/>
          <w:sz w:val="20"/>
        </w:rPr>
      </w:pPr>
      <w:r>
        <w:rPr>
          <w:rFonts w:ascii="Arial;sans-serif" w:hAnsi="Arial;sans-serif"/>
          <w:b w:val="false"/>
          <w:sz w:val="20"/>
        </w:rPr>
        <w:t>[A signed original of this written statement required by Section 906 has been provided to Microsoft Corporation and will be retained by Microsoft Corporation and furnished to the Securities and Exchange Commission or its staff upon request.]</w:t>
      </w:r>
    </w:p>
    <w:p>
      <w:pPr>
        <w:pStyle w:val="TextBody"/>
        <w:spacing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sans-serif"/>
    <w:charset w:val="00"/>
    <w:family w:val="auto"/>
    <w:pitch w:val="default"/>
  </w:font>
  <w:font w:name="Times New Roman">
    <w:charset w:val="00"/>
    <w:family w:val="auto"/>
    <w:pitch w:val="default"/>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15</Pages>
  <Words>33630</Words>
  <CharactersWithSpaces>224182</CharactersWithSpaces>
  <Paragraphs>13584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