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80"/>
        <w:gridCol w:w="446"/>
        <w:gridCol w:w="609"/>
        <w:gridCol w:w="1445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50,957.4031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under the Executive Incentive Plan that will vest over four years with 25% vesting on August 31, 2027, and then 6.25% vesting each three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Coleman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previous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Microsoft Corporation and the subject matter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make, constitute and appoint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Brian DeFoe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or any of them acting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re-substitution and delegation, to be my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(each of such persons and their substitutes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delegees being referred to herein as the Attorney-in-Fact),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to act for me in my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stead, in my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shareholder of Microsoft Corporation (the Company),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(SEC) utilizing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(EDGAR) system, which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(a) enrolling me in EDGAR Next and (b) preparing,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executing and submitting to the SEC a Form ID,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other documents and information as may be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me to make filings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 am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or any rule or regulation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under Rule 144 under the Securities Act of 1933 (Rule 144),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SEC Filings);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Microsoft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my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my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maintain, modify and certify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my EDGAR account dashboard; (iv) act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point of contact with respect to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Microsoft EDGAR account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my representative and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Microsoft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I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his or her discretion 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me pursuant to this Power of Attorney will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will contain such information as the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my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mine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mine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me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my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Exchange Act, including,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limitation, the reporting requirements under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grant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to be done in connection with the foregoing,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fully, to all intents and purposes, as I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person, hereby ratifying and confirming all that the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his or her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authority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4 or 5 or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13G or Forms 144 with respect to my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of the Company, unless earlier revoked by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the Attorney-in-Fact.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revokes all previous powers of attorney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subject 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I have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September 16,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Amy L. Coleman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Amy L. Coleman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356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1472</Words>
  <Characters>7743</Characters>
  <CharactersWithSpaces>9051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