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4"/>
          <w:szCs w:val="24"/>
          <w:color w:val="auto"/>
        </w:rPr>
      </w:pPr>
    </w:p>
    <w:tbl>
      <w:tblPr>
        <w:tblLayout w:type="fixed"/>
        <w:tblInd w:w="944" w:type="dxa"/>
        <w:tblCellMar>
          <w:top w:w="0" w:type="dxa"/>
          <w:left w:w="0" w:type="dxa"/>
          <w:bottom w:w="0" w:type="dxa"/>
          <w:right w:w="0" w:type="dxa"/>
        </w:tblCellMar>
      </w:tblPr>
      <w:tr>
        <w:trPr>
          <w:trHeight w:val="212"/>
        </w:trPr>
        <w:tc>
          <w:tcPr>
            <w:tcW w:w="3940" w:type="dxa"/>
            <w:vAlign w:val="bottom"/>
          </w:tcPr>
          <w:p>
            <w:pPr>
              <w:jc w:val="center"/>
              <w:ind w:right="1999"/>
              <w:spacing w:after="0"/>
              <w:rPr>
                <w:sz w:val="20"/>
                <w:szCs w:val="20"/>
                <w:color w:val="auto"/>
              </w:rPr>
            </w:pPr>
            <w:r>
              <w:rPr>
                <w:rFonts w:ascii="Arial" w:cs="Arial" w:eastAsia="Arial" w:hAnsi="Arial"/>
                <w:sz w:val="18"/>
                <w:szCs w:val="18"/>
                <w:b w:val="1"/>
                <w:bCs w:val="1"/>
                <w:color w:val="auto"/>
                <w:w w:val="98"/>
              </w:rPr>
              <w:t>Washington</w:t>
            </w:r>
          </w:p>
        </w:tc>
        <w:tc>
          <w:tcPr>
            <w:tcW w:w="2080" w:type="dxa"/>
            <w:vAlign w:val="bottom"/>
          </w:tcPr>
          <w:p>
            <w:pPr>
              <w:ind w:left="300"/>
              <w:spacing w:after="0"/>
              <w:rPr>
                <w:sz w:val="20"/>
                <w:szCs w:val="20"/>
                <w:color w:val="auto"/>
              </w:rPr>
            </w:pPr>
            <w:r>
              <w:rPr>
                <w:rFonts w:ascii="Arial" w:cs="Arial" w:eastAsia="Arial" w:hAnsi="Arial"/>
                <w:sz w:val="18"/>
                <w:szCs w:val="18"/>
                <w:b w:val="1"/>
                <w:bCs w:val="1"/>
                <w:color w:val="auto"/>
              </w:rPr>
              <w:t>001-37845</w:t>
            </w:r>
          </w:p>
        </w:tc>
        <w:tc>
          <w:tcPr>
            <w:tcW w:w="2900" w:type="dxa"/>
            <w:vAlign w:val="bottom"/>
          </w:tcPr>
          <w:p>
            <w:pPr>
              <w:jc w:val="center"/>
              <w:ind w:left="1599"/>
              <w:spacing w:after="0"/>
              <w:rPr>
                <w:sz w:val="20"/>
                <w:szCs w:val="20"/>
                <w:color w:val="auto"/>
              </w:rPr>
            </w:pPr>
            <w:r>
              <w:rPr>
                <w:rFonts w:ascii="Arial" w:cs="Arial" w:eastAsia="Arial" w:hAnsi="Arial"/>
                <w:sz w:val="18"/>
                <w:szCs w:val="18"/>
                <w:b w:val="1"/>
                <w:bCs w:val="1"/>
                <w:color w:val="auto"/>
                <w:w w:val="97"/>
              </w:rPr>
              <w:t>91-1144442</w:t>
            </w:r>
          </w:p>
        </w:tc>
      </w:tr>
      <w:tr>
        <w:trPr>
          <w:trHeight w:val="162"/>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(State or Other Jurisdiction</w:t>
            </w: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(Commission</w:t>
            </w:r>
          </w:p>
        </w:tc>
        <w:tc>
          <w:tcPr>
            <w:tcW w:w="2900" w:type="dxa"/>
            <w:vAlign w:val="bottom"/>
          </w:tcPr>
          <w:p>
            <w:pPr>
              <w:jc w:val="center"/>
              <w:ind w:left="1599"/>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940" w:type="dxa"/>
            <w:vAlign w:val="bottom"/>
          </w:tcPr>
          <w:p>
            <w:pPr>
              <w:jc w:val="center"/>
              <w:ind w:right="1999"/>
              <w:spacing w:after="0"/>
              <w:rPr>
                <w:sz w:val="20"/>
                <w:szCs w:val="20"/>
                <w:color w:val="auto"/>
              </w:rPr>
            </w:pPr>
            <w:r>
              <w:rPr>
                <w:rFonts w:ascii="Arial" w:cs="Arial" w:eastAsia="Arial" w:hAnsi="Arial"/>
                <w:sz w:val="14"/>
                <w:szCs w:val="14"/>
                <w:b w:val="1"/>
                <w:bCs w:val="1"/>
                <w:color w:val="auto"/>
              </w:rPr>
              <w:t>of Incorporation)</w:t>
            </w:r>
          </w:p>
        </w:tc>
        <w:tc>
          <w:tcPr>
            <w:tcW w:w="2080" w:type="dxa"/>
            <w:vAlign w:val="bottom"/>
          </w:tcPr>
          <w:p>
            <w:pPr>
              <w:ind w:left="300"/>
              <w:spacing w:after="0"/>
              <w:rPr>
                <w:sz w:val="20"/>
                <w:szCs w:val="20"/>
                <w:color w:val="auto"/>
              </w:rPr>
            </w:pPr>
            <w:r>
              <w:rPr>
                <w:rFonts w:ascii="Arial" w:cs="Arial" w:eastAsia="Arial" w:hAnsi="Arial"/>
                <w:sz w:val="14"/>
                <w:szCs w:val="14"/>
                <w:b w:val="1"/>
                <w:bCs w:val="1"/>
                <w:color w:val="auto"/>
              </w:rPr>
              <w:t>File Number)</w:t>
            </w:r>
          </w:p>
        </w:tc>
        <w:tc>
          <w:tcPr>
            <w:tcW w:w="2900" w:type="dxa"/>
            <w:vAlign w:val="bottom"/>
          </w:tcPr>
          <w:p>
            <w:pPr>
              <w:jc w:val="center"/>
              <w:ind w:left="1599"/>
              <w:spacing w:after="0"/>
              <w:rPr>
                <w:sz w:val="20"/>
                <w:szCs w:val="20"/>
                <w:color w:val="auto"/>
              </w:rPr>
            </w:pPr>
            <w:r>
              <w:rPr>
                <w:rFonts w:ascii="Arial" w:cs="Arial" w:eastAsia="Arial" w:hAnsi="Arial"/>
                <w:sz w:val="14"/>
                <w:szCs w:val="14"/>
                <w:b w:val="1"/>
                <w:bCs w:val="1"/>
                <w:color w:val="auto"/>
              </w:rPr>
              <w:t>Identification No.)</w:t>
            </w:r>
          </w:p>
        </w:tc>
      </w:tr>
      <w:tr>
        <w:trPr>
          <w:trHeight w:val="459"/>
        </w:trPr>
        <w:tc>
          <w:tcPr>
            <w:tcW w:w="394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80" w:type="dxa"/>
            <w:vAlign w:val="bottom"/>
          </w:tcPr>
          <w:p>
            <w:pPr>
              <w:spacing w:after="0"/>
              <w:rPr>
                <w:sz w:val="24"/>
                <w:szCs w:val="24"/>
                <w:color w:val="auto"/>
              </w:rPr>
            </w:pPr>
          </w:p>
        </w:tc>
        <w:tc>
          <w:tcPr>
            <w:tcW w:w="2900" w:type="dxa"/>
            <w:vAlign w:val="bottom"/>
          </w:tcPr>
          <w:p>
            <w:pPr>
              <w:jc w:val="right"/>
              <w:ind w:right="959"/>
              <w:spacing w:after="0"/>
              <w:rPr>
                <w:sz w:val="20"/>
                <w:szCs w:val="20"/>
                <w:color w:val="auto"/>
              </w:rPr>
            </w:pPr>
            <w:r>
              <w:rPr>
                <w:rFonts w:ascii="Arial" w:cs="Arial" w:eastAsia="Arial" w:hAnsi="Arial"/>
                <w:sz w:val="18"/>
                <w:szCs w:val="18"/>
                <w:b w:val="1"/>
                <w:bCs w:val="1"/>
                <w:color w:val="auto"/>
              </w:rPr>
              <w:t>98052-6399</w:t>
            </w:r>
          </w:p>
        </w:tc>
      </w:tr>
    </w:tbl>
    <w:p>
      <w:pPr>
        <w:spacing w:after="0" w:line="17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www.microsoft.com/investor</w:t>
      </w:r>
    </w:p>
    <w:p>
      <w:pPr>
        <w:spacing w:after="0" w:line="197"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6600" w:type="dxa"/>
            <w:vAlign w:val="bottom"/>
            <w:gridSpan w:val="2"/>
          </w:tcPr>
          <w:p>
            <w:pPr>
              <w:ind w:left="2660"/>
              <w:spacing w:after="0"/>
              <w:rPr>
                <w:sz w:val="20"/>
                <w:szCs w:val="20"/>
                <w:color w:val="auto"/>
              </w:rPr>
            </w:pPr>
            <w:r>
              <w:rPr>
                <w:rFonts w:ascii="Arial" w:cs="Arial" w:eastAsia="Arial" w:hAnsi="Arial"/>
                <w:sz w:val="14"/>
                <w:szCs w:val="14"/>
                <w:color w:val="auto"/>
              </w:rPr>
              <w:t>Title of each class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w:t>
            </w:r>
          </w:p>
        </w:tc>
        <w:tc>
          <w:tcPr>
            <w:tcW w:w="2880" w:type="dxa"/>
            <w:vAlign w:val="bottom"/>
          </w:tcPr>
          <w:p>
            <w:pPr>
              <w:jc w:val="center"/>
              <w:spacing w:after="0"/>
              <w:rPr>
                <w:sz w:val="20"/>
                <w:szCs w:val="20"/>
                <w:color w:val="auto"/>
              </w:rPr>
            </w:pPr>
            <w:r>
              <w:rPr>
                <w:rFonts w:ascii="Arial" w:cs="Arial" w:eastAsia="Arial" w:hAnsi="Arial"/>
                <w:sz w:val="14"/>
                <w:szCs w:val="14"/>
                <w:color w:val="auto"/>
              </w:rPr>
              <w:t>Name of exchange on which registered</w:t>
            </w:r>
          </w:p>
        </w:tc>
      </w:tr>
      <w:tr>
        <w:trPr>
          <w:trHeight w:val="177"/>
        </w:trPr>
        <w:tc>
          <w:tcPr>
            <w:tcW w:w="648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Common stock, $0.00000625 par value per share</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rPr>
              <w:t>MSFT</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3.125% Notes due 2028</w:t>
            </w: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4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2.625% Notes due 2033</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line="172" w:lineRule="exact"/>
        <w:rPr>
          <w:sz w:val="24"/>
          <w:szCs w:val="24"/>
          <w:color w:val="auto"/>
        </w:rPr>
      </w:pPr>
    </w:p>
    <w:p>
      <w:pPr>
        <w:ind w:left="4" w:right="660"/>
        <w:spacing w:after="0" w:line="22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25"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July 26, 2022, Microsoft Corporation issued a press release announcing its financial results for the fiscal quarter and year ended June 30, 2022. A copy of the press release is furnished as Exhibit 99.1 to this report.</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EE"/>
        </w:rPr>
        <w:t>Press release, dated July 26, 2022, issued by Microsoft Corporation</w:t>
      </w:r>
    </w:p>
    <w:p>
      <w:pPr>
        <w:spacing w:after="0" w:line="14"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760"/>
          </w:cols>
          <w:pgMar w:left="440" w:top="296" w:right="69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MICROSOFT CORPORATION</w:t>
      </w:r>
    </w:p>
    <w:p>
      <w:pPr>
        <w:spacing w:after="0" w:line="1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194"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Date: July 26, 2022</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LICE</w:t>
      </w:r>
      <w:r>
        <w:rPr>
          <w:rFonts w:ascii="Arial" w:cs="Arial" w:eastAsia="Arial" w:hAnsi="Arial"/>
          <w:sz w:val="18"/>
          <w:szCs w:val="18"/>
          <w:color w:val="auto"/>
        </w:rPr>
        <w:t xml:space="preserve"> L. J</w:t>
      </w:r>
      <w:r>
        <w:rPr>
          <w:rFonts w:ascii="Arial" w:cs="Arial" w:eastAsia="Arial" w:hAnsi="Arial"/>
          <w:sz w:val="14"/>
          <w:szCs w:val="14"/>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8890</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Alice L. Jolla</w:t>
      </w:r>
    </w:p>
    <w:p>
      <w:pPr>
        <w:jc w:val="center"/>
        <w:ind w:left="5720"/>
        <w:spacing w:after="0"/>
        <w:rPr>
          <w:sz w:val="20"/>
          <w:szCs w:val="20"/>
          <w:color w:val="auto"/>
        </w:rPr>
      </w:pPr>
      <w:r>
        <w:rPr>
          <w:rFonts w:ascii="Arial" w:cs="Arial" w:eastAsia="Arial" w:hAnsi="Arial"/>
          <w:sz w:val="18"/>
          <w:szCs w:val="18"/>
          <w:color w:val="auto"/>
        </w:rPr>
        <w:t>Corporate Vice President and Chief Accounting</w:t>
      </w:r>
    </w:p>
    <w:p>
      <w:pPr>
        <w:jc w:val="center"/>
        <w:ind w:left="57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860"/>
          </w:cols>
          <w:pgMar w:left="440" w:top="296"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color w:val="666666"/>
        </w:rPr>
        <w:t>Microsoft Cloud Strength Drives Fourth Quarter Results</w:t>
      </w:r>
    </w:p>
    <w:p>
      <w:pPr>
        <w:spacing w:after="0" w:line="23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666666"/>
        </w:rPr>
        <w:t xml:space="preserve">REDMOND, Wash. — July 26, 2022 — </w:t>
      </w:r>
      <w:r>
        <w:rPr>
          <w:rFonts w:ascii="Arial" w:cs="Arial" w:eastAsia="Arial" w:hAnsi="Arial"/>
          <w:sz w:val="18"/>
          <w:szCs w:val="18"/>
          <w:color w:val="666666"/>
        </w:rPr>
        <w:t>Microsoft Corp. today announced the following results for the quarter ended June 30, 2022, as</w:t>
      </w:r>
      <w:r>
        <w:rPr>
          <w:rFonts w:ascii="Arial" w:cs="Arial" w:eastAsia="Arial" w:hAnsi="Arial"/>
          <w:sz w:val="18"/>
          <w:szCs w:val="18"/>
          <w:b w:val="1"/>
          <w:bCs w:val="1"/>
          <w:color w:val="666666"/>
        </w:rPr>
        <w:t xml:space="preserve"> </w:t>
      </w:r>
      <w:r>
        <w:rPr>
          <w:rFonts w:ascii="Arial" w:cs="Arial" w:eastAsia="Arial" w:hAnsi="Arial"/>
          <w:sz w:val="18"/>
          <w:szCs w:val="18"/>
          <w:color w:val="666666"/>
        </w:rPr>
        <w:t>compared to the corresponding period of last fiscal year:</w:t>
      </w:r>
    </w:p>
    <w:p>
      <w:pPr>
        <w:spacing w:after="0" w:line="18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Revenue was $51.9 billion and increased 12% (up 16% in constant currency)</w:t>
      </w:r>
    </w:p>
    <w:p>
      <w:pPr>
        <w:spacing w:after="0" w:line="13" w:lineRule="exact"/>
        <w:rPr>
          <w:rFonts w:ascii="Arial" w:cs="Arial" w:eastAsia="Arial" w:hAnsi="Arial"/>
          <w:sz w:val="18"/>
          <w:szCs w:val="18"/>
          <w:color w:val="666666"/>
        </w:rPr>
      </w:pPr>
    </w:p>
    <w:p>
      <w:pPr>
        <w:ind w:left="960" w:hanging="424"/>
        <w:spacing w:after="0" w:line="234" w:lineRule="auto"/>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Operating income was $20.5 billion and increased 8% (up 14% in constant currency)</w:t>
      </w:r>
    </w:p>
    <w:p>
      <w:pPr>
        <w:ind w:left="960" w:hanging="424"/>
        <w:spacing w:after="0" w:line="234" w:lineRule="auto"/>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Net income was $16.7 billion and increased 2% (up 7% in constant currency)</w:t>
      </w:r>
    </w:p>
    <w:p>
      <w:pPr>
        <w:ind w:left="960" w:hanging="424"/>
        <w:spacing w:after="0"/>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Diluted earnings per share was $2.23 and increased 3% (up 8% in constant currency)</w:t>
      </w:r>
    </w:p>
    <w:p>
      <w:pPr>
        <w:spacing w:after="0" w:line="19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666666"/>
        </w:rPr>
        <w:t>“We see real opportunity to help every customer in every industry use digital technology to overcome today’s challenges and emerge stronger,” said Satya Nadella, chairman and chief executive officer of Microsoft. “No company is better positioned than Microsoft to help organizations deliver on their digital imperative - so they can do more with less.”</w:t>
      </w:r>
    </w:p>
    <w:p>
      <w:pPr>
        <w:spacing w:after="0" w:line="169"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666666"/>
        </w:rPr>
        <w:t>“In a dynamic environment we saw strong demand, took share, and increased customer commitment to our cloud platform. Commercial bookings grew 25% and Microsoft Cloud revenue was $25 billion, up 28% year over year,” said Amy Hood, executive vice president and chief financial officer of Microsoft. “As we begin a new fiscal year, we remain committed to balancing operational discipline with continued investments in key strategic areas to drive future growth.”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Impact of Recent Events</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666666"/>
        </w:rPr>
        <w:t>In the fourth quarter of fiscal year 2022, evolving macroeconomic conditions and other unforeseen items had an impact on financial results beyond what was included in our forward-looking guidance provided on April 26, 2022.</w:t>
      </w:r>
    </w:p>
    <w:p>
      <w:pPr>
        <w:spacing w:after="0" w:line="181" w:lineRule="exact"/>
        <w:rPr>
          <w:sz w:val="20"/>
          <w:szCs w:val="20"/>
          <w:color w:val="auto"/>
        </w:rPr>
      </w:pPr>
    </w:p>
    <w:p>
      <w:pPr>
        <w:ind w:left="960" w:right="140" w:hanging="424"/>
        <w:spacing w:after="0" w:line="245"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Unfavorable foreign exchange rate movement within the quarter negatively impacted revenue and diluted earnings per share $(595) million and $(0.04), respectively. Additional details are provided in the Earnings Call Slides.</w:t>
      </w:r>
    </w:p>
    <w:p>
      <w:pPr>
        <w:ind w:left="960" w:right="18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Extended production shutdowns in China that continued through May and a deteriorating PC market in June contributed to a negative impact on Windows OEM revenue of over $(300) million</w:t>
      </w:r>
    </w:p>
    <w:p>
      <w:pPr>
        <w:spacing w:after="0" w:line="1" w:lineRule="exact"/>
        <w:rPr>
          <w:rFonts w:ascii="Arial" w:cs="Arial" w:eastAsia="Arial" w:hAnsi="Arial"/>
          <w:sz w:val="18"/>
          <w:szCs w:val="18"/>
          <w:color w:val="666666"/>
        </w:rPr>
      </w:pPr>
    </w:p>
    <w:p>
      <w:pPr>
        <w:ind w:left="960" w:right="2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Reductions in advertising spend contributed to a negative impact on LinkedIn as well as Search and news advertising revenue of over $(100) million</w:t>
      </w:r>
    </w:p>
    <w:p>
      <w:pPr>
        <w:spacing w:after="0" w:line="1" w:lineRule="exact"/>
        <w:rPr>
          <w:rFonts w:ascii="Arial" w:cs="Arial" w:eastAsia="Arial" w:hAnsi="Arial"/>
          <w:sz w:val="18"/>
          <w:szCs w:val="18"/>
          <w:color w:val="666666"/>
        </w:rPr>
      </w:pPr>
    </w:p>
    <w:p>
      <w:pPr>
        <w:ind w:left="960" w:right="26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With the ongoing war in Ukraine, we made the decision to significantly scale down our operations in Russia. As a result, we recorded operating expenses of $126 million related to bad debt expense, asset impairments, and severance.</w:t>
      </w:r>
    </w:p>
    <w:p>
      <w:pPr>
        <w:spacing w:after="0" w:line="1" w:lineRule="exact"/>
        <w:rPr>
          <w:rFonts w:ascii="Arial" w:cs="Arial" w:eastAsia="Arial" w:hAnsi="Arial"/>
          <w:sz w:val="18"/>
          <w:szCs w:val="18"/>
          <w:color w:val="666666"/>
        </w:rPr>
      </w:pPr>
    </w:p>
    <w:p>
      <w:pPr>
        <w:ind w:left="960" w:right="680" w:hanging="424"/>
        <w:spacing w:after="0" w:line="250"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As part of a strategic realignment of our business groups, we recorded employee severance expenses of $113 million, excluding Russia</w:t>
      </w:r>
    </w:p>
    <w:p>
      <w:pPr>
        <w:sectPr>
          <w:pgSz w:w="11900" w:h="16838" w:orient="portrait"/>
          <w:cols w:equalWidth="0" w:num="1">
            <w:col w:w="11020"/>
          </w:cols>
          <w:pgMar w:left="440" w:top="12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Highlights</w:t>
      </w: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666666"/>
        </w:rPr>
        <w:t>Revenue in Productivity and Business Processes was $16.6 billion and increased 13% (up 17% in constant currency), with the following business highlights:</w:t>
      </w:r>
    </w:p>
    <w:p>
      <w:pPr>
        <w:spacing w:after="0" w:line="181" w:lineRule="exact"/>
        <w:rPr>
          <w:sz w:val="20"/>
          <w:szCs w:val="20"/>
          <w:color w:val="auto"/>
        </w:rPr>
      </w:pPr>
    </w:p>
    <w:p>
      <w:pPr>
        <w:ind w:left="960" w:right="320" w:hanging="424"/>
        <w:spacing w:after="0" w:line="245" w:lineRule="auto"/>
        <w:tabs>
          <w:tab w:leader="none" w:pos="9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Office Commercial products and cloud services revenue increased 9% (up 13% in constant currency) driven by Office 365 Commercial revenue growth of 15% (up 19% in constant currency)</w:t>
      </w:r>
    </w:p>
    <w:p>
      <w:pPr>
        <w:ind w:left="960" w:right="620" w:hanging="424"/>
        <w:spacing w:after="0" w:line="234" w:lineRule="auto"/>
        <w:tabs>
          <w:tab w:leader="none" w:pos="9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Office Consumer products and cloud services revenue increased 9% (up 12% in constant currency) and Microsoft 365 Consumer subscribers grew to 59.7 million</w:t>
      </w:r>
    </w:p>
    <w:p>
      <w:pPr>
        <w:spacing w:after="0" w:line="1" w:lineRule="exact"/>
        <w:rPr>
          <w:rFonts w:ascii="Arial" w:cs="Arial" w:eastAsia="Arial" w:hAnsi="Arial"/>
          <w:sz w:val="18"/>
          <w:szCs w:val="18"/>
          <w:color w:val="666666"/>
        </w:rPr>
      </w:pPr>
    </w:p>
    <w:p>
      <w:pPr>
        <w:ind w:left="960" w:hanging="424"/>
        <w:spacing w:after="0" w:line="234" w:lineRule="auto"/>
        <w:tabs>
          <w:tab w:leader="none" w:pos="9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LinkedIn revenue increased 26% (up 29% in constant currency)</w:t>
      </w:r>
    </w:p>
    <w:p>
      <w:pPr>
        <w:ind w:left="960" w:right="600" w:hanging="424"/>
        <w:spacing w:after="0" w:line="250" w:lineRule="auto"/>
        <w:tabs>
          <w:tab w:leader="none" w:pos="9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Dynamics products and cloud services revenue increased 19% (up 24% in constant currency) driven by Dynamics 365 revenue growth of 31% (up 36% in constant currency)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666666"/>
        </w:rPr>
        <w:t>Revenue in Intelligent Cloud was $20.9 billion and increased 20% (up 25% in constant currency), with the following business highlights:</w:t>
      </w:r>
    </w:p>
    <w:p>
      <w:pPr>
        <w:spacing w:after="0" w:line="239" w:lineRule="exact"/>
        <w:rPr>
          <w:sz w:val="20"/>
          <w:szCs w:val="20"/>
          <w:color w:val="auto"/>
        </w:rPr>
      </w:pPr>
    </w:p>
    <w:p>
      <w:pPr>
        <w:ind w:left="960" w:right="240" w:hanging="424"/>
        <w:spacing w:after="0" w:line="271" w:lineRule="auto"/>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Server products and cloud services revenue increased 22% (up 26% in constant currency) driven by Azure and other cloud services revenue growth of 40% (up 46% in constant currency)</w:t>
      </w:r>
    </w:p>
    <w:p>
      <w:pPr>
        <w:spacing w:after="0" w:line="15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666666"/>
        </w:rPr>
        <w:t>Revenue in More Personal Computing was $14.4 billion and increased 2% (up 5% in constant currency), with the following business highlights:</w:t>
      </w:r>
    </w:p>
    <w:p>
      <w:pPr>
        <w:spacing w:after="0" w:line="181"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Windows OEM revenue decreased 2%</w:t>
      </w:r>
    </w:p>
    <w:p>
      <w:pPr>
        <w:spacing w:after="0" w:line="13" w:lineRule="exact"/>
        <w:rPr>
          <w:rFonts w:ascii="Arial" w:cs="Arial" w:eastAsia="Arial" w:hAnsi="Arial"/>
          <w:sz w:val="18"/>
          <w:szCs w:val="18"/>
          <w:color w:val="666666"/>
        </w:rPr>
      </w:pPr>
    </w:p>
    <w:p>
      <w:pPr>
        <w:ind w:left="960" w:hanging="424"/>
        <w:spacing w:after="0" w:line="234" w:lineRule="auto"/>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Windows Commercial products and cloud services revenue increased 6% (up 12% in constant currency)</w:t>
      </w:r>
    </w:p>
    <w:p>
      <w:pPr>
        <w:ind w:left="960" w:hanging="424"/>
        <w:spacing w:after="0" w:line="234" w:lineRule="auto"/>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Xbox content and services revenue decreased 6% (down 4% in constant currency)</w:t>
      </w:r>
    </w:p>
    <w:p>
      <w:pPr>
        <w:ind w:left="960" w:hanging="424"/>
        <w:spacing w:after="0" w:line="234" w:lineRule="auto"/>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Search and news advertising revenue excluding traffic acquisition costs increased 18% (up 21% in constant currency)</w:t>
      </w:r>
    </w:p>
    <w:p>
      <w:pPr>
        <w:ind w:left="960" w:hanging="424"/>
        <w:spacing w:after="0"/>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Surface revenue increased 10% (up 15% in constant currency)</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8"/>
          <w:szCs w:val="18"/>
          <w:color w:val="666666"/>
        </w:rPr>
        <w:t>Microsoft returned $12.4 billion to shareholders in the form of share repurchases and dividends in the fourth quarter of fiscal year 2022, an increase of 19% compared to the fourth quarter of fiscal year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Fiscal Year 2022 Results</w:t>
      </w:r>
    </w:p>
    <w:p>
      <w:pPr>
        <w:spacing w:after="0" w:line="21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666666"/>
        </w:rPr>
        <w:t>Microsoft Corp. today announced the following results for the fiscal year ended June 30, 2022, as compared to the corresponding period of last fiscal year:</w:t>
      </w:r>
    </w:p>
    <w:p>
      <w:pPr>
        <w:spacing w:after="0" w:line="181"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Revenue was $198.3 billion and increased 18% (up 19% in constant currency)</w:t>
      </w:r>
    </w:p>
    <w:p>
      <w:pPr>
        <w:spacing w:after="0" w:line="13" w:lineRule="exact"/>
        <w:rPr>
          <w:rFonts w:ascii="Arial" w:cs="Arial" w:eastAsia="Arial" w:hAnsi="Arial"/>
          <w:sz w:val="18"/>
          <w:szCs w:val="18"/>
          <w:color w:val="666666"/>
        </w:rPr>
      </w:pPr>
    </w:p>
    <w:p>
      <w:pPr>
        <w:ind w:left="960" w:hanging="424"/>
        <w:spacing w:after="0" w:line="234"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Operating income was $83.4 billion and increased 19% (up 21% in constant currency)</w:t>
      </w:r>
    </w:p>
    <w:p>
      <w:pPr>
        <w:ind w:left="960" w:right="20" w:hanging="424"/>
        <w:spacing w:after="0" w:line="234"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Net income was $72.7 billion GAAP and increased 19%, and $69.4 billion non-GAAP and increased 15% (up 16% in constant currency)</w:t>
      </w:r>
    </w:p>
    <w:p>
      <w:pPr>
        <w:spacing w:after="0" w:line="1" w:lineRule="exact"/>
        <w:rPr>
          <w:rFonts w:ascii="Arial" w:cs="Arial" w:eastAsia="Arial" w:hAnsi="Arial"/>
          <w:sz w:val="18"/>
          <w:szCs w:val="18"/>
          <w:color w:val="666666"/>
        </w:rPr>
      </w:pPr>
    </w:p>
    <w:p>
      <w:pPr>
        <w:ind w:left="960" w:right="580" w:hanging="424"/>
        <w:spacing w:after="0" w:line="234"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Diluted earnings per share was $9.65 GAAP and increased 20%, and $9.21 non-GAAP and increased 16% (up 17% in constant currency)</w:t>
      </w:r>
    </w:p>
    <w:p>
      <w:pPr>
        <w:spacing w:after="0" w:line="1"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GAAP results include a $3.3 billion net income tax benefit explained in the Non-GAAP Definition section below</w:t>
      </w:r>
    </w:p>
    <w:p>
      <w:pPr>
        <w:sectPr>
          <w:pgSz w:w="11900" w:h="16838" w:orient="portrait"/>
          <w:cols w:equalWidth="0" w:num="1">
            <w:col w:w="10980"/>
          </w:cols>
          <w:pgMar w:left="440" w:top="269" w:right="479" w:bottom="1440" w:gutter="0" w:footer="0" w:header="0"/>
        </w:sectPr>
      </w:pPr>
    </w:p>
    <w:bookmarkStart w:id="5" w:name="page6"/>
    <w:bookmarkEnd w:id="5"/>
    <w:p>
      <w:pPr>
        <w:ind w:right="40"/>
        <w:spacing w:after="0" w:line="253" w:lineRule="auto"/>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reconciles our financial results for the fiscal year ended June 30, 2022, reported in accordance with generally accepted accounting principles (GAAP) to non-GAAP financial results. Additional information regarding our non-GAAP definition is provided below. All growth comparisons relate to the corresponding period in the last fiscal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7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666666"/>
              </w:rPr>
              <w:t>Twelve Months Ended June 30,</w:t>
            </w:r>
          </w:p>
        </w:tc>
        <w:tc>
          <w:tcPr>
            <w:tcW w:w="1240" w:type="dxa"/>
            <w:vAlign w:val="bottom"/>
          </w:tcPr>
          <w:p>
            <w:pPr>
              <w:spacing w:after="0"/>
              <w:rPr>
                <w:sz w:val="17"/>
                <w:szCs w:val="17"/>
                <w:color w:val="auto"/>
              </w:rPr>
            </w:pPr>
          </w:p>
        </w:tc>
      </w:tr>
      <w:tr>
        <w:trPr>
          <w:trHeight w:val="70"/>
        </w:trPr>
        <w:tc>
          <w:tcPr>
            <w:tcW w:w="420" w:type="dxa"/>
            <w:vAlign w:val="bottom"/>
            <w:tcBorders>
              <w:bottom w:val="single" w:sz="8" w:color="auto"/>
            </w:tcBorders>
          </w:tcPr>
          <w:p>
            <w:pPr>
              <w:spacing w:after="0"/>
              <w:rPr>
                <w:sz w:val="6"/>
                <w:szCs w:val="6"/>
                <w:color w:val="auto"/>
              </w:rPr>
            </w:pPr>
          </w:p>
        </w:tc>
        <w:tc>
          <w:tcPr>
            <w:tcW w:w="5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46"/>
        </w:trPr>
        <w:tc>
          <w:tcPr>
            <w:tcW w:w="4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jc w:val="center"/>
              <w:ind w:left="28"/>
              <w:spacing w:after="0" w:line="147"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666666"/>
              </w:rPr>
              <w:t>Operating</w:t>
            </w:r>
          </w:p>
        </w:tc>
        <w:tc>
          <w:tcPr>
            <w:tcW w:w="1460" w:type="dxa"/>
            <w:vAlign w:val="bottom"/>
          </w:tcPr>
          <w:p>
            <w:pPr>
              <w:spacing w:after="0"/>
              <w:rPr>
                <w:sz w:val="14"/>
                <w:szCs w:val="14"/>
                <w:color w:val="auto"/>
              </w:rPr>
            </w:pPr>
          </w:p>
        </w:tc>
        <w:tc>
          <w:tcPr>
            <w:tcW w:w="1240" w:type="dxa"/>
            <w:vAlign w:val="bottom"/>
          </w:tcPr>
          <w:p>
            <w:pPr>
              <w:jc w:val="center"/>
              <w:ind w:left="48"/>
              <w:spacing w:after="0"/>
              <w:rPr>
                <w:sz w:val="20"/>
                <w:szCs w:val="20"/>
                <w:color w:val="auto"/>
              </w:rPr>
            </w:pPr>
            <w:r>
              <w:rPr>
                <w:rFonts w:ascii="Arial" w:cs="Arial" w:eastAsia="Arial" w:hAnsi="Arial"/>
                <w:sz w:val="14"/>
                <w:szCs w:val="14"/>
                <w:b w:val="1"/>
                <w:bCs w:val="1"/>
                <w:color w:val="666666"/>
              </w:rPr>
              <w:t>Earnings per</w:t>
            </w:r>
          </w:p>
        </w:tc>
      </w:tr>
      <w:tr>
        <w:trPr>
          <w:trHeight w:val="196"/>
        </w:trPr>
        <w:tc>
          <w:tcPr>
            <w:tcW w:w="5620" w:type="dxa"/>
            <w:vAlign w:val="bottom"/>
            <w:gridSpan w:val="2"/>
          </w:tcPr>
          <w:p>
            <w:pPr>
              <w:ind w:left="120"/>
              <w:spacing w:after="0"/>
              <w:rPr>
                <w:sz w:val="20"/>
                <w:szCs w:val="20"/>
                <w:color w:val="auto"/>
              </w:rPr>
            </w:pPr>
            <w:r>
              <w:rPr>
                <w:rFonts w:ascii="Arial" w:cs="Arial" w:eastAsia="Arial" w:hAnsi="Arial"/>
                <w:sz w:val="14"/>
                <w:szCs w:val="14"/>
                <w:color w:val="666666"/>
              </w:rPr>
              <w:t>($ in millions, except per share amounts)</w:t>
            </w: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666666"/>
              </w:rPr>
              <w:t>Revenue</w:t>
            </w:r>
          </w:p>
        </w:tc>
        <w:tc>
          <w:tcPr>
            <w:tcW w:w="1300" w:type="dxa"/>
            <w:vAlign w:val="bottom"/>
          </w:tcPr>
          <w:p>
            <w:pPr>
              <w:jc w:val="right"/>
              <w:ind w:right="368"/>
              <w:spacing w:after="0"/>
              <w:rPr>
                <w:sz w:val="20"/>
                <w:szCs w:val="20"/>
                <w:color w:val="auto"/>
              </w:rPr>
            </w:pPr>
            <w:r>
              <w:rPr>
                <w:rFonts w:ascii="Arial" w:cs="Arial" w:eastAsia="Arial" w:hAnsi="Arial"/>
                <w:sz w:val="14"/>
                <w:szCs w:val="14"/>
                <w:b w:val="1"/>
                <w:bCs w:val="1"/>
                <w:color w:val="666666"/>
              </w:rPr>
              <w:t>Income</w:t>
            </w:r>
          </w:p>
        </w:tc>
        <w:tc>
          <w:tcPr>
            <w:tcW w:w="1460" w:type="dxa"/>
            <w:vAlign w:val="bottom"/>
          </w:tcPr>
          <w:p>
            <w:pPr>
              <w:jc w:val="right"/>
              <w:ind w:right="328"/>
              <w:spacing w:after="0"/>
              <w:rPr>
                <w:sz w:val="20"/>
                <w:szCs w:val="20"/>
                <w:color w:val="auto"/>
              </w:rPr>
            </w:pPr>
            <w:r>
              <w:rPr>
                <w:rFonts w:ascii="Arial" w:cs="Arial" w:eastAsia="Arial" w:hAnsi="Arial"/>
                <w:sz w:val="14"/>
                <w:szCs w:val="14"/>
                <w:b w:val="1"/>
                <w:bCs w:val="1"/>
                <w:color w:val="666666"/>
              </w:rPr>
              <w:t>Net Income</w:t>
            </w:r>
          </w:p>
        </w:tc>
        <w:tc>
          <w:tcPr>
            <w:tcW w:w="1240" w:type="dxa"/>
            <w:vAlign w:val="bottom"/>
          </w:tcPr>
          <w:p>
            <w:pPr>
              <w:jc w:val="center"/>
              <w:ind w:left="48"/>
              <w:spacing w:after="0"/>
              <w:rPr>
                <w:sz w:val="20"/>
                <w:szCs w:val="20"/>
                <w:color w:val="auto"/>
              </w:rPr>
            </w:pPr>
            <w:r>
              <w:rPr>
                <w:rFonts w:ascii="Arial" w:cs="Arial" w:eastAsia="Arial" w:hAnsi="Arial"/>
                <w:sz w:val="14"/>
                <w:szCs w:val="14"/>
                <w:b w:val="1"/>
                <w:bCs w:val="1"/>
                <w:color w:val="666666"/>
              </w:rPr>
              <w:t>Share</w:t>
            </w:r>
          </w:p>
        </w:tc>
      </w:tr>
      <w:tr>
        <w:trPr>
          <w:trHeight w:val="70"/>
        </w:trPr>
        <w:tc>
          <w:tcPr>
            <w:tcW w:w="420" w:type="dxa"/>
            <w:vAlign w:val="bottom"/>
            <w:tcBorders>
              <w:bottom w:val="single" w:sz="8" w:color="666666"/>
            </w:tcBorders>
          </w:tcPr>
          <w:p>
            <w:pPr>
              <w:spacing w:after="0"/>
              <w:rPr>
                <w:sz w:val="6"/>
                <w:szCs w:val="6"/>
                <w:color w:val="auto"/>
              </w:rPr>
            </w:pPr>
          </w:p>
        </w:tc>
        <w:tc>
          <w:tcPr>
            <w:tcW w:w="5200" w:type="dxa"/>
            <w:vAlign w:val="bottom"/>
            <w:tcBorders>
              <w:bottom w:val="single" w:sz="8" w:color="666666"/>
            </w:tcBorders>
          </w:tcPr>
          <w:p>
            <w:pPr>
              <w:spacing w:after="0"/>
              <w:rPr>
                <w:sz w:val="6"/>
                <w:szCs w:val="6"/>
                <w:color w:val="auto"/>
              </w:rPr>
            </w:pPr>
          </w:p>
        </w:tc>
        <w:tc>
          <w:tcPr>
            <w:tcW w:w="1400" w:type="dxa"/>
            <w:vAlign w:val="bottom"/>
            <w:tcBorders>
              <w:bottom w:val="single" w:sz="8" w:color="666666"/>
            </w:tcBorders>
          </w:tcPr>
          <w:p>
            <w:pPr>
              <w:spacing w:after="0"/>
              <w:rPr>
                <w:sz w:val="6"/>
                <w:szCs w:val="6"/>
                <w:color w:val="auto"/>
              </w:rPr>
            </w:pPr>
          </w:p>
        </w:tc>
        <w:tc>
          <w:tcPr>
            <w:tcW w:w="1300" w:type="dxa"/>
            <w:vAlign w:val="bottom"/>
            <w:tcBorders>
              <w:bottom w:val="single" w:sz="8" w:color="666666"/>
            </w:tcBorders>
          </w:tcPr>
          <w:p>
            <w:pPr>
              <w:spacing w:after="0"/>
              <w:rPr>
                <w:sz w:val="6"/>
                <w:szCs w:val="6"/>
                <w:color w:val="auto"/>
              </w:rPr>
            </w:pPr>
          </w:p>
        </w:tc>
        <w:tc>
          <w:tcPr>
            <w:tcW w:w="1460" w:type="dxa"/>
            <w:vAlign w:val="bottom"/>
            <w:tcBorders>
              <w:bottom w:val="single" w:sz="8" w:color="666666"/>
            </w:tcBorders>
          </w:tcPr>
          <w:p>
            <w:pPr>
              <w:spacing w:after="0"/>
              <w:rPr>
                <w:sz w:val="6"/>
                <w:szCs w:val="6"/>
                <w:color w:val="auto"/>
              </w:rPr>
            </w:pPr>
          </w:p>
        </w:tc>
        <w:tc>
          <w:tcPr>
            <w:tcW w:w="1240" w:type="dxa"/>
            <w:vAlign w:val="bottom"/>
            <w:tcBorders>
              <w:bottom w:val="single" w:sz="8" w:color="666666"/>
            </w:tcBorders>
          </w:tcPr>
          <w:p>
            <w:pPr>
              <w:spacing w:after="0"/>
              <w:rPr>
                <w:sz w:val="6"/>
                <w:szCs w:val="6"/>
                <w:color w:val="auto"/>
              </w:rPr>
            </w:pPr>
          </w:p>
        </w:tc>
      </w:tr>
      <w:tr>
        <w:trPr>
          <w:trHeight w:val="255"/>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2021</w:t>
            </w: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4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$168,088</w:t>
            </w:r>
          </w:p>
        </w:tc>
        <w:tc>
          <w:tcPr>
            <w:tcW w:w="13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$69,916</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666666"/>
              </w:rPr>
              <w:t>$61,271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$8.05</w:t>
            </w:r>
          </w:p>
        </w:tc>
      </w:tr>
      <w:tr>
        <w:trPr>
          <w:trHeight w:val="215"/>
        </w:trPr>
        <w:tc>
          <w:tcPr>
            <w:tcW w:w="562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666666"/>
              </w:rPr>
              <w:t>Net income tax benefit related to India Supreme Court decision on withholding</w:t>
            </w:r>
          </w:p>
        </w:tc>
        <w:tc>
          <w:tcPr>
            <w:tcW w:w="1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57"/>
        </w:trPr>
        <w:tc>
          <w:tcPr>
            <w:tcW w:w="5620" w:type="dxa"/>
            <w:vAlign w:val="bottom"/>
            <w:gridSpan w:val="2"/>
          </w:tcPr>
          <w:p>
            <w:pPr>
              <w:ind w:left="280"/>
              <w:spacing w:after="0"/>
              <w:rPr>
                <w:sz w:val="20"/>
                <w:szCs w:val="20"/>
                <w:color w:val="auto"/>
              </w:rPr>
            </w:pPr>
            <w:r>
              <w:rPr>
                <w:rFonts w:ascii="Arial" w:cs="Arial" w:eastAsia="Arial" w:hAnsi="Arial"/>
                <w:sz w:val="14"/>
                <w:szCs w:val="14"/>
                <w:color w:val="666666"/>
              </w:rPr>
              <w:t>taxes</w:t>
            </w:r>
          </w:p>
        </w:tc>
        <w:tc>
          <w:tcPr>
            <w:tcW w:w="1400" w:type="dxa"/>
            <w:vAlign w:val="bottom"/>
          </w:tcPr>
          <w:p>
            <w:pPr>
              <w:jc w:val="right"/>
              <w:ind w:right="288"/>
              <w:spacing w:after="0"/>
              <w:rPr>
                <w:sz w:val="20"/>
                <w:szCs w:val="20"/>
                <w:color w:val="auto"/>
              </w:rPr>
            </w:pPr>
            <w:r>
              <w:rPr>
                <w:rFonts w:ascii="Arial" w:cs="Arial" w:eastAsia="Arial" w:hAnsi="Arial"/>
                <w:sz w:val="14"/>
                <w:szCs w:val="14"/>
                <w:color w:val="666666"/>
              </w:rPr>
              <w:t>—</w:t>
            </w:r>
          </w:p>
        </w:tc>
        <w:tc>
          <w:tcPr>
            <w:tcW w:w="1300" w:type="dxa"/>
            <w:vAlign w:val="bottom"/>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tcPr>
          <w:p>
            <w:pPr>
              <w:jc w:val="right"/>
              <w:ind w:right="248"/>
              <w:spacing w:after="0"/>
              <w:rPr>
                <w:sz w:val="20"/>
                <w:szCs w:val="20"/>
                <w:color w:val="auto"/>
              </w:rPr>
            </w:pPr>
            <w:r>
              <w:rPr>
                <w:rFonts w:ascii="Arial" w:cs="Arial" w:eastAsia="Arial" w:hAnsi="Arial"/>
                <w:sz w:val="14"/>
                <w:szCs w:val="14"/>
                <w:color w:val="666666"/>
              </w:rPr>
              <w:t>(620)</w:t>
            </w:r>
          </w:p>
        </w:tc>
        <w:tc>
          <w:tcPr>
            <w:tcW w:w="1240" w:type="dxa"/>
            <w:vAlign w:val="bottom"/>
          </w:tcPr>
          <w:p>
            <w:pPr>
              <w:jc w:val="right"/>
              <w:spacing w:after="0"/>
              <w:rPr>
                <w:sz w:val="20"/>
                <w:szCs w:val="20"/>
                <w:color w:val="auto"/>
              </w:rPr>
            </w:pPr>
            <w:r>
              <w:rPr>
                <w:rFonts w:ascii="Arial" w:cs="Arial" w:eastAsia="Arial" w:hAnsi="Arial"/>
                <w:sz w:val="14"/>
                <w:szCs w:val="14"/>
                <w:color w:val="666666"/>
              </w:rPr>
              <w:t>(0.08)</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5"/>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2021</w:t>
            </w: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4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$168,088</w:t>
            </w:r>
          </w:p>
        </w:tc>
        <w:tc>
          <w:tcPr>
            <w:tcW w:w="13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$69,916</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666666"/>
              </w:rPr>
              <w:t>$60,651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$7.97</w:t>
            </w:r>
          </w:p>
        </w:tc>
      </w:tr>
      <w:tr>
        <w:trPr>
          <w:trHeight w:val="22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2022</w:t>
            </w: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4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$198,270</w:t>
            </w:r>
          </w:p>
        </w:tc>
        <w:tc>
          <w:tcPr>
            <w:tcW w:w="13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$83,383</w:t>
            </w:r>
          </w:p>
        </w:tc>
        <w:tc>
          <w:tcPr>
            <w:tcW w:w="14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666666"/>
              </w:rPr>
              <w:t>$72,738</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$9.65</w:t>
            </w:r>
          </w:p>
        </w:tc>
      </w:tr>
      <w:tr>
        <w:trPr>
          <w:trHeight w:val="29"/>
        </w:trPr>
        <w:tc>
          <w:tcPr>
            <w:tcW w:w="5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666666"/>
              </w:rPr>
              <w:t>Net income tax benefit related to transfer of intangible properties</w:t>
            </w:r>
          </w:p>
        </w:tc>
        <w:tc>
          <w:tcPr>
            <w:tcW w:w="14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666666"/>
              </w:rPr>
              <w:t>—</w:t>
            </w: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666666"/>
              </w:rPr>
              <w:t>—</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666666"/>
              </w:rPr>
              <w:t>(3,291)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(0.44)</w:t>
            </w:r>
          </w:p>
        </w:tc>
      </w:tr>
      <w:tr>
        <w:trPr>
          <w:trHeight w:val="22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2022</w:t>
            </w: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4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$198,270</w:t>
            </w:r>
          </w:p>
        </w:tc>
        <w:tc>
          <w:tcPr>
            <w:tcW w:w="13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$83,383</w:t>
            </w:r>
          </w:p>
        </w:tc>
        <w:tc>
          <w:tcPr>
            <w:tcW w:w="14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666666"/>
              </w:rPr>
              <w:t>$69,447</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$9.21</w:t>
            </w:r>
          </w:p>
        </w:tc>
      </w:tr>
      <w:tr>
        <w:trPr>
          <w:trHeight w:val="29"/>
        </w:trPr>
        <w:tc>
          <w:tcPr>
            <w:tcW w:w="5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(GAAP)</w:t>
            </w:r>
          </w:p>
        </w:tc>
        <w:tc>
          <w:tcPr>
            <w:tcW w:w="14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18%</w:t>
            </w:r>
          </w:p>
        </w:tc>
        <w:tc>
          <w:tcPr>
            <w:tcW w:w="13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19%</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666666"/>
              </w:rPr>
              <w:t>19%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20%</w:t>
            </w:r>
          </w:p>
        </w:tc>
      </w:tr>
      <w:tr>
        <w:trPr>
          <w:trHeight w:val="215"/>
        </w:trPr>
        <w:tc>
          <w:tcPr>
            <w:tcW w:w="56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666666"/>
              </w:rPr>
              <w:t>Percentage Change Y/Y (non-GAAP)</w:t>
            </w:r>
          </w:p>
        </w:tc>
        <w:tc>
          <w:tcPr>
            <w:tcW w:w="14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18%</w:t>
            </w:r>
          </w:p>
        </w:tc>
        <w:tc>
          <w:tcPr>
            <w:tcW w:w="13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19%</w:t>
            </w:r>
          </w:p>
        </w:tc>
        <w:tc>
          <w:tcPr>
            <w:tcW w:w="14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666666"/>
              </w:rPr>
              <w:t>15%</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16%</w:t>
            </w:r>
          </w:p>
        </w:tc>
      </w:tr>
      <w:tr>
        <w:trPr>
          <w:trHeight w:val="35"/>
        </w:trPr>
        <w:tc>
          <w:tcPr>
            <w:tcW w:w="562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 Constant Currency</w:t>
            </w:r>
          </w:p>
        </w:tc>
        <w:tc>
          <w:tcPr>
            <w:tcW w:w="14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19%</w:t>
            </w:r>
          </w:p>
        </w:tc>
        <w:tc>
          <w:tcPr>
            <w:tcW w:w="13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21%</w:t>
            </w:r>
          </w:p>
        </w:tc>
        <w:tc>
          <w:tcPr>
            <w:tcW w:w="14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666666"/>
              </w:rPr>
              <w:t>16%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17%</w:t>
            </w:r>
          </w:p>
        </w:tc>
      </w:tr>
      <w:tr>
        <w:trPr>
          <w:trHeight w:val="20"/>
        </w:trPr>
        <w:tc>
          <w:tcPr>
            <w:tcW w:w="420" w:type="dxa"/>
            <w:vAlign w:val="bottom"/>
            <w:shd w:val="clear" w:color="auto" w:fill="000000"/>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Business Outlook</w:t>
      </w:r>
    </w:p>
    <w:p>
      <w:pPr>
        <w:spacing w:after="0" w:line="21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666666"/>
        </w:rPr>
        <w:t>Microsoft will provide forward-looking guidance in connection with this quarterly earnings announcement on its earnings conference call and webcast.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Quarterly Highlights, Product Releases, and Enhancements</w:t>
      </w:r>
    </w:p>
    <w:p>
      <w:pPr>
        <w:spacing w:after="0" w:line="21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666666"/>
        </w:rPr>
        <w:t>Every quarter Microsoft delivers hundreds of products, either as new releases, services, or enhancements to current products and services. These releases are a result of significant research and development investments, made over multiple years, designed to help customers be more productive and secure and to deliver differentiated value across the cloud and the edge.</w:t>
      </w:r>
    </w:p>
    <w:p>
      <w:pPr>
        <w:spacing w:after="0" w:line="16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666666"/>
        </w:rPr>
        <w:t xml:space="preserve">Here are the </w:t>
      </w:r>
      <w:r>
        <w:rPr>
          <w:rFonts w:ascii="Arial" w:cs="Arial" w:eastAsia="Arial" w:hAnsi="Arial"/>
          <w:sz w:val="18"/>
          <w:szCs w:val="18"/>
          <w:u w:val="single" w:color="auto"/>
          <w:color w:val="666666"/>
        </w:rPr>
        <w:t>major product releases and other highlights</w:t>
      </w:r>
      <w:r>
        <w:rPr>
          <w:rFonts w:ascii="Arial" w:cs="Arial" w:eastAsia="Arial" w:hAnsi="Arial"/>
          <w:sz w:val="18"/>
          <w:szCs w:val="18"/>
          <w:color w:val="666666"/>
        </w:rPr>
        <w:t xml:space="preserve"> for the quarter, organized by product categories, to help illustrate how we are accelerating innovation across our businesses while expanding our market opportunities.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Environmental, Social, and Governance (ESG)</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666666"/>
        </w:rPr>
        <w:t xml:space="preserve">To better execute on Microsoft’s mission, we focus our Environmental, Social, and Governance (ESG) efforts where we can have the most positive impact. To learn more about our latest initiatives and priorities, please visit our investor relations </w:t>
      </w:r>
      <w:r>
        <w:rPr>
          <w:rFonts w:ascii="Arial" w:cs="Arial" w:eastAsia="Arial" w:hAnsi="Arial"/>
          <w:sz w:val="18"/>
          <w:szCs w:val="18"/>
          <w:u w:val="single" w:color="auto"/>
          <w:color w:val="666666"/>
        </w:rPr>
        <w:t>ESG website</w:t>
      </w:r>
      <w:r>
        <w:rPr>
          <w:rFonts w:ascii="Arial" w:cs="Arial" w:eastAsia="Arial" w:hAnsi="Arial"/>
          <w:sz w:val="18"/>
          <w:szCs w:val="18"/>
          <w:color w:val="666666"/>
        </w:rPr>
        <w:t>.</w:t>
      </w:r>
    </w:p>
    <w:p>
      <w:pPr>
        <w:sectPr>
          <w:pgSz w:w="11900" w:h="16838" w:orient="portrait"/>
          <w:cols w:equalWidth="0" w:num="1">
            <w:col w:w="11020"/>
          </w:cols>
          <w:pgMar w:left="440" w:top="26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Webcast Details</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666666"/>
        </w:rPr>
        <w:t xml:space="preserve">Satya Nadella, chairman and chief executive officer, Amy Hood, executive vice president and chief financial officer, Alice Jolla, chief accounting officer, Keith Dolliver, deputy general counsel, and Brett Iversen, vice president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 The webcast will be available for replay through the close of business on July 26,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Non-GAAP Definition</w:t>
      </w:r>
    </w:p>
    <w:p>
      <w:pPr>
        <w:spacing w:after="0" w:line="21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color w:val="666666"/>
        </w:rPr>
        <w:t>Transfer of Intangible Properties</w:t>
      </w:r>
      <w:r>
        <w:rPr>
          <w:rFonts w:ascii="Arial" w:cs="Arial" w:eastAsia="Arial" w:hAnsi="Arial"/>
          <w:sz w:val="18"/>
          <w:szCs w:val="18"/>
          <w:color w:val="666666"/>
        </w:rPr>
        <w:t>. In the first quarter of fiscal year 2022, Microsoft transferred certain intangible properties from our Puerto</w:t>
      </w:r>
      <w:r>
        <w:rPr>
          <w:rFonts w:ascii="Arial" w:cs="Arial" w:eastAsia="Arial" w:hAnsi="Arial"/>
          <w:sz w:val="18"/>
          <w:szCs w:val="18"/>
          <w:i w:val="1"/>
          <w:iCs w:val="1"/>
          <w:color w:val="666666"/>
        </w:rPr>
        <w:t xml:space="preserve"> </w:t>
      </w:r>
      <w:r>
        <w:rPr>
          <w:rFonts w:ascii="Arial" w:cs="Arial" w:eastAsia="Arial" w:hAnsi="Arial"/>
          <w:sz w:val="18"/>
          <w:szCs w:val="18"/>
          <w:color w:val="666666"/>
        </w:rPr>
        <w:t>Rico subsidiary to the United States. The transfer of intangible properties resulted in a net tax benefit of $3.3 billion in the first quarter of fiscal 2022, as the value of future United States tax deductions exceeds the current tax liability from the United States Global Intangible Low-Taxed Income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666666"/>
        </w:rPr>
        <w:t>The India Supreme Court Decision Impact</w:t>
      </w:r>
      <w:r>
        <w:rPr>
          <w:rFonts w:ascii="Arial" w:cs="Arial" w:eastAsia="Arial" w:hAnsi="Arial"/>
          <w:sz w:val="18"/>
          <w:szCs w:val="18"/>
          <w:color w:val="666666"/>
        </w:rPr>
        <w:t>. In March 2021, the India Supreme Court issued a decision on withholding taxes in the case of</w:t>
      </w:r>
      <w:r>
        <w:rPr>
          <w:rFonts w:ascii="Arial" w:cs="Arial" w:eastAsia="Arial" w:hAnsi="Arial"/>
          <w:sz w:val="18"/>
          <w:szCs w:val="18"/>
          <w:i w:val="1"/>
          <w:iCs w:val="1"/>
          <w:color w:val="666666"/>
        </w:rPr>
        <w:t xml:space="preserve"> </w:t>
      </w:r>
      <w:r>
        <w:rPr>
          <w:rFonts w:ascii="Arial" w:cs="Arial" w:eastAsia="Arial" w:hAnsi="Arial"/>
          <w:sz w:val="18"/>
          <w:szCs w:val="18"/>
          <w:color w:val="666666"/>
        </w:rPr>
        <w:t>Engineering Analysis Centre of Excellence Private Limited vs The Commissioner of Income Tax. Microsoft has historically paid India withholding taxes on software sales through distributor withholding and tax audit assessments in India. The India Supreme Court ruled favorably for companies in 86 separate appeals, some dating back to 2012, holding that software sales are not subject to India withholding taxes. Although Microsoft was not a party to the appeals, Microsoft’s software sales in India were determined to be not subject to withholding taxes. Therefore, Microsoft recorded a net income tax benefit of $620 million in the third quarter of fiscal year 2021 to reflect the results of the India Supreme Court decision impacting fiscal year 1996 through fiscal year 2016.</w:t>
      </w:r>
    </w:p>
    <w:p>
      <w:pPr>
        <w:spacing w:after="0" w:line="18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666666"/>
        </w:rPr>
        <w:t>Microsoft has provided non-GAAP financial measures related to the transfer of intangible properties and the India Supreme Court decision to aid investors in better understanding our performance. Microsoft believes these non-GAAP measures assist investors by providing additional insight into its operational performance and help clarify trends affecting its business. For comparability of reporting, management considers non-GAAP measures in conjunction with GAAP financial results in evaluating business performance. The non-GAAP financial measures presented in this release should not be considered as a substitute for, or superior to, the measures of financial performance prepared in accordance with GAAP.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Constant Currency</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666666"/>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sectPr>
          <w:pgSz w:w="11900" w:h="16838" w:orient="portrait"/>
          <w:cols w:equalWidth="0" w:num="1">
            <w:col w:w="10980"/>
          </w:cols>
          <w:pgMar w:left="440" w:top="269" w:right="479" w:bottom="1440" w:gutter="0" w:footer="0" w:header="0"/>
        </w:sectPr>
      </w:pPr>
    </w:p>
    <w:bookmarkStart w:id="7" w:name="page8"/>
    <w:bookmarkEnd w:id="7"/>
    <w:p>
      <w:pPr>
        <w:ind w:left="980"/>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Performance Constant Currency Reconciliation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3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666666"/>
              </w:rPr>
              <w:t>Three Months Ended June 30,</w:t>
            </w:r>
          </w:p>
        </w:tc>
        <w:tc>
          <w:tcPr>
            <w:tcW w:w="1280" w:type="dxa"/>
            <w:vAlign w:val="bottom"/>
          </w:tcPr>
          <w:p>
            <w:pPr>
              <w:spacing w:after="0"/>
              <w:rPr>
                <w:sz w:val="17"/>
                <w:szCs w:val="17"/>
                <w:color w:val="auto"/>
              </w:rPr>
            </w:pPr>
          </w:p>
        </w:tc>
      </w:tr>
      <w:tr>
        <w:trPr>
          <w:trHeight w:val="70"/>
        </w:trPr>
        <w:tc>
          <w:tcPr>
            <w:tcW w:w="420" w:type="dxa"/>
            <w:vAlign w:val="bottom"/>
            <w:tcBorders>
              <w:bottom w:val="single" w:sz="8" w:color="auto"/>
            </w:tcBorders>
          </w:tcPr>
          <w:p>
            <w:pPr>
              <w:spacing w:after="0"/>
              <w:rPr>
                <w:sz w:val="6"/>
                <w:szCs w:val="6"/>
                <w:color w:val="auto"/>
              </w:rPr>
            </w:pPr>
          </w:p>
        </w:tc>
        <w:tc>
          <w:tcPr>
            <w:tcW w:w="53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146"/>
        </w:trPr>
        <w:tc>
          <w:tcPr>
            <w:tcW w:w="4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80" w:type="dxa"/>
            <w:vAlign w:val="bottom"/>
          </w:tcPr>
          <w:p>
            <w:pPr>
              <w:jc w:val="center"/>
              <w:ind w:left="68"/>
              <w:spacing w:after="0" w:line="147"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666666"/>
              </w:rPr>
              <w:t>Operating</w:t>
            </w:r>
          </w:p>
        </w:tc>
        <w:tc>
          <w:tcPr>
            <w:tcW w:w="1340" w:type="dxa"/>
            <w:vAlign w:val="bottom"/>
          </w:tcPr>
          <w:p>
            <w:pPr>
              <w:spacing w:after="0"/>
              <w:rPr>
                <w:sz w:val="14"/>
                <w:szCs w:val="14"/>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666666"/>
              </w:rPr>
              <w:t>Earnings per</w:t>
            </w:r>
          </w:p>
        </w:tc>
      </w:tr>
      <w:tr>
        <w:trPr>
          <w:trHeight w:val="196"/>
        </w:trPr>
        <w:tc>
          <w:tcPr>
            <w:tcW w:w="5720" w:type="dxa"/>
            <w:vAlign w:val="bottom"/>
            <w:gridSpan w:val="2"/>
          </w:tcPr>
          <w:p>
            <w:pPr>
              <w:ind w:left="120"/>
              <w:spacing w:after="0"/>
              <w:rPr>
                <w:sz w:val="20"/>
                <w:szCs w:val="20"/>
                <w:color w:val="auto"/>
              </w:rPr>
            </w:pPr>
            <w:r>
              <w:rPr>
                <w:rFonts w:ascii="Arial" w:cs="Arial" w:eastAsia="Arial" w:hAnsi="Arial"/>
                <w:sz w:val="14"/>
                <w:szCs w:val="14"/>
                <w:color w:val="666666"/>
              </w:rPr>
              <w:t>($ in millions, except per share amounts)</w:t>
            </w:r>
          </w:p>
        </w:tc>
        <w:tc>
          <w:tcPr>
            <w:tcW w:w="1660" w:type="dxa"/>
            <w:vAlign w:val="bottom"/>
          </w:tcPr>
          <w:p>
            <w:pPr>
              <w:jc w:val="right"/>
              <w:ind w:right="428"/>
              <w:spacing w:after="0"/>
              <w:rPr>
                <w:sz w:val="20"/>
                <w:szCs w:val="20"/>
                <w:color w:val="auto"/>
              </w:rPr>
            </w:pPr>
            <w:r>
              <w:rPr>
                <w:rFonts w:ascii="Arial" w:cs="Arial" w:eastAsia="Arial" w:hAnsi="Arial"/>
                <w:sz w:val="14"/>
                <w:szCs w:val="14"/>
                <w:b w:val="1"/>
                <w:bCs w:val="1"/>
                <w:color w:val="666666"/>
              </w:rPr>
              <w:t>Revenue</w:t>
            </w: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666666"/>
              </w:rPr>
              <w:t>Income</w:t>
            </w:r>
          </w:p>
        </w:tc>
        <w:tc>
          <w:tcPr>
            <w:tcW w:w="1340" w:type="dxa"/>
            <w:vAlign w:val="bottom"/>
          </w:tcPr>
          <w:p>
            <w:pPr>
              <w:jc w:val="right"/>
              <w:ind w:right="208"/>
              <w:spacing w:after="0"/>
              <w:rPr>
                <w:sz w:val="20"/>
                <w:szCs w:val="20"/>
                <w:color w:val="auto"/>
              </w:rPr>
            </w:pPr>
            <w:r>
              <w:rPr>
                <w:rFonts w:ascii="Arial" w:cs="Arial" w:eastAsia="Arial" w:hAnsi="Arial"/>
                <w:sz w:val="14"/>
                <w:szCs w:val="14"/>
                <w:b w:val="1"/>
                <w:bCs w:val="1"/>
                <w:color w:val="666666"/>
              </w:rPr>
              <w:t>Net Income</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666666"/>
              </w:rPr>
              <w:t>Share</w:t>
            </w:r>
          </w:p>
        </w:tc>
      </w:tr>
      <w:tr>
        <w:trPr>
          <w:trHeight w:val="70"/>
        </w:trPr>
        <w:tc>
          <w:tcPr>
            <w:tcW w:w="420" w:type="dxa"/>
            <w:vAlign w:val="bottom"/>
            <w:tcBorders>
              <w:bottom w:val="single" w:sz="8" w:color="666666"/>
            </w:tcBorders>
          </w:tcPr>
          <w:p>
            <w:pPr>
              <w:spacing w:after="0"/>
              <w:rPr>
                <w:sz w:val="6"/>
                <w:szCs w:val="6"/>
                <w:color w:val="auto"/>
              </w:rPr>
            </w:pPr>
          </w:p>
        </w:tc>
        <w:tc>
          <w:tcPr>
            <w:tcW w:w="5300" w:type="dxa"/>
            <w:vAlign w:val="bottom"/>
            <w:tcBorders>
              <w:bottom w:val="single" w:sz="8" w:color="666666"/>
            </w:tcBorders>
          </w:tcPr>
          <w:p>
            <w:pPr>
              <w:spacing w:after="0"/>
              <w:rPr>
                <w:sz w:val="6"/>
                <w:szCs w:val="6"/>
                <w:color w:val="auto"/>
              </w:rPr>
            </w:pPr>
          </w:p>
        </w:tc>
        <w:tc>
          <w:tcPr>
            <w:tcW w:w="1660" w:type="dxa"/>
            <w:vAlign w:val="bottom"/>
            <w:tcBorders>
              <w:bottom w:val="single" w:sz="8" w:color="666666"/>
            </w:tcBorders>
          </w:tcPr>
          <w:p>
            <w:pPr>
              <w:spacing w:after="0"/>
              <w:rPr>
                <w:sz w:val="6"/>
                <w:szCs w:val="6"/>
                <w:color w:val="auto"/>
              </w:rPr>
            </w:pPr>
          </w:p>
        </w:tc>
        <w:tc>
          <w:tcPr>
            <w:tcW w:w="1020" w:type="dxa"/>
            <w:vAlign w:val="bottom"/>
            <w:tcBorders>
              <w:bottom w:val="single" w:sz="8" w:color="666666"/>
            </w:tcBorders>
          </w:tcPr>
          <w:p>
            <w:pPr>
              <w:spacing w:after="0"/>
              <w:rPr>
                <w:sz w:val="6"/>
                <w:szCs w:val="6"/>
                <w:color w:val="auto"/>
              </w:rPr>
            </w:pPr>
          </w:p>
        </w:tc>
        <w:tc>
          <w:tcPr>
            <w:tcW w:w="1340" w:type="dxa"/>
            <w:vAlign w:val="bottom"/>
            <w:tcBorders>
              <w:bottom w:val="single" w:sz="8" w:color="666666"/>
            </w:tcBorders>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r>
      <w:tr>
        <w:trPr>
          <w:trHeight w:val="255"/>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2021</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66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666666"/>
              </w:rPr>
              <w:t>$46,152</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666666"/>
              </w:rPr>
              <w:t>$19,095</w:t>
            </w:r>
          </w:p>
        </w:tc>
        <w:tc>
          <w:tcPr>
            <w:tcW w:w="13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666666"/>
              </w:rPr>
              <w:t>$16,458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$2.17</w:t>
            </w:r>
          </w:p>
        </w:tc>
      </w:tr>
      <w:tr>
        <w:trPr>
          <w:trHeight w:val="22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2022</w:t>
            </w: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6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666666"/>
              </w:rPr>
              <w:t>$51,865</w:t>
            </w: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666666"/>
              </w:rPr>
              <w:t>$20,534</w:t>
            </w:r>
          </w:p>
        </w:tc>
        <w:tc>
          <w:tcPr>
            <w:tcW w:w="13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666666"/>
              </w:rPr>
              <w:t>$16,740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$2.23</w:t>
            </w:r>
          </w:p>
        </w:tc>
      </w:tr>
      <w:tr>
        <w:trPr>
          <w:trHeight w:val="29"/>
        </w:trPr>
        <w:tc>
          <w:tcPr>
            <w:tcW w:w="57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(GAAP)</w:t>
            </w:r>
          </w:p>
        </w:tc>
        <w:tc>
          <w:tcPr>
            <w:tcW w:w="166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666666"/>
              </w:rPr>
              <w:t>12%</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666666"/>
              </w:rPr>
              <w:t>8%</w:t>
            </w:r>
          </w:p>
        </w:tc>
        <w:tc>
          <w:tcPr>
            <w:tcW w:w="13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666666"/>
              </w:rPr>
              <w:t>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3%</w:t>
            </w:r>
          </w:p>
        </w:tc>
      </w:tr>
      <w:tr>
        <w:trPr>
          <w:trHeight w:val="221"/>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666666"/>
              </w:rPr>
              <w:t>Constant Currency Impact</w:t>
            </w:r>
          </w:p>
        </w:tc>
        <w:tc>
          <w:tcPr>
            <w:tcW w:w="16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666666"/>
              </w:rPr>
              <w:t>$(1,685)</w:t>
            </w: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666666"/>
              </w:rPr>
              <w:t>$(1,159)</w:t>
            </w:r>
          </w:p>
        </w:tc>
        <w:tc>
          <w:tcPr>
            <w:tcW w:w="13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666666"/>
              </w:rPr>
              <w:t>$(825)</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$(0.11)</w:t>
            </w:r>
          </w:p>
        </w:tc>
      </w:tr>
      <w:tr>
        <w:trPr>
          <w:trHeight w:val="29"/>
        </w:trPr>
        <w:tc>
          <w:tcPr>
            <w:tcW w:w="57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 Constant Currency</w:t>
            </w:r>
          </w:p>
        </w:tc>
        <w:tc>
          <w:tcPr>
            <w:tcW w:w="166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666666"/>
              </w:rPr>
              <w:t>16%</w:t>
            </w:r>
          </w:p>
        </w:tc>
        <w:tc>
          <w:tcPr>
            <w:tcW w:w="10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666666"/>
              </w:rPr>
              <w:t>14%</w:t>
            </w:r>
          </w:p>
        </w:tc>
        <w:tc>
          <w:tcPr>
            <w:tcW w:w="13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666666"/>
              </w:rPr>
              <w:t>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8%</w:t>
            </w:r>
          </w:p>
        </w:tc>
      </w:tr>
      <w:tr>
        <w:trPr>
          <w:trHeight w:val="423"/>
        </w:trPr>
        <w:tc>
          <w:tcPr>
            <w:tcW w:w="420" w:type="dxa"/>
            <w:vAlign w:val="bottom"/>
            <w:tcBorders>
              <w:top w:val="single" w:sz="8" w:color="auto"/>
            </w:tcBorders>
          </w:tcPr>
          <w:p>
            <w:pPr>
              <w:spacing w:after="0"/>
              <w:rPr>
                <w:sz w:val="24"/>
                <w:szCs w:val="24"/>
                <w:color w:val="auto"/>
              </w:rPr>
            </w:pPr>
          </w:p>
        </w:tc>
        <w:tc>
          <w:tcPr>
            <w:tcW w:w="53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666666"/>
              </w:rPr>
              <w:t>Twelve Months Ended June 30,</w:t>
            </w:r>
          </w:p>
        </w:tc>
        <w:tc>
          <w:tcPr>
            <w:tcW w:w="1280" w:type="dxa"/>
            <w:vAlign w:val="bottom"/>
            <w:tcBorders>
              <w:top w:val="single" w:sz="8" w:color="auto"/>
            </w:tcBorders>
          </w:tcPr>
          <w:p>
            <w:pPr>
              <w:spacing w:after="0"/>
              <w:rPr>
                <w:sz w:val="24"/>
                <w:szCs w:val="24"/>
                <w:color w:val="auto"/>
              </w:rPr>
            </w:pPr>
          </w:p>
        </w:tc>
      </w:tr>
      <w:tr>
        <w:trPr>
          <w:trHeight w:val="70"/>
        </w:trPr>
        <w:tc>
          <w:tcPr>
            <w:tcW w:w="420" w:type="dxa"/>
            <w:vAlign w:val="bottom"/>
            <w:tcBorders>
              <w:bottom w:val="single" w:sz="8" w:color="auto"/>
            </w:tcBorders>
          </w:tcPr>
          <w:p>
            <w:pPr>
              <w:spacing w:after="0"/>
              <w:rPr>
                <w:sz w:val="6"/>
                <w:szCs w:val="6"/>
                <w:color w:val="auto"/>
              </w:rPr>
            </w:pPr>
          </w:p>
        </w:tc>
        <w:tc>
          <w:tcPr>
            <w:tcW w:w="53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146"/>
        </w:trPr>
        <w:tc>
          <w:tcPr>
            <w:tcW w:w="4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80" w:type="dxa"/>
            <w:vAlign w:val="bottom"/>
          </w:tcPr>
          <w:p>
            <w:pPr>
              <w:jc w:val="center"/>
              <w:ind w:left="68"/>
              <w:spacing w:after="0" w:line="147"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666666"/>
              </w:rPr>
              <w:t>Operating</w:t>
            </w:r>
          </w:p>
        </w:tc>
        <w:tc>
          <w:tcPr>
            <w:tcW w:w="1340" w:type="dxa"/>
            <w:vAlign w:val="bottom"/>
          </w:tcPr>
          <w:p>
            <w:pPr>
              <w:spacing w:after="0"/>
              <w:rPr>
                <w:sz w:val="14"/>
                <w:szCs w:val="14"/>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666666"/>
              </w:rPr>
              <w:t>Earnings per</w:t>
            </w:r>
          </w:p>
        </w:tc>
      </w:tr>
      <w:tr>
        <w:trPr>
          <w:trHeight w:val="196"/>
        </w:trPr>
        <w:tc>
          <w:tcPr>
            <w:tcW w:w="5720" w:type="dxa"/>
            <w:vAlign w:val="bottom"/>
            <w:gridSpan w:val="2"/>
          </w:tcPr>
          <w:p>
            <w:pPr>
              <w:ind w:left="120"/>
              <w:spacing w:after="0"/>
              <w:rPr>
                <w:sz w:val="20"/>
                <w:szCs w:val="20"/>
                <w:color w:val="auto"/>
              </w:rPr>
            </w:pPr>
            <w:r>
              <w:rPr>
                <w:rFonts w:ascii="Arial" w:cs="Arial" w:eastAsia="Arial" w:hAnsi="Arial"/>
                <w:sz w:val="14"/>
                <w:szCs w:val="14"/>
                <w:color w:val="666666"/>
              </w:rPr>
              <w:t>($ in millions, except per share amounts)</w:t>
            </w:r>
          </w:p>
        </w:tc>
        <w:tc>
          <w:tcPr>
            <w:tcW w:w="1660" w:type="dxa"/>
            <w:vAlign w:val="bottom"/>
          </w:tcPr>
          <w:p>
            <w:pPr>
              <w:jc w:val="right"/>
              <w:ind w:right="468"/>
              <w:spacing w:after="0"/>
              <w:rPr>
                <w:sz w:val="20"/>
                <w:szCs w:val="20"/>
                <w:color w:val="auto"/>
              </w:rPr>
            </w:pPr>
            <w:r>
              <w:rPr>
                <w:rFonts w:ascii="Arial" w:cs="Arial" w:eastAsia="Arial" w:hAnsi="Arial"/>
                <w:sz w:val="14"/>
                <w:szCs w:val="14"/>
                <w:b w:val="1"/>
                <w:bCs w:val="1"/>
                <w:color w:val="666666"/>
              </w:rPr>
              <w:t>Revenue</w:t>
            </w:r>
          </w:p>
        </w:tc>
        <w:tc>
          <w:tcPr>
            <w:tcW w:w="1020" w:type="dxa"/>
            <w:vAlign w:val="bottom"/>
          </w:tcPr>
          <w:p>
            <w:pPr>
              <w:ind w:left="120"/>
              <w:spacing w:after="0"/>
              <w:rPr>
                <w:sz w:val="20"/>
                <w:szCs w:val="20"/>
                <w:color w:val="auto"/>
              </w:rPr>
            </w:pPr>
            <w:r>
              <w:rPr>
                <w:rFonts w:ascii="Arial" w:cs="Arial" w:eastAsia="Arial" w:hAnsi="Arial"/>
                <w:sz w:val="14"/>
                <w:szCs w:val="14"/>
                <w:b w:val="1"/>
                <w:bCs w:val="1"/>
                <w:color w:val="666666"/>
              </w:rPr>
              <w:t>Income</w:t>
            </w:r>
          </w:p>
        </w:tc>
        <w:tc>
          <w:tcPr>
            <w:tcW w:w="1340" w:type="dxa"/>
            <w:vAlign w:val="bottom"/>
          </w:tcPr>
          <w:p>
            <w:pPr>
              <w:jc w:val="right"/>
              <w:ind w:right="228"/>
              <w:spacing w:after="0"/>
              <w:rPr>
                <w:sz w:val="20"/>
                <w:szCs w:val="20"/>
                <w:color w:val="auto"/>
              </w:rPr>
            </w:pPr>
            <w:r>
              <w:rPr>
                <w:rFonts w:ascii="Arial" w:cs="Arial" w:eastAsia="Arial" w:hAnsi="Arial"/>
                <w:sz w:val="14"/>
                <w:szCs w:val="14"/>
                <w:b w:val="1"/>
                <w:bCs w:val="1"/>
                <w:color w:val="666666"/>
              </w:rPr>
              <w:t>Net Income</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666666"/>
              </w:rPr>
              <w:t>Share</w:t>
            </w:r>
          </w:p>
        </w:tc>
      </w:tr>
      <w:tr>
        <w:trPr>
          <w:trHeight w:val="70"/>
        </w:trPr>
        <w:tc>
          <w:tcPr>
            <w:tcW w:w="420" w:type="dxa"/>
            <w:vAlign w:val="bottom"/>
            <w:tcBorders>
              <w:bottom w:val="single" w:sz="8" w:color="666666"/>
            </w:tcBorders>
          </w:tcPr>
          <w:p>
            <w:pPr>
              <w:spacing w:after="0"/>
              <w:rPr>
                <w:sz w:val="6"/>
                <w:szCs w:val="6"/>
                <w:color w:val="auto"/>
              </w:rPr>
            </w:pPr>
          </w:p>
        </w:tc>
        <w:tc>
          <w:tcPr>
            <w:tcW w:w="5300" w:type="dxa"/>
            <w:vAlign w:val="bottom"/>
            <w:tcBorders>
              <w:bottom w:val="single" w:sz="8" w:color="666666"/>
            </w:tcBorders>
          </w:tcPr>
          <w:p>
            <w:pPr>
              <w:spacing w:after="0"/>
              <w:rPr>
                <w:sz w:val="6"/>
                <w:szCs w:val="6"/>
                <w:color w:val="auto"/>
              </w:rPr>
            </w:pPr>
          </w:p>
        </w:tc>
        <w:tc>
          <w:tcPr>
            <w:tcW w:w="1660" w:type="dxa"/>
            <w:vAlign w:val="bottom"/>
            <w:tcBorders>
              <w:bottom w:val="single" w:sz="8" w:color="666666"/>
            </w:tcBorders>
          </w:tcPr>
          <w:p>
            <w:pPr>
              <w:spacing w:after="0"/>
              <w:rPr>
                <w:sz w:val="6"/>
                <w:szCs w:val="6"/>
                <w:color w:val="auto"/>
              </w:rPr>
            </w:pPr>
          </w:p>
        </w:tc>
        <w:tc>
          <w:tcPr>
            <w:tcW w:w="1020" w:type="dxa"/>
            <w:vAlign w:val="bottom"/>
            <w:tcBorders>
              <w:bottom w:val="single" w:sz="8" w:color="666666"/>
            </w:tcBorders>
          </w:tcPr>
          <w:p>
            <w:pPr>
              <w:spacing w:after="0"/>
              <w:rPr>
                <w:sz w:val="6"/>
                <w:szCs w:val="6"/>
                <w:color w:val="auto"/>
              </w:rPr>
            </w:pPr>
          </w:p>
        </w:tc>
        <w:tc>
          <w:tcPr>
            <w:tcW w:w="1340" w:type="dxa"/>
            <w:vAlign w:val="bottom"/>
            <w:tcBorders>
              <w:bottom w:val="single" w:sz="8" w:color="666666"/>
            </w:tcBorders>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r>
      <w:tr>
        <w:trPr>
          <w:trHeight w:val="255"/>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2021</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6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666666"/>
              </w:rPr>
              <w:t>$168,088</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$69,916</w:t>
            </w:r>
          </w:p>
        </w:tc>
        <w:tc>
          <w:tcPr>
            <w:tcW w:w="1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$61,271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$8.05</w:t>
            </w:r>
          </w:p>
        </w:tc>
      </w:tr>
      <w:tr>
        <w:trPr>
          <w:trHeight w:val="22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2021</w:t>
            </w: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6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666666"/>
              </w:rPr>
              <w:t>$168,088</w:t>
            </w:r>
          </w:p>
        </w:tc>
        <w:tc>
          <w:tcPr>
            <w:tcW w:w="10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$69,916</w:t>
            </w:r>
          </w:p>
        </w:tc>
        <w:tc>
          <w:tcPr>
            <w:tcW w:w="1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$60,651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$7.97</w:t>
            </w:r>
          </w:p>
        </w:tc>
      </w:tr>
      <w:tr>
        <w:trPr>
          <w:trHeight w:val="29"/>
        </w:trPr>
        <w:tc>
          <w:tcPr>
            <w:tcW w:w="42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2022</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6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666666"/>
              </w:rPr>
              <w:t>$198,270</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$83,383</w:t>
            </w:r>
          </w:p>
        </w:tc>
        <w:tc>
          <w:tcPr>
            <w:tcW w:w="1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$72,738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$9.65</w:t>
            </w:r>
          </w:p>
        </w:tc>
      </w:tr>
      <w:tr>
        <w:trPr>
          <w:trHeight w:val="22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2022</w:t>
            </w: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6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666666"/>
              </w:rPr>
              <w:t>$198,270</w:t>
            </w:r>
          </w:p>
        </w:tc>
        <w:tc>
          <w:tcPr>
            <w:tcW w:w="10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$83,383</w:t>
            </w:r>
          </w:p>
        </w:tc>
        <w:tc>
          <w:tcPr>
            <w:tcW w:w="1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$69,447</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$9.21</w:t>
            </w:r>
          </w:p>
        </w:tc>
      </w:tr>
      <w:tr>
        <w:trPr>
          <w:trHeight w:val="29"/>
        </w:trPr>
        <w:tc>
          <w:tcPr>
            <w:tcW w:w="57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(GAAP)</w:t>
            </w:r>
          </w:p>
        </w:tc>
        <w:tc>
          <w:tcPr>
            <w:tcW w:w="16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666666"/>
              </w:rPr>
              <w:t>18%</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666666"/>
              </w:rPr>
              <w:t>19%</w:t>
            </w:r>
          </w:p>
        </w:tc>
        <w:tc>
          <w:tcPr>
            <w:tcW w:w="1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666666"/>
              </w:rPr>
              <w:t>19%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20%</w:t>
            </w:r>
          </w:p>
        </w:tc>
      </w:tr>
      <w:tr>
        <w:trPr>
          <w:trHeight w:val="215"/>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666666"/>
              </w:rPr>
              <w:t>Percentage Change Y/Y (non-GAAP)</w:t>
            </w:r>
          </w:p>
        </w:tc>
        <w:tc>
          <w:tcPr>
            <w:tcW w:w="16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666666"/>
              </w:rPr>
              <w:t>18%</w:t>
            </w:r>
          </w:p>
        </w:tc>
        <w:tc>
          <w:tcPr>
            <w:tcW w:w="10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19%</w:t>
            </w:r>
          </w:p>
        </w:tc>
        <w:tc>
          <w:tcPr>
            <w:tcW w:w="1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15%</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16%</w:t>
            </w:r>
          </w:p>
        </w:tc>
      </w:tr>
      <w:tr>
        <w:trPr>
          <w:trHeight w:val="35"/>
        </w:trPr>
        <w:tc>
          <w:tcPr>
            <w:tcW w:w="5720" w:type="dxa"/>
            <w:vAlign w:val="bottom"/>
            <w:tcBorders>
              <w:bottom w:val="single" w:sz="8" w:color="auto"/>
            </w:tcBorders>
            <w:gridSpan w:val="2"/>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5"/>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666666"/>
              </w:rPr>
              <w:t>Constant Currency Impact</w:t>
            </w:r>
          </w:p>
        </w:tc>
        <w:tc>
          <w:tcPr>
            <w:tcW w:w="16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666666"/>
              </w:rPr>
              <w:t>$(2,087)</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$(1,292)</w:t>
            </w:r>
          </w:p>
        </w:tc>
        <w:tc>
          <w:tcPr>
            <w:tcW w:w="1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$(1,163)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$(0.15)</w:t>
            </w:r>
          </w:p>
        </w:tc>
      </w:tr>
      <w:tr>
        <w:trPr>
          <w:trHeight w:val="215"/>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666666"/>
              </w:rPr>
              <w:t>Percentage Change Y/Y (non-GAAP) Constant Currency</w:t>
            </w:r>
          </w:p>
        </w:tc>
        <w:tc>
          <w:tcPr>
            <w:tcW w:w="16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666666"/>
              </w:rPr>
              <w:t>19%</w:t>
            </w:r>
          </w:p>
        </w:tc>
        <w:tc>
          <w:tcPr>
            <w:tcW w:w="10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21%</w:t>
            </w:r>
          </w:p>
        </w:tc>
        <w:tc>
          <w:tcPr>
            <w:tcW w:w="1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16%</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17%</w:t>
            </w:r>
          </w:p>
        </w:tc>
      </w:tr>
      <w:tr>
        <w:trPr>
          <w:trHeight w:val="35"/>
        </w:trPr>
        <w:tc>
          <w:tcPr>
            <w:tcW w:w="420" w:type="dxa"/>
            <w:vAlign w:val="bottom"/>
            <w:tcBorders>
              <w:bottom w:val="single" w:sz="8" w:color="auto"/>
            </w:tcBorders>
          </w:tcPr>
          <w:p>
            <w:pPr>
              <w:spacing w:after="0"/>
              <w:rPr>
                <w:sz w:val="3"/>
                <w:szCs w:val="3"/>
                <w:color w:val="auto"/>
              </w:rPr>
            </w:pPr>
          </w:p>
        </w:tc>
        <w:tc>
          <w:tcPr>
            <w:tcW w:w="53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438"/>
        </w:trPr>
        <w:tc>
          <w:tcPr>
            <w:tcW w:w="420" w:type="dxa"/>
            <w:vAlign w:val="bottom"/>
          </w:tcPr>
          <w:p>
            <w:pPr>
              <w:spacing w:after="0"/>
              <w:rPr>
                <w:sz w:val="24"/>
                <w:szCs w:val="24"/>
                <w:color w:val="auto"/>
              </w:rPr>
            </w:pPr>
          </w:p>
        </w:tc>
        <w:tc>
          <w:tcPr>
            <w:tcW w:w="5300" w:type="dxa"/>
            <w:vAlign w:val="bottom"/>
          </w:tcPr>
          <w:p>
            <w:pPr>
              <w:ind w:left="560"/>
              <w:spacing w:after="0"/>
              <w:rPr>
                <w:sz w:val="20"/>
                <w:szCs w:val="20"/>
                <w:color w:val="auto"/>
              </w:rPr>
            </w:pPr>
            <w:r>
              <w:rPr>
                <w:rFonts w:ascii="Arial" w:cs="Arial" w:eastAsia="Arial" w:hAnsi="Arial"/>
                <w:sz w:val="18"/>
                <w:szCs w:val="18"/>
                <w:b w:val="1"/>
                <w:bCs w:val="1"/>
                <w:color w:val="666666"/>
              </w:rPr>
              <w:t>Segment Revenue Constant Currency Reconciliation</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4"/>
        </w:trPr>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60" w:type="dxa"/>
            <w:vAlign w:val="bottom"/>
            <w:gridSpan w:val="2"/>
          </w:tcPr>
          <w:p>
            <w:pPr>
              <w:ind w:left="60"/>
              <w:spacing w:after="0"/>
              <w:rPr>
                <w:sz w:val="20"/>
                <w:szCs w:val="20"/>
                <w:color w:val="auto"/>
              </w:rPr>
            </w:pPr>
            <w:r>
              <w:rPr>
                <w:rFonts w:ascii="Arial" w:cs="Arial" w:eastAsia="Arial" w:hAnsi="Arial"/>
                <w:sz w:val="14"/>
                <w:szCs w:val="14"/>
                <w:b w:val="1"/>
                <w:bCs w:val="1"/>
                <w:color w:val="666666"/>
              </w:rPr>
              <w:t>Three Months Ended June 30,</w:t>
            </w:r>
          </w:p>
        </w:tc>
        <w:tc>
          <w:tcPr>
            <w:tcW w:w="1280" w:type="dxa"/>
            <w:vAlign w:val="bottom"/>
          </w:tcPr>
          <w:p>
            <w:pPr>
              <w:spacing w:after="0"/>
              <w:rPr>
                <w:sz w:val="24"/>
                <w:szCs w:val="24"/>
                <w:color w:val="auto"/>
              </w:rPr>
            </w:pPr>
          </w:p>
        </w:tc>
      </w:tr>
      <w:tr>
        <w:trPr>
          <w:trHeight w:val="70"/>
        </w:trPr>
        <w:tc>
          <w:tcPr>
            <w:tcW w:w="420" w:type="dxa"/>
            <w:vAlign w:val="bottom"/>
            <w:tcBorders>
              <w:bottom w:val="single" w:sz="8" w:color="auto"/>
            </w:tcBorders>
          </w:tcPr>
          <w:p>
            <w:pPr>
              <w:spacing w:after="0"/>
              <w:rPr>
                <w:sz w:val="6"/>
                <w:szCs w:val="6"/>
                <w:color w:val="auto"/>
              </w:rPr>
            </w:pPr>
          </w:p>
        </w:tc>
        <w:tc>
          <w:tcPr>
            <w:tcW w:w="53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146"/>
        </w:trPr>
        <w:tc>
          <w:tcPr>
            <w:tcW w:w="4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6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666666"/>
              </w:rPr>
              <w:t>Productivity and</w:t>
            </w: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8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666666"/>
              </w:rPr>
              <w:t>More Personal</w:t>
            </w:r>
          </w:p>
        </w:tc>
      </w:tr>
      <w:tr>
        <w:trPr>
          <w:trHeight w:val="196"/>
        </w:trPr>
        <w:tc>
          <w:tcPr>
            <w:tcW w:w="5720" w:type="dxa"/>
            <w:vAlign w:val="bottom"/>
            <w:gridSpan w:val="2"/>
          </w:tcPr>
          <w:p>
            <w:pPr>
              <w:ind w:left="120"/>
              <w:spacing w:after="0"/>
              <w:rPr>
                <w:sz w:val="20"/>
                <w:szCs w:val="20"/>
                <w:color w:val="auto"/>
              </w:rPr>
            </w:pPr>
            <w:r>
              <w:rPr>
                <w:rFonts w:ascii="Arial" w:cs="Arial" w:eastAsia="Arial" w:hAnsi="Arial"/>
                <w:sz w:val="14"/>
                <w:szCs w:val="14"/>
                <w:color w:val="666666"/>
              </w:rPr>
              <w:t>($ in millions)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666666"/>
              </w:rPr>
              <w:t>Business Processes</w:t>
            </w:r>
          </w:p>
        </w:tc>
        <w:tc>
          <w:tcPr>
            <w:tcW w:w="236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666666"/>
              </w:rPr>
              <w:t>Intelligent Cloud</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666666"/>
              </w:rPr>
              <w:t>Computing</w:t>
            </w:r>
          </w:p>
        </w:tc>
      </w:tr>
      <w:tr>
        <w:trPr>
          <w:trHeight w:val="70"/>
        </w:trPr>
        <w:tc>
          <w:tcPr>
            <w:tcW w:w="420" w:type="dxa"/>
            <w:vAlign w:val="bottom"/>
            <w:tcBorders>
              <w:bottom w:val="single" w:sz="8" w:color="666666"/>
            </w:tcBorders>
          </w:tcPr>
          <w:p>
            <w:pPr>
              <w:spacing w:after="0"/>
              <w:rPr>
                <w:sz w:val="6"/>
                <w:szCs w:val="6"/>
                <w:color w:val="auto"/>
              </w:rPr>
            </w:pPr>
          </w:p>
        </w:tc>
        <w:tc>
          <w:tcPr>
            <w:tcW w:w="5300" w:type="dxa"/>
            <w:vAlign w:val="bottom"/>
            <w:tcBorders>
              <w:bottom w:val="single" w:sz="8" w:color="666666"/>
            </w:tcBorders>
          </w:tcPr>
          <w:p>
            <w:pPr>
              <w:spacing w:after="0"/>
              <w:rPr>
                <w:sz w:val="6"/>
                <w:szCs w:val="6"/>
                <w:color w:val="auto"/>
              </w:rPr>
            </w:pPr>
          </w:p>
        </w:tc>
        <w:tc>
          <w:tcPr>
            <w:tcW w:w="1660" w:type="dxa"/>
            <w:vAlign w:val="bottom"/>
            <w:tcBorders>
              <w:bottom w:val="single" w:sz="8" w:color="666666"/>
            </w:tcBorders>
          </w:tcPr>
          <w:p>
            <w:pPr>
              <w:spacing w:after="0"/>
              <w:rPr>
                <w:sz w:val="6"/>
                <w:szCs w:val="6"/>
                <w:color w:val="auto"/>
              </w:rPr>
            </w:pPr>
          </w:p>
        </w:tc>
        <w:tc>
          <w:tcPr>
            <w:tcW w:w="1020" w:type="dxa"/>
            <w:vAlign w:val="bottom"/>
            <w:tcBorders>
              <w:bottom w:val="single" w:sz="8" w:color="666666"/>
            </w:tcBorders>
          </w:tcPr>
          <w:p>
            <w:pPr>
              <w:spacing w:after="0"/>
              <w:rPr>
                <w:sz w:val="6"/>
                <w:szCs w:val="6"/>
                <w:color w:val="auto"/>
              </w:rPr>
            </w:pPr>
          </w:p>
        </w:tc>
        <w:tc>
          <w:tcPr>
            <w:tcW w:w="1340" w:type="dxa"/>
            <w:vAlign w:val="bottom"/>
            <w:tcBorders>
              <w:bottom w:val="single" w:sz="8" w:color="666666"/>
            </w:tcBorders>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r>
      <w:tr>
        <w:trPr>
          <w:trHeight w:val="255"/>
        </w:trPr>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2021</w:t>
            </w: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$14,691</w:t>
            </w:r>
          </w:p>
        </w:tc>
        <w:tc>
          <w:tcPr>
            <w:tcW w:w="10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666666"/>
              </w:rPr>
              <w:t>$17,375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$14,086</w:t>
            </w:r>
          </w:p>
        </w:tc>
      </w:tr>
      <w:tr>
        <w:trPr>
          <w:trHeight w:val="221"/>
        </w:trPr>
        <w:tc>
          <w:tcPr>
            <w:tcW w:w="4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2022</w:t>
            </w: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$16,600</w:t>
            </w:r>
          </w:p>
        </w:tc>
        <w:tc>
          <w:tcPr>
            <w:tcW w:w="10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666666"/>
              </w:rPr>
              <w:t>$20,909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$14,356</w:t>
            </w:r>
          </w:p>
        </w:tc>
      </w:tr>
      <w:tr>
        <w:trPr>
          <w:trHeight w:val="29"/>
        </w:trPr>
        <w:tc>
          <w:tcPr>
            <w:tcW w:w="57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(GAAP)</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13%</w:t>
            </w:r>
          </w:p>
        </w:tc>
        <w:tc>
          <w:tcPr>
            <w:tcW w:w="10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666666"/>
              </w:rPr>
              <w:t>20%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2%</w:t>
            </w:r>
          </w:p>
        </w:tc>
      </w:tr>
      <w:tr>
        <w:trPr>
          <w:trHeight w:val="221"/>
        </w:trPr>
        <w:tc>
          <w:tcPr>
            <w:tcW w:w="5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666666"/>
              </w:rPr>
              <w:t>Constant Currency Impact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$(584)</w:t>
            </w:r>
          </w:p>
        </w:tc>
        <w:tc>
          <w:tcPr>
            <w:tcW w:w="10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666666"/>
              </w:rPr>
              <w:t>$(728)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$(373)</w:t>
            </w:r>
          </w:p>
        </w:tc>
      </w:tr>
      <w:tr>
        <w:trPr>
          <w:trHeight w:val="29"/>
        </w:trPr>
        <w:tc>
          <w:tcPr>
            <w:tcW w:w="57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666666"/>
              </w:rPr>
              <w:t>Percentage Change Y/Y (non-GAAP) Constant Currency</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17%</w:t>
            </w:r>
          </w:p>
        </w:tc>
        <w:tc>
          <w:tcPr>
            <w:tcW w:w="10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666666"/>
              </w:rPr>
              <w:t>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5%</w:t>
            </w:r>
          </w:p>
        </w:tc>
      </w:tr>
      <w:tr>
        <w:trPr>
          <w:trHeight w:val="20"/>
        </w:trPr>
        <w:tc>
          <w:tcPr>
            <w:tcW w:w="420" w:type="dxa"/>
            <w:vAlign w:val="bottom"/>
            <w:shd w:val="clear" w:color="auto" w:fill="000000"/>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8" w:name="page9"/>
    <w:bookmarkEnd w:id="8"/>
    <w:p>
      <w:pPr>
        <w:ind w:left="980"/>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Product and Service Revenue Constant Currency Reconciliation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666666"/>
              </w:rPr>
              <w:t>Three Months Ended June 30, 2022</w:t>
            </w:r>
          </w:p>
        </w:tc>
        <w:tc>
          <w:tcPr>
            <w:tcW w:w="1420" w:type="dxa"/>
            <w:vAlign w:val="bottom"/>
          </w:tcPr>
          <w:p>
            <w:pPr>
              <w:spacing w:after="0"/>
              <w:rPr>
                <w:sz w:val="17"/>
                <w:szCs w:val="17"/>
                <w:color w:val="auto"/>
              </w:rPr>
            </w:pPr>
          </w:p>
        </w:tc>
      </w:tr>
      <w:tr>
        <w:trPr>
          <w:trHeight w:val="70"/>
        </w:trPr>
        <w:tc>
          <w:tcPr>
            <w:tcW w:w="51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146"/>
        </w:trPr>
        <w:tc>
          <w:tcPr>
            <w:tcW w:w="5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666666"/>
              </w:rPr>
              <w:t>Percentage Change</w:t>
            </w:r>
          </w:p>
        </w:tc>
      </w:tr>
      <w:tr>
        <w:trPr>
          <w:trHeight w:val="162"/>
        </w:trPr>
        <w:tc>
          <w:tcPr>
            <w:tcW w:w="51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666666"/>
              </w:rPr>
              <w:t>Percentage Change</w:t>
            </w:r>
          </w:p>
        </w:tc>
        <w:tc>
          <w:tcPr>
            <w:tcW w:w="2460" w:type="dxa"/>
            <w:vAlign w:val="bottom"/>
          </w:tcPr>
          <w:p>
            <w:pPr>
              <w:jc w:val="right"/>
              <w:ind w:right="508"/>
              <w:spacing w:after="0"/>
              <w:rPr>
                <w:sz w:val="20"/>
                <w:szCs w:val="20"/>
                <w:color w:val="auto"/>
              </w:rPr>
            </w:pPr>
            <w:r>
              <w:rPr>
                <w:rFonts w:ascii="Arial" w:cs="Arial" w:eastAsia="Arial" w:hAnsi="Arial"/>
                <w:sz w:val="14"/>
                <w:szCs w:val="14"/>
                <w:b w:val="1"/>
                <w:bCs w:val="1"/>
                <w:color w:val="666666"/>
              </w:rPr>
              <w:t>Constant Currency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666666"/>
              </w:rPr>
              <w:t>Y/Y (non-GAAP)</w:t>
            </w:r>
          </w:p>
        </w:tc>
      </w:tr>
      <w:tr>
        <w:trPr>
          <w:trHeight w:val="196"/>
        </w:trPr>
        <w:tc>
          <w:tcPr>
            <w:tcW w:w="5100" w:type="dxa"/>
            <w:vAlign w:val="bottom"/>
          </w:tcPr>
          <w:p>
            <w:pPr>
              <w:spacing w:after="0"/>
              <w:rPr>
                <w:sz w:val="17"/>
                <w:szCs w:val="17"/>
                <w:color w:val="auto"/>
              </w:rPr>
            </w:pPr>
          </w:p>
        </w:tc>
        <w:tc>
          <w:tcPr>
            <w:tcW w:w="2040" w:type="dxa"/>
            <w:vAlign w:val="bottom"/>
          </w:tcPr>
          <w:p>
            <w:pPr>
              <w:jc w:val="right"/>
              <w:ind w:right="248"/>
              <w:spacing w:after="0"/>
              <w:rPr>
                <w:sz w:val="20"/>
                <w:szCs w:val="20"/>
                <w:color w:val="auto"/>
              </w:rPr>
            </w:pPr>
            <w:r>
              <w:rPr>
                <w:rFonts w:ascii="Arial" w:cs="Arial" w:eastAsia="Arial" w:hAnsi="Arial"/>
                <w:sz w:val="14"/>
                <w:szCs w:val="14"/>
                <w:b w:val="1"/>
                <w:bCs w:val="1"/>
                <w:color w:val="666666"/>
              </w:rPr>
              <w:t>Y/Y (GAAP)</w:t>
            </w:r>
          </w:p>
        </w:tc>
        <w:tc>
          <w:tcPr>
            <w:tcW w:w="2460" w:type="dxa"/>
            <w:vAlign w:val="bottom"/>
          </w:tcPr>
          <w:p>
            <w:pPr>
              <w:jc w:val="right"/>
              <w:ind w:right="928"/>
              <w:spacing w:after="0"/>
              <w:rPr>
                <w:sz w:val="20"/>
                <w:szCs w:val="20"/>
                <w:color w:val="auto"/>
              </w:rPr>
            </w:pPr>
            <w:r>
              <w:rPr>
                <w:rFonts w:ascii="Arial" w:cs="Arial" w:eastAsia="Arial" w:hAnsi="Arial"/>
                <w:sz w:val="14"/>
                <w:szCs w:val="14"/>
                <w:b w:val="1"/>
                <w:bCs w:val="1"/>
                <w:color w:val="666666"/>
              </w:rPr>
              <w:t>Impact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666666"/>
              </w:rPr>
              <w:t>Constant Currency</w:t>
            </w:r>
          </w:p>
        </w:tc>
      </w:tr>
      <w:tr>
        <w:trPr>
          <w:trHeight w:val="70"/>
        </w:trPr>
        <w:tc>
          <w:tcPr>
            <w:tcW w:w="5100" w:type="dxa"/>
            <w:vAlign w:val="bottom"/>
            <w:tcBorders>
              <w:bottom w:val="single" w:sz="8" w:color="666666"/>
            </w:tcBorders>
          </w:tcPr>
          <w:p>
            <w:pPr>
              <w:spacing w:after="0"/>
              <w:rPr>
                <w:sz w:val="6"/>
                <w:szCs w:val="6"/>
                <w:color w:val="auto"/>
              </w:rPr>
            </w:pPr>
          </w:p>
        </w:tc>
        <w:tc>
          <w:tcPr>
            <w:tcW w:w="2040" w:type="dxa"/>
            <w:vAlign w:val="bottom"/>
            <w:tcBorders>
              <w:bottom w:val="single" w:sz="8" w:color="666666"/>
            </w:tcBorders>
          </w:tcPr>
          <w:p>
            <w:pPr>
              <w:spacing w:after="0"/>
              <w:rPr>
                <w:sz w:val="6"/>
                <w:szCs w:val="6"/>
                <w:color w:val="auto"/>
              </w:rPr>
            </w:pPr>
          </w:p>
        </w:tc>
        <w:tc>
          <w:tcPr>
            <w:tcW w:w="2460" w:type="dxa"/>
            <w:vAlign w:val="bottom"/>
            <w:tcBorders>
              <w:bottom w:val="single" w:sz="8" w:color="666666"/>
            </w:tcBorders>
          </w:tcPr>
          <w:p>
            <w:pPr>
              <w:spacing w:after="0"/>
              <w:rPr>
                <w:sz w:val="6"/>
                <w:szCs w:val="6"/>
                <w:color w:val="auto"/>
              </w:rPr>
            </w:pPr>
          </w:p>
        </w:tc>
        <w:tc>
          <w:tcPr>
            <w:tcW w:w="1420" w:type="dxa"/>
            <w:vAlign w:val="bottom"/>
            <w:tcBorders>
              <w:bottom w:val="single" w:sz="8" w:color="666666"/>
            </w:tcBorders>
          </w:tcPr>
          <w:p>
            <w:pPr>
              <w:spacing w:after="0"/>
              <w:rPr>
                <w:sz w:val="6"/>
                <w:szCs w:val="6"/>
                <w:color w:val="auto"/>
              </w:rPr>
            </w:pPr>
          </w:p>
        </w:tc>
      </w:tr>
      <w:tr>
        <w:trPr>
          <w:trHeight w:val="255"/>
        </w:trPr>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Office Commercial products and cloud services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9%</w:t>
            </w:r>
          </w:p>
        </w:tc>
        <w:tc>
          <w:tcPr>
            <w:tcW w:w="24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666666"/>
              </w:rPr>
              <w:t>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13%</w:t>
            </w:r>
          </w:p>
        </w:tc>
      </w:tr>
      <w:tr>
        <w:trPr>
          <w:trHeight w:val="221"/>
        </w:trPr>
        <w:tc>
          <w:tcPr>
            <w:tcW w:w="5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Office 365 Commercial</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15%</w:t>
            </w:r>
          </w:p>
        </w:tc>
        <w:tc>
          <w:tcPr>
            <w:tcW w:w="24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666666"/>
              </w:rPr>
              <w:t>4%</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19%</w:t>
            </w:r>
          </w:p>
        </w:tc>
      </w:tr>
      <w:tr>
        <w:trPr>
          <w:trHeight w:val="29"/>
        </w:trPr>
        <w:tc>
          <w:tcPr>
            <w:tcW w:w="5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Office Consumer products and cloud services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9%</w:t>
            </w:r>
          </w:p>
        </w:tc>
        <w:tc>
          <w:tcPr>
            <w:tcW w:w="24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666666"/>
              </w:rPr>
              <w:t>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12%</w:t>
            </w:r>
          </w:p>
        </w:tc>
      </w:tr>
      <w:tr>
        <w:trPr>
          <w:trHeight w:val="221"/>
        </w:trPr>
        <w:tc>
          <w:tcPr>
            <w:tcW w:w="5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LinkedIn</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26%</w:t>
            </w:r>
          </w:p>
        </w:tc>
        <w:tc>
          <w:tcPr>
            <w:tcW w:w="24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666666"/>
              </w:rPr>
              <w:t>3%</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29%</w:t>
            </w:r>
          </w:p>
        </w:tc>
      </w:tr>
      <w:tr>
        <w:trPr>
          <w:trHeight w:val="29"/>
        </w:trPr>
        <w:tc>
          <w:tcPr>
            <w:tcW w:w="5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Dynamics products and cloud services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19%</w:t>
            </w:r>
          </w:p>
        </w:tc>
        <w:tc>
          <w:tcPr>
            <w:tcW w:w="24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666666"/>
              </w:rPr>
              <w:t>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24%</w:t>
            </w:r>
          </w:p>
        </w:tc>
      </w:tr>
      <w:tr>
        <w:trPr>
          <w:trHeight w:val="221"/>
        </w:trPr>
        <w:tc>
          <w:tcPr>
            <w:tcW w:w="5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Dynamics 365</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31%</w:t>
            </w:r>
          </w:p>
        </w:tc>
        <w:tc>
          <w:tcPr>
            <w:tcW w:w="24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666666"/>
              </w:rPr>
              <w:t>5%</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36%</w:t>
            </w:r>
          </w:p>
        </w:tc>
      </w:tr>
      <w:tr>
        <w:trPr>
          <w:trHeight w:val="29"/>
        </w:trPr>
        <w:tc>
          <w:tcPr>
            <w:tcW w:w="5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Server products and cloud services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22%</w:t>
            </w:r>
          </w:p>
        </w:tc>
        <w:tc>
          <w:tcPr>
            <w:tcW w:w="24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666666"/>
              </w:rPr>
              <w:t>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26%</w:t>
            </w:r>
          </w:p>
        </w:tc>
      </w:tr>
      <w:tr>
        <w:trPr>
          <w:trHeight w:val="221"/>
        </w:trPr>
        <w:tc>
          <w:tcPr>
            <w:tcW w:w="5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Azure and other cloud services</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40%</w:t>
            </w:r>
          </w:p>
        </w:tc>
        <w:tc>
          <w:tcPr>
            <w:tcW w:w="24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666666"/>
              </w:rPr>
              <w:t>6%</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46%</w:t>
            </w:r>
          </w:p>
        </w:tc>
      </w:tr>
      <w:tr>
        <w:trPr>
          <w:trHeight w:val="29"/>
        </w:trPr>
        <w:tc>
          <w:tcPr>
            <w:tcW w:w="5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Windows OEM</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w:t>
            </w:r>
          </w:p>
        </w:tc>
        <w:tc>
          <w:tcPr>
            <w:tcW w:w="24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666666"/>
              </w:rPr>
              <w:t>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w:t>
            </w:r>
          </w:p>
        </w:tc>
      </w:tr>
      <w:tr>
        <w:trPr>
          <w:trHeight w:val="221"/>
        </w:trPr>
        <w:tc>
          <w:tcPr>
            <w:tcW w:w="5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Windows Commercial products and cloud services</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6%</w:t>
            </w:r>
          </w:p>
        </w:tc>
        <w:tc>
          <w:tcPr>
            <w:tcW w:w="24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666666"/>
              </w:rPr>
              <w:t>6%</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12%</w:t>
            </w:r>
          </w:p>
        </w:tc>
      </w:tr>
      <w:tr>
        <w:trPr>
          <w:trHeight w:val="29"/>
        </w:trPr>
        <w:tc>
          <w:tcPr>
            <w:tcW w:w="5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Xbox content and services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(6)%</w:t>
            </w:r>
          </w:p>
        </w:tc>
        <w:tc>
          <w:tcPr>
            <w:tcW w:w="24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666666"/>
              </w:rPr>
              <w:t>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(4)%</w:t>
            </w:r>
          </w:p>
        </w:tc>
      </w:tr>
      <w:tr>
        <w:trPr>
          <w:trHeight w:val="221"/>
        </w:trPr>
        <w:tc>
          <w:tcPr>
            <w:tcW w:w="51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Search and news advertising excluding traffic acquisition costs</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18%</w:t>
            </w:r>
          </w:p>
        </w:tc>
        <w:tc>
          <w:tcPr>
            <w:tcW w:w="24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666666"/>
              </w:rPr>
              <w:t>3%</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21%</w:t>
            </w:r>
          </w:p>
        </w:tc>
      </w:tr>
      <w:tr>
        <w:trPr>
          <w:trHeight w:val="29"/>
        </w:trPr>
        <w:tc>
          <w:tcPr>
            <w:tcW w:w="5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Surface</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10%</w:t>
            </w:r>
          </w:p>
        </w:tc>
        <w:tc>
          <w:tcPr>
            <w:tcW w:w="24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666666"/>
              </w:rPr>
              <w:t>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15%</w:t>
            </w:r>
          </w:p>
        </w:tc>
      </w:tr>
      <w:tr>
        <w:trPr>
          <w:trHeight w:val="20"/>
        </w:trPr>
        <w:tc>
          <w:tcPr>
            <w:tcW w:w="51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About Microsoft</w:t>
      </w:r>
    </w:p>
    <w:p>
      <w:pPr>
        <w:spacing w:after="0" w:line="212"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666666"/>
        </w:rPr>
        <w:t>Microsoft (Nasdaq “MSFT” @microsoft) enables digital transformation for the era of an intelligent cloud and an intelligent edge. Its mission is to empower every person and every organization on the planet to achieve more.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Forward-Looking Statements</w:t>
      </w:r>
    </w:p>
    <w:p>
      <w:pPr>
        <w:spacing w:after="0" w:line="21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666666"/>
        </w:rPr>
        <w:t>Statements in this release that are “forward-looking statements” are based on current expectations and assumptions that are subject to risks and uncertainties. Actual results could differ materially because of factors such as:</w:t>
      </w:r>
    </w:p>
    <w:p>
      <w:pPr>
        <w:spacing w:after="0" w:line="181"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intense competition in all of our markets that may lead to lower revenue or operating margins;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increasing focus on cloud-based services presenting execution and competitive risks;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significant investments in products and services that may not achieve expected returns;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acquisitions, joint ventures, and strategic alliances that may have an adverse effect on our business;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impairment of goodwill or amortizable intangible assets causing a significant charge to earnings;</w:t>
      </w:r>
    </w:p>
    <w:p>
      <w:pPr>
        <w:spacing w:after="0" w:line="238" w:lineRule="exact"/>
        <w:rPr>
          <w:rFonts w:ascii="Arial" w:cs="Arial" w:eastAsia="Arial" w:hAnsi="Arial"/>
          <w:sz w:val="18"/>
          <w:szCs w:val="18"/>
          <w:color w:val="666666"/>
        </w:rPr>
      </w:pPr>
    </w:p>
    <w:p>
      <w:pPr>
        <w:ind w:left="960" w:right="280" w:hanging="424"/>
        <w:spacing w:after="0" w:line="271" w:lineRule="auto"/>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cyberattacks and security vulnerabilities that could lead to reduced revenue, increased costs, liability claims, or harm to our reputation or competitive position;</w:t>
      </w:r>
    </w:p>
    <w:p>
      <w:pPr>
        <w:spacing w:after="0" w:line="180"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disclosure and misuse of personal data that could cause liability and harm to our reputation;</w:t>
      </w:r>
    </w:p>
    <w:p>
      <w:pPr>
        <w:sectPr>
          <w:pgSz w:w="11900" w:h="16838" w:orient="portrait"/>
          <w:cols w:equalWidth="0" w:num="1">
            <w:col w:w="11020"/>
          </w:cols>
          <w:pgMar w:left="440" w:top="269" w:right="439" w:bottom="1440" w:gutter="0" w:footer="0" w:header="0"/>
        </w:sectPr>
      </w:pPr>
    </w:p>
    <w:bookmarkStart w:id="9" w:name="page10"/>
    <w:bookmarkEnd w:id="9"/>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possibility that we may not be able to protect information stored in our products and services from use by others;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abuse of our advertising or social platforms that may harm our reputation or user engagement;</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the development of the internet of things presenting security, privacy, and execution risks;</w:t>
      </w:r>
    </w:p>
    <w:p>
      <w:pPr>
        <w:spacing w:after="0" w:line="238" w:lineRule="exact"/>
        <w:rPr>
          <w:rFonts w:ascii="Arial" w:cs="Arial" w:eastAsia="Arial" w:hAnsi="Arial"/>
          <w:sz w:val="18"/>
          <w:szCs w:val="18"/>
          <w:color w:val="666666"/>
        </w:rPr>
      </w:pPr>
    </w:p>
    <w:p>
      <w:pPr>
        <w:ind w:left="960" w:right="40" w:hanging="424"/>
        <w:spacing w:after="0" w:line="271" w:lineRule="auto"/>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issues about the use of artificial intelligence in our offerings that may result in competitive harm, legal liability, or reputational harm;</w:t>
      </w:r>
    </w:p>
    <w:p>
      <w:pPr>
        <w:spacing w:after="0" w:line="180" w:lineRule="exact"/>
        <w:rPr>
          <w:rFonts w:ascii="Arial" w:cs="Arial" w:eastAsia="Arial" w:hAnsi="Arial"/>
          <w:sz w:val="18"/>
          <w:szCs w:val="18"/>
          <w:color w:val="666666"/>
        </w:rPr>
      </w:pPr>
    </w:p>
    <w:p>
      <w:pPr>
        <w:ind w:left="960" w:right="760" w:hanging="424"/>
        <w:spacing w:after="0" w:line="271" w:lineRule="auto"/>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excessive outages, data losses, and disruptions of our online services if we fail to maintain an adequate operations infrastructure;</w:t>
      </w:r>
    </w:p>
    <w:p>
      <w:pPr>
        <w:spacing w:after="0" w:line="180"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quality or supply problems;</w:t>
      </w:r>
    </w:p>
    <w:p>
      <w:pPr>
        <w:spacing w:after="0" w:line="238" w:lineRule="exact"/>
        <w:rPr>
          <w:rFonts w:ascii="Arial" w:cs="Arial" w:eastAsia="Arial" w:hAnsi="Arial"/>
          <w:sz w:val="18"/>
          <w:szCs w:val="18"/>
          <w:color w:val="666666"/>
        </w:rPr>
      </w:pPr>
    </w:p>
    <w:p>
      <w:pPr>
        <w:ind w:left="960" w:right="580" w:hanging="424"/>
        <w:spacing w:after="0" w:line="271" w:lineRule="auto"/>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government litigation and regulatory activity relating to competition rules that may limit how we design and market our products;</w:t>
      </w:r>
    </w:p>
    <w:p>
      <w:pPr>
        <w:spacing w:after="0" w:line="180"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potential consequences under trade, anti-corruption, and other laws resulting from our global operations;</w:t>
      </w:r>
    </w:p>
    <w:p>
      <w:pPr>
        <w:spacing w:after="0" w:line="238" w:lineRule="exact"/>
        <w:rPr>
          <w:rFonts w:ascii="Arial" w:cs="Arial" w:eastAsia="Arial" w:hAnsi="Arial"/>
          <w:sz w:val="18"/>
          <w:szCs w:val="18"/>
          <w:color w:val="666666"/>
        </w:rPr>
      </w:pPr>
    </w:p>
    <w:p>
      <w:pPr>
        <w:ind w:left="960" w:right="500" w:hanging="424"/>
        <w:spacing w:after="0" w:line="271" w:lineRule="auto"/>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laws and regulations relating to the handling of personal data that may impede the adoption of our services or result in increased costs, legal claims, fines, or reputational damage;</w:t>
      </w:r>
    </w:p>
    <w:p>
      <w:pPr>
        <w:spacing w:after="0" w:line="180"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claims against us that may result in adverse outcomes in legal disputes;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uncertainties relating to our business with government customers;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additional tax liabilities;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the possibility that we may fail to protect our source code;</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legal changes, our evolving business model, piracy, and other factors may decrease the value of our intellectual property;</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claims that Microsoft has infringed the intellectual property rights of others;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damage to our reputation or our brands that may harm our business and operating results;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adverse economic or market conditions that may harm our business;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catastrophic events or geo-political conditions, such as the COVID-19 pandemic, that may disrupt our business;</w:t>
      </w:r>
    </w:p>
    <w:p>
      <w:pPr>
        <w:spacing w:after="0" w:line="238" w:lineRule="exact"/>
        <w:rPr>
          <w:rFonts w:ascii="Arial" w:cs="Arial" w:eastAsia="Arial" w:hAnsi="Arial"/>
          <w:sz w:val="18"/>
          <w:szCs w:val="18"/>
          <w:color w:val="666666"/>
        </w:rPr>
      </w:pPr>
    </w:p>
    <w:p>
      <w:pPr>
        <w:ind w:left="960" w:right="400" w:hanging="424"/>
        <w:spacing w:after="0" w:line="271" w:lineRule="auto"/>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exposure to increased economic and operational uncertainties from operating a global business, including the effects of foreign currency exchange and</w:t>
      </w:r>
    </w:p>
    <w:p>
      <w:pPr>
        <w:spacing w:after="0" w:line="180" w:lineRule="exact"/>
        <w:rPr>
          <w:rFonts w:ascii="Arial" w:cs="Arial" w:eastAsia="Arial" w:hAnsi="Arial"/>
          <w:sz w:val="18"/>
          <w:szCs w:val="18"/>
          <w:color w:val="666666"/>
        </w:rPr>
      </w:pPr>
    </w:p>
    <w:p>
      <w:pPr>
        <w:ind w:left="960" w:hanging="424"/>
        <w:spacing w:after="0"/>
        <w:tabs>
          <w:tab w:leader="none" w:pos="960"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the dependence of our business on our ability to attract and retain talented employees.</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7"/>
          <w:szCs w:val="17"/>
          <w:color w:val="666666"/>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cs="Arial" w:eastAsia="Arial" w:hAnsi="Arial"/>
          <w:sz w:val="17"/>
          <w:szCs w:val="17"/>
          <w:u w:val="single" w:color="auto"/>
          <w:color w:val="666666"/>
        </w:rPr>
        <w:t>http://www.microsoft.com/en-us/investor</w:t>
      </w:r>
      <w:r>
        <w:rPr>
          <w:rFonts w:ascii="Arial" w:cs="Arial" w:eastAsia="Arial" w:hAnsi="Arial"/>
          <w:sz w:val="17"/>
          <w:szCs w:val="17"/>
          <w:color w:val="666666"/>
        </w:rPr>
        <w:t>.</w:t>
      </w:r>
    </w:p>
    <w:p>
      <w:pPr>
        <w:sectPr>
          <w:pgSz w:w="11900" w:h="16838" w:orient="portrait"/>
          <w:cols w:equalWidth="0" w:num="1">
            <w:col w:w="10860"/>
          </w:cols>
          <w:pgMar w:left="440" w:top="269" w:right="599" w:bottom="1440" w:gutter="0" w:footer="0" w:header="0"/>
        </w:sectPr>
      </w:pPr>
    </w:p>
    <w:bookmarkStart w:id="10" w:name="page11"/>
    <w:bookmarkEnd w:id="10"/>
    <w:p>
      <w:pPr>
        <w:ind w:right="640"/>
        <w:spacing w:after="0" w:line="271" w:lineRule="auto"/>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information in this release is as of June 30, 2022. The company undertakes no duty to update any forward-looking statement to conform the statement to actual results or changes in the company’s expectations.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press only: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 xml:space="preserve">Microsoft Media Relations, WE Communications for Microsoft, (425) 638-7777, </w:t>
      </w:r>
      <w:r>
        <w:rPr>
          <w:rFonts w:ascii="Arial" w:cs="Arial" w:eastAsia="Arial" w:hAnsi="Arial"/>
          <w:sz w:val="18"/>
          <w:szCs w:val="18"/>
          <w:u w:val="single" w:color="auto"/>
          <w:color w:val="666666"/>
        </w:rPr>
        <w:t>rrt@we-worldwide.com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financial analysts and investors only: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Brett Iversen, Vice President, Investor Relations, (425) 706-4400</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666666"/>
        </w:rPr>
        <w:t xml:space="preserve">Note to editors: For more information, news and perspectives from Microsoft, please visit the Microsoft News Center at </w:t>
      </w:r>
      <w:r>
        <w:rPr>
          <w:rFonts w:ascii="Arial" w:cs="Arial" w:eastAsia="Arial" w:hAnsi="Arial"/>
          <w:sz w:val="18"/>
          <w:szCs w:val="18"/>
          <w:u w:val="single" w:color="auto"/>
          <w:color w:val="666666"/>
        </w:rPr>
        <w:t>http://www.microsoft.com/news</w:t>
      </w:r>
      <w:r>
        <w:rPr>
          <w:rFonts w:ascii="Arial" w:cs="Arial" w:eastAsia="Arial" w:hAnsi="Arial"/>
          <w:sz w:val="18"/>
          <w:szCs w:val="18"/>
          <w:color w:val="666666"/>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w:t>
      </w:r>
    </w:p>
    <w:p>
      <w:pPr>
        <w:sectPr>
          <w:pgSz w:w="11900" w:h="16838" w:orient="portrait"/>
          <w:cols w:equalWidth="0" w:num="1">
            <w:col w:w="10980"/>
          </w:cols>
          <w:pgMar w:left="440" w:top="269"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7"/>
        </w:trPr>
        <w:tc>
          <w:tcPr>
            <w:tcW w:w="330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19"/>
        </w:trPr>
        <w:tc>
          <w:tcPr>
            <w:tcW w:w="3300" w:type="dxa"/>
            <w:vAlign w:val="bottom"/>
          </w:tcPr>
          <w:p>
            <w:pPr>
              <w:spacing w:after="0"/>
              <w:rPr>
                <w:sz w:val="24"/>
                <w:szCs w:val="24"/>
                <w:color w:val="auto"/>
              </w:rPr>
            </w:pPr>
          </w:p>
        </w:tc>
        <w:tc>
          <w:tcPr>
            <w:tcW w:w="4500" w:type="dxa"/>
            <w:vAlign w:val="bottom"/>
            <w:gridSpan w:val="3"/>
          </w:tcPr>
          <w:p>
            <w:pPr>
              <w:jc w:val="center"/>
              <w:ind w:right="100"/>
              <w:spacing w:after="0"/>
              <w:rPr>
                <w:sz w:val="20"/>
                <w:szCs w:val="20"/>
                <w:color w:val="auto"/>
              </w:rPr>
            </w:pPr>
            <w:r>
              <w:rPr>
                <w:rFonts w:ascii="Arial" w:cs="Arial" w:eastAsia="Arial" w:hAnsi="Arial"/>
                <w:sz w:val="18"/>
                <w:szCs w:val="18"/>
                <w:color w:val="666666"/>
                <w:w w:val="98"/>
              </w:rPr>
              <w:t>INCOME STATEMENTS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3300" w:type="dxa"/>
            <w:vAlign w:val="bottom"/>
          </w:tcPr>
          <w:p>
            <w:pPr>
              <w:spacing w:after="0"/>
              <w:rPr>
                <w:sz w:val="24"/>
                <w:szCs w:val="24"/>
                <w:color w:val="auto"/>
              </w:rPr>
            </w:pPr>
          </w:p>
        </w:tc>
        <w:tc>
          <w:tcPr>
            <w:tcW w:w="4500" w:type="dxa"/>
            <w:vAlign w:val="bottom"/>
            <w:gridSpan w:val="3"/>
          </w:tcPr>
          <w:p>
            <w:pPr>
              <w:jc w:val="center"/>
              <w:ind w:right="100"/>
              <w:spacing w:after="0"/>
              <w:rPr>
                <w:sz w:val="20"/>
                <w:szCs w:val="20"/>
                <w:color w:val="auto"/>
              </w:rPr>
            </w:pPr>
            <w:r>
              <w:rPr>
                <w:rFonts w:ascii="Arial" w:cs="Arial" w:eastAsia="Arial" w:hAnsi="Arial"/>
                <w:sz w:val="18"/>
                <w:szCs w:val="18"/>
                <w:color w:val="666666"/>
                <w:w w:val="99"/>
              </w:rPr>
              <w:t>(In millions, except per share amounts) (Unaudited)</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7"/>
        </w:trPr>
        <w:tc>
          <w:tcPr>
            <w:tcW w:w="3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666666"/>
              </w:rPr>
              <w:t>Three Months Ended</w:t>
            </w:r>
          </w:p>
        </w:tc>
        <w:tc>
          <w:tcPr>
            <w:tcW w:w="2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Twelve Months Ended</w:t>
            </w:r>
          </w:p>
        </w:tc>
      </w:tr>
      <w:tr>
        <w:trPr>
          <w:trHeight w:val="257"/>
        </w:trPr>
        <w:tc>
          <w:tcPr>
            <w:tcW w:w="33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666666"/>
              </w:rPr>
              <w:t>June 30,</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June 30,</w:t>
            </w:r>
          </w:p>
        </w:tc>
      </w:tr>
      <w:tr>
        <w:trPr>
          <w:trHeight w:val="285"/>
        </w:trPr>
        <w:tc>
          <w:tcPr>
            <w:tcW w:w="33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2022</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2021</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2022</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2021</w:t>
            </w:r>
          </w:p>
        </w:tc>
        <w:tc>
          <w:tcPr>
            <w:tcW w:w="60" w:type="dxa"/>
            <w:vAlign w:val="bottom"/>
          </w:tcPr>
          <w:p>
            <w:pPr>
              <w:spacing w:after="0"/>
              <w:rPr>
                <w:sz w:val="24"/>
                <w:szCs w:val="24"/>
                <w:color w:val="auto"/>
              </w:rPr>
            </w:pPr>
          </w:p>
        </w:tc>
      </w:tr>
      <w:tr>
        <w:trPr>
          <w:trHeight w:val="311"/>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Revenue:</w:t>
            </w:r>
          </w:p>
        </w:tc>
        <w:tc>
          <w:tcPr>
            <w:tcW w:w="34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82"/>
        </w:trPr>
        <w:tc>
          <w:tcPr>
            <w:tcW w:w="3300" w:type="dxa"/>
            <w:vAlign w:val="bottom"/>
          </w:tcPr>
          <w:p>
            <w:pPr>
              <w:ind w:left="220"/>
              <w:spacing w:after="0"/>
              <w:rPr>
                <w:sz w:val="20"/>
                <w:szCs w:val="20"/>
                <w:color w:val="auto"/>
              </w:rPr>
            </w:pPr>
            <w:r>
              <w:rPr>
                <w:rFonts w:ascii="Arial" w:cs="Arial" w:eastAsia="Arial" w:hAnsi="Arial"/>
                <w:sz w:val="18"/>
                <w:szCs w:val="18"/>
                <w:color w:val="666666"/>
              </w:rPr>
              <w:t>Product</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$17,956</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$18,938</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$72,732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666666"/>
              </w:rPr>
              <w:t>$71,074</w:t>
            </w:r>
          </w:p>
        </w:tc>
        <w:tc>
          <w:tcPr>
            <w:tcW w:w="60" w:type="dxa"/>
            <w:vAlign w:val="bottom"/>
          </w:tcPr>
          <w:p>
            <w:pPr>
              <w:spacing w:after="0"/>
              <w:rPr>
                <w:sz w:val="24"/>
                <w:szCs w:val="24"/>
                <w:color w:val="auto"/>
              </w:rPr>
            </w:pPr>
          </w:p>
        </w:tc>
      </w:tr>
      <w:tr>
        <w:trPr>
          <w:trHeight w:val="42"/>
        </w:trPr>
        <w:tc>
          <w:tcPr>
            <w:tcW w:w="3300" w:type="dxa"/>
            <w:vAlign w:val="bottom"/>
          </w:tcPr>
          <w:p>
            <w:pPr>
              <w:spacing w:after="0"/>
              <w:rPr>
                <w:sz w:val="3"/>
                <w:szCs w:val="3"/>
                <w:color w:val="auto"/>
              </w:rPr>
            </w:pPr>
          </w:p>
        </w:tc>
        <w:tc>
          <w:tcPr>
            <w:tcW w:w="3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24"/>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Service and other</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33,909</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27,214</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125,538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97,014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89"/>
        </w:trPr>
        <w:tc>
          <w:tcPr>
            <w:tcW w:w="33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Total revenue</w:t>
            </w:r>
          </w:p>
        </w:tc>
        <w:tc>
          <w:tcPr>
            <w:tcW w:w="4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51,865</w:t>
            </w:r>
          </w:p>
        </w:tc>
        <w:tc>
          <w:tcPr>
            <w:tcW w:w="28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46,152</w:t>
            </w:r>
          </w:p>
        </w:tc>
        <w:tc>
          <w:tcPr>
            <w:tcW w:w="28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198,270</w:t>
            </w:r>
          </w:p>
        </w:tc>
        <w:tc>
          <w:tcPr>
            <w:tcW w:w="28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168,088</w:t>
            </w:r>
          </w:p>
        </w:tc>
        <w:tc>
          <w:tcPr>
            <w:tcW w:w="60" w:type="dxa"/>
            <w:vAlign w:val="bottom"/>
          </w:tcPr>
          <w:p>
            <w:pPr>
              <w:spacing w:after="0"/>
              <w:rPr>
                <w:sz w:val="24"/>
                <w:szCs w:val="24"/>
                <w:color w:val="auto"/>
              </w:rPr>
            </w:pPr>
          </w:p>
        </w:tc>
      </w:tr>
      <w:tr>
        <w:trPr>
          <w:trHeight w:val="49"/>
        </w:trPr>
        <w:tc>
          <w:tcPr>
            <w:tcW w:w="330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Cost of revenue:</w:t>
            </w:r>
          </w:p>
        </w:tc>
        <w:tc>
          <w:tcPr>
            <w:tcW w:w="34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82"/>
        </w:trPr>
        <w:tc>
          <w:tcPr>
            <w:tcW w:w="3300" w:type="dxa"/>
            <w:vAlign w:val="bottom"/>
          </w:tcPr>
          <w:p>
            <w:pPr>
              <w:ind w:left="220"/>
              <w:spacing w:after="0"/>
              <w:rPr>
                <w:sz w:val="20"/>
                <w:szCs w:val="20"/>
                <w:color w:val="auto"/>
              </w:rPr>
            </w:pPr>
            <w:r>
              <w:rPr>
                <w:rFonts w:ascii="Arial" w:cs="Arial" w:eastAsia="Arial" w:hAnsi="Arial"/>
                <w:sz w:val="18"/>
                <w:szCs w:val="18"/>
                <w:color w:val="666666"/>
              </w:rPr>
              <w:t>Product</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4,357</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4,287</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19,064</w:t>
            </w:r>
          </w:p>
        </w:tc>
        <w:tc>
          <w:tcPr>
            <w:tcW w:w="1200" w:type="dxa"/>
            <w:vAlign w:val="bottom"/>
            <w:gridSpan w:val="2"/>
          </w:tcPr>
          <w:p>
            <w:pPr>
              <w:jc w:val="right"/>
              <w:spacing w:after="0"/>
              <w:rPr>
                <w:sz w:val="20"/>
                <w:szCs w:val="20"/>
                <w:color w:val="auto"/>
              </w:rPr>
            </w:pPr>
            <w:r>
              <w:rPr>
                <w:rFonts w:ascii="Arial" w:cs="Arial" w:eastAsia="Arial" w:hAnsi="Arial"/>
                <w:sz w:val="18"/>
                <w:szCs w:val="18"/>
                <w:color w:val="666666"/>
              </w:rPr>
              <w:t>18,219</w:t>
            </w:r>
          </w:p>
        </w:tc>
        <w:tc>
          <w:tcPr>
            <w:tcW w:w="60" w:type="dxa"/>
            <w:vAlign w:val="bottom"/>
          </w:tcPr>
          <w:p>
            <w:pPr>
              <w:spacing w:after="0"/>
              <w:rPr>
                <w:sz w:val="24"/>
                <w:szCs w:val="24"/>
                <w:color w:val="auto"/>
              </w:rPr>
            </w:pPr>
          </w:p>
        </w:tc>
      </w:tr>
      <w:tr>
        <w:trPr>
          <w:trHeight w:val="42"/>
        </w:trPr>
        <w:tc>
          <w:tcPr>
            <w:tcW w:w="3300" w:type="dxa"/>
            <w:vAlign w:val="bottom"/>
          </w:tcPr>
          <w:p>
            <w:pPr>
              <w:spacing w:after="0"/>
              <w:rPr>
                <w:sz w:val="3"/>
                <w:szCs w:val="3"/>
                <w:color w:val="auto"/>
              </w:rPr>
            </w:pPr>
          </w:p>
        </w:tc>
        <w:tc>
          <w:tcPr>
            <w:tcW w:w="3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24"/>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Service and other</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12,072</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9,704</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43,586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34,013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89"/>
        </w:trPr>
        <w:tc>
          <w:tcPr>
            <w:tcW w:w="33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Total cost of revenue</w:t>
            </w:r>
          </w:p>
        </w:tc>
        <w:tc>
          <w:tcPr>
            <w:tcW w:w="4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16,429</w:t>
            </w:r>
          </w:p>
        </w:tc>
        <w:tc>
          <w:tcPr>
            <w:tcW w:w="28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13,991</w:t>
            </w:r>
          </w:p>
        </w:tc>
        <w:tc>
          <w:tcPr>
            <w:tcW w:w="28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62,650</w:t>
            </w:r>
          </w:p>
        </w:tc>
        <w:tc>
          <w:tcPr>
            <w:tcW w:w="28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52,232</w:t>
            </w:r>
          </w:p>
        </w:tc>
        <w:tc>
          <w:tcPr>
            <w:tcW w:w="60" w:type="dxa"/>
            <w:vAlign w:val="bottom"/>
          </w:tcPr>
          <w:p>
            <w:pPr>
              <w:spacing w:after="0"/>
              <w:rPr>
                <w:sz w:val="24"/>
                <w:szCs w:val="24"/>
                <w:color w:val="auto"/>
              </w:rPr>
            </w:pPr>
          </w:p>
        </w:tc>
      </w:tr>
      <w:tr>
        <w:trPr>
          <w:trHeight w:val="49"/>
        </w:trPr>
        <w:tc>
          <w:tcPr>
            <w:tcW w:w="330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666666"/>
              </w:rPr>
              <w:t>Gross margin</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35,436</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32,161</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135,620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115,856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82"/>
        </w:trPr>
        <w:tc>
          <w:tcPr>
            <w:tcW w:w="3300" w:type="dxa"/>
            <w:vAlign w:val="bottom"/>
          </w:tcPr>
          <w:p>
            <w:pPr>
              <w:ind w:left="40"/>
              <w:spacing w:after="0"/>
              <w:rPr>
                <w:sz w:val="20"/>
                <w:szCs w:val="20"/>
                <w:color w:val="auto"/>
              </w:rPr>
            </w:pPr>
            <w:r>
              <w:rPr>
                <w:rFonts w:ascii="Arial" w:cs="Arial" w:eastAsia="Arial" w:hAnsi="Arial"/>
                <w:sz w:val="18"/>
                <w:szCs w:val="18"/>
                <w:color w:val="666666"/>
              </w:rPr>
              <w:t>Research and development</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6,849</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5,687</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24,512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666666"/>
              </w:rPr>
              <w:t>20,716</w:t>
            </w:r>
          </w:p>
        </w:tc>
        <w:tc>
          <w:tcPr>
            <w:tcW w:w="60" w:type="dxa"/>
            <w:vAlign w:val="bottom"/>
          </w:tcPr>
          <w:p>
            <w:pPr>
              <w:spacing w:after="0"/>
              <w:rPr>
                <w:sz w:val="24"/>
                <w:szCs w:val="24"/>
                <w:color w:val="auto"/>
              </w:rPr>
            </w:pPr>
          </w:p>
        </w:tc>
      </w:tr>
      <w:tr>
        <w:trPr>
          <w:trHeight w:val="42"/>
        </w:trPr>
        <w:tc>
          <w:tcPr>
            <w:tcW w:w="3300" w:type="dxa"/>
            <w:vAlign w:val="bottom"/>
          </w:tcPr>
          <w:p>
            <w:pPr>
              <w:spacing w:after="0"/>
              <w:rPr>
                <w:sz w:val="3"/>
                <w:szCs w:val="3"/>
                <w:color w:val="auto"/>
              </w:rPr>
            </w:pPr>
          </w:p>
        </w:tc>
        <w:tc>
          <w:tcPr>
            <w:tcW w:w="3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Sales and marketing</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6,304</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5,857</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21,825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20,117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82"/>
        </w:trPr>
        <w:tc>
          <w:tcPr>
            <w:tcW w:w="3300" w:type="dxa"/>
            <w:vAlign w:val="bottom"/>
          </w:tcPr>
          <w:p>
            <w:pPr>
              <w:ind w:left="40"/>
              <w:spacing w:after="0"/>
              <w:rPr>
                <w:sz w:val="20"/>
                <w:szCs w:val="20"/>
                <w:color w:val="auto"/>
              </w:rPr>
            </w:pPr>
            <w:r>
              <w:rPr>
                <w:rFonts w:ascii="Arial" w:cs="Arial" w:eastAsia="Arial" w:hAnsi="Arial"/>
                <w:sz w:val="18"/>
                <w:szCs w:val="18"/>
                <w:color w:val="666666"/>
              </w:rPr>
              <w:t>General and administrative</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1,749</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1,522</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5,900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666666"/>
              </w:rPr>
              <w:t>5,107</w:t>
            </w:r>
          </w:p>
        </w:tc>
        <w:tc>
          <w:tcPr>
            <w:tcW w:w="60" w:type="dxa"/>
            <w:vAlign w:val="bottom"/>
          </w:tcPr>
          <w:p>
            <w:pPr>
              <w:spacing w:after="0"/>
              <w:rPr>
                <w:sz w:val="24"/>
                <w:szCs w:val="24"/>
                <w:color w:val="auto"/>
              </w:rPr>
            </w:pPr>
          </w:p>
        </w:tc>
      </w:tr>
      <w:tr>
        <w:trPr>
          <w:trHeight w:val="49"/>
        </w:trPr>
        <w:tc>
          <w:tcPr>
            <w:tcW w:w="330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Operating income</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20,534</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19,095</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83,383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69,916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82"/>
        </w:trPr>
        <w:tc>
          <w:tcPr>
            <w:tcW w:w="3300" w:type="dxa"/>
            <w:vAlign w:val="bottom"/>
          </w:tcPr>
          <w:p>
            <w:pPr>
              <w:ind w:left="40"/>
              <w:spacing w:after="0"/>
              <w:rPr>
                <w:sz w:val="20"/>
                <w:szCs w:val="20"/>
                <w:color w:val="auto"/>
              </w:rPr>
            </w:pPr>
            <w:r>
              <w:rPr>
                <w:rFonts w:ascii="Arial" w:cs="Arial" w:eastAsia="Arial" w:hAnsi="Arial"/>
                <w:sz w:val="18"/>
                <w:szCs w:val="18"/>
                <w:color w:val="666666"/>
              </w:rPr>
              <w:t>Other income (expense), net</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(47)</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310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333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666666"/>
              </w:rPr>
              <w:t>1,186</w:t>
            </w:r>
          </w:p>
        </w:tc>
        <w:tc>
          <w:tcPr>
            <w:tcW w:w="60" w:type="dxa"/>
            <w:vAlign w:val="bottom"/>
          </w:tcPr>
          <w:p>
            <w:pPr>
              <w:spacing w:after="0"/>
              <w:rPr>
                <w:sz w:val="24"/>
                <w:szCs w:val="24"/>
                <w:color w:val="auto"/>
              </w:rPr>
            </w:pPr>
          </w:p>
        </w:tc>
      </w:tr>
      <w:tr>
        <w:trPr>
          <w:trHeight w:val="49"/>
        </w:trPr>
        <w:tc>
          <w:tcPr>
            <w:tcW w:w="330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Income before income taxes</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20,487</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19,405</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83,716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71,102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82"/>
        </w:trPr>
        <w:tc>
          <w:tcPr>
            <w:tcW w:w="3300" w:type="dxa"/>
            <w:vAlign w:val="bottom"/>
          </w:tcPr>
          <w:p>
            <w:pPr>
              <w:ind w:left="40"/>
              <w:spacing w:after="0"/>
              <w:rPr>
                <w:sz w:val="20"/>
                <w:szCs w:val="20"/>
                <w:color w:val="auto"/>
              </w:rPr>
            </w:pPr>
            <w:r>
              <w:rPr>
                <w:rFonts w:ascii="Arial" w:cs="Arial" w:eastAsia="Arial" w:hAnsi="Arial"/>
                <w:sz w:val="18"/>
                <w:szCs w:val="18"/>
                <w:color w:val="666666"/>
              </w:rPr>
              <w:t>Provision for income taxes</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3,747</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2,947</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10,978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666666"/>
              </w:rPr>
              <w:t>9,831</w:t>
            </w:r>
          </w:p>
        </w:tc>
        <w:tc>
          <w:tcPr>
            <w:tcW w:w="60" w:type="dxa"/>
            <w:vAlign w:val="bottom"/>
          </w:tcPr>
          <w:p>
            <w:pPr>
              <w:spacing w:after="0"/>
              <w:rPr>
                <w:sz w:val="24"/>
                <w:szCs w:val="24"/>
                <w:color w:val="auto"/>
              </w:rPr>
            </w:pPr>
          </w:p>
        </w:tc>
      </w:tr>
      <w:tr>
        <w:trPr>
          <w:trHeight w:val="49"/>
        </w:trPr>
        <w:tc>
          <w:tcPr>
            <w:tcW w:w="330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32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Net income</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$16,740</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$16,458</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$72,738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$61,271</w:t>
            </w:r>
          </w:p>
        </w:tc>
        <w:tc>
          <w:tcPr>
            <w:tcW w:w="60" w:type="dxa"/>
            <w:vAlign w:val="bottom"/>
            <w:tcBorders>
              <w:bottom w:val="single" w:sz="8" w:color="CCEEFF"/>
            </w:tcBorders>
            <w:shd w:val="clear" w:color="auto" w:fill="CCEEFF"/>
          </w:tcPr>
          <w:p>
            <w:pPr>
              <w:spacing w:after="0"/>
              <w:rPr>
                <w:sz w:val="24"/>
                <w:szCs w:val="24"/>
                <w:color w:val="auto"/>
              </w:rPr>
            </w:pPr>
          </w:p>
        </w:tc>
      </w:tr>
      <w:tr>
        <w:trPr>
          <w:trHeight w:val="497"/>
        </w:trPr>
        <w:tc>
          <w:tcPr>
            <w:tcW w:w="3300" w:type="dxa"/>
            <w:vAlign w:val="bottom"/>
          </w:tcPr>
          <w:p>
            <w:pPr>
              <w:ind w:left="40"/>
              <w:spacing w:after="0"/>
              <w:rPr>
                <w:sz w:val="20"/>
                <w:szCs w:val="20"/>
                <w:color w:val="auto"/>
              </w:rPr>
            </w:pPr>
            <w:r>
              <w:rPr>
                <w:rFonts w:ascii="Arial" w:cs="Arial" w:eastAsia="Arial" w:hAnsi="Arial"/>
                <w:sz w:val="18"/>
                <w:szCs w:val="18"/>
                <w:color w:val="666666"/>
              </w:rPr>
              <w:t>Earnings per share:</w:t>
            </w:r>
          </w:p>
        </w:tc>
        <w:tc>
          <w:tcPr>
            <w:tcW w:w="3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0"/>
        </w:trPr>
        <w:tc>
          <w:tcPr>
            <w:tcW w:w="33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Basic</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$2.24</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$2.19</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$9.70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$8.12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82"/>
        </w:trPr>
        <w:tc>
          <w:tcPr>
            <w:tcW w:w="3300" w:type="dxa"/>
            <w:vAlign w:val="bottom"/>
          </w:tcPr>
          <w:p>
            <w:pPr>
              <w:ind w:left="220"/>
              <w:spacing w:after="0"/>
              <w:rPr>
                <w:sz w:val="20"/>
                <w:szCs w:val="20"/>
                <w:color w:val="auto"/>
              </w:rPr>
            </w:pPr>
            <w:r>
              <w:rPr>
                <w:rFonts w:ascii="Arial" w:cs="Arial" w:eastAsia="Arial" w:hAnsi="Arial"/>
                <w:sz w:val="18"/>
                <w:szCs w:val="18"/>
                <w:color w:val="666666"/>
              </w:rPr>
              <w:t>Diluted</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$2.23</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$2.17</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$9.65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666666"/>
              </w:rPr>
              <w:t>$8.05</w:t>
            </w:r>
          </w:p>
        </w:tc>
        <w:tc>
          <w:tcPr>
            <w:tcW w:w="60" w:type="dxa"/>
            <w:vAlign w:val="bottom"/>
          </w:tcPr>
          <w:p>
            <w:pPr>
              <w:spacing w:after="0"/>
              <w:rPr>
                <w:sz w:val="24"/>
                <w:szCs w:val="24"/>
                <w:color w:val="auto"/>
              </w:rPr>
            </w:pPr>
          </w:p>
        </w:tc>
      </w:tr>
      <w:tr>
        <w:trPr>
          <w:trHeight w:val="258"/>
        </w:trPr>
        <w:tc>
          <w:tcPr>
            <w:tcW w:w="33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Weighted average shares outstanding:</w:t>
            </w:r>
          </w:p>
        </w:tc>
        <w:tc>
          <w:tcPr>
            <w:tcW w:w="34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82"/>
        </w:trPr>
        <w:tc>
          <w:tcPr>
            <w:tcW w:w="3300" w:type="dxa"/>
            <w:vAlign w:val="bottom"/>
          </w:tcPr>
          <w:p>
            <w:pPr>
              <w:ind w:left="220"/>
              <w:spacing w:after="0"/>
              <w:rPr>
                <w:sz w:val="20"/>
                <w:szCs w:val="20"/>
                <w:color w:val="auto"/>
              </w:rPr>
            </w:pPr>
            <w:r>
              <w:rPr>
                <w:rFonts w:ascii="Arial" w:cs="Arial" w:eastAsia="Arial" w:hAnsi="Arial"/>
                <w:sz w:val="18"/>
                <w:szCs w:val="18"/>
                <w:color w:val="666666"/>
              </w:rPr>
              <w:t>Basic</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7,474</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666666"/>
              </w:rPr>
              <w:t>7,527</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7,496</w:t>
            </w:r>
          </w:p>
        </w:tc>
        <w:tc>
          <w:tcPr>
            <w:tcW w:w="1200" w:type="dxa"/>
            <w:vAlign w:val="bottom"/>
            <w:gridSpan w:val="2"/>
          </w:tcPr>
          <w:p>
            <w:pPr>
              <w:jc w:val="right"/>
              <w:spacing w:after="0"/>
              <w:rPr>
                <w:sz w:val="20"/>
                <w:szCs w:val="20"/>
                <w:color w:val="auto"/>
              </w:rPr>
            </w:pPr>
            <w:r>
              <w:rPr>
                <w:rFonts w:ascii="Arial" w:cs="Arial" w:eastAsia="Arial" w:hAnsi="Arial"/>
                <w:sz w:val="18"/>
                <w:szCs w:val="18"/>
                <w:color w:val="666666"/>
              </w:rPr>
              <w:t>7,547</w:t>
            </w:r>
          </w:p>
        </w:tc>
        <w:tc>
          <w:tcPr>
            <w:tcW w:w="60" w:type="dxa"/>
            <w:vAlign w:val="bottom"/>
          </w:tcPr>
          <w:p>
            <w:pPr>
              <w:spacing w:after="0"/>
              <w:rPr>
                <w:sz w:val="24"/>
                <w:szCs w:val="24"/>
                <w:color w:val="auto"/>
              </w:rPr>
            </w:pPr>
          </w:p>
        </w:tc>
      </w:tr>
      <w:tr>
        <w:trPr>
          <w:trHeight w:val="42"/>
        </w:trPr>
        <w:tc>
          <w:tcPr>
            <w:tcW w:w="3300" w:type="dxa"/>
            <w:vAlign w:val="bottom"/>
          </w:tcPr>
          <w:p>
            <w:pPr>
              <w:spacing w:after="0"/>
              <w:rPr>
                <w:sz w:val="3"/>
                <w:szCs w:val="3"/>
                <w:color w:val="auto"/>
              </w:rPr>
            </w:pPr>
          </w:p>
        </w:tc>
        <w:tc>
          <w:tcPr>
            <w:tcW w:w="3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4"/>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Diluted</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7,506</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666666"/>
              </w:rPr>
              <w:t>7,581</w:t>
            </w: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7,540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7,608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0"/>
        </w:trPr>
        <w:tc>
          <w:tcPr>
            <w:tcW w:w="330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47"/>
        </w:trPr>
        <w:tc>
          <w:tcPr>
            <w:tcW w:w="348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19"/>
        </w:trPr>
        <w:tc>
          <w:tcPr>
            <w:tcW w:w="3480" w:type="dxa"/>
            <w:vAlign w:val="bottom"/>
          </w:tcPr>
          <w:p>
            <w:pPr>
              <w:spacing w:after="0"/>
              <w:rPr>
                <w:sz w:val="24"/>
                <w:szCs w:val="24"/>
                <w:color w:val="auto"/>
              </w:rPr>
            </w:pPr>
          </w:p>
        </w:tc>
        <w:tc>
          <w:tcPr>
            <w:tcW w:w="4100" w:type="dxa"/>
            <w:vAlign w:val="bottom"/>
            <w:gridSpan w:val="2"/>
          </w:tcPr>
          <w:p>
            <w:pPr>
              <w:jc w:val="right"/>
              <w:ind w:right="190"/>
              <w:spacing w:after="0"/>
              <w:rPr>
                <w:sz w:val="20"/>
                <w:szCs w:val="20"/>
                <w:color w:val="auto"/>
              </w:rPr>
            </w:pPr>
            <w:r>
              <w:rPr>
                <w:rFonts w:ascii="Arial" w:cs="Arial" w:eastAsia="Arial" w:hAnsi="Arial"/>
                <w:sz w:val="18"/>
                <w:szCs w:val="18"/>
                <w:color w:val="666666"/>
              </w:rPr>
              <w:t>COMPREHENSIVE INCOME STATEMENTS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3480" w:type="dxa"/>
            <w:vAlign w:val="bottom"/>
          </w:tcPr>
          <w:p>
            <w:pPr>
              <w:spacing w:after="0"/>
              <w:rPr>
                <w:sz w:val="24"/>
                <w:szCs w:val="24"/>
                <w:color w:val="auto"/>
              </w:rPr>
            </w:pPr>
          </w:p>
        </w:tc>
        <w:tc>
          <w:tcPr>
            <w:tcW w:w="4100" w:type="dxa"/>
            <w:vAlign w:val="bottom"/>
            <w:gridSpan w:val="2"/>
          </w:tcPr>
          <w:p>
            <w:pPr>
              <w:jc w:val="right"/>
              <w:ind w:right="1030"/>
              <w:spacing w:after="0"/>
              <w:rPr>
                <w:sz w:val="20"/>
                <w:szCs w:val="20"/>
                <w:color w:val="auto"/>
              </w:rPr>
            </w:pPr>
            <w:r>
              <w:rPr>
                <w:rFonts w:ascii="Arial" w:cs="Arial" w:eastAsia="Arial" w:hAnsi="Arial"/>
                <w:sz w:val="18"/>
                <w:szCs w:val="18"/>
                <w:color w:val="666666"/>
              </w:rPr>
              <w:t>(In millions) (Unaudited)</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7"/>
        </w:trPr>
        <w:tc>
          <w:tcPr>
            <w:tcW w:w="3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666666"/>
              </w:rPr>
              <w:t>Three Months Ended</w:t>
            </w:r>
          </w:p>
        </w:tc>
        <w:tc>
          <w:tcPr>
            <w:tcW w:w="2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Twelve Months Ended</w:t>
            </w:r>
          </w:p>
        </w:tc>
      </w:tr>
      <w:tr>
        <w:trPr>
          <w:trHeight w:val="257"/>
        </w:trPr>
        <w:tc>
          <w:tcPr>
            <w:tcW w:w="34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666666"/>
              </w:rPr>
              <w:t>June 30,</w:t>
            </w: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June 30,</w:t>
            </w:r>
          </w:p>
        </w:tc>
      </w:tr>
      <w:tr>
        <w:trPr>
          <w:trHeight w:val="285"/>
        </w:trPr>
        <w:tc>
          <w:tcPr>
            <w:tcW w:w="3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2022</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2021</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2022</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2021</w:t>
            </w:r>
          </w:p>
        </w:tc>
        <w:tc>
          <w:tcPr>
            <w:tcW w:w="60" w:type="dxa"/>
            <w:vAlign w:val="bottom"/>
          </w:tcPr>
          <w:p>
            <w:pPr>
              <w:spacing w:after="0"/>
              <w:rPr>
                <w:sz w:val="24"/>
                <w:szCs w:val="24"/>
                <w:color w:val="auto"/>
              </w:rPr>
            </w:pPr>
          </w:p>
        </w:tc>
      </w:tr>
      <w:tr>
        <w:trPr>
          <w:trHeight w:val="284"/>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666666"/>
              </w:rPr>
              <w:t>Net income</w:t>
            </w:r>
          </w:p>
        </w:tc>
        <w:tc>
          <w:tcPr>
            <w:tcW w:w="326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$16,740</w:t>
            </w:r>
          </w:p>
        </w:tc>
        <w:tc>
          <w:tcPr>
            <w:tcW w:w="2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66666"/>
              </w:rPr>
              <w:t>$16,458</w:t>
            </w:r>
          </w:p>
        </w:tc>
        <w:tc>
          <w:tcPr>
            <w:tcW w:w="2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$72,738</w:t>
            </w:r>
          </w:p>
        </w:tc>
        <w:tc>
          <w:tcPr>
            <w:tcW w:w="28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66666"/>
              </w:rPr>
              <w:t>$61,271</w:t>
            </w:r>
          </w:p>
        </w:tc>
        <w:tc>
          <w:tcPr>
            <w:tcW w:w="60" w:type="dxa"/>
            <w:vAlign w:val="bottom"/>
            <w:shd w:val="clear" w:color="auto" w:fill="CCEEFF"/>
          </w:tcPr>
          <w:p>
            <w:pPr>
              <w:spacing w:after="0"/>
              <w:rPr>
                <w:sz w:val="24"/>
                <w:szCs w:val="24"/>
                <w:color w:val="auto"/>
              </w:rPr>
            </w:pPr>
          </w:p>
        </w:tc>
      </w:tr>
      <w:tr>
        <w:trPr>
          <w:trHeight w:val="274"/>
        </w:trPr>
        <w:tc>
          <w:tcPr>
            <w:tcW w:w="7580" w:type="dxa"/>
            <w:vAlign w:val="bottom"/>
            <w:gridSpan w:val="3"/>
          </w:tcPr>
          <w:p>
            <w:pPr>
              <w:ind w:left="40"/>
              <w:spacing w:after="0"/>
              <w:rPr>
                <w:sz w:val="20"/>
                <w:szCs w:val="20"/>
                <w:color w:val="auto"/>
              </w:rPr>
            </w:pPr>
            <w:r>
              <w:rPr>
                <w:rFonts w:ascii="Arial" w:cs="Arial" w:eastAsia="Arial" w:hAnsi="Arial"/>
                <w:sz w:val="18"/>
                <w:szCs w:val="18"/>
                <w:color w:val="666666"/>
              </w:rPr>
              <w:t>Other comprehensive income (loss), net of tax:</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
        </w:trPr>
        <w:tc>
          <w:tcPr>
            <w:tcW w:w="3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666666"/>
              </w:rPr>
              <w:t>Net change related to derivatives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666666"/>
              </w:rPr>
              <w:t>(11)</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666666"/>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666666"/>
              </w:rPr>
              <w:t>19</w:t>
            </w:r>
          </w:p>
        </w:tc>
        <w:tc>
          <w:tcPr>
            <w:tcW w:w="60" w:type="dxa"/>
            <w:vAlign w:val="bottom"/>
            <w:shd w:val="clear" w:color="auto" w:fill="CCEEFF"/>
          </w:tcPr>
          <w:p>
            <w:pPr>
              <w:spacing w:after="0"/>
              <w:rPr>
                <w:sz w:val="24"/>
                <w:szCs w:val="24"/>
                <w:color w:val="auto"/>
              </w:rPr>
            </w:pPr>
          </w:p>
        </w:tc>
      </w:tr>
      <w:tr>
        <w:trPr>
          <w:trHeight w:val="276"/>
        </w:trPr>
        <w:tc>
          <w:tcPr>
            <w:tcW w:w="3480" w:type="dxa"/>
            <w:vAlign w:val="bottom"/>
          </w:tcPr>
          <w:p>
            <w:pPr>
              <w:ind w:left="220"/>
              <w:spacing w:after="0"/>
              <w:rPr>
                <w:sz w:val="20"/>
                <w:szCs w:val="20"/>
                <w:color w:val="auto"/>
              </w:rPr>
            </w:pPr>
            <w:r>
              <w:rPr>
                <w:rFonts w:ascii="Arial" w:cs="Arial" w:eastAsia="Arial" w:hAnsi="Arial"/>
                <w:sz w:val="18"/>
                <w:szCs w:val="18"/>
                <w:color w:val="666666"/>
              </w:rPr>
              <w:t>Net change related to investments</w:t>
            </w:r>
          </w:p>
        </w:tc>
        <w:tc>
          <w:tcPr>
            <w:tcW w:w="4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(1,313)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666666"/>
              </w:rPr>
              <w:t>132</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666666"/>
              </w:rPr>
              <w:t>(5,360)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(2,266)</w:t>
            </w:r>
          </w:p>
        </w:tc>
        <w:tc>
          <w:tcPr>
            <w:tcW w:w="60" w:type="dxa"/>
            <w:vAlign w:val="bottom"/>
          </w:tcPr>
          <w:p>
            <w:pPr>
              <w:spacing w:after="0"/>
              <w:rPr>
                <w:sz w:val="24"/>
                <w:szCs w:val="24"/>
                <w:color w:val="auto"/>
              </w:rPr>
            </w:pPr>
          </w:p>
        </w:tc>
      </w:tr>
      <w:tr>
        <w:trPr>
          <w:trHeight w:val="285"/>
        </w:trPr>
        <w:tc>
          <w:tcPr>
            <w:tcW w:w="3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666666"/>
              </w:rPr>
              <w:t>Translation adjustments and other</w:t>
            </w:r>
          </w:p>
        </w:tc>
        <w:tc>
          <w:tcPr>
            <w:tcW w:w="4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(887)</w:t>
            </w:r>
          </w:p>
        </w:tc>
        <w:tc>
          <w:tcPr>
            <w:tcW w:w="2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66666"/>
              </w:rPr>
              <w:t>239</w:t>
            </w:r>
          </w:p>
        </w:tc>
        <w:tc>
          <w:tcPr>
            <w:tcW w:w="2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(1,146)</w:t>
            </w:r>
          </w:p>
        </w:tc>
        <w:tc>
          <w:tcPr>
            <w:tcW w:w="28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66666"/>
              </w:rPr>
              <w:t>873</w:t>
            </w:r>
          </w:p>
        </w:tc>
        <w:tc>
          <w:tcPr>
            <w:tcW w:w="60" w:type="dxa"/>
            <w:vAlign w:val="bottom"/>
            <w:shd w:val="clear" w:color="auto" w:fill="CCEEFF"/>
          </w:tcPr>
          <w:p>
            <w:pPr>
              <w:spacing w:after="0"/>
              <w:rPr>
                <w:sz w:val="24"/>
                <w:szCs w:val="24"/>
                <w:color w:val="auto"/>
              </w:rPr>
            </w:pPr>
          </w:p>
        </w:tc>
      </w:tr>
      <w:tr>
        <w:trPr>
          <w:trHeight w:val="297"/>
        </w:trPr>
        <w:tc>
          <w:tcPr>
            <w:tcW w:w="34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666666"/>
              </w:rPr>
              <w:t>Other comprehensive income (loss)</w:t>
            </w:r>
          </w:p>
        </w:tc>
        <w:tc>
          <w:tcPr>
            <w:tcW w:w="4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(2,202)</w:t>
            </w:r>
          </w:p>
        </w:tc>
        <w:tc>
          <w:tcPr>
            <w:tcW w:w="2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360</w:t>
            </w:r>
          </w:p>
        </w:tc>
        <w:tc>
          <w:tcPr>
            <w:tcW w:w="2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(6,500)</w:t>
            </w:r>
          </w:p>
        </w:tc>
        <w:tc>
          <w:tcPr>
            <w:tcW w:w="2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(1,374)</w:t>
            </w:r>
          </w:p>
        </w:tc>
        <w:tc>
          <w:tcPr>
            <w:tcW w:w="60" w:type="dxa"/>
            <w:vAlign w:val="bottom"/>
          </w:tcPr>
          <w:p>
            <w:pPr>
              <w:spacing w:after="0"/>
              <w:rPr>
                <w:sz w:val="24"/>
                <w:szCs w:val="24"/>
                <w:color w:val="auto"/>
              </w:rPr>
            </w:pPr>
          </w:p>
        </w:tc>
      </w:tr>
      <w:tr>
        <w:trPr>
          <w:trHeight w:val="284"/>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666666"/>
              </w:rPr>
              <w:t>Comprehensive income</w:t>
            </w:r>
          </w:p>
        </w:tc>
        <w:tc>
          <w:tcPr>
            <w:tcW w:w="326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$14,538</w:t>
            </w:r>
          </w:p>
        </w:tc>
        <w:tc>
          <w:tcPr>
            <w:tcW w:w="2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66666"/>
              </w:rPr>
              <w:t>$16,818</w:t>
            </w:r>
          </w:p>
        </w:tc>
        <w:tc>
          <w:tcPr>
            <w:tcW w:w="28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$66,238</w:t>
            </w:r>
          </w:p>
        </w:tc>
        <w:tc>
          <w:tcPr>
            <w:tcW w:w="28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66666"/>
              </w:rPr>
              <w:t>$59,897</w:t>
            </w:r>
          </w:p>
        </w:tc>
        <w:tc>
          <w:tcPr>
            <w:tcW w:w="60" w:type="dxa"/>
            <w:vAlign w:val="bottom"/>
            <w:shd w:val="clear" w:color="auto" w:fill="CCEEFF"/>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MICROSOFT CORPORATION</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BALANCE SHEETS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(In millions)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60" w:type="dxa"/>
            <w:vAlign w:val="bottom"/>
          </w:tcPr>
          <w:p>
            <w:pPr>
              <w:jc w:val="right"/>
              <w:ind w:right="290"/>
              <w:spacing w:after="0"/>
              <w:rPr>
                <w:sz w:val="20"/>
                <w:szCs w:val="20"/>
                <w:color w:val="auto"/>
              </w:rPr>
            </w:pPr>
            <w:r>
              <w:rPr>
                <w:rFonts w:ascii="Arial" w:cs="Arial" w:eastAsia="Arial" w:hAnsi="Arial"/>
                <w:sz w:val="18"/>
                <w:szCs w:val="18"/>
                <w:b w:val="1"/>
                <w:bCs w:val="1"/>
                <w:color w:val="666666"/>
              </w:rPr>
              <w:t>June 30,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666666"/>
              </w:rPr>
              <w:t>June 30,</w:t>
            </w:r>
          </w:p>
        </w:tc>
      </w:tr>
      <w:tr>
        <w:trPr>
          <w:trHeight w:val="235"/>
        </w:trPr>
        <w:tc>
          <w:tcPr>
            <w:tcW w:w="9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666666"/>
              </w:rPr>
              <w:t>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99516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66666"/>
        </w:rPr>
        <w:t>Assets</w:t>
      </w:r>
    </w:p>
    <w:p>
      <w:pPr>
        <w:sectPr>
          <w:pgSz w:w="11900" w:h="16838" w:orient="portrait"/>
          <w:cols w:equalWidth="0" w:num="1">
            <w:col w:w="10960"/>
          </w:cols>
          <w:pgMar w:left="440" w:top="269" w:right="499" w:bottom="1440" w:gutter="0" w:footer="0" w:header="0"/>
        </w:sectPr>
      </w:pP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ind w:left="40"/>
              <w:spacing w:after="0"/>
              <w:rPr>
                <w:sz w:val="20"/>
                <w:szCs w:val="20"/>
                <w:color w:val="auto"/>
              </w:rPr>
            </w:pPr>
            <w:r>
              <w:rPr>
                <w:rFonts w:ascii="Arial" w:cs="Arial" w:eastAsia="Arial" w:hAnsi="Arial"/>
                <w:sz w:val="16"/>
                <w:szCs w:val="16"/>
                <w:color w:val="666666"/>
              </w:rPr>
              <w:t>Current assets: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8140" w:type="dxa"/>
            <w:vAlign w:val="bottom"/>
          </w:tcPr>
          <w:p>
            <w:pPr>
              <w:ind w:left="200"/>
              <w:spacing w:after="0"/>
              <w:rPr>
                <w:sz w:val="20"/>
                <w:szCs w:val="20"/>
                <w:color w:val="auto"/>
              </w:rPr>
            </w:pPr>
            <w:r>
              <w:rPr>
                <w:rFonts w:ascii="Arial" w:cs="Arial" w:eastAsia="Arial" w:hAnsi="Arial"/>
                <w:sz w:val="16"/>
                <w:szCs w:val="16"/>
                <w:color w:val="666666"/>
              </w:rPr>
              <w:t>Cash and cash equivalents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$13,931</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90,826</w:t>
            </w:r>
          </w:p>
        </w:tc>
        <w:tc>
          <w:tcPr>
            <w:tcW w:w="0" w:type="dxa"/>
            <w:vAlign w:val="bottom"/>
          </w:tcPr>
          <w:p>
            <w:pPr>
              <w:spacing w:after="0"/>
              <w:rPr>
                <w:sz w:val="1"/>
                <w:szCs w:val="1"/>
                <w:color w:val="auto"/>
              </w:rPr>
            </w:pPr>
          </w:p>
        </w:tc>
      </w:tr>
      <w:tr>
        <w:trPr>
          <w:trHeight w:val="35"/>
        </w:trPr>
        <w:tc>
          <w:tcPr>
            <w:tcW w:w="8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40" w:type="dxa"/>
            <w:vAlign w:val="bottom"/>
          </w:tcPr>
          <w:p>
            <w:pPr>
              <w:ind w:left="360"/>
              <w:spacing w:after="0"/>
              <w:rPr>
                <w:sz w:val="20"/>
                <w:szCs w:val="20"/>
                <w:color w:val="auto"/>
              </w:rPr>
            </w:pPr>
            <w:r>
              <w:rPr>
                <w:rFonts w:ascii="Arial" w:cs="Arial" w:eastAsia="Arial" w:hAnsi="Arial"/>
                <w:sz w:val="16"/>
                <w:szCs w:val="16"/>
                <w:color w:val="666666"/>
              </w:rPr>
              <w:t>Total cash, cash equivalents, and short-term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104,757</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 xml:space="preserve">Accounts receivable, net of allowance for doubtful accounts of </w:t>
            </w:r>
            <w:r>
              <w:rPr>
                <w:rFonts w:ascii="Arial" w:cs="Arial" w:eastAsia="Arial" w:hAnsi="Arial"/>
                <w:sz w:val="16"/>
                <w:szCs w:val="16"/>
                <w:b w:val="1"/>
                <w:bCs w:val="1"/>
                <w:color w:val="666666"/>
              </w:rPr>
              <w:t>$633</w:t>
            </w:r>
            <w:r>
              <w:rPr>
                <w:rFonts w:ascii="Arial" w:cs="Arial" w:eastAsia="Arial" w:hAnsi="Arial"/>
                <w:sz w:val="16"/>
                <w:szCs w:val="16"/>
                <w:color w:val="666666"/>
              </w:rPr>
              <w:t xml:space="preserve"> and $751</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44,261</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Inventories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3,742</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Other current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16,924</w:t>
            </w:r>
          </w:p>
        </w:tc>
        <w:tc>
          <w:tcPr>
            <w:tcW w:w="0" w:type="dxa"/>
            <w:vAlign w:val="bottom"/>
          </w:tcPr>
          <w:p>
            <w:pPr>
              <w:spacing w:after="0"/>
              <w:rPr>
                <w:sz w:val="1"/>
                <w:szCs w:val="1"/>
                <w:color w:val="auto"/>
              </w:rPr>
            </w:pPr>
          </w:p>
        </w:tc>
      </w:tr>
      <w:tr>
        <w:trPr>
          <w:trHeight w:val="35"/>
        </w:trPr>
        <w:tc>
          <w:tcPr>
            <w:tcW w:w="8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40" w:type="dxa"/>
            <w:vAlign w:val="bottom"/>
          </w:tcPr>
          <w:p>
            <w:pPr>
              <w:ind w:left="360"/>
              <w:spacing w:after="0"/>
              <w:rPr>
                <w:sz w:val="20"/>
                <w:szCs w:val="20"/>
                <w:color w:val="auto"/>
              </w:rPr>
            </w:pPr>
            <w:r>
              <w:rPr>
                <w:rFonts w:ascii="Arial" w:cs="Arial" w:eastAsia="Arial" w:hAnsi="Arial"/>
                <w:sz w:val="16"/>
                <w:szCs w:val="16"/>
                <w:color w:val="666666"/>
              </w:rPr>
              <w:t>Total current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169,684</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 xml:space="preserve">Property and equipment, net of accumulated depreciation of </w:t>
            </w:r>
            <w:r>
              <w:rPr>
                <w:rFonts w:ascii="Arial" w:cs="Arial" w:eastAsia="Arial" w:hAnsi="Arial"/>
                <w:sz w:val="16"/>
                <w:szCs w:val="16"/>
                <w:b w:val="1"/>
                <w:bCs w:val="1"/>
                <w:color w:val="666666"/>
              </w:rPr>
              <w:t>$59,660</w:t>
            </w:r>
            <w:r>
              <w:rPr>
                <w:rFonts w:ascii="Arial" w:cs="Arial" w:eastAsia="Arial" w:hAnsi="Arial"/>
                <w:sz w:val="16"/>
                <w:szCs w:val="16"/>
                <w:color w:val="666666"/>
              </w:rPr>
              <w:t xml:space="preserve"> and $51,351</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74,398</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Operating lease right-of-use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13,148</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Equity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6,891</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Goodwill</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67,524</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Intangible assets, net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11,298</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Other long-term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21,897</w:t>
            </w:r>
          </w:p>
        </w:tc>
        <w:tc>
          <w:tcPr>
            <w:tcW w:w="0" w:type="dxa"/>
            <w:vAlign w:val="bottom"/>
          </w:tcPr>
          <w:p>
            <w:pPr>
              <w:spacing w:after="0"/>
              <w:rPr>
                <w:sz w:val="1"/>
                <w:szCs w:val="1"/>
                <w:color w:val="auto"/>
              </w:rPr>
            </w:pPr>
          </w:p>
        </w:tc>
      </w:tr>
      <w:tr>
        <w:trPr>
          <w:trHeight w:val="34"/>
        </w:trPr>
        <w:tc>
          <w:tcPr>
            <w:tcW w:w="8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40" w:type="dxa"/>
            <w:vAlign w:val="bottom"/>
          </w:tcPr>
          <w:p>
            <w:pPr>
              <w:ind w:left="680"/>
              <w:spacing w:after="0"/>
              <w:rPr>
                <w:sz w:val="20"/>
                <w:szCs w:val="20"/>
                <w:color w:val="auto"/>
              </w:rPr>
            </w:pPr>
            <w:r>
              <w:rPr>
                <w:rFonts w:ascii="Arial" w:cs="Arial" w:eastAsia="Arial" w:hAnsi="Arial"/>
                <w:sz w:val="16"/>
                <w:szCs w:val="16"/>
                <w:color w:val="666666"/>
              </w:rPr>
              <w:t>Total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$364,840</w:t>
            </w:r>
          </w:p>
        </w:tc>
        <w:tc>
          <w:tcPr>
            <w:tcW w:w="0" w:type="dxa"/>
            <w:vAlign w:val="bottom"/>
          </w:tcPr>
          <w:p>
            <w:pPr>
              <w:spacing w:after="0"/>
              <w:rPr>
                <w:sz w:val="1"/>
                <w:szCs w:val="1"/>
                <w:color w:val="auto"/>
              </w:rPr>
            </w:pPr>
          </w:p>
        </w:tc>
      </w:tr>
      <w:tr>
        <w:trPr>
          <w:trHeight w:val="34"/>
        </w:trPr>
        <w:tc>
          <w:tcPr>
            <w:tcW w:w="8140" w:type="dxa"/>
            <w:vAlign w:val="bottom"/>
            <w:vMerge w:val="restart"/>
          </w:tcPr>
          <w:p>
            <w:pPr>
              <w:ind w:left="40"/>
              <w:spacing w:after="0"/>
              <w:rPr>
                <w:sz w:val="20"/>
                <w:szCs w:val="20"/>
                <w:color w:val="auto"/>
              </w:rPr>
            </w:pPr>
            <w:r>
              <w:rPr>
                <w:rFonts w:ascii="Arial" w:cs="Arial" w:eastAsia="Arial" w:hAnsi="Arial"/>
                <w:sz w:val="16"/>
                <w:szCs w:val="16"/>
                <w:b w:val="1"/>
                <w:bCs w:val="1"/>
                <w:color w:val="666666"/>
              </w:rPr>
              <w:t>Liabilities and stockholders’ equity</w:t>
            </w: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140" w:type="dxa"/>
            <w:vAlign w:val="bottom"/>
            <w:vMerge w:val="continue"/>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140" w:type="dxa"/>
            <w:vAlign w:val="bottom"/>
          </w:tcPr>
          <w:p>
            <w:pPr>
              <w:ind w:left="40"/>
              <w:spacing w:after="0"/>
              <w:rPr>
                <w:sz w:val="20"/>
                <w:szCs w:val="20"/>
                <w:color w:val="auto"/>
              </w:rPr>
            </w:pPr>
            <w:r>
              <w:rPr>
                <w:rFonts w:ascii="Arial" w:cs="Arial" w:eastAsia="Arial" w:hAnsi="Arial"/>
                <w:sz w:val="16"/>
                <w:szCs w:val="16"/>
                <w:color w:val="666666"/>
              </w:rPr>
              <w:t>Current liabilities:</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140" w:type="dxa"/>
            <w:vAlign w:val="bottom"/>
          </w:tcPr>
          <w:p>
            <w:pPr>
              <w:ind w:left="200"/>
              <w:spacing w:after="0"/>
              <w:rPr>
                <w:sz w:val="20"/>
                <w:szCs w:val="20"/>
                <w:color w:val="auto"/>
              </w:rPr>
            </w:pPr>
            <w:r>
              <w:rPr>
                <w:rFonts w:ascii="Arial" w:cs="Arial" w:eastAsia="Arial" w:hAnsi="Arial"/>
                <w:sz w:val="16"/>
                <w:szCs w:val="16"/>
                <w:color w:val="666666"/>
              </w:rPr>
              <w:t>Accounts payable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$19,000</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Current portion of long-term debt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2,749</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Accrued compensation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10,661</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4,067</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unearned revenue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45,538</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Other current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13,067</w:t>
            </w:r>
          </w:p>
        </w:tc>
        <w:tc>
          <w:tcPr>
            <w:tcW w:w="0" w:type="dxa"/>
            <w:vAlign w:val="bottom"/>
          </w:tcPr>
          <w:p>
            <w:pPr>
              <w:spacing w:after="0"/>
              <w:rPr>
                <w:sz w:val="1"/>
                <w:szCs w:val="1"/>
                <w:color w:val="auto"/>
              </w:rPr>
            </w:pPr>
          </w:p>
        </w:tc>
      </w:tr>
      <w:tr>
        <w:trPr>
          <w:trHeight w:val="35"/>
        </w:trPr>
        <w:tc>
          <w:tcPr>
            <w:tcW w:w="8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40" w:type="dxa"/>
            <w:vAlign w:val="bottom"/>
          </w:tcPr>
          <w:p>
            <w:pPr>
              <w:ind w:left="360"/>
              <w:spacing w:after="0"/>
              <w:rPr>
                <w:sz w:val="20"/>
                <w:szCs w:val="20"/>
                <w:color w:val="auto"/>
              </w:rPr>
            </w:pPr>
            <w:r>
              <w:rPr>
                <w:rFonts w:ascii="Arial" w:cs="Arial" w:eastAsia="Arial" w:hAnsi="Arial"/>
                <w:sz w:val="16"/>
                <w:szCs w:val="16"/>
                <w:color w:val="666666"/>
              </w:rPr>
              <w:t>Total current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95,082</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Long-term debt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47,032</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Long-term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26,069</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Long-term unearned revenue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2,870</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Deferred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230</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Operating lease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11,489</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Other long-term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15,526</w:t>
            </w:r>
          </w:p>
        </w:tc>
        <w:tc>
          <w:tcPr>
            <w:tcW w:w="0" w:type="dxa"/>
            <w:vAlign w:val="bottom"/>
          </w:tcPr>
          <w:p>
            <w:pPr>
              <w:spacing w:after="0"/>
              <w:rPr>
                <w:sz w:val="1"/>
                <w:szCs w:val="1"/>
                <w:color w:val="auto"/>
              </w:rPr>
            </w:pPr>
          </w:p>
        </w:tc>
      </w:tr>
      <w:tr>
        <w:trPr>
          <w:trHeight w:val="34"/>
        </w:trPr>
        <w:tc>
          <w:tcPr>
            <w:tcW w:w="8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40" w:type="dxa"/>
            <w:vAlign w:val="bottom"/>
          </w:tcPr>
          <w:p>
            <w:pPr>
              <w:ind w:left="520"/>
              <w:spacing w:after="0"/>
              <w:rPr>
                <w:sz w:val="20"/>
                <w:szCs w:val="20"/>
                <w:color w:val="auto"/>
              </w:rPr>
            </w:pPr>
            <w:r>
              <w:rPr>
                <w:rFonts w:ascii="Arial" w:cs="Arial" w:eastAsia="Arial" w:hAnsi="Arial"/>
                <w:sz w:val="16"/>
                <w:szCs w:val="16"/>
                <w:color w:val="666666"/>
              </w:rPr>
              <w:t>Total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198,298</w:t>
            </w:r>
          </w:p>
        </w:tc>
        <w:tc>
          <w:tcPr>
            <w:tcW w:w="0" w:type="dxa"/>
            <w:vAlign w:val="bottom"/>
          </w:tcPr>
          <w:p>
            <w:pPr>
              <w:spacing w:after="0"/>
              <w:rPr>
                <w:sz w:val="1"/>
                <w:szCs w:val="1"/>
                <w:color w:val="auto"/>
              </w:rPr>
            </w:pPr>
          </w:p>
        </w:tc>
      </w:tr>
      <w:tr>
        <w:trPr>
          <w:trHeight w:val="34"/>
        </w:trPr>
        <w:tc>
          <w:tcPr>
            <w:tcW w:w="8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140" w:type="dxa"/>
            <w:vAlign w:val="bottom"/>
          </w:tcPr>
          <w:p>
            <w:pPr>
              <w:ind w:left="40"/>
              <w:spacing w:after="0"/>
              <w:rPr>
                <w:sz w:val="20"/>
                <w:szCs w:val="20"/>
                <w:color w:val="auto"/>
              </w:rPr>
            </w:pPr>
            <w:r>
              <w:rPr>
                <w:rFonts w:ascii="Arial" w:cs="Arial" w:eastAsia="Arial" w:hAnsi="Arial"/>
                <w:sz w:val="16"/>
                <w:szCs w:val="16"/>
                <w:color w:val="666666"/>
              </w:rPr>
              <w:t>Commitments and contingencies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Stockholders’ equity: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140" w:type="dxa"/>
            <w:vAlign w:val="bottom"/>
          </w:tcPr>
          <w:p>
            <w:pPr>
              <w:ind w:left="200"/>
              <w:spacing w:after="0"/>
              <w:rPr>
                <w:sz w:val="20"/>
                <w:szCs w:val="20"/>
                <w:color w:val="auto"/>
              </w:rPr>
            </w:pPr>
            <w:r>
              <w:rPr>
                <w:rFonts w:ascii="Arial" w:cs="Arial" w:eastAsia="Arial" w:hAnsi="Arial"/>
                <w:sz w:val="16"/>
                <w:szCs w:val="16"/>
                <w:color w:val="666666"/>
              </w:rPr>
              <w:t xml:space="preserve">Common stock and paid-in capital—shares authorized 24,000; outstanding </w:t>
            </w:r>
            <w:r>
              <w:rPr>
                <w:rFonts w:ascii="Arial" w:cs="Arial" w:eastAsia="Arial" w:hAnsi="Arial"/>
                <w:sz w:val="16"/>
                <w:szCs w:val="16"/>
                <w:b w:val="1"/>
                <w:bCs w:val="1"/>
                <w:color w:val="666666"/>
              </w:rPr>
              <w:t>7,464</w:t>
            </w:r>
            <w:r>
              <w:rPr>
                <w:rFonts w:ascii="Arial" w:cs="Arial" w:eastAsia="Arial" w:hAnsi="Arial"/>
                <w:sz w:val="16"/>
                <w:szCs w:val="16"/>
                <w:color w:val="666666"/>
              </w:rPr>
              <w:t xml:space="preserve"> and 7,519</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86,939</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Retained earnings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84,281</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Accumulated other comprehensive income (loss)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(4,678)</w:t>
            </w:r>
          </w:p>
        </w:tc>
        <w:tc>
          <w:tcPr>
            <w:tcW w:w="0" w:type="dxa"/>
            <w:vAlign w:val="bottom"/>
          </w:tcPr>
          <w:p>
            <w:pPr>
              <w:spacing w:after="0"/>
              <w:rPr>
                <w:sz w:val="1"/>
                <w:szCs w:val="1"/>
                <w:color w:val="auto"/>
              </w:rPr>
            </w:pPr>
          </w:p>
        </w:tc>
      </w:tr>
      <w:tr>
        <w:trPr>
          <w:trHeight w:val="35"/>
        </w:trPr>
        <w:tc>
          <w:tcPr>
            <w:tcW w:w="8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40" w:type="dxa"/>
            <w:vAlign w:val="bottom"/>
          </w:tcPr>
          <w:p>
            <w:pPr>
              <w:ind w:left="520"/>
              <w:spacing w:after="0"/>
              <w:rPr>
                <w:sz w:val="20"/>
                <w:szCs w:val="20"/>
                <w:color w:val="auto"/>
              </w:rPr>
            </w:pPr>
            <w:r>
              <w:rPr>
                <w:rFonts w:ascii="Arial" w:cs="Arial" w:eastAsia="Arial" w:hAnsi="Arial"/>
                <w:sz w:val="16"/>
                <w:szCs w:val="16"/>
                <w:color w:val="666666"/>
              </w:rPr>
              <w:t>Total stockholders’ equity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166,542</w:t>
            </w:r>
          </w:p>
        </w:tc>
        <w:tc>
          <w:tcPr>
            <w:tcW w:w="0" w:type="dxa"/>
            <w:vAlign w:val="bottom"/>
          </w:tcPr>
          <w:p>
            <w:pPr>
              <w:spacing w:after="0"/>
              <w:rPr>
                <w:sz w:val="1"/>
                <w:szCs w:val="1"/>
                <w:color w:val="auto"/>
              </w:rPr>
            </w:pPr>
          </w:p>
        </w:tc>
      </w:tr>
      <w:tr>
        <w:trPr>
          <w:trHeight w:val="34"/>
        </w:trPr>
        <w:tc>
          <w:tcPr>
            <w:tcW w:w="8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40" w:type="dxa"/>
            <w:vAlign w:val="bottom"/>
          </w:tcPr>
          <w:p>
            <w:pPr>
              <w:ind w:left="680"/>
              <w:spacing w:after="0"/>
              <w:rPr>
                <w:sz w:val="20"/>
                <w:szCs w:val="20"/>
                <w:color w:val="auto"/>
              </w:rPr>
            </w:pPr>
            <w:r>
              <w:rPr>
                <w:rFonts w:ascii="Arial" w:cs="Arial" w:eastAsia="Arial" w:hAnsi="Arial"/>
                <w:sz w:val="16"/>
                <w:szCs w:val="16"/>
                <w:color w:val="666666"/>
              </w:rPr>
              <w:t>Total liabilities and stockholders’ equity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$364,840</w:t>
            </w:r>
          </w:p>
        </w:tc>
        <w:tc>
          <w:tcPr>
            <w:tcW w:w="0" w:type="dxa"/>
            <w:vAlign w:val="bottom"/>
          </w:tcPr>
          <w:p>
            <w:pPr>
              <w:spacing w:after="0"/>
              <w:rPr>
                <w:sz w:val="1"/>
                <w:szCs w:val="1"/>
                <w:color w:val="auto"/>
              </w:rPr>
            </w:pPr>
          </w:p>
        </w:tc>
      </w:tr>
      <w:tr>
        <w:trPr>
          <w:trHeight w:val="35"/>
        </w:trPr>
        <w:tc>
          <w:tcPr>
            <w:tcW w:w="814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-6831330</wp:posOffset>
            </wp:positionV>
            <wp:extent cx="699516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-6454140</wp:posOffset>
            </wp:positionV>
            <wp:extent cx="699516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-6094095</wp:posOffset>
            </wp:positionV>
            <wp:extent cx="699516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-5716905</wp:posOffset>
            </wp:positionV>
            <wp:extent cx="699516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-5356860</wp:posOffset>
            </wp:positionV>
            <wp:extent cx="699516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-4996815</wp:posOffset>
            </wp:positionV>
            <wp:extent cx="699516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-4636770</wp:posOffset>
            </wp:positionV>
            <wp:extent cx="699516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-4234180</wp:posOffset>
            </wp:positionV>
            <wp:extent cx="699516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-3874135</wp:posOffset>
            </wp:positionV>
            <wp:extent cx="699516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-3514090</wp:posOffset>
            </wp:positionV>
            <wp:extent cx="699516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-3154045</wp:posOffset>
            </wp:positionV>
            <wp:extent cx="699516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-2776855</wp:posOffset>
            </wp:positionV>
            <wp:extent cx="699516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-2416810</wp:posOffset>
            </wp:positionV>
            <wp:extent cx="699516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-2056765</wp:posOffset>
            </wp:positionV>
            <wp:extent cx="699516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-1696720</wp:posOffset>
            </wp:positionV>
            <wp:extent cx="699516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-1302385</wp:posOffset>
            </wp:positionV>
            <wp:extent cx="699516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-942340</wp:posOffset>
            </wp:positionV>
            <wp:extent cx="699516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-582295</wp:posOffset>
            </wp:positionV>
            <wp:extent cx="699516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699516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$14,224</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5"/>
          <w:szCs w:val="15"/>
          <w:color w:val="666666"/>
        </w:rPr>
        <w:t>116,110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53975</wp:posOffset>
            </wp:positionV>
            <wp:extent cx="840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130,334</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38,043</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2,636</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13,393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184,406</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59,715</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11,088</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5,984</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49,711</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7,800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15,075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66666"/>
        </w:rPr>
        <w:t>$333,779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$15,163</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8,072</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10,057</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2,174</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41,525</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11,666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88,657</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50,074</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27,190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2,616</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198</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9,629</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13,427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191,791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83,111</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57,055</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141,988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66666"/>
        </w:rPr>
        <w:t>$333,779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46355</wp:posOffset>
            </wp:positionV>
            <wp:extent cx="840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ectPr>
          <w:pgSz w:w="11900" w:h="16838" w:orient="portrait"/>
          <w:cols w:equalWidth="0" w:num="2">
            <w:col w:w="9520" w:space="720"/>
            <w:col w:w="720"/>
          </w:cols>
          <w:pgMar w:left="440" w:top="269" w:right="49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47"/>
        </w:trPr>
        <w:tc>
          <w:tcPr>
            <w:tcW w:w="590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19"/>
        </w:trPr>
        <w:tc>
          <w:tcPr>
            <w:tcW w:w="7240" w:type="dxa"/>
            <w:vAlign w:val="bottom"/>
            <w:gridSpan w:val="3"/>
          </w:tcPr>
          <w:p>
            <w:pPr>
              <w:ind w:left="4300"/>
              <w:spacing w:after="0"/>
              <w:rPr>
                <w:sz w:val="20"/>
                <w:szCs w:val="20"/>
                <w:color w:val="auto"/>
              </w:rPr>
            </w:pPr>
            <w:r>
              <w:rPr>
                <w:rFonts w:ascii="Arial" w:cs="Arial" w:eastAsia="Arial" w:hAnsi="Arial"/>
                <w:sz w:val="18"/>
                <w:szCs w:val="18"/>
                <w:color w:val="666666"/>
              </w:rPr>
              <w:t>CASH FLOWS STATEMENTS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7240" w:type="dxa"/>
            <w:vAlign w:val="bottom"/>
            <w:gridSpan w:val="3"/>
          </w:tcPr>
          <w:p>
            <w:pPr>
              <w:ind w:left="4540"/>
              <w:spacing w:after="0"/>
              <w:rPr>
                <w:sz w:val="20"/>
                <w:szCs w:val="20"/>
                <w:color w:val="auto"/>
              </w:rPr>
            </w:pPr>
            <w:r>
              <w:rPr>
                <w:rFonts w:ascii="Arial" w:cs="Arial" w:eastAsia="Arial" w:hAnsi="Arial"/>
                <w:sz w:val="18"/>
                <w:szCs w:val="18"/>
                <w:color w:val="666666"/>
              </w:rPr>
              <w:t>(In millions) (Unaudited)</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5900" w:type="dxa"/>
            <w:vAlign w:val="bottom"/>
          </w:tcPr>
          <w:p>
            <w:pPr>
              <w:spacing w:after="0"/>
              <w:rPr>
                <w:sz w:val="24"/>
                <w:szCs w:val="24"/>
                <w:color w:val="auto"/>
              </w:rPr>
            </w:pPr>
          </w:p>
        </w:tc>
        <w:tc>
          <w:tcPr>
            <w:tcW w:w="27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666666"/>
              </w:rPr>
              <w:t>Three Months Ended</w:t>
            </w:r>
          </w:p>
        </w:tc>
        <w:tc>
          <w:tcPr>
            <w:tcW w:w="24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666666"/>
              </w:rPr>
              <w:t>Twelve Months Ended</w:t>
            </w:r>
          </w:p>
        </w:tc>
      </w:tr>
      <w:tr>
        <w:trPr>
          <w:trHeight w:val="203"/>
        </w:trPr>
        <w:tc>
          <w:tcPr>
            <w:tcW w:w="5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666666"/>
              </w:rPr>
              <w:t>June 30,</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666666"/>
              </w:rPr>
              <w:t>June 30,</w:t>
            </w:r>
          </w:p>
        </w:tc>
      </w:tr>
      <w:tr>
        <w:trPr>
          <w:trHeight w:val="221"/>
        </w:trPr>
        <w:tc>
          <w:tcPr>
            <w:tcW w:w="59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666666"/>
              </w:rPr>
              <w:t>2022</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666666"/>
              </w:rPr>
              <w:t>2021</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666666"/>
              </w:rPr>
              <w:t>2022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2021</w:t>
            </w:r>
          </w:p>
        </w:tc>
      </w:tr>
      <w:tr>
        <w:trPr>
          <w:trHeight w:val="61"/>
        </w:trPr>
        <w:tc>
          <w:tcPr>
            <w:tcW w:w="590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666666"/>
              </w:rPr>
              <w:t>Operations</w:t>
            </w: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40"/>
              <w:spacing w:after="0"/>
              <w:rPr>
                <w:sz w:val="20"/>
                <w:szCs w:val="20"/>
                <w:color w:val="auto"/>
              </w:rPr>
            </w:pPr>
            <w:r>
              <w:rPr>
                <w:rFonts w:ascii="Arial" w:cs="Arial" w:eastAsia="Arial" w:hAnsi="Arial"/>
                <w:sz w:val="16"/>
                <w:szCs w:val="16"/>
                <w:color w:val="666666"/>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$16,740</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$16,458</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$72,738</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$61,271</w:t>
            </w:r>
          </w:p>
        </w:tc>
        <w:tc>
          <w:tcPr>
            <w:tcW w:w="60" w:type="dxa"/>
            <w:vAlign w:val="bottom"/>
          </w:tcPr>
          <w:p>
            <w:pPr>
              <w:spacing w:after="0"/>
              <w:rPr>
                <w:sz w:val="22"/>
                <w:szCs w:val="22"/>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Adjustments to reconcile net income to net cash from operations:</w:t>
            </w: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200"/>
              <w:spacing w:after="0"/>
              <w:rPr>
                <w:sz w:val="20"/>
                <w:szCs w:val="20"/>
                <w:color w:val="auto"/>
              </w:rPr>
            </w:pPr>
            <w:r>
              <w:rPr>
                <w:rFonts w:ascii="Arial" w:cs="Arial" w:eastAsia="Arial" w:hAnsi="Arial"/>
                <w:sz w:val="16"/>
                <w:szCs w:val="16"/>
                <w:color w:val="666666"/>
              </w:rPr>
              <w:t>Depreciation, amortization, and other</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3,979</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3,344</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14,460</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11,686</w:t>
            </w:r>
          </w:p>
        </w:tc>
        <w:tc>
          <w:tcPr>
            <w:tcW w:w="60" w:type="dxa"/>
            <w:vAlign w:val="bottom"/>
          </w:tcPr>
          <w:p>
            <w:pPr>
              <w:spacing w:after="0"/>
              <w:rPr>
                <w:sz w:val="22"/>
                <w:szCs w:val="22"/>
                <w:color w:val="auto"/>
              </w:rPr>
            </w:pPr>
          </w:p>
        </w:tc>
      </w:tr>
      <w:tr>
        <w:trPr>
          <w:trHeight w:val="34"/>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666666"/>
              </w:rPr>
              <w:t>Stock-based compensation expense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1,997</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1,571</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7,502</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6,118</w:t>
            </w: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200"/>
              <w:spacing w:after="0"/>
              <w:rPr>
                <w:sz w:val="20"/>
                <w:szCs w:val="20"/>
                <w:color w:val="auto"/>
              </w:rPr>
            </w:pPr>
            <w:r>
              <w:rPr>
                <w:rFonts w:ascii="Arial" w:cs="Arial" w:eastAsia="Arial" w:hAnsi="Arial"/>
                <w:sz w:val="16"/>
                <w:szCs w:val="16"/>
                <w:color w:val="666666"/>
              </w:rPr>
              <w:t>Net recognized losses (gains) on investments and derivatives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157</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(416)</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(409)</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(1,249)</w:t>
            </w:r>
          </w:p>
        </w:tc>
        <w:tc>
          <w:tcPr>
            <w:tcW w:w="60" w:type="dxa"/>
            <w:vAlign w:val="bottom"/>
          </w:tcPr>
          <w:p>
            <w:pPr>
              <w:spacing w:after="0"/>
              <w:rPr>
                <w:sz w:val="22"/>
                <w:szCs w:val="22"/>
                <w:color w:val="auto"/>
              </w:rPr>
            </w:pPr>
          </w:p>
        </w:tc>
      </w:tr>
      <w:tr>
        <w:trPr>
          <w:trHeight w:val="34"/>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666666"/>
              </w:rPr>
              <w:t>Deferred income taxes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283</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(34)</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(5,702)</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(150)</w:t>
            </w:r>
          </w:p>
        </w:tc>
        <w:tc>
          <w:tcPr>
            <w:tcW w:w="60" w:type="dxa"/>
            <w:vAlign w:val="bottom"/>
            <w:shd w:val="clear" w:color="auto" w:fill="CCEEFF"/>
          </w:tcPr>
          <w:p>
            <w:pPr>
              <w:spacing w:after="0"/>
              <w:rPr>
                <w:sz w:val="16"/>
                <w:szCs w:val="16"/>
                <w:color w:val="auto"/>
              </w:rPr>
            </w:pPr>
          </w:p>
        </w:tc>
      </w:tr>
      <w:tr>
        <w:trPr>
          <w:trHeight w:val="254"/>
        </w:trPr>
        <w:tc>
          <w:tcPr>
            <w:tcW w:w="5900" w:type="dxa"/>
            <w:vAlign w:val="bottom"/>
          </w:tcPr>
          <w:p>
            <w:pPr>
              <w:ind w:left="200"/>
              <w:spacing w:after="0"/>
              <w:rPr>
                <w:sz w:val="20"/>
                <w:szCs w:val="20"/>
                <w:color w:val="auto"/>
              </w:rPr>
            </w:pPr>
            <w:r>
              <w:rPr>
                <w:rFonts w:ascii="Arial" w:cs="Arial" w:eastAsia="Arial" w:hAnsi="Arial"/>
                <w:sz w:val="16"/>
                <w:szCs w:val="16"/>
                <w:color w:val="666666"/>
              </w:rPr>
              <w:t>Changes in operating assets and liabilities:</w:t>
            </w: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3"/>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Accounts receivable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(12,634)</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(11,606)</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(6,834)</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(6,481)</w:t>
            </w: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6"/>
                <w:szCs w:val="16"/>
                <w:color w:val="666666"/>
              </w:rPr>
              <w:t>Inventories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(461)</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(388)</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(1,123)</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(737)</w:t>
            </w:r>
          </w:p>
        </w:tc>
        <w:tc>
          <w:tcPr>
            <w:tcW w:w="60" w:type="dxa"/>
            <w:vAlign w:val="bottom"/>
          </w:tcPr>
          <w:p>
            <w:pPr>
              <w:spacing w:after="0"/>
              <w:rPr>
                <w:sz w:val="22"/>
                <w:szCs w:val="22"/>
                <w:color w:val="auto"/>
              </w:rPr>
            </w:pPr>
          </w:p>
        </w:tc>
      </w:tr>
      <w:tr>
        <w:trPr>
          <w:trHeight w:val="34"/>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Other current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(2,570)</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(2,086)</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(709)</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(932)</w:t>
            </w: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6"/>
                <w:szCs w:val="16"/>
                <w:color w:val="666666"/>
              </w:rPr>
              <w:t>Other long-term assets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(575)</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(1,013)</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(2,805)</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(3,459)</w:t>
            </w:r>
          </w:p>
        </w:tc>
        <w:tc>
          <w:tcPr>
            <w:tcW w:w="60" w:type="dxa"/>
            <w:vAlign w:val="bottom"/>
          </w:tcPr>
          <w:p>
            <w:pPr>
              <w:spacing w:after="0"/>
              <w:rPr>
                <w:sz w:val="22"/>
                <w:szCs w:val="22"/>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Accounts payable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2,659</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1,617</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2,943</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2,798</w:t>
            </w: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6"/>
                <w:szCs w:val="16"/>
                <w:color w:val="666666"/>
              </w:rPr>
              <w:t>Unearned 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12,546</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11,397</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5,109</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4,633</w:t>
            </w:r>
          </w:p>
        </w:tc>
        <w:tc>
          <w:tcPr>
            <w:tcW w:w="60" w:type="dxa"/>
            <w:vAlign w:val="bottom"/>
          </w:tcPr>
          <w:p>
            <w:pPr>
              <w:spacing w:after="0"/>
              <w:rPr>
                <w:sz w:val="22"/>
                <w:szCs w:val="22"/>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Income taxes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(991)</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(32)</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696</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(2,309)</w:t>
            </w: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360"/>
              <w:spacing w:after="0"/>
              <w:rPr>
                <w:sz w:val="20"/>
                <w:szCs w:val="20"/>
                <w:color w:val="auto"/>
              </w:rPr>
            </w:pPr>
            <w:r>
              <w:rPr>
                <w:rFonts w:ascii="Arial" w:cs="Arial" w:eastAsia="Arial" w:hAnsi="Arial"/>
                <w:sz w:val="16"/>
                <w:szCs w:val="16"/>
                <w:color w:val="666666"/>
              </w:rPr>
              <w:t>Other current liabilities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3,455</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3,755</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2,344</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4,149</w:t>
            </w:r>
          </w:p>
        </w:tc>
        <w:tc>
          <w:tcPr>
            <w:tcW w:w="60" w:type="dxa"/>
            <w:vAlign w:val="bottom"/>
          </w:tcPr>
          <w:p>
            <w:pPr>
              <w:spacing w:after="0"/>
              <w:rPr>
                <w:sz w:val="22"/>
                <w:szCs w:val="22"/>
                <w:color w:val="auto"/>
              </w:rPr>
            </w:pPr>
          </w:p>
        </w:tc>
      </w:tr>
      <w:tr>
        <w:trPr>
          <w:trHeight w:val="34"/>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Other long-term liabilities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44</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143</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825</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1,402</w:t>
            </w:r>
          </w:p>
        </w:tc>
        <w:tc>
          <w:tcPr>
            <w:tcW w:w="60" w:type="dxa"/>
            <w:vAlign w:val="bottom"/>
            <w:shd w:val="clear" w:color="auto" w:fill="CCEEFF"/>
          </w:tcPr>
          <w:p>
            <w:pPr>
              <w:spacing w:after="0"/>
              <w:rPr>
                <w:sz w:val="16"/>
                <w:szCs w:val="16"/>
                <w:color w:val="auto"/>
              </w:rPr>
            </w:pPr>
          </w:p>
        </w:tc>
      </w:tr>
      <w:tr>
        <w:trPr>
          <w:trHeight w:val="54"/>
        </w:trPr>
        <w:tc>
          <w:tcPr>
            <w:tcW w:w="59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69"/>
        </w:trPr>
        <w:tc>
          <w:tcPr>
            <w:tcW w:w="5900" w:type="dxa"/>
            <w:vAlign w:val="bottom"/>
          </w:tcPr>
          <w:p>
            <w:pPr>
              <w:ind w:left="520"/>
              <w:spacing w:after="0"/>
              <w:rPr>
                <w:sz w:val="20"/>
                <w:szCs w:val="20"/>
                <w:color w:val="auto"/>
              </w:rPr>
            </w:pPr>
            <w:r>
              <w:rPr>
                <w:rFonts w:ascii="Arial" w:cs="Arial" w:eastAsia="Arial" w:hAnsi="Arial"/>
                <w:sz w:val="16"/>
                <w:szCs w:val="16"/>
                <w:color w:val="666666"/>
              </w:rPr>
              <w:t>Net cash from operations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24,629</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22,710</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89,035</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76,740</w:t>
            </w:r>
          </w:p>
        </w:tc>
        <w:tc>
          <w:tcPr>
            <w:tcW w:w="60" w:type="dxa"/>
            <w:vAlign w:val="bottom"/>
          </w:tcPr>
          <w:p>
            <w:pPr>
              <w:spacing w:after="0"/>
              <w:rPr>
                <w:sz w:val="23"/>
                <w:szCs w:val="23"/>
                <w:color w:val="auto"/>
              </w:rPr>
            </w:pPr>
          </w:p>
        </w:tc>
      </w:tr>
      <w:tr>
        <w:trPr>
          <w:trHeight w:val="35"/>
        </w:trPr>
        <w:tc>
          <w:tcPr>
            <w:tcW w:w="59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61"/>
        </w:trPr>
        <w:tc>
          <w:tcPr>
            <w:tcW w:w="5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666666"/>
              </w:rPr>
              <w:t>Financing</w:t>
            </w: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62"/>
        </w:trPr>
        <w:tc>
          <w:tcPr>
            <w:tcW w:w="5900" w:type="dxa"/>
            <w:vAlign w:val="bottom"/>
          </w:tcPr>
          <w:p>
            <w:pPr>
              <w:ind w:left="40"/>
              <w:spacing w:after="0"/>
              <w:rPr>
                <w:sz w:val="20"/>
                <w:szCs w:val="20"/>
                <w:color w:val="auto"/>
              </w:rPr>
            </w:pPr>
            <w:r>
              <w:rPr>
                <w:rFonts w:ascii="Arial" w:cs="Arial" w:eastAsia="Arial" w:hAnsi="Arial"/>
                <w:sz w:val="16"/>
                <w:szCs w:val="16"/>
                <w:color w:val="666666"/>
              </w:rPr>
              <w:t>Cash premium on debt exchange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0</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0</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0</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(1,754)</w:t>
            </w:r>
          </w:p>
        </w:tc>
        <w:tc>
          <w:tcPr>
            <w:tcW w:w="60" w:type="dxa"/>
            <w:vAlign w:val="bottom"/>
          </w:tcPr>
          <w:p>
            <w:pPr>
              <w:spacing w:after="0"/>
              <w:rPr>
                <w:sz w:val="22"/>
                <w:szCs w:val="22"/>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Repayments of debt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0</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0</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(9,023)</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(3,750)</w:t>
            </w: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40"/>
              <w:spacing w:after="0"/>
              <w:rPr>
                <w:sz w:val="20"/>
                <w:szCs w:val="20"/>
                <w:color w:val="auto"/>
              </w:rPr>
            </w:pPr>
            <w:r>
              <w:rPr>
                <w:rFonts w:ascii="Arial" w:cs="Arial" w:eastAsia="Arial" w:hAnsi="Arial"/>
                <w:sz w:val="16"/>
                <w:szCs w:val="16"/>
                <w:color w:val="666666"/>
              </w:rPr>
              <w:t>Common stock issued</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461</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450</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1,841</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1,693</w:t>
            </w:r>
          </w:p>
        </w:tc>
        <w:tc>
          <w:tcPr>
            <w:tcW w:w="60" w:type="dxa"/>
            <w:vAlign w:val="bottom"/>
          </w:tcPr>
          <w:p>
            <w:pPr>
              <w:spacing w:after="0"/>
              <w:rPr>
                <w:sz w:val="22"/>
                <w:szCs w:val="22"/>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Common stock repurchased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(8,757)</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(7,177)</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(32,696)</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(27,385)</w:t>
            </w: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40"/>
              <w:spacing w:after="0"/>
              <w:rPr>
                <w:sz w:val="20"/>
                <w:szCs w:val="20"/>
                <w:color w:val="auto"/>
              </w:rPr>
            </w:pPr>
            <w:r>
              <w:rPr>
                <w:rFonts w:ascii="Arial" w:cs="Arial" w:eastAsia="Arial" w:hAnsi="Arial"/>
                <w:sz w:val="16"/>
                <w:szCs w:val="16"/>
                <w:color w:val="666666"/>
              </w:rPr>
              <w:t>Common stock cash dividends paid</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(4,632)</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(4,214)</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(18,135)</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(16,521)</w:t>
            </w:r>
          </w:p>
        </w:tc>
        <w:tc>
          <w:tcPr>
            <w:tcW w:w="60" w:type="dxa"/>
            <w:vAlign w:val="bottom"/>
          </w:tcPr>
          <w:p>
            <w:pPr>
              <w:spacing w:after="0"/>
              <w:rPr>
                <w:sz w:val="22"/>
                <w:szCs w:val="22"/>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Other, net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(341)</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(430)</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(863)</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(769)</w:t>
            </w:r>
          </w:p>
        </w:tc>
        <w:tc>
          <w:tcPr>
            <w:tcW w:w="60" w:type="dxa"/>
            <w:vAlign w:val="bottom"/>
            <w:shd w:val="clear" w:color="auto" w:fill="CCEEFF"/>
          </w:tcPr>
          <w:p>
            <w:pPr>
              <w:spacing w:after="0"/>
              <w:rPr>
                <w:sz w:val="16"/>
                <w:szCs w:val="16"/>
                <w:color w:val="auto"/>
              </w:rPr>
            </w:pPr>
          </w:p>
        </w:tc>
      </w:tr>
      <w:tr>
        <w:trPr>
          <w:trHeight w:val="54"/>
        </w:trPr>
        <w:tc>
          <w:tcPr>
            <w:tcW w:w="59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5900" w:type="dxa"/>
            <w:vAlign w:val="bottom"/>
          </w:tcPr>
          <w:p>
            <w:pPr>
              <w:ind w:left="600"/>
              <w:spacing w:after="0"/>
              <w:rPr>
                <w:sz w:val="20"/>
                <w:szCs w:val="20"/>
                <w:color w:val="auto"/>
              </w:rPr>
            </w:pPr>
            <w:r>
              <w:rPr>
                <w:rFonts w:ascii="Arial" w:cs="Arial" w:eastAsia="Arial" w:hAnsi="Arial"/>
                <w:sz w:val="16"/>
                <w:szCs w:val="16"/>
                <w:color w:val="666666"/>
              </w:rPr>
              <w:t>Net cash used in financing</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(13,269)</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(11,371)</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(58,876)</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(48,486)</w:t>
            </w:r>
          </w:p>
        </w:tc>
        <w:tc>
          <w:tcPr>
            <w:tcW w:w="60" w:type="dxa"/>
            <w:vAlign w:val="bottom"/>
          </w:tcPr>
          <w:p>
            <w:pPr>
              <w:spacing w:after="0"/>
              <w:rPr>
                <w:sz w:val="23"/>
                <w:szCs w:val="23"/>
                <w:color w:val="auto"/>
              </w:rPr>
            </w:pPr>
          </w:p>
        </w:tc>
      </w:tr>
      <w:tr>
        <w:trPr>
          <w:trHeight w:val="35"/>
        </w:trPr>
        <w:tc>
          <w:tcPr>
            <w:tcW w:w="59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61"/>
        </w:trPr>
        <w:tc>
          <w:tcPr>
            <w:tcW w:w="5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666666"/>
              </w:rPr>
              <w:t>Investing</w:t>
            </w: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62"/>
        </w:trPr>
        <w:tc>
          <w:tcPr>
            <w:tcW w:w="5900" w:type="dxa"/>
            <w:vAlign w:val="bottom"/>
          </w:tcPr>
          <w:p>
            <w:pPr>
              <w:ind w:left="40"/>
              <w:spacing w:after="0"/>
              <w:rPr>
                <w:sz w:val="20"/>
                <w:szCs w:val="20"/>
                <w:color w:val="auto"/>
              </w:rPr>
            </w:pPr>
            <w:r>
              <w:rPr>
                <w:rFonts w:ascii="Arial" w:cs="Arial" w:eastAsia="Arial" w:hAnsi="Arial"/>
                <w:sz w:val="16"/>
                <w:szCs w:val="16"/>
                <w:color w:val="666666"/>
              </w:rPr>
              <w:t>Additions to property and equipment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(6,871)</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(6,452)</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(23,886)</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(20,622)</w:t>
            </w:r>
          </w:p>
        </w:tc>
        <w:tc>
          <w:tcPr>
            <w:tcW w:w="60" w:type="dxa"/>
            <w:vAlign w:val="bottom"/>
          </w:tcPr>
          <w:p>
            <w:pPr>
              <w:spacing w:after="0"/>
              <w:rPr>
                <w:sz w:val="22"/>
                <w:szCs w:val="22"/>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75"/>
        </w:trPr>
        <w:tc>
          <w:tcPr>
            <w:tcW w:w="5900" w:type="dxa"/>
            <w:vAlign w:val="bottom"/>
            <w:shd w:val="clear" w:color="auto" w:fill="CCEEFF"/>
          </w:tcPr>
          <w:p>
            <w:pPr>
              <w:ind w:left="40"/>
              <w:spacing w:after="0" w:line="175" w:lineRule="exact"/>
              <w:rPr>
                <w:sz w:val="20"/>
                <w:szCs w:val="20"/>
                <w:color w:val="auto"/>
              </w:rPr>
            </w:pPr>
            <w:r>
              <w:rPr>
                <w:rFonts w:ascii="Arial" w:cs="Arial" w:eastAsia="Arial" w:hAnsi="Arial"/>
                <w:sz w:val="16"/>
                <w:szCs w:val="16"/>
                <w:color w:val="666666"/>
              </w:rPr>
              <w:t>Acquisition of companies, net of cash acquired, and purchases of intangible</w:t>
            </w: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5900" w:type="dxa"/>
            <w:vAlign w:val="bottom"/>
            <w:shd w:val="clear" w:color="auto" w:fill="CCEEFF"/>
          </w:tcPr>
          <w:p>
            <w:pPr>
              <w:ind w:left="160"/>
              <w:spacing w:after="0"/>
              <w:rPr>
                <w:sz w:val="20"/>
                <w:szCs w:val="20"/>
                <w:color w:val="auto"/>
              </w:rPr>
            </w:pPr>
            <w:r>
              <w:rPr>
                <w:rFonts w:ascii="Arial" w:cs="Arial" w:eastAsia="Arial" w:hAnsi="Arial"/>
                <w:sz w:val="16"/>
                <w:szCs w:val="16"/>
                <w:color w:val="666666"/>
              </w:rPr>
              <w:t>and other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(1,263)</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(501)</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(22,038)</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(8,909)</w:t>
            </w:r>
          </w:p>
        </w:tc>
        <w:tc>
          <w:tcPr>
            <w:tcW w:w="60" w:type="dxa"/>
            <w:vAlign w:val="bottom"/>
            <w:shd w:val="clear" w:color="auto" w:fill="CCEEFF"/>
          </w:tcPr>
          <w:p>
            <w:pPr>
              <w:spacing w:after="0"/>
              <w:rPr>
                <w:sz w:val="17"/>
                <w:szCs w:val="17"/>
                <w:color w:val="auto"/>
              </w:rPr>
            </w:pPr>
          </w:p>
        </w:tc>
      </w:tr>
      <w:tr>
        <w:trPr>
          <w:trHeight w:val="263"/>
        </w:trPr>
        <w:tc>
          <w:tcPr>
            <w:tcW w:w="5900" w:type="dxa"/>
            <w:vAlign w:val="bottom"/>
          </w:tcPr>
          <w:p>
            <w:pPr>
              <w:ind w:left="40"/>
              <w:spacing w:after="0"/>
              <w:rPr>
                <w:sz w:val="20"/>
                <w:szCs w:val="20"/>
                <w:color w:val="auto"/>
              </w:rPr>
            </w:pPr>
            <w:r>
              <w:rPr>
                <w:rFonts w:ascii="Arial" w:cs="Arial" w:eastAsia="Arial" w:hAnsi="Arial"/>
                <w:sz w:val="16"/>
                <w:szCs w:val="16"/>
                <w:color w:val="666666"/>
              </w:rPr>
              <w:t>Purchases of investments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(4,919)</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(14,877)</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(26,456)</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(62,924)</w:t>
            </w:r>
          </w:p>
        </w:tc>
        <w:tc>
          <w:tcPr>
            <w:tcW w:w="60" w:type="dxa"/>
            <w:vAlign w:val="bottom"/>
          </w:tcPr>
          <w:p>
            <w:pPr>
              <w:spacing w:after="0"/>
              <w:rPr>
                <w:sz w:val="22"/>
                <w:szCs w:val="22"/>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Maturities of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1,237</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7,246</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16,451</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51,792</w:t>
            </w:r>
          </w:p>
        </w:tc>
        <w:tc>
          <w:tcPr>
            <w:tcW w:w="60" w:type="dxa"/>
            <w:vAlign w:val="bottom"/>
            <w:shd w:val="clear" w:color="auto" w:fill="CCEEFF"/>
          </w:tcPr>
          <w:p>
            <w:pPr>
              <w:spacing w:after="0"/>
              <w:rPr>
                <w:sz w:val="16"/>
                <w:szCs w:val="16"/>
                <w:color w:val="auto"/>
              </w:rPr>
            </w:pPr>
          </w:p>
        </w:tc>
      </w:tr>
      <w:tr>
        <w:trPr>
          <w:trHeight w:val="263"/>
        </w:trPr>
        <w:tc>
          <w:tcPr>
            <w:tcW w:w="5900" w:type="dxa"/>
            <w:vAlign w:val="bottom"/>
          </w:tcPr>
          <w:p>
            <w:pPr>
              <w:ind w:left="40"/>
              <w:spacing w:after="0"/>
              <w:rPr>
                <w:sz w:val="20"/>
                <w:szCs w:val="20"/>
                <w:color w:val="auto"/>
              </w:rPr>
            </w:pPr>
            <w:r>
              <w:rPr>
                <w:rFonts w:ascii="Arial" w:cs="Arial" w:eastAsia="Arial" w:hAnsi="Arial"/>
                <w:sz w:val="16"/>
                <w:szCs w:val="16"/>
                <w:color w:val="666666"/>
              </w:rPr>
              <w:t>Sales of investments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3,225</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3,297</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28,443</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14,008</w:t>
            </w:r>
          </w:p>
        </w:tc>
        <w:tc>
          <w:tcPr>
            <w:tcW w:w="60" w:type="dxa"/>
            <w:vAlign w:val="bottom"/>
          </w:tcPr>
          <w:p>
            <w:pPr>
              <w:spacing w:after="0"/>
              <w:rPr>
                <w:sz w:val="22"/>
                <w:szCs w:val="22"/>
                <w:color w:val="auto"/>
              </w:rPr>
            </w:pPr>
          </w:p>
        </w:tc>
      </w:tr>
      <w:tr>
        <w:trPr>
          <w:trHeight w:val="34"/>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Other, net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(1,138)</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434</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(2,825)</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(922)</w:t>
            </w:r>
          </w:p>
        </w:tc>
        <w:tc>
          <w:tcPr>
            <w:tcW w:w="60" w:type="dxa"/>
            <w:vAlign w:val="bottom"/>
            <w:shd w:val="clear" w:color="auto" w:fill="CCEEFF"/>
          </w:tcPr>
          <w:p>
            <w:pPr>
              <w:spacing w:after="0"/>
              <w:rPr>
                <w:sz w:val="16"/>
                <w:szCs w:val="16"/>
                <w:color w:val="auto"/>
              </w:rPr>
            </w:pPr>
          </w:p>
        </w:tc>
      </w:tr>
      <w:tr>
        <w:trPr>
          <w:trHeight w:val="54"/>
        </w:trPr>
        <w:tc>
          <w:tcPr>
            <w:tcW w:w="59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69"/>
        </w:trPr>
        <w:tc>
          <w:tcPr>
            <w:tcW w:w="5900" w:type="dxa"/>
            <w:vAlign w:val="bottom"/>
          </w:tcPr>
          <w:p>
            <w:pPr>
              <w:ind w:left="520"/>
              <w:spacing w:after="0"/>
              <w:rPr>
                <w:sz w:val="20"/>
                <w:szCs w:val="20"/>
                <w:color w:val="auto"/>
              </w:rPr>
            </w:pPr>
            <w:r>
              <w:rPr>
                <w:rFonts w:ascii="Arial" w:cs="Arial" w:eastAsia="Arial" w:hAnsi="Arial"/>
                <w:sz w:val="16"/>
                <w:szCs w:val="16"/>
                <w:color w:val="666666"/>
              </w:rPr>
              <w:t>Net cash used in investing</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(9,729)</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(10,853)</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(30,311)</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(27,577)</w:t>
            </w:r>
          </w:p>
        </w:tc>
        <w:tc>
          <w:tcPr>
            <w:tcW w:w="60" w:type="dxa"/>
            <w:vAlign w:val="bottom"/>
          </w:tcPr>
          <w:p>
            <w:pPr>
              <w:spacing w:after="0"/>
              <w:rPr>
                <w:sz w:val="23"/>
                <w:szCs w:val="23"/>
                <w:color w:val="auto"/>
              </w:rPr>
            </w:pPr>
          </w:p>
        </w:tc>
      </w:tr>
      <w:tr>
        <w:trPr>
          <w:trHeight w:val="35"/>
        </w:trPr>
        <w:tc>
          <w:tcPr>
            <w:tcW w:w="59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61"/>
        </w:trPr>
        <w:tc>
          <w:tcPr>
            <w:tcW w:w="5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Effect of foreign exchange rates on cash and cash equivalents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(198)</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36</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(141)</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(29)</w:t>
            </w:r>
          </w:p>
        </w:tc>
        <w:tc>
          <w:tcPr>
            <w:tcW w:w="60" w:type="dxa"/>
            <w:vAlign w:val="bottom"/>
            <w:shd w:val="clear" w:color="auto" w:fill="CCEEFF"/>
          </w:tcPr>
          <w:p>
            <w:pPr>
              <w:spacing w:after="0"/>
              <w:rPr>
                <w:sz w:val="16"/>
                <w:szCs w:val="16"/>
                <w:color w:val="auto"/>
              </w:rPr>
            </w:pPr>
          </w:p>
        </w:tc>
      </w:tr>
      <w:tr>
        <w:trPr>
          <w:trHeight w:val="54"/>
        </w:trPr>
        <w:tc>
          <w:tcPr>
            <w:tcW w:w="59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69"/>
        </w:trPr>
        <w:tc>
          <w:tcPr>
            <w:tcW w:w="5900" w:type="dxa"/>
            <w:vAlign w:val="bottom"/>
          </w:tcPr>
          <w:p>
            <w:pPr>
              <w:ind w:left="40"/>
              <w:spacing w:after="0"/>
              <w:rPr>
                <w:sz w:val="20"/>
                <w:szCs w:val="20"/>
                <w:color w:val="auto"/>
              </w:rPr>
            </w:pPr>
            <w:r>
              <w:rPr>
                <w:rFonts w:ascii="Arial" w:cs="Arial" w:eastAsia="Arial" w:hAnsi="Arial"/>
                <w:sz w:val="16"/>
                <w:szCs w:val="16"/>
                <w:color w:val="666666"/>
              </w:rPr>
              <w:t>Net change in cash and cash equivalents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1,433</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522</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(293)</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666666"/>
              </w:rPr>
              <w:t>648</w:t>
            </w:r>
          </w:p>
        </w:tc>
        <w:tc>
          <w:tcPr>
            <w:tcW w:w="60" w:type="dxa"/>
            <w:vAlign w:val="bottom"/>
          </w:tcPr>
          <w:p>
            <w:pPr>
              <w:spacing w:after="0"/>
              <w:rPr>
                <w:sz w:val="23"/>
                <w:szCs w:val="23"/>
                <w:color w:val="auto"/>
              </w:rPr>
            </w:pPr>
          </w:p>
        </w:tc>
      </w:tr>
      <w:tr>
        <w:trPr>
          <w:trHeight w:val="35"/>
        </w:trPr>
        <w:tc>
          <w:tcPr>
            <w:tcW w:w="5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Cash and cash equivalents, beginning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12,498</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13,702</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14,224</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666666"/>
              </w:rPr>
              <w:t>13,576</w:t>
            </w:r>
          </w:p>
        </w:tc>
        <w:tc>
          <w:tcPr>
            <w:tcW w:w="60" w:type="dxa"/>
            <w:vAlign w:val="bottom"/>
            <w:shd w:val="clear" w:color="auto" w:fill="CCEEFF"/>
          </w:tcPr>
          <w:p>
            <w:pPr>
              <w:spacing w:after="0"/>
              <w:rPr>
                <w:sz w:val="16"/>
                <w:szCs w:val="16"/>
                <w:color w:val="auto"/>
              </w:rPr>
            </w:pPr>
          </w:p>
        </w:tc>
      </w:tr>
      <w:tr>
        <w:trPr>
          <w:trHeight w:val="54"/>
        </w:trPr>
        <w:tc>
          <w:tcPr>
            <w:tcW w:w="59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5900" w:type="dxa"/>
            <w:vAlign w:val="bottom"/>
          </w:tcPr>
          <w:p>
            <w:pPr>
              <w:ind w:left="40"/>
              <w:spacing w:after="0"/>
              <w:rPr>
                <w:sz w:val="20"/>
                <w:szCs w:val="20"/>
                <w:color w:val="auto"/>
              </w:rPr>
            </w:pPr>
            <w:r>
              <w:rPr>
                <w:rFonts w:ascii="Arial" w:cs="Arial" w:eastAsia="Arial" w:hAnsi="Arial"/>
                <w:sz w:val="16"/>
                <w:szCs w:val="16"/>
                <w:color w:val="666666"/>
              </w:rPr>
              <w:t>Cash and cash equivalents, end of period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666666"/>
              </w:rPr>
              <w:t>$13,931</w:t>
            </w:r>
          </w:p>
        </w:tc>
        <w:tc>
          <w:tcPr>
            <w:tcW w:w="3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66666"/>
              </w:rPr>
              <w:t>$14,224</w:t>
            </w:r>
          </w:p>
        </w:tc>
        <w:tc>
          <w:tcPr>
            <w:tcW w:w="34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666666"/>
              </w:rPr>
              <w:t>$13,931</w:t>
            </w:r>
          </w:p>
        </w:tc>
        <w:tc>
          <w:tcPr>
            <w:tcW w:w="3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66666"/>
              </w:rPr>
              <w:t>$14,224</w:t>
            </w:r>
          </w:p>
        </w:tc>
        <w:tc>
          <w:tcPr>
            <w:tcW w:w="6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47"/>
        </w:trPr>
        <w:tc>
          <w:tcPr>
            <w:tcW w:w="322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19"/>
        </w:trPr>
        <w:tc>
          <w:tcPr>
            <w:tcW w:w="3220" w:type="dxa"/>
            <w:vAlign w:val="bottom"/>
          </w:tcPr>
          <w:p>
            <w:pPr>
              <w:spacing w:after="0"/>
              <w:rPr>
                <w:sz w:val="24"/>
                <w:szCs w:val="24"/>
                <w:color w:val="auto"/>
              </w:rPr>
            </w:pPr>
          </w:p>
        </w:tc>
        <w:tc>
          <w:tcPr>
            <w:tcW w:w="4860" w:type="dxa"/>
            <w:vAlign w:val="bottom"/>
            <w:gridSpan w:val="3"/>
          </w:tcPr>
          <w:p>
            <w:pPr>
              <w:jc w:val="center"/>
              <w:ind w:right="280"/>
              <w:spacing w:after="0"/>
              <w:rPr>
                <w:sz w:val="20"/>
                <w:szCs w:val="20"/>
                <w:color w:val="auto"/>
              </w:rPr>
            </w:pPr>
            <w:r>
              <w:rPr>
                <w:rFonts w:ascii="Arial" w:cs="Arial" w:eastAsia="Arial" w:hAnsi="Arial"/>
                <w:sz w:val="18"/>
                <w:szCs w:val="18"/>
                <w:color w:val="666666"/>
                <w:w w:val="99"/>
              </w:rPr>
              <w:t>SEGMENT REVENUE AND OPERATING INCOME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3220" w:type="dxa"/>
            <w:vAlign w:val="bottom"/>
          </w:tcPr>
          <w:p>
            <w:pPr>
              <w:spacing w:after="0"/>
              <w:rPr>
                <w:sz w:val="24"/>
                <w:szCs w:val="24"/>
                <w:color w:val="auto"/>
              </w:rPr>
            </w:pPr>
          </w:p>
        </w:tc>
        <w:tc>
          <w:tcPr>
            <w:tcW w:w="4860" w:type="dxa"/>
            <w:vAlign w:val="bottom"/>
            <w:gridSpan w:val="3"/>
          </w:tcPr>
          <w:p>
            <w:pPr>
              <w:jc w:val="center"/>
              <w:ind w:right="300"/>
              <w:spacing w:after="0"/>
              <w:rPr>
                <w:sz w:val="20"/>
                <w:szCs w:val="20"/>
                <w:color w:val="auto"/>
              </w:rPr>
            </w:pPr>
            <w:r>
              <w:rPr>
                <w:rFonts w:ascii="Arial" w:cs="Arial" w:eastAsia="Arial" w:hAnsi="Arial"/>
                <w:sz w:val="18"/>
                <w:szCs w:val="18"/>
                <w:color w:val="666666"/>
              </w:rPr>
              <w:t>(In millions) (Unaudited)</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3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666666"/>
                <w:w w:val="98"/>
              </w:rPr>
              <w:t>Three Months Ended</w:t>
            </w:r>
          </w:p>
        </w:tc>
        <w:tc>
          <w:tcPr>
            <w:tcW w:w="19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w w:val="99"/>
              </w:rPr>
              <w:t>Twelve Months Ended</w:t>
            </w:r>
          </w:p>
        </w:tc>
      </w:tr>
      <w:tr>
        <w:trPr>
          <w:trHeight w:val="216"/>
        </w:trPr>
        <w:tc>
          <w:tcPr>
            <w:tcW w:w="3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666666"/>
              </w:rPr>
              <w:t>June 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June 30,</w:t>
            </w:r>
          </w:p>
        </w:tc>
      </w:tr>
      <w:tr>
        <w:trPr>
          <w:trHeight w:val="221"/>
        </w:trPr>
        <w:tc>
          <w:tcPr>
            <w:tcW w:w="32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666666"/>
              </w:rPr>
              <w:t>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2021</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666666"/>
              </w:rPr>
              <w:t>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2021</w:t>
            </w:r>
          </w:p>
        </w:tc>
        <w:tc>
          <w:tcPr>
            <w:tcW w:w="60" w:type="dxa"/>
            <w:vAlign w:val="bottom"/>
          </w:tcPr>
          <w:p>
            <w:pPr>
              <w:spacing w:after="0"/>
              <w:rPr>
                <w:sz w:val="19"/>
                <w:szCs w:val="19"/>
                <w:color w:val="auto"/>
              </w:rPr>
            </w:pPr>
          </w:p>
        </w:tc>
      </w:tr>
      <w:tr>
        <w:trPr>
          <w:trHeight w:val="61"/>
        </w:trPr>
        <w:tc>
          <w:tcPr>
            <w:tcW w:w="32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3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666666"/>
              </w:rPr>
              <w:t>Revenue</w:t>
            </w:r>
          </w:p>
        </w:tc>
        <w:tc>
          <w:tcPr>
            <w:tcW w:w="3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220" w:type="dxa"/>
            <w:vAlign w:val="bottom"/>
          </w:tcPr>
          <w:p>
            <w:pPr>
              <w:ind w:left="40"/>
              <w:spacing w:after="0" w:line="202" w:lineRule="exact"/>
              <w:rPr>
                <w:sz w:val="20"/>
                <w:szCs w:val="20"/>
                <w:color w:val="auto"/>
              </w:rPr>
            </w:pPr>
            <w:r>
              <w:rPr>
                <w:rFonts w:ascii="Arial" w:cs="Arial" w:eastAsia="Arial" w:hAnsi="Arial"/>
                <w:sz w:val="18"/>
                <w:szCs w:val="18"/>
                <w:color w:val="666666"/>
              </w:rPr>
              <w:t>Productivity and Business Processes</w:t>
            </w:r>
          </w:p>
        </w:tc>
        <w:tc>
          <w:tcPr>
            <w:tcW w:w="47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$16,600</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666666"/>
              </w:rPr>
              <w:t>$14,691</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$63,364</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666666"/>
              </w:rPr>
              <w:t>$53,915</w:t>
            </w:r>
          </w:p>
        </w:tc>
        <w:tc>
          <w:tcPr>
            <w:tcW w:w="60" w:type="dxa"/>
            <w:vAlign w:val="bottom"/>
          </w:tcPr>
          <w:p>
            <w:pPr>
              <w:spacing w:after="0"/>
              <w:rPr>
                <w:sz w:val="17"/>
                <w:szCs w:val="17"/>
                <w:color w:val="auto"/>
              </w:rPr>
            </w:pPr>
          </w:p>
        </w:tc>
      </w:tr>
      <w:tr>
        <w:trPr>
          <w:trHeight w:val="203"/>
        </w:trPr>
        <w:tc>
          <w:tcPr>
            <w:tcW w:w="3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666666"/>
              </w:rPr>
              <w:t>Intelligent Cloud</w:t>
            </w:r>
          </w:p>
        </w:tc>
        <w:tc>
          <w:tcPr>
            <w:tcW w:w="4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20,909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666666"/>
              </w:rPr>
              <w:t>17,375</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75,251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666666"/>
              </w:rPr>
              <w:t>60,080</w:t>
            </w:r>
          </w:p>
        </w:tc>
        <w:tc>
          <w:tcPr>
            <w:tcW w:w="60" w:type="dxa"/>
            <w:vAlign w:val="bottom"/>
            <w:shd w:val="clear" w:color="auto" w:fill="CCEEFF"/>
          </w:tcPr>
          <w:p>
            <w:pPr>
              <w:spacing w:after="0"/>
              <w:rPr>
                <w:sz w:val="17"/>
                <w:szCs w:val="17"/>
                <w:color w:val="auto"/>
              </w:rPr>
            </w:pPr>
          </w:p>
        </w:tc>
      </w:tr>
      <w:tr>
        <w:trPr>
          <w:trHeight w:val="209"/>
        </w:trPr>
        <w:tc>
          <w:tcPr>
            <w:tcW w:w="322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666666"/>
              </w:rPr>
              <w:t>More Personal Computing</w:t>
            </w:r>
          </w:p>
        </w:tc>
        <w:tc>
          <w:tcPr>
            <w:tcW w:w="47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666666"/>
              </w:rPr>
              <w:t>14,356</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666666"/>
              </w:rPr>
              <w:t>14,086</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666666"/>
              </w:rPr>
              <w:t>59,655</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666666"/>
              </w:rPr>
              <w:t>54,093</w:t>
            </w:r>
          </w:p>
        </w:tc>
        <w:tc>
          <w:tcPr>
            <w:tcW w:w="60" w:type="dxa"/>
            <w:vAlign w:val="bottom"/>
          </w:tcPr>
          <w:p>
            <w:pPr>
              <w:spacing w:after="0"/>
              <w:rPr>
                <w:sz w:val="18"/>
                <w:szCs w:val="18"/>
                <w:color w:val="auto"/>
              </w:rPr>
            </w:pPr>
          </w:p>
        </w:tc>
      </w:tr>
      <w:tr>
        <w:trPr>
          <w:trHeight w:val="203"/>
        </w:trPr>
        <w:tc>
          <w:tcPr>
            <w:tcW w:w="3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666666"/>
              </w:rPr>
              <w:t>Total</w:t>
            </w:r>
          </w:p>
        </w:tc>
        <w:tc>
          <w:tcPr>
            <w:tcW w:w="4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$51,865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666666"/>
              </w:rPr>
              <w:t>$46,152</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$198,270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666666"/>
              </w:rPr>
              <w:t>$168,088</w:t>
            </w:r>
          </w:p>
        </w:tc>
        <w:tc>
          <w:tcPr>
            <w:tcW w:w="60" w:type="dxa"/>
            <w:vAlign w:val="bottom"/>
            <w:shd w:val="clear" w:color="auto" w:fill="CCEEFF"/>
          </w:tcPr>
          <w:p>
            <w:pPr>
              <w:spacing w:after="0"/>
              <w:rPr>
                <w:sz w:val="17"/>
                <w:szCs w:val="17"/>
                <w:color w:val="auto"/>
              </w:rPr>
            </w:pPr>
          </w:p>
        </w:tc>
      </w:tr>
      <w:tr>
        <w:trPr>
          <w:trHeight w:val="439"/>
        </w:trPr>
        <w:tc>
          <w:tcPr>
            <w:tcW w:w="3220" w:type="dxa"/>
            <w:vAlign w:val="bottom"/>
          </w:tcPr>
          <w:p>
            <w:pPr>
              <w:ind w:left="40"/>
              <w:spacing w:after="0"/>
              <w:rPr>
                <w:sz w:val="20"/>
                <w:szCs w:val="20"/>
                <w:color w:val="auto"/>
              </w:rPr>
            </w:pPr>
            <w:r>
              <w:rPr>
                <w:rFonts w:ascii="Arial" w:cs="Arial" w:eastAsia="Arial" w:hAnsi="Arial"/>
                <w:sz w:val="18"/>
                <w:szCs w:val="18"/>
                <w:b w:val="1"/>
                <w:bCs w:val="1"/>
                <w:color w:val="666666"/>
              </w:rPr>
              <w:t>Operating Income</w:t>
            </w:r>
          </w:p>
        </w:tc>
        <w:tc>
          <w:tcPr>
            <w:tcW w:w="39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3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666666"/>
              </w:rPr>
              <w:t>Productivity and Business Processes</w:t>
            </w:r>
          </w:p>
        </w:tc>
        <w:tc>
          <w:tcPr>
            <w:tcW w:w="4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$7,234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666666"/>
              </w:rPr>
              <w:t>$6,435</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$29,687</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666666"/>
              </w:rPr>
              <w:t>$24,351</w:t>
            </w:r>
          </w:p>
        </w:tc>
        <w:tc>
          <w:tcPr>
            <w:tcW w:w="60" w:type="dxa"/>
            <w:vAlign w:val="bottom"/>
            <w:shd w:val="clear" w:color="auto" w:fill="CCEEFF"/>
          </w:tcPr>
          <w:p>
            <w:pPr>
              <w:spacing w:after="0"/>
              <w:rPr>
                <w:sz w:val="17"/>
                <w:szCs w:val="17"/>
                <w:color w:val="auto"/>
              </w:rPr>
            </w:pPr>
          </w:p>
        </w:tc>
      </w:tr>
      <w:tr>
        <w:trPr>
          <w:trHeight w:val="203"/>
        </w:trPr>
        <w:tc>
          <w:tcPr>
            <w:tcW w:w="3220" w:type="dxa"/>
            <w:vAlign w:val="bottom"/>
          </w:tcPr>
          <w:p>
            <w:pPr>
              <w:ind w:left="40"/>
              <w:spacing w:after="0" w:line="202" w:lineRule="exact"/>
              <w:rPr>
                <w:sz w:val="20"/>
                <w:szCs w:val="20"/>
                <w:color w:val="auto"/>
              </w:rPr>
            </w:pPr>
            <w:r>
              <w:rPr>
                <w:rFonts w:ascii="Arial" w:cs="Arial" w:eastAsia="Arial" w:hAnsi="Arial"/>
                <w:sz w:val="18"/>
                <w:szCs w:val="18"/>
                <w:color w:val="666666"/>
              </w:rPr>
              <w:t>Intelligent Cloud</w:t>
            </w:r>
          </w:p>
        </w:tc>
        <w:tc>
          <w:tcPr>
            <w:tcW w:w="47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8,681</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666666"/>
              </w:rPr>
              <w:t>7,787</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32,721</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666666"/>
              </w:rPr>
              <w:t>26,126</w:t>
            </w:r>
          </w:p>
        </w:tc>
        <w:tc>
          <w:tcPr>
            <w:tcW w:w="60" w:type="dxa"/>
            <w:vAlign w:val="bottom"/>
          </w:tcPr>
          <w:p>
            <w:pPr>
              <w:spacing w:after="0"/>
              <w:rPr>
                <w:sz w:val="17"/>
                <w:szCs w:val="17"/>
                <w:color w:val="auto"/>
              </w:rPr>
            </w:pPr>
          </w:p>
        </w:tc>
      </w:tr>
      <w:tr>
        <w:trPr>
          <w:trHeight w:val="203"/>
        </w:trPr>
        <w:tc>
          <w:tcPr>
            <w:tcW w:w="322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666666"/>
              </w:rPr>
              <w:t>More Personal Computing</w:t>
            </w:r>
          </w:p>
        </w:tc>
        <w:tc>
          <w:tcPr>
            <w:tcW w:w="47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4,619</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666666"/>
              </w:rPr>
              <w:t>4,873</w:t>
            </w: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20,975</w:t>
            </w:r>
          </w:p>
        </w:tc>
        <w:tc>
          <w:tcPr>
            <w:tcW w:w="16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666666"/>
              </w:rPr>
              <w:t>19,439</w:t>
            </w:r>
          </w:p>
        </w:tc>
        <w:tc>
          <w:tcPr>
            <w:tcW w:w="60" w:type="dxa"/>
            <w:vAlign w:val="bottom"/>
            <w:shd w:val="clear" w:color="auto" w:fill="CCEEFF"/>
          </w:tcPr>
          <w:p>
            <w:pPr>
              <w:spacing w:after="0"/>
              <w:rPr>
                <w:sz w:val="17"/>
                <w:szCs w:val="17"/>
                <w:color w:val="auto"/>
              </w:rPr>
            </w:pPr>
          </w:p>
        </w:tc>
      </w:tr>
      <w:tr>
        <w:trPr>
          <w:trHeight w:val="209"/>
        </w:trPr>
        <w:tc>
          <w:tcPr>
            <w:tcW w:w="3220" w:type="dxa"/>
            <w:vAlign w:val="bottom"/>
          </w:tcPr>
          <w:p>
            <w:pPr>
              <w:ind w:left="220"/>
              <w:spacing w:after="0"/>
              <w:rPr>
                <w:sz w:val="20"/>
                <w:szCs w:val="20"/>
                <w:color w:val="auto"/>
              </w:rPr>
            </w:pPr>
            <w:r>
              <w:rPr>
                <w:rFonts w:ascii="Arial" w:cs="Arial" w:eastAsia="Arial" w:hAnsi="Arial"/>
                <w:sz w:val="18"/>
                <w:szCs w:val="18"/>
                <w:color w:val="666666"/>
              </w:rPr>
              <w:t>Total</w:t>
            </w:r>
          </w:p>
        </w:tc>
        <w:tc>
          <w:tcPr>
            <w:tcW w:w="39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$20,534</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$19,095</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$83,383</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$69,916</w:t>
            </w:r>
          </w:p>
        </w:tc>
        <w:tc>
          <w:tcPr>
            <w:tcW w:w="60" w:type="dxa"/>
            <w:vAlign w:val="bottom"/>
          </w:tcPr>
          <w:p>
            <w:pPr>
              <w:spacing w:after="0"/>
              <w:rPr>
                <w:sz w:val="18"/>
                <w:szCs w:val="18"/>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MICROSOFT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FOURTH QUARTER FINANCIAL HIGHLIGHTS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All growth comparisons relate to the corresponding period in the last fiscal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SUMMARY</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666666"/>
        </w:rPr>
        <w:t>Revenue increased $5.7 billion or 12% driven by growth in Intelligent Cloud and Productivity and Business Processes. Intelligent Cloud revenue increased driven by Azure and other cloud services. Productivity and Business Processes revenue increased driven by Office 365 Commercial and LinkedIn. More Personal Computing revenue increased driven by Search and news advertising.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666666"/>
        </w:rPr>
        <w:t>Cost of revenue increased $2.4 billion or 17% driven by growth in Microsoft Cloud.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Gross margin increased $3.3 billion or 10% driven by growth in Intelligent Cloud and Productivity and Business Processes.</w:t>
      </w:r>
    </w:p>
    <w:p>
      <w:pPr>
        <w:spacing w:after="0" w:line="239" w:lineRule="exact"/>
        <w:rPr>
          <w:sz w:val="20"/>
          <w:szCs w:val="20"/>
          <w:color w:val="auto"/>
        </w:rPr>
      </w:pPr>
    </w:p>
    <w:p>
      <w:pPr>
        <w:ind w:left="960" w:right="260" w:hanging="424"/>
        <w:spacing w:after="0" w:line="253" w:lineRule="auto"/>
        <w:tabs>
          <w:tab w:leader="none" w:pos="960" w:val="left"/>
        </w:tabs>
        <w:numPr>
          <w:ilvl w:val="0"/>
          <w:numId w:val="10"/>
        </w:numPr>
        <w:rPr>
          <w:rFonts w:ascii="Arial" w:cs="Arial" w:eastAsia="Arial" w:hAnsi="Arial"/>
          <w:sz w:val="18"/>
          <w:szCs w:val="18"/>
          <w:color w:val="666666"/>
        </w:rPr>
      </w:pPr>
      <w:r>
        <w:rPr>
          <w:rFonts w:ascii="Arial" w:cs="Arial" w:eastAsia="Arial" w:hAnsi="Arial"/>
          <w:sz w:val="18"/>
          <w:szCs w:val="18"/>
          <w:color w:val="666666"/>
        </w:rPr>
        <w:t>Gross margin percentage decreased. Excluding the impact of the change in accounting estimate for the useful lives of our server and network equipment, gross margin percentage was relatively unchanged as sales mix shift to cloud was offset by improvement in cloud services.</w:t>
      </w:r>
    </w:p>
    <w:p>
      <w:pPr>
        <w:spacing w:after="0" w:line="195" w:lineRule="exact"/>
        <w:rPr>
          <w:rFonts w:ascii="Arial" w:cs="Arial" w:eastAsia="Arial" w:hAnsi="Arial"/>
          <w:sz w:val="18"/>
          <w:szCs w:val="18"/>
          <w:color w:val="666666"/>
        </w:rPr>
      </w:pPr>
    </w:p>
    <w:p>
      <w:pPr>
        <w:ind w:left="960" w:right="60" w:hanging="424"/>
        <w:spacing w:after="0" w:line="253" w:lineRule="auto"/>
        <w:tabs>
          <w:tab w:leader="none" w:pos="960" w:val="left"/>
        </w:tabs>
        <w:numPr>
          <w:ilvl w:val="0"/>
          <w:numId w:val="10"/>
        </w:numPr>
        <w:rPr>
          <w:rFonts w:ascii="Arial" w:cs="Arial" w:eastAsia="Arial" w:hAnsi="Arial"/>
          <w:sz w:val="18"/>
          <w:szCs w:val="18"/>
          <w:color w:val="666666"/>
        </w:rPr>
      </w:pPr>
      <w:r>
        <w:rPr>
          <w:rFonts w:ascii="Arial" w:cs="Arial" w:eastAsia="Arial" w:hAnsi="Arial"/>
          <w:sz w:val="18"/>
          <w:szCs w:val="18"/>
          <w:color w:val="666666"/>
        </w:rPr>
        <w:t>Microsoft Cloud gross margin percentage decreased slightly to 69%. Excluding the impact of the change in accounting estimate, Microsoft Cloud gross margin percentage increased 1 point driven by improvement across our cloud services, offset in part by sales mix shift to Azure and other cloud services.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666666"/>
        </w:rPr>
        <w:t>Operating expenses increased $1.8 billion or 14% driven by investments in cloud engineering, LinkedIn, and Nuance.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increased $1.4 billion or 8% driven by growth in Intelligent Cloud and Productivity and Business Processes.</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666666"/>
        </w:rPr>
        <w:t>Revenue, gross margin, and operating income included an unfavorable foreign currency impact of 4%, 5%, and 6%, respectively. Cost of revenue and operating expenses both included a favorable foreign currency impact of 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SEGMENT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Productivity and Business Processes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$1.9 billion or 13%.</w:t>
      </w:r>
    </w:p>
    <w:p>
      <w:pPr>
        <w:spacing w:after="0" w:line="239" w:lineRule="exact"/>
        <w:rPr>
          <w:sz w:val="20"/>
          <w:szCs w:val="20"/>
          <w:color w:val="auto"/>
        </w:rPr>
      </w:pPr>
    </w:p>
    <w:p>
      <w:pPr>
        <w:ind w:left="960" w:right="140" w:hanging="424"/>
        <w:spacing w:after="0" w:line="247" w:lineRule="auto"/>
        <w:tabs>
          <w:tab w:leader="none" w:pos="960" w:val="left"/>
        </w:tabs>
        <w:numPr>
          <w:ilvl w:val="0"/>
          <w:numId w:val="11"/>
        </w:numPr>
        <w:rPr>
          <w:rFonts w:ascii="Arial" w:cs="Arial" w:eastAsia="Arial" w:hAnsi="Arial"/>
          <w:sz w:val="18"/>
          <w:szCs w:val="18"/>
          <w:color w:val="666666"/>
        </w:rPr>
      </w:pPr>
      <w:r>
        <w:rPr>
          <w:rFonts w:ascii="Arial" w:cs="Arial" w:eastAsia="Arial" w:hAnsi="Arial"/>
          <w:sz w:val="18"/>
          <w:szCs w:val="18"/>
          <w:color w:val="666666"/>
        </w:rPr>
        <w:t>Office Commercial products and cloud services revenue increased $807 million or 9%. Office 365 Commercial revenue grew 15% driven by seat growth of 14%, with continued momentum in small and medium business and frontline worker offerings, as well as growth in revenue per user. Office Commercial products revenue declined 32% driven by continued customer shift to cloud offerings.</w:t>
      </w:r>
    </w:p>
    <w:p>
      <w:pPr>
        <w:sectPr>
          <w:pgSz w:w="11900" w:h="16838" w:orient="portrait"/>
          <w:cols w:equalWidth="0" w:num="1">
            <w:col w:w="11000"/>
          </w:cols>
          <w:pgMar w:left="440" w:top="269" w:right="459" w:bottom="1440" w:gutter="0" w:footer="0" w:header="0"/>
        </w:sectPr>
      </w:pPr>
    </w:p>
    <w:bookmarkStart w:id="17" w:name="page18"/>
    <w:bookmarkEnd w:id="17"/>
    <w:p>
      <w:pPr>
        <w:ind w:left="960" w:right="560" w:hanging="424"/>
        <w:spacing w:after="0" w:line="271" w:lineRule="auto"/>
        <w:tabs>
          <w:tab w:leader="none" w:pos="96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Consumer products and cloud services revenue increased $136 million or 9% driven by Microsoft 365 Consumer subscription revenue. Microsoft 365 Consumer subscribers grew 15% to 59.7 million.</w:t>
      </w:r>
    </w:p>
    <w:p>
      <w:pPr>
        <w:spacing w:after="0" w:line="180" w:lineRule="exact"/>
        <w:rPr>
          <w:rFonts w:ascii="Arial" w:cs="Arial" w:eastAsia="Arial" w:hAnsi="Arial"/>
          <w:sz w:val="18"/>
          <w:szCs w:val="18"/>
          <w:color w:val="666666"/>
        </w:rPr>
      </w:pPr>
    </w:p>
    <w:p>
      <w:pPr>
        <w:ind w:left="960" w:hanging="424"/>
        <w:spacing w:after="0"/>
        <w:tabs>
          <w:tab w:leader="none" w:pos="96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LinkedIn revenue increased $768 million or 26% driven by our Talent Solutions and Marketing Solutions businesses.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Dynamics products and cloud services revenue increased 19% driven by Dynamics 365 growth of 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increased $799 million or 12%.</w:t>
      </w:r>
    </w:p>
    <w:p>
      <w:pPr>
        <w:spacing w:after="0" w:line="239" w:lineRule="exact"/>
        <w:rPr>
          <w:sz w:val="20"/>
          <w:szCs w:val="20"/>
          <w:color w:val="auto"/>
        </w:rPr>
      </w:pPr>
    </w:p>
    <w:p>
      <w:pPr>
        <w:ind w:left="960" w:hanging="424"/>
        <w:spacing w:after="0" w:line="253" w:lineRule="auto"/>
        <w:tabs>
          <w:tab w:leader="none" w:pos="96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Gross margin increased $1.4 billion or 12% driven by growth in Office 365 Commercial and LinkedIn. Gross margin percentage decreased slightly. Excluding the impact of the change in accounting estimate, gross margin percentage increased 1 point driven by improvement across all cloud services.</w:t>
      </w:r>
    </w:p>
    <w:p>
      <w:pPr>
        <w:spacing w:after="0" w:line="195" w:lineRule="exact"/>
        <w:rPr>
          <w:rFonts w:ascii="Arial" w:cs="Arial" w:eastAsia="Arial" w:hAnsi="Arial"/>
          <w:sz w:val="18"/>
          <w:szCs w:val="18"/>
          <w:color w:val="666666"/>
        </w:rPr>
      </w:pPr>
    </w:p>
    <w:p>
      <w:pPr>
        <w:ind w:left="960" w:hanging="424"/>
        <w:spacing w:after="0"/>
        <w:tabs>
          <w:tab w:leader="none" w:pos="96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Operating expenses increased $593 million or 12% driven by investments in LinkedIn and cloud engineering.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included an unfavorable foreign currency impact of 4%, 5%, and 7%,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666666"/>
        </w:rPr>
        <w:t>Operating expenses included a favorable foreign currency impact of 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Intelligent Cloud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$3.5 billion or 20%.</w:t>
      </w:r>
    </w:p>
    <w:p>
      <w:pPr>
        <w:spacing w:after="0" w:line="239" w:lineRule="exact"/>
        <w:rPr>
          <w:sz w:val="20"/>
          <w:szCs w:val="20"/>
          <w:color w:val="auto"/>
        </w:rPr>
      </w:pPr>
    </w:p>
    <w:p>
      <w:pPr>
        <w:ind w:left="960" w:right="260" w:hanging="424"/>
        <w:spacing w:after="0" w:line="247" w:lineRule="auto"/>
        <w:tabs>
          <w:tab w:leader="none" w:pos="96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Server products and cloud services revenue increased $3.4 billion or 22% driven by Azure and other cloud services. Azure and other cloud services revenue grew 40% driven by growth in our consumption-based services. Server products revenue decreased 2% due to a strong prior year comparable that included benefit from an increase in multi-year agreements that carry higher in-quarter revenue recognition, offset in part by demand for our hybrid solutions and Nuance.</w:t>
      </w:r>
    </w:p>
    <w:p>
      <w:pPr>
        <w:spacing w:after="0" w:line="200" w:lineRule="exact"/>
        <w:rPr>
          <w:rFonts w:ascii="Arial" w:cs="Arial" w:eastAsia="Arial" w:hAnsi="Arial"/>
          <w:sz w:val="18"/>
          <w:szCs w:val="18"/>
          <w:color w:val="666666"/>
        </w:rPr>
      </w:pPr>
    </w:p>
    <w:p>
      <w:pPr>
        <w:ind w:left="960" w:right="180" w:hanging="424"/>
        <w:spacing w:after="0" w:line="271" w:lineRule="auto"/>
        <w:tabs>
          <w:tab w:leader="none" w:pos="96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Enterprise Services revenue increased $94 million or 5% driven by growth in Enterprise Support Services, offset in part by a decline in Microsoft Consulting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increased $894 million or 11%.</w:t>
      </w:r>
    </w:p>
    <w:p>
      <w:pPr>
        <w:spacing w:after="0" w:line="239" w:lineRule="exact"/>
        <w:rPr>
          <w:sz w:val="20"/>
          <w:szCs w:val="20"/>
          <w:color w:val="auto"/>
        </w:rPr>
      </w:pPr>
    </w:p>
    <w:p>
      <w:pPr>
        <w:ind w:left="960" w:hanging="424"/>
        <w:spacing w:after="0" w:line="253" w:lineRule="auto"/>
        <w:tabs>
          <w:tab w:leader="none" w:pos="960" w:val="left"/>
        </w:tabs>
        <w:numPr>
          <w:ilvl w:val="0"/>
          <w:numId w:val="15"/>
        </w:numPr>
        <w:rPr>
          <w:rFonts w:ascii="Arial" w:cs="Arial" w:eastAsia="Arial" w:hAnsi="Arial"/>
          <w:sz w:val="18"/>
          <w:szCs w:val="18"/>
          <w:color w:val="666666"/>
        </w:rPr>
      </w:pPr>
      <w:r>
        <w:rPr>
          <w:rFonts w:ascii="Arial" w:cs="Arial" w:eastAsia="Arial" w:hAnsi="Arial"/>
          <w:sz w:val="18"/>
          <w:szCs w:val="18"/>
          <w:color w:val="666666"/>
        </w:rPr>
        <w:t>Gross margin increased $1.9 billion or 15% driven by growth in Azure and other cloud services. Gross margin percentage decreased. Excluding the impact of the change in accounting estimate, gross margin percentage decreased 2 points driven by sales mix shift to Azure and other cloud services, offset in part by improvement in Azure and other cloud services.</w:t>
      </w:r>
    </w:p>
    <w:p>
      <w:pPr>
        <w:spacing w:after="0" w:line="195" w:lineRule="exact"/>
        <w:rPr>
          <w:rFonts w:ascii="Arial" w:cs="Arial" w:eastAsia="Arial" w:hAnsi="Arial"/>
          <w:sz w:val="18"/>
          <w:szCs w:val="18"/>
          <w:color w:val="666666"/>
        </w:rPr>
      </w:pPr>
    </w:p>
    <w:p>
      <w:pPr>
        <w:ind w:left="960" w:hanging="424"/>
        <w:spacing w:after="0"/>
        <w:tabs>
          <w:tab w:leader="none" w:pos="960" w:val="left"/>
        </w:tabs>
        <w:numPr>
          <w:ilvl w:val="0"/>
          <w:numId w:val="15"/>
        </w:numPr>
        <w:rPr>
          <w:rFonts w:ascii="Arial" w:cs="Arial" w:eastAsia="Arial" w:hAnsi="Arial"/>
          <w:sz w:val="18"/>
          <w:szCs w:val="18"/>
          <w:color w:val="666666"/>
        </w:rPr>
      </w:pPr>
      <w:r>
        <w:rPr>
          <w:rFonts w:ascii="Arial" w:cs="Arial" w:eastAsia="Arial" w:hAnsi="Arial"/>
          <w:sz w:val="18"/>
          <w:szCs w:val="18"/>
          <w:color w:val="666666"/>
        </w:rPr>
        <w:t>Operating expenses increased $981 million or 20% driven by investments in Azure and Nuance.</w:t>
      </w:r>
    </w:p>
    <w:p>
      <w:pPr>
        <w:sectPr>
          <w:pgSz w:w="11900" w:h="16838" w:orient="portrait"/>
          <w:cols w:equalWidth="0" w:num="1">
            <w:col w:w="11000"/>
          </w:cols>
          <w:pgMar w:left="440" w:top="26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 gross margin, and operating income included an unfavorable foreign currency impact of 5%, 4%, and 7%,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666666"/>
        </w:rPr>
        <w:t>Operating expenses included a favorable foreign currency impact of 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More Personal Computing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$270 million or 2%.</w:t>
      </w:r>
    </w:p>
    <w:p>
      <w:pPr>
        <w:spacing w:after="0" w:line="239" w:lineRule="exact"/>
        <w:rPr>
          <w:sz w:val="20"/>
          <w:szCs w:val="20"/>
          <w:color w:val="auto"/>
        </w:rPr>
      </w:pPr>
    </w:p>
    <w:p>
      <w:pPr>
        <w:ind w:left="960" w:hanging="424"/>
        <w:spacing w:after="0" w:line="253" w:lineRule="auto"/>
        <w:tabs>
          <w:tab w:leader="none" w:pos="9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Windows revenue increased $49 million or 1% primarily driven by growth in Windows Commercial, offset in part by a decrease in Windows OEM. Windows Commercial products and cloud services revenue increased 6% driven by demand for Microsoft 365. Windows OEM revenue decreased 2% driven by production shutdowns and a deteriorating PC market.</w:t>
      </w:r>
    </w:p>
    <w:p>
      <w:pPr>
        <w:spacing w:after="0" w:line="195" w:lineRule="exact"/>
        <w:rPr>
          <w:rFonts w:ascii="Arial" w:cs="Arial" w:eastAsia="Arial" w:hAnsi="Arial"/>
          <w:sz w:val="18"/>
          <w:szCs w:val="18"/>
          <w:color w:val="666666"/>
        </w:rPr>
      </w:pPr>
    </w:p>
    <w:p>
      <w:pPr>
        <w:ind w:left="960" w:right="160" w:hanging="424"/>
        <w:spacing w:after="0" w:line="271" w:lineRule="auto"/>
        <w:tabs>
          <w:tab w:leader="none" w:pos="9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Search and news advertising revenue increased $390 million or 15%. Search and news advertising revenue excluding traffic acquisition costs increased 18% driven by higher search volume and revenue per search.</w:t>
      </w:r>
    </w:p>
    <w:p>
      <w:pPr>
        <w:spacing w:after="0" w:line="180" w:lineRule="exact"/>
        <w:rPr>
          <w:rFonts w:ascii="Arial" w:cs="Arial" w:eastAsia="Arial" w:hAnsi="Arial"/>
          <w:sz w:val="18"/>
          <w:szCs w:val="18"/>
          <w:color w:val="666666"/>
        </w:rPr>
      </w:pPr>
    </w:p>
    <w:p>
      <w:pPr>
        <w:ind w:left="960" w:hanging="424"/>
        <w:spacing w:after="0"/>
        <w:tabs>
          <w:tab w:leader="none" w:pos="9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Surface revenue increased $136 million or 10% driven by commercial sales.</w:t>
      </w:r>
    </w:p>
    <w:p>
      <w:pPr>
        <w:spacing w:after="0" w:line="238" w:lineRule="exact"/>
        <w:rPr>
          <w:rFonts w:ascii="Arial" w:cs="Arial" w:eastAsia="Arial" w:hAnsi="Arial"/>
          <w:sz w:val="18"/>
          <w:szCs w:val="18"/>
          <w:color w:val="666666"/>
        </w:rPr>
      </w:pPr>
    </w:p>
    <w:p>
      <w:pPr>
        <w:jc w:val="both"/>
        <w:ind w:left="960" w:right="60" w:hanging="424"/>
        <w:spacing w:after="0" w:line="253" w:lineRule="auto"/>
        <w:tabs>
          <w:tab w:leader="none" w:pos="9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Gaming revenue decreased $259 million or 7% driven by a decrease in Xbox content and services and Xbox hardware. Xbox content and services revenue decreased 6% driven by lower engagement hours and monetization in third-party and first-party content, offset in part by growth in Xbox Game Pass subscriptions. Xbox hardware revenue decreased 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decreased $254 million or 5%.</w:t>
      </w:r>
    </w:p>
    <w:p>
      <w:pPr>
        <w:spacing w:after="0" w:line="239" w:lineRule="exact"/>
        <w:rPr>
          <w:sz w:val="20"/>
          <w:szCs w:val="20"/>
          <w:color w:val="auto"/>
        </w:rPr>
      </w:pPr>
    </w:p>
    <w:p>
      <w:pPr>
        <w:ind w:left="960" w:right="740" w:hanging="424"/>
        <w:spacing w:after="0" w:line="271" w:lineRule="auto"/>
        <w:tabs>
          <w:tab w:leader="none" w:pos="960" w:val="left"/>
        </w:tabs>
        <w:numPr>
          <w:ilvl w:val="0"/>
          <w:numId w:val="17"/>
        </w:numPr>
        <w:rPr>
          <w:rFonts w:ascii="Arial" w:cs="Arial" w:eastAsia="Arial" w:hAnsi="Arial"/>
          <w:sz w:val="18"/>
          <w:szCs w:val="18"/>
          <w:color w:val="666666"/>
        </w:rPr>
      </w:pPr>
      <w:r>
        <w:rPr>
          <w:rFonts w:ascii="Arial" w:cs="Arial" w:eastAsia="Arial" w:hAnsi="Arial"/>
          <w:sz w:val="18"/>
          <w:szCs w:val="18"/>
          <w:color w:val="666666"/>
        </w:rPr>
        <w:t>Gross margin was relatively unchanged. Gross margin percentage decreased driven by increased usage of Windows Commercial cloud services.</w:t>
      </w:r>
    </w:p>
    <w:p>
      <w:pPr>
        <w:spacing w:after="0" w:line="180" w:lineRule="exact"/>
        <w:rPr>
          <w:rFonts w:ascii="Arial" w:cs="Arial" w:eastAsia="Arial" w:hAnsi="Arial"/>
          <w:sz w:val="18"/>
          <w:szCs w:val="18"/>
          <w:color w:val="666666"/>
        </w:rPr>
      </w:pPr>
    </w:p>
    <w:p>
      <w:pPr>
        <w:ind w:left="960" w:hanging="424"/>
        <w:spacing w:after="0"/>
        <w:tabs>
          <w:tab w:leader="none" w:pos="960" w:val="left"/>
        </w:tabs>
        <w:numPr>
          <w:ilvl w:val="0"/>
          <w:numId w:val="17"/>
        </w:numPr>
        <w:rPr>
          <w:rFonts w:ascii="Arial" w:cs="Arial" w:eastAsia="Arial" w:hAnsi="Arial"/>
          <w:sz w:val="18"/>
          <w:szCs w:val="18"/>
          <w:color w:val="666666"/>
        </w:rPr>
      </w:pPr>
      <w:r>
        <w:rPr>
          <w:rFonts w:ascii="Arial" w:cs="Arial" w:eastAsia="Arial" w:hAnsi="Arial"/>
          <w:sz w:val="18"/>
          <w:szCs w:val="18"/>
          <w:color w:val="666666"/>
        </w:rPr>
        <w:t>Operating expenses increased $262 million or 8% driven by investments in Windows and Search and news advertising.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included an unfavorable foreign currency impact of 3%, 4%, and 5%,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666666"/>
        </w:rPr>
        <w:t>Operating expenses included a favorable foreign currency impact of 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OPERATING EXPENSES</w:t>
      </w:r>
    </w:p>
    <w:p>
      <w:pPr>
        <w:spacing w:after="0" w:line="239" w:lineRule="exact"/>
        <w:rPr>
          <w:sz w:val="20"/>
          <w:szCs w:val="20"/>
          <w:color w:val="auto"/>
        </w:rPr>
      </w:pPr>
    </w:p>
    <w:p>
      <w:pPr>
        <w:ind w:left="960" w:hanging="424"/>
        <w:spacing w:after="0"/>
        <w:tabs>
          <w:tab w:leader="none" w:pos="960" w:val="left"/>
        </w:tabs>
        <w:numPr>
          <w:ilvl w:val="0"/>
          <w:numId w:val="18"/>
        </w:numPr>
        <w:rPr>
          <w:rFonts w:ascii="Arial" w:cs="Arial" w:eastAsia="Arial" w:hAnsi="Arial"/>
          <w:sz w:val="18"/>
          <w:szCs w:val="18"/>
          <w:color w:val="666666"/>
        </w:rPr>
      </w:pPr>
      <w:r>
        <w:rPr>
          <w:rFonts w:ascii="Arial" w:cs="Arial" w:eastAsia="Arial" w:hAnsi="Arial"/>
          <w:sz w:val="18"/>
          <w:szCs w:val="18"/>
          <w:color w:val="666666"/>
        </w:rPr>
        <w:t>Research and development expenses increased $1.2 billion or 20% driven by investments in cloud engineering and LinkedIn.</w:t>
      </w:r>
    </w:p>
    <w:p>
      <w:pPr>
        <w:spacing w:after="0" w:line="238" w:lineRule="exact"/>
        <w:rPr>
          <w:rFonts w:ascii="Arial" w:cs="Arial" w:eastAsia="Arial" w:hAnsi="Arial"/>
          <w:sz w:val="18"/>
          <w:szCs w:val="18"/>
          <w:color w:val="666666"/>
        </w:rPr>
      </w:pPr>
    </w:p>
    <w:p>
      <w:pPr>
        <w:ind w:left="960" w:right="400" w:hanging="424"/>
        <w:spacing w:after="0" w:line="271" w:lineRule="auto"/>
        <w:tabs>
          <w:tab w:leader="none" w:pos="960" w:val="left"/>
        </w:tabs>
        <w:numPr>
          <w:ilvl w:val="0"/>
          <w:numId w:val="18"/>
        </w:numPr>
        <w:rPr>
          <w:rFonts w:ascii="Arial" w:cs="Arial" w:eastAsia="Arial" w:hAnsi="Arial"/>
          <w:sz w:val="18"/>
          <w:szCs w:val="18"/>
          <w:color w:val="666666"/>
        </w:rPr>
      </w:pPr>
      <w:r>
        <w:rPr>
          <w:rFonts w:ascii="Arial" w:cs="Arial" w:eastAsia="Arial" w:hAnsi="Arial"/>
          <w:sz w:val="18"/>
          <w:szCs w:val="18"/>
          <w:color w:val="666666"/>
        </w:rPr>
        <w:t>Sales and marketing expenses increased $447 million or 8% driven by Nuance, which contributed 3 points of growth, and investments in LinkedIn. Sales and marketing included a favorable foreign currency impact of 3%.</w:t>
      </w:r>
    </w:p>
    <w:p>
      <w:pPr>
        <w:spacing w:after="0" w:line="180" w:lineRule="exact"/>
        <w:rPr>
          <w:rFonts w:ascii="Arial" w:cs="Arial" w:eastAsia="Arial" w:hAnsi="Arial"/>
          <w:sz w:val="18"/>
          <w:szCs w:val="18"/>
          <w:color w:val="666666"/>
        </w:rPr>
      </w:pPr>
    </w:p>
    <w:p>
      <w:pPr>
        <w:ind w:left="960" w:right="560" w:hanging="424"/>
        <w:spacing w:after="0" w:line="253" w:lineRule="auto"/>
        <w:tabs>
          <w:tab w:leader="none" w:pos="960" w:val="left"/>
        </w:tabs>
        <w:numPr>
          <w:ilvl w:val="0"/>
          <w:numId w:val="18"/>
        </w:numPr>
        <w:rPr>
          <w:rFonts w:ascii="Arial" w:cs="Arial" w:eastAsia="Arial" w:hAnsi="Arial"/>
          <w:sz w:val="18"/>
          <w:szCs w:val="18"/>
          <w:color w:val="666666"/>
        </w:rPr>
      </w:pPr>
      <w:r>
        <w:rPr>
          <w:rFonts w:ascii="Arial" w:cs="Arial" w:eastAsia="Arial" w:hAnsi="Arial"/>
          <w:sz w:val="18"/>
          <w:szCs w:val="18"/>
          <w:color w:val="666666"/>
        </w:rPr>
        <w:t>General and administrative expenses increased $227 million or 15% driven by investments in corporate functions, legal expenses, and Nuance, which contributed 5 points of growth, offset in part by lower business taxes. General and administrative included a favorable foreign currency impact of 2%.</w:t>
      </w:r>
    </w:p>
    <w:p>
      <w:pPr>
        <w:sectPr>
          <w:pgSz w:w="11900" w:h="16838" w:orient="portrait"/>
          <w:cols w:equalWidth="0" w:num="1">
            <w:col w:w="11000"/>
          </w:cols>
          <w:pgMar w:left="440" w:top="26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INCOME (EXPENSE), NET</w:t>
      </w:r>
    </w:p>
    <w:p>
      <w:pPr>
        <w:spacing w:after="0" w:line="212"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666666"/>
        </w:rPr>
        <w:t>Other income (expense), net was $(47) million driven by net losses on investments, including mark-to-market losses on our equity portfolio.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INCOME TAXES</w:t>
      </w:r>
    </w:p>
    <w:p>
      <w:pPr>
        <w:spacing w:after="0" w:line="21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666666"/>
        </w:rPr>
        <w:t>The current quarter effective tax rate was 18% compared to 15% in the prior year. The increase in our effective tax rate was primarily due to changes in the mix of our income before income taxes between the U.S. and foreign countries, as well as tax benefits in the prior year from an agreement between the U.S. and China related to transfer pricing and from the conclusion of a foreign tax audit.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REMAINING PERFORMANCE OBLIGATIONS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666666"/>
        </w:rPr>
        <w:t>Revenue allocated to remaining performance obligations, which includes unearned revenue and amounts that will be invoiced and recognized as revenue in future periods, was $193 billion as of June 30, 2022, of which $189 billion is related to the commercial portion of revenue. We expect to recognize approximately 45% of this revenue over the next 12 months and the remainder thereafter.</w:t>
      </w:r>
    </w:p>
    <w:sectPr>
      <w:pgSz w:w="11900" w:h="16838" w:orient="portrait"/>
      <w:cols w:equalWidth="0" w:num="1">
        <w:col w:w="10940"/>
      </w:cols>
      <w:pgMar w:left="440" w:top="26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2022-07-26T15:11:49Z</dcterms:created>
  <dcterms:modified xsi:type="dcterms:W3CDTF">2022-07-26T15:11:49Z</dcterms:modified>
</cp:coreProperties>
</file>