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229235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252095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237490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Microsoft Corporation</w:t>
      </w:r>
    </w:p>
    <w:p>
      <w:pPr>
        <w:spacing w:after="0" w:line="5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229235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tbl>
      <w:tblPr>
        <w:tblLayout w:type="fixed"/>
        <w:tblInd w:w="1020" w:type="dxa"/>
        <w:tblCellMar>
          <w:top w:w="0" w:type="dxa"/>
          <w:left w:w="0" w:type="dxa"/>
          <w:bottom w:w="0" w:type="dxa"/>
          <w:right w:w="0" w:type="dxa"/>
        </w:tblCellMar>
      </w:tblPr>
      <w:tr>
        <w:trPr>
          <w:trHeight w:val="162"/>
        </w:trPr>
        <w:tc>
          <w:tcPr>
            <w:tcW w:w="6860" w:type="dxa"/>
            <w:vAlign w:val="bottom"/>
          </w:tcPr>
          <w:p>
            <w:pPr>
              <w:jc w:val="center"/>
              <w:ind w:left="2283"/>
              <w:spacing w:after="0"/>
              <w:rPr>
                <w:sz w:val="20"/>
                <w:szCs w:val="20"/>
                <w:color w:val="auto"/>
              </w:rPr>
            </w:pPr>
            <w:r>
              <w:rPr>
                <w:rFonts w:ascii="Arial" w:cs="Arial" w:eastAsia="Arial" w:hAnsi="Arial"/>
                <w:sz w:val="14"/>
                <w:szCs w:val="14"/>
                <w:b w:val="1"/>
                <w:bCs w:val="1"/>
                <w:color w:val="auto"/>
              </w:rPr>
              <w:t>Washington</w:t>
            </w:r>
          </w:p>
        </w:tc>
        <w:tc>
          <w:tcPr>
            <w:tcW w:w="1240" w:type="dxa"/>
            <w:vAlign w:val="bottom"/>
          </w:tcPr>
          <w:p>
            <w:pPr>
              <w:spacing w:after="0"/>
              <w:rPr>
                <w:sz w:val="14"/>
                <w:szCs w:val="14"/>
                <w:color w:val="auto"/>
              </w:rPr>
            </w:pPr>
          </w:p>
        </w:tc>
      </w:tr>
      <w:tr>
        <w:trPr>
          <w:trHeight w:val="162"/>
        </w:trPr>
        <w:tc>
          <w:tcPr>
            <w:tcW w:w="6860" w:type="dxa"/>
            <w:vAlign w:val="bottom"/>
          </w:tcPr>
          <w:p>
            <w:pPr>
              <w:jc w:val="center"/>
              <w:ind w:left="2283"/>
              <w:spacing w:after="0"/>
              <w:rPr>
                <w:sz w:val="20"/>
                <w:szCs w:val="20"/>
                <w:color w:val="auto"/>
              </w:rPr>
            </w:pPr>
            <w:r>
              <w:rPr>
                <w:rFonts w:ascii="Arial" w:cs="Arial" w:eastAsia="Arial" w:hAnsi="Arial"/>
                <w:sz w:val="14"/>
                <w:szCs w:val="14"/>
                <w:b w:val="1"/>
                <w:bCs w:val="1"/>
                <w:color w:val="auto"/>
              </w:rPr>
              <w:t>(State or Other Jurisdiction</w:t>
            </w:r>
          </w:p>
        </w:tc>
        <w:tc>
          <w:tcPr>
            <w:tcW w:w="1240" w:type="dxa"/>
            <w:vAlign w:val="bottom"/>
          </w:tcPr>
          <w:p>
            <w:pPr>
              <w:spacing w:after="0"/>
              <w:rPr>
                <w:sz w:val="14"/>
                <w:szCs w:val="14"/>
                <w:color w:val="auto"/>
              </w:rPr>
            </w:pPr>
          </w:p>
        </w:tc>
      </w:tr>
      <w:tr>
        <w:trPr>
          <w:trHeight w:val="190"/>
        </w:trPr>
        <w:tc>
          <w:tcPr>
            <w:tcW w:w="6860" w:type="dxa"/>
            <w:vAlign w:val="bottom"/>
          </w:tcPr>
          <w:p>
            <w:pPr>
              <w:jc w:val="center"/>
              <w:ind w:left="2263"/>
              <w:spacing w:after="0"/>
              <w:rPr>
                <w:sz w:val="20"/>
                <w:szCs w:val="20"/>
                <w:color w:val="auto"/>
              </w:rPr>
            </w:pPr>
            <w:r>
              <w:rPr>
                <w:rFonts w:ascii="Arial" w:cs="Arial" w:eastAsia="Arial" w:hAnsi="Arial"/>
                <w:sz w:val="14"/>
                <w:szCs w:val="14"/>
                <w:b w:val="1"/>
                <w:bCs w:val="1"/>
                <w:color w:val="auto"/>
              </w:rPr>
              <w:t>of Incorporation)</w:t>
            </w:r>
          </w:p>
        </w:tc>
        <w:tc>
          <w:tcPr>
            <w:tcW w:w="1240" w:type="dxa"/>
            <w:vAlign w:val="bottom"/>
          </w:tcPr>
          <w:p>
            <w:pPr>
              <w:spacing w:after="0"/>
              <w:rPr>
                <w:sz w:val="16"/>
                <w:szCs w:val="16"/>
                <w:color w:val="auto"/>
              </w:rPr>
            </w:pPr>
          </w:p>
        </w:tc>
      </w:tr>
      <w:tr>
        <w:trPr>
          <w:trHeight w:val="417"/>
        </w:trPr>
        <w:tc>
          <w:tcPr>
            <w:tcW w:w="6860" w:type="dxa"/>
            <w:vAlign w:val="bottom"/>
          </w:tcPr>
          <w:p>
            <w:pPr>
              <w:jc w:val="center"/>
              <w:ind w:right="3123"/>
              <w:spacing w:after="0"/>
              <w:rPr>
                <w:sz w:val="20"/>
                <w:szCs w:val="20"/>
                <w:color w:val="auto"/>
              </w:rPr>
            </w:pPr>
            <w:r>
              <w:rPr>
                <w:rFonts w:ascii="Arial" w:cs="Arial" w:eastAsia="Arial" w:hAnsi="Arial"/>
                <w:sz w:val="18"/>
                <w:szCs w:val="18"/>
                <w:b w:val="1"/>
                <w:bCs w:val="1"/>
                <w:color w:val="auto"/>
                <w:w w:val="99"/>
              </w:rPr>
              <w:t>001-37845</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91-1144442</w:t>
            </w:r>
          </w:p>
        </w:tc>
      </w:tr>
      <w:tr>
        <w:trPr>
          <w:trHeight w:val="162"/>
        </w:trPr>
        <w:tc>
          <w:tcPr>
            <w:tcW w:w="6860" w:type="dxa"/>
            <w:vAlign w:val="bottom"/>
          </w:tcPr>
          <w:p>
            <w:pPr>
              <w:jc w:val="center"/>
              <w:ind w:right="3143"/>
              <w:spacing w:after="0"/>
              <w:rPr>
                <w:sz w:val="20"/>
                <w:szCs w:val="20"/>
                <w:color w:val="auto"/>
              </w:rPr>
            </w:pPr>
            <w:r>
              <w:rPr>
                <w:rFonts w:ascii="Arial" w:cs="Arial" w:eastAsia="Arial" w:hAnsi="Arial"/>
                <w:sz w:val="14"/>
                <w:szCs w:val="14"/>
                <w:b w:val="1"/>
                <w:bCs w:val="1"/>
                <w:color w:val="auto"/>
              </w:rPr>
              <w:t>(Commission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860" w:type="dxa"/>
            <w:vAlign w:val="bottom"/>
          </w:tcPr>
          <w:p>
            <w:pPr>
              <w:jc w:val="center"/>
              <w:ind w:right="3143"/>
              <w:spacing w:after="0"/>
              <w:rPr>
                <w:sz w:val="20"/>
                <w:szCs w:val="20"/>
                <w:color w:val="auto"/>
              </w:rPr>
            </w:pPr>
            <w:r>
              <w:rPr>
                <w:rFonts w:ascii="Arial" w:cs="Arial" w:eastAsia="Arial" w:hAnsi="Arial"/>
                <w:sz w:val="14"/>
                <w:szCs w:val="14"/>
                <w:b w:val="1"/>
                <w:bCs w:val="1"/>
                <w:color w:val="auto"/>
              </w:rPr>
              <w:t>File Number)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431"/>
        </w:trPr>
        <w:tc>
          <w:tcPr>
            <w:tcW w:w="6860" w:type="dxa"/>
            <w:vAlign w:val="bottom"/>
          </w:tcPr>
          <w:p>
            <w:pPr>
              <w:jc w:val="center"/>
              <w:ind w:right="3123"/>
              <w:spacing w:after="0"/>
              <w:rPr>
                <w:sz w:val="20"/>
                <w:szCs w:val="20"/>
                <w:color w:val="auto"/>
              </w:rPr>
            </w:pPr>
            <w:r>
              <w:rPr>
                <w:rFonts w:ascii="Arial" w:cs="Arial" w:eastAsia="Arial" w:hAnsi="Arial"/>
                <w:sz w:val="18"/>
                <w:szCs w:val="18"/>
                <w:b w:val="1"/>
                <w:bCs w:val="1"/>
                <w:color w:val="auto"/>
                <w:w w:val="99"/>
              </w:rPr>
              <w:t>One Microsoft Way, Redmond, Washington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98052-6399</w:t>
            </w:r>
          </w:p>
        </w:tc>
      </w:tr>
      <w:tr>
        <w:trPr>
          <w:trHeight w:val="190"/>
        </w:trPr>
        <w:tc>
          <w:tcPr>
            <w:tcW w:w="6860" w:type="dxa"/>
            <w:vAlign w:val="bottom"/>
          </w:tcPr>
          <w:p>
            <w:pPr>
              <w:jc w:val="center"/>
              <w:ind w:right="3123"/>
              <w:spacing w:after="0"/>
              <w:rPr>
                <w:sz w:val="20"/>
                <w:szCs w:val="20"/>
                <w:color w:val="auto"/>
              </w:rPr>
            </w:pPr>
            <w:r>
              <w:rPr>
                <w:rFonts w:ascii="Arial" w:cs="Arial" w:eastAsia="Arial" w:hAnsi="Arial"/>
                <w:sz w:val="14"/>
                <w:szCs w:val="14"/>
                <w:b w:val="1"/>
                <w:bCs w:val="1"/>
                <w:color w:val="auto"/>
              </w:rPr>
              <w:t>(Address of Principal Executive Offices)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390"/>
        </w:trPr>
        <w:tc>
          <w:tcPr>
            <w:tcW w:w="6860" w:type="dxa"/>
            <w:vAlign w:val="bottom"/>
          </w:tcPr>
          <w:p>
            <w:pPr>
              <w:jc w:val="center"/>
              <w:ind w:left="2263"/>
              <w:spacing w:after="0"/>
              <w:rPr>
                <w:sz w:val="20"/>
                <w:szCs w:val="20"/>
                <w:color w:val="auto"/>
              </w:rPr>
            </w:pPr>
            <w:r>
              <w:rPr>
                <w:rFonts w:ascii="Arial" w:cs="Arial" w:eastAsia="Arial" w:hAnsi="Arial"/>
                <w:sz w:val="18"/>
                <w:szCs w:val="18"/>
                <w:b w:val="1"/>
                <w:bCs w:val="1"/>
                <w:color w:val="auto"/>
              </w:rPr>
              <w:t>(425) 882-8080</w:t>
            </w:r>
          </w:p>
        </w:tc>
        <w:tc>
          <w:tcPr>
            <w:tcW w:w="1240" w:type="dxa"/>
            <w:vAlign w:val="bottom"/>
          </w:tcPr>
          <w:p>
            <w:pPr>
              <w:spacing w:after="0"/>
              <w:rPr>
                <w:sz w:val="24"/>
                <w:szCs w:val="24"/>
                <w:color w:val="auto"/>
              </w:rPr>
            </w:pPr>
          </w:p>
        </w:tc>
      </w:tr>
      <w:tr>
        <w:trPr>
          <w:trHeight w:val="190"/>
        </w:trPr>
        <w:tc>
          <w:tcPr>
            <w:tcW w:w="6860" w:type="dxa"/>
            <w:vAlign w:val="bottom"/>
          </w:tcPr>
          <w:p>
            <w:pPr>
              <w:jc w:val="center"/>
              <w:ind w:left="2263"/>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240" w:type="dxa"/>
            <w:vAlign w:val="bottom"/>
          </w:tcPr>
          <w:p>
            <w:pPr>
              <w:spacing w:after="0"/>
              <w:rPr>
                <w:sz w:val="16"/>
                <w:szCs w:val="16"/>
                <w:color w:val="auto"/>
              </w:rPr>
            </w:pPr>
          </w:p>
        </w:tc>
      </w:tr>
      <w:tr>
        <w:trPr>
          <w:trHeight w:val="378"/>
        </w:trPr>
        <w:tc>
          <w:tcPr>
            <w:tcW w:w="6860" w:type="dxa"/>
            <w:vAlign w:val="bottom"/>
          </w:tcPr>
          <w:p>
            <w:pPr>
              <w:jc w:val="center"/>
              <w:ind w:left="2263"/>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2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213360</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0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373" w:right="6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Items 1.01 Conflict Minerals Disclosure and Report</w:t>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 Minerals Disclosure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copy of Microsoft’s Conflict Minerals Report is provided as Exhibit 1.01 hereto and is publicly available at:</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1E5EFF"/>
        </w:rPr>
        <w:t>http://aka.ms/conflictmineralreport</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1.02 Exhibits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2.01 - Exhibits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1.01 - Conflict Minerals Report</w:t>
      </w:r>
    </w:p>
    <w:p>
      <w:pPr>
        <w:sectPr>
          <w:pgSz w:w="11900" w:h="16838" w:orient="portrait"/>
          <w:cols w:equalWidth="0" w:num="1">
            <w:col w:w="10139"/>
          </w:cols>
          <w:pgMar w:left="320" w:top="265" w:right="1440"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MICROSOFT CORPORATION</w:t>
      </w:r>
    </w:p>
    <w:p>
      <w:pPr>
        <w:jc w:val="center"/>
        <w:ind w:left="584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Date: May 31, 2022</w:t>
      </w:r>
      <w:r>
        <w:rPr>
          <w:sz w:val="20"/>
          <w:szCs w:val="20"/>
          <w:color w:val="auto"/>
        </w:rPr>
        <w:tab/>
      </w:r>
      <w:r>
        <w:rPr>
          <w:rFonts w:ascii="Arial" w:cs="Arial" w:eastAsia="Arial" w:hAnsi="Arial"/>
          <w:sz w:val="17"/>
          <w:szCs w:val="17"/>
          <w:color w:val="auto"/>
        </w:rPr>
        <w:t>/s/ BRADFORD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-1905</wp:posOffset>
            </wp:positionV>
            <wp:extent cx="34201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8"/>
          <w:szCs w:val="18"/>
          <w:color w:val="auto"/>
        </w:rPr>
        <w:t>Bradford L. Smith</w:t>
      </w:r>
    </w:p>
    <w:p>
      <w:pPr>
        <w:jc w:val="center"/>
        <w:ind w:left="5840"/>
        <w:spacing w:after="0"/>
        <w:rPr>
          <w:sz w:val="20"/>
          <w:szCs w:val="20"/>
          <w:color w:val="auto"/>
        </w:rPr>
      </w:pPr>
      <w:r>
        <w:rPr>
          <w:rFonts w:ascii="Arial" w:cs="Arial" w:eastAsia="Arial" w:hAnsi="Arial"/>
          <w:sz w:val="18"/>
          <w:szCs w:val="18"/>
          <w:color w:val="auto"/>
        </w:rPr>
        <w:t>President and Chief Legal Officer</w:t>
      </w:r>
    </w:p>
    <w:p>
      <w:pPr>
        <w:sectPr>
          <w:pgSz w:w="11900" w:h="16838" w:orient="portrait"/>
          <w:cols w:equalWidth="0" w:num="1">
            <w:col w:w="11120"/>
          </w:cols>
          <w:pgMar w:left="320" w:top="265"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jc w:val="center"/>
        <w:spacing w:after="0"/>
        <w:rPr>
          <w:sz w:val="20"/>
          <w:szCs w:val="20"/>
          <w:color w:val="auto"/>
        </w:rPr>
      </w:pPr>
      <w:r>
        <w:rPr>
          <w:rFonts w:ascii="Arial" w:cs="Arial" w:eastAsia="Arial" w:hAnsi="Arial"/>
          <w:sz w:val="18"/>
          <w:szCs w:val="18"/>
          <w:b w:val="1"/>
          <w:bCs w:val="1"/>
          <w:color w:val="auto"/>
        </w:rPr>
        <w:t>FOR 2021 REPORTING YEAR</w:t>
      </w:r>
    </w:p>
    <w:p>
      <w:pPr>
        <w:spacing w:after="0" w:line="21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Conflict Minerals Report (“CMR”) for MICROSOFT CORPORATION (“Microsoft”) is filed with the United States Securities and Exchange Commission (SEC) as an exhibit to Microsoft’s Form SD pursuant to Rule 13p-1 under the Securities Exchange Act of 1934, as amended, (the “Rule”) for the 2021 Reporting Year (January 1, 2021-December 31, 2021).</w:t>
      </w:r>
      <w:r>
        <w:rPr>
          <w:rFonts w:ascii="Arial" w:cs="Arial" w:eastAsia="Arial" w:hAnsi="Arial"/>
          <w:sz w:val="15"/>
          <w:szCs w:val="15"/>
          <w:color w:val="auto"/>
        </w:rPr>
        <w:t>1</w:t>
      </w:r>
      <w:r>
        <w:rPr>
          <w:rFonts w:ascii="Arial" w:cs="Arial" w:eastAsia="Arial" w:hAnsi="Arial"/>
          <w:sz w:val="18"/>
          <w:szCs w:val="18"/>
          <w:color w:val="auto"/>
        </w:rPr>
        <w:t xml:space="preserve"> The CMR covers all Microsoft majority-owned subsidiaries and variable interest entities that are subject to the Rule.</w:t>
      </w:r>
      <w:r>
        <w:rPr>
          <w:rFonts w:ascii="Arial" w:cs="Arial" w:eastAsia="Arial" w:hAnsi="Arial"/>
          <w:sz w:val="15"/>
          <w:szCs w:val="15"/>
          <w:color w:val="auto"/>
        </w:rPr>
        <w:t>2</w:t>
      </w:r>
      <w:r>
        <w:rPr>
          <w:rFonts w:ascii="Arial" w:cs="Arial" w:eastAsia="Arial" w:hAnsi="Arial"/>
          <w:sz w:val="18"/>
          <w:szCs w:val="18"/>
          <w:color w:val="auto"/>
        </w:rPr>
        <w:t xml:space="preserve"> During the 2021 Reporting Year, covered devices included the Surface line of computers, tablets, mobile phones, and accessories; Xbox gaming consoles and accessories; personal computing accessories (mice, headsets, and keyboards); HoloLens mixed reality device; and service, spare, and replacement parts.</w:t>
      </w:r>
    </w:p>
    <w:p>
      <w:pPr>
        <w:spacing w:after="0" w:line="20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Our commitment to the responsible sourcing of raw materials is established by Microsoft’s </w:t>
      </w:r>
      <w:r>
        <w:rPr>
          <w:rFonts w:ascii="Arial" w:cs="Arial" w:eastAsia="Arial" w:hAnsi="Arial"/>
          <w:sz w:val="18"/>
          <w:szCs w:val="18"/>
          <w:u w:val="single" w:color="auto"/>
          <w:color w:val="1E5EFF"/>
        </w:rPr>
        <w:t>Responsible Sourcing of Raw Materials (“RSRM”)</w:t>
      </w:r>
      <w:r>
        <w:rPr>
          <w:rFonts w:ascii="Arial" w:cs="Arial" w:eastAsia="Arial" w:hAnsi="Arial"/>
          <w:sz w:val="18"/>
          <w:szCs w:val="18"/>
          <w:color w:val="auto"/>
        </w:rPr>
        <w:t xml:space="preserve"> </w:t>
      </w:r>
      <w:r>
        <w:rPr>
          <w:rFonts w:ascii="Arial" w:cs="Arial" w:eastAsia="Arial" w:hAnsi="Arial"/>
          <w:sz w:val="18"/>
          <w:szCs w:val="18"/>
          <w:u w:val="single" w:color="auto"/>
          <w:color w:val="1E5EFF"/>
        </w:rPr>
        <w:t>Policy</w:t>
      </w:r>
      <w:r>
        <w:rPr>
          <w:rFonts w:ascii="Arial" w:cs="Arial" w:eastAsia="Arial" w:hAnsi="Arial"/>
          <w:sz w:val="18"/>
          <w:szCs w:val="18"/>
          <w:color w:val="000000"/>
        </w:rPr>
        <w:t>, which guides our work to ensure that all raw materials used in our devices, unbounded by specific materials or locations, are sourced</w:t>
      </w:r>
      <w:r>
        <w:rPr>
          <w:rFonts w:ascii="Arial" w:cs="Arial" w:eastAsia="Arial" w:hAnsi="Arial"/>
          <w:sz w:val="18"/>
          <w:szCs w:val="18"/>
          <w:color w:val="1E5EFF"/>
        </w:rPr>
        <w:t xml:space="preserve"> </w:t>
      </w:r>
      <w:r>
        <w:rPr>
          <w:rFonts w:ascii="Arial" w:cs="Arial" w:eastAsia="Arial" w:hAnsi="Arial"/>
          <w:sz w:val="18"/>
          <w:szCs w:val="18"/>
          <w:color w:val="000000"/>
        </w:rPr>
        <w:t>from responsible suppliers. We commit to the responsible sourcing of tin, tantalum, tungsten and gold (“3TGs”) from Conflict Affected and High-Risk Areas (“CAHRAs”), including the Democratic Republic of the Congo (“DRC”) or DRC-adjoining countries (each a “Covered Country” under the Rule), rather than restricting or avoiding sourcing from such regions. We do this in in recognition of the harmful societal and economic impacts that curtailing 3TG mineral sourcing from such regions might cause.</w:t>
      </w:r>
    </w:p>
    <w:p>
      <w:pPr>
        <w:spacing w:after="0" w:line="20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Based on our supply chain due diligence, we determined that 3TGs that were necessary to the functionality or production of devices we manufactured or contracted to manufacture during the 2021 Reporting Year may have originated in a Covered Country. Microsoft found no reasonable basis for concluding that any 3TG Smelter or Refiner (“SOR”) that was identified in Microsoft Devices supply chain for the 2021 Reporting Year sourced 3TGs in a manner that directly or indirectly financed or benefitted armed groups in a Covered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88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20" w:right="80" w:hanging="212"/>
        <w:spacing w:after="0" w:line="248"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7"/>
          <w:szCs w:val="17"/>
          <w:color w:val="auto"/>
        </w:rPr>
        <w:t>This CMR contains links to internal and external websites for informational purposes only. References to such websites and information available through such websites are not incorporated into this CMR. Additionally, this CMR includes forward-looking statements within the meaning of the Private Securities Litigation Reform Act of 1995. These forward-looking statements are based on current expectations and assumptions regarding the future implementation of our responsible sourcing program and are subject to change. Statements in this CMR</w:t>
      </w:r>
    </w:p>
    <w:p>
      <w:pPr>
        <w:spacing w:after="0" w:line="2" w:lineRule="exact"/>
        <w:rPr>
          <w:sz w:val="20"/>
          <w:szCs w:val="20"/>
          <w:color w:val="auto"/>
        </w:rPr>
      </w:pPr>
    </w:p>
    <w:p>
      <w:pPr>
        <w:ind w:left="220" w:right="280"/>
        <w:spacing w:after="0" w:line="233" w:lineRule="auto"/>
        <w:rPr>
          <w:sz w:val="20"/>
          <w:szCs w:val="20"/>
          <w:color w:val="auto"/>
        </w:rPr>
      </w:pPr>
      <w:r>
        <w:rPr>
          <w:rFonts w:ascii="Arial" w:cs="Arial" w:eastAsia="Arial" w:hAnsi="Arial"/>
          <w:sz w:val="18"/>
          <w:szCs w:val="18"/>
          <w:color w:val="auto"/>
        </w:rPr>
        <w:t>are based on due diligence activities that were performed in good faith and to the best of our ability at the time of this filing. Factors that could affect the accuracy of such statements include, but are not limited to, incomplete or incorrect data submitted by suppliers, amendments to the Rule or SEC guidance.</w:t>
      </w:r>
    </w:p>
    <w:p>
      <w:pPr>
        <w:spacing w:after="0" w:line="5" w:lineRule="exact"/>
        <w:rPr>
          <w:sz w:val="20"/>
          <w:szCs w:val="20"/>
          <w:color w:val="auto"/>
        </w:rPr>
      </w:pPr>
    </w:p>
    <w:p>
      <w:pPr>
        <w:ind w:left="220" w:right="180" w:hanging="212"/>
        <w:spacing w:after="0" w:line="246" w:lineRule="auto"/>
        <w:tabs>
          <w:tab w:leader="none" w:pos="22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Throughout this CMR, we use “Microsoft,” “Microsoft Devices,” “we,” “our,” “us” and similar terms to refer to Microsoft Corporation and its subsidiaries and various interest entities subject to the Rule (collectively, “Microsoft”), unless otherwise indicated.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4" w:name="page5"/>
    <w:bookmarkEnd w:id="4"/>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DILIGENCE FRAMEWORK</w:t>
      </w:r>
    </w:p>
    <w:p>
      <w:pPr>
        <w:spacing w:after="0" w:line="126"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 xml:space="preserve">This CMR is based on Microsoft Devices’ Due Diligence Framework (“Due Diligence Framework”), which conforms to the </w:t>
      </w:r>
      <w:r>
        <w:rPr>
          <w:rFonts w:ascii="Arial" w:cs="Arial" w:eastAsia="Arial" w:hAnsi="Arial"/>
          <w:sz w:val="18"/>
          <w:szCs w:val="18"/>
          <w:u w:val="single" w:color="auto"/>
          <w:color w:val="1E5EFF"/>
        </w:rPr>
        <w:t>Organisation for</w:t>
      </w:r>
      <w:r>
        <w:rPr>
          <w:rFonts w:ascii="Arial" w:cs="Arial" w:eastAsia="Arial" w:hAnsi="Arial"/>
          <w:sz w:val="18"/>
          <w:szCs w:val="18"/>
          <w:color w:val="auto"/>
        </w:rPr>
        <w:t xml:space="preserve"> </w:t>
      </w:r>
      <w:r>
        <w:rPr>
          <w:rFonts w:ascii="Arial" w:cs="Arial" w:eastAsia="Arial" w:hAnsi="Arial"/>
          <w:sz w:val="18"/>
          <w:szCs w:val="18"/>
          <w:u w:val="single" w:color="auto"/>
          <w:color w:val="1E5EFF"/>
        </w:rPr>
        <w:t>Economic Co-operation and Development (“OECD”) Due Diligence Guidance for Responsible Supply Chains of Minerals from Conflict-Affected and High-Risk Areas and its related Supplements</w:t>
      </w:r>
      <w:r>
        <w:rPr>
          <w:rFonts w:ascii="Arial" w:cs="Arial" w:eastAsia="Arial" w:hAnsi="Arial"/>
          <w:sz w:val="18"/>
          <w:szCs w:val="18"/>
          <w:color w:val="1E5EFF"/>
        </w:rPr>
        <w:t xml:space="preserve"> </w:t>
      </w:r>
      <w:r>
        <w:rPr>
          <w:rFonts w:ascii="Arial" w:cs="Arial" w:eastAsia="Arial" w:hAnsi="Arial"/>
          <w:sz w:val="18"/>
          <w:szCs w:val="18"/>
          <w:color w:val="000000"/>
        </w:rPr>
        <w:t>(“OECD Guidance”).</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Our Devices supply chain contains many layers of upstream suppliers positioned between Microsoft and 3TG raw material mines and SORs. We use contractual provisions to require our direct suppliers to disclose information through an industry standard </w:t>
      </w:r>
      <w:r>
        <w:rPr>
          <w:rFonts w:ascii="Arial" w:cs="Arial" w:eastAsia="Arial" w:hAnsi="Arial"/>
          <w:sz w:val="18"/>
          <w:szCs w:val="18"/>
          <w:u w:val="single" w:color="auto"/>
          <w:color w:val="1E5EFF"/>
        </w:rPr>
        <w:t>Conflict Mineral Reporting</w:t>
      </w:r>
      <w:r>
        <w:rPr>
          <w:rFonts w:ascii="Arial" w:cs="Arial" w:eastAsia="Arial" w:hAnsi="Arial"/>
          <w:sz w:val="18"/>
          <w:szCs w:val="18"/>
          <w:color w:val="auto"/>
        </w:rPr>
        <w:t xml:space="preserve"> </w:t>
      </w:r>
      <w:r>
        <w:rPr>
          <w:rFonts w:ascii="Arial" w:cs="Arial" w:eastAsia="Arial" w:hAnsi="Arial"/>
          <w:sz w:val="18"/>
          <w:szCs w:val="18"/>
          <w:u w:val="single" w:color="auto"/>
          <w:color w:val="1E5EFF"/>
        </w:rPr>
        <w:t>Template</w:t>
      </w:r>
      <w:r>
        <w:rPr>
          <w:rFonts w:ascii="Arial" w:cs="Arial" w:eastAsia="Arial" w:hAnsi="Arial"/>
          <w:sz w:val="18"/>
          <w:szCs w:val="18"/>
          <w:color w:val="1E5EFF"/>
        </w:rPr>
        <w:t xml:space="preserve"> </w:t>
      </w:r>
      <w:r>
        <w:rPr>
          <w:rFonts w:ascii="Arial" w:cs="Arial" w:eastAsia="Arial" w:hAnsi="Arial"/>
          <w:sz w:val="18"/>
          <w:szCs w:val="18"/>
          <w:color w:val="000000"/>
        </w:rPr>
        <w:t>(CMRT) and meet audit requirements regarding the sources and chains of custody of 3TGs necessary for the functionality or</w:t>
      </w:r>
      <w:r>
        <w:rPr>
          <w:rFonts w:ascii="Arial" w:cs="Arial" w:eastAsia="Arial" w:hAnsi="Arial"/>
          <w:sz w:val="18"/>
          <w:szCs w:val="18"/>
          <w:color w:val="1E5EFF"/>
        </w:rPr>
        <w:t xml:space="preserve"> </w:t>
      </w:r>
      <w:r>
        <w:rPr>
          <w:rFonts w:ascii="Arial" w:cs="Arial" w:eastAsia="Arial" w:hAnsi="Arial"/>
          <w:sz w:val="18"/>
          <w:szCs w:val="18"/>
          <w:color w:val="000000"/>
        </w:rPr>
        <w:t>production of our covered devices. We also require our direct suppliers to pass Microsoft requirements regarding 3TG sources and chains of custody to their direct suppliers. In this manner, we work to promote responsible sourcing across our direct and indirect supply chains.</w:t>
      </w:r>
    </w:p>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Our due diligence actions go beyond the Rule and OECD Guidance by including several quality assurance steps. We engage with a third party to review all supplier responses to validate 3TG sourcing data. If a non-conformant SOR is reported by a supplier, we work with the supplier to engage with the SOR to bring them into conformance. If the SOR is not interested or not able to become conformant, we instruct suppliers to remove the SOR from their supply chain and source from conformant alternatives or face business termination with Microsoft.</w:t>
      </w:r>
    </w:p>
    <w:p>
      <w:pPr>
        <w:spacing w:after="0" w:line="18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also survey our supply chain for minerals beyond 3TGs and beyond the Covered Countries consistent with our Responsible Souring of Raw Materials (RSRM) Policy, which is unbounded by specific materials or location. In addition to the CMRT survey, which is focused on 3TGs, we require our in-scope suppliers to report on their use of cobalt and other priority minerals, including aluminum, copper, lithium, magnesium, and nickel.</w:t>
      </w:r>
    </w:p>
    <w:p>
      <w:pPr>
        <w:spacing w:after="0" w:line="331" w:lineRule="exact"/>
        <w:rPr>
          <w:sz w:val="20"/>
          <w:szCs w:val="20"/>
          <w:color w:val="auto"/>
        </w:rPr>
      </w:pPr>
    </w:p>
    <w:p>
      <w:pPr>
        <w:ind w:left="1460" w:hanging="453"/>
        <w:spacing w:after="0"/>
        <w:tabs>
          <w:tab w:leader="none" w:pos="1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Step #1: Establish Strong Company Management Systems</w:t>
      </w:r>
    </w:p>
    <w:p>
      <w:pPr>
        <w:spacing w:after="0" w:line="117" w:lineRule="exact"/>
        <w:rPr>
          <w:sz w:val="20"/>
          <w:szCs w:val="20"/>
          <w:color w:val="auto"/>
        </w:rPr>
      </w:pPr>
    </w:p>
    <w:p>
      <w:pPr>
        <w:ind w:left="2020" w:hanging="554"/>
        <w:spacing w:after="0"/>
        <w:tabs>
          <w:tab w:leader="none" w:pos="20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Company Policies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Microsoft’s commitment to corporate responsibility and integrity guides everything we do as a company. We have established high ethical standards to govern the way we conduct our business, which also apply to our suppliers and business partners. Microsoft policies include the </w:t>
      </w:r>
      <w:r>
        <w:rPr>
          <w:rFonts w:ascii="Arial" w:cs="Arial" w:eastAsia="Arial" w:hAnsi="Arial"/>
          <w:sz w:val="18"/>
          <w:szCs w:val="18"/>
          <w:u w:val="single" w:color="auto"/>
          <w:color w:val="1E5EFF"/>
        </w:rPr>
        <w:t>Microsoft Global Human Rights Statement, Trust Code,</w:t>
      </w:r>
      <w:r>
        <w:rPr>
          <w:rFonts w:ascii="Arial" w:cs="Arial" w:eastAsia="Arial" w:hAnsi="Arial"/>
          <w:sz w:val="18"/>
          <w:szCs w:val="18"/>
          <w:color w:val="1E5EFF"/>
        </w:rPr>
        <w:t xml:space="preserve"> </w:t>
      </w:r>
      <w:r>
        <w:rPr>
          <w:rFonts w:ascii="Arial" w:cs="Arial" w:eastAsia="Arial" w:hAnsi="Arial"/>
          <w:sz w:val="18"/>
          <w:szCs w:val="18"/>
          <w:color w:val="000000"/>
        </w:rPr>
        <w:t>and our</w:t>
      </w:r>
      <w:r>
        <w:rPr>
          <w:rFonts w:ascii="Arial" w:cs="Arial" w:eastAsia="Arial" w:hAnsi="Arial"/>
          <w:sz w:val="18"/>
          <w:szCs w:val="18"/>
          <w:color w:val="1E5EFF"/>
        </w:rPr>
        <w:t xml:space="preserve"> </w:t>
      </w:r>
      <w:r>
        <w:rPr>
          <w:rFonts w:ascii="Arial" w:cs="Arial" w:eastAsia="Arial" w:hAnsi="Arial"/>
          <w:sz w:val="18"/>
          <w:szCs w:val="18"/>
          <w:u w:val="single" w:color="auto"/>
          <w:color w:val="1E5EFF"/>
        </w:rPr>
        <w:t>Supplier Code of Conduct.</w:t>
      </w:r>
      <w:r>
        <w:rPr>
          <w:rFonts w:ascii="Arial" w:cs="Arial" w:eastAsia="Arial" w:hAnsi="Arial"/>
          <w:sz w:val="18"/>
          <w:szCs w:val="18"/>
          <w:color w:val="1E5EFF"/>
        </w:rPr>
        <w:t xml:space="preserve"> </w:t>
      </w:r>
      <w:r>
        <w:rPr>
          <w:rFonts w:ascii="Arial" w:cs="Arial" w:eastAsia="Arial" w:hAnsi="Arial"/>
          <w:sz w:val="18"/>
          <w:szCs w:val="18"/>
          <w:color w:val="000000"/>
        </w:rPr>
        <w:t>These policies establish Microsoft expectations</w:t>
      </w:r>
      <w:r>
        <w:rPr>
          <w:rFonts w:ascii="Arial" w:cs="Arial" w:eastAsia="Arial" w:hAnsi="Arial"/>
          <w:sz w:val="18"/>
          <w:szCs w:val="18"/>
          <w:color w:val="1E5EFF"/>
        </w:rPr>
        <w:t xml:space="preserve"> </w:t>
      </w:r>
      <w:r>
        <w:rPr>
          <w:rFonts w:ascii="Arial" w:cs="Arial" w:eastAsia="Arial" w:hAnsi="Arial"/>
          <w:sz w:val="18"/>
          <w:szCs w:val="18"/>
          <w:color w:val="000000"/>
        </w:rPr>
        <w:t>our suppliers concerning legal and regulatory compliance; business practices and ethics; human rights and fair labor practices; health and safety; environmental protection; and data and privacy protection.</w:t>
      </w:r>
    </w:p>
    <w:p>
      <w:pPr>
        <w:spacing w:after="0" w:line="2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previously described, our RSRM Policy describes our commitment to responsibly source raw materials. This pledge extends to the harvesting, extraction, and transportation of raw materials unbounded by specific material or location. This policy supports implementation of programs that advance the use of responsibly sourced minerals in our manufactured devices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65" w:right="359" w:bottom="1440" w:gutter="0" w:footer="0" w:header="0"/>
        </w:sectPr>
      </w:pPr>
    </w:p>
    <w:bookmarkStart w:id="5" w:name="page6"/>
    <w:bookmarkEnd w:id="5"/>
    <w:p>
      <w:pPr>
        <w:ind w:right="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Our policies are based on internationally recognized standards, including the following declaration and covenants: </w:t>
      </w:r>
      <w:r>
        <w:rPr>
          <w:rFonts w:ascii="Arial" w:cs="Arial" w:eastAsia="Arial" w:hAnsi="Arial"/>
          <w:sz w:val="18"/>
          <w:szCs w:val="18"/>
          <w:u w:val="single" w:color="auto"/>
          <w:color w:val="1E5EFF"/>
        </w:rPr>
        <w:t>Universal Declaration of</w:t>
      </w:r>
      <w:r>
        <w:rPr>
          <w:rFonts w:ascii="Arial" w:cs="Arial" w:eastAsia="Arial" w:hAnsi="Arial"/>
          <w:sz w:val="18"/>
          <w:szCs w:val="18"/>
          <w:color w:val="auto"/>
        </w:rPr>
        <w:t xml:space="preserve"> </w:t>
      </w:r>
      <w:r>
        <w:rPr>
          <w:rFonts w:ascii="Arial" w:cs="Arial" w:eastAsia="Arial" w:hAnsi="Arial"/>
          <w:sz w:val="18"/>
          <w:szCs w:val="18"/>
          <w:u w:val="single" w:color="auto"/>
          <w:color w:val="1E5EFF"/>
        </w:rPr>
        <w:t>Human Rights, International Covenant on Civil and Political Rights</w:t>
      </w:r>
      <w:r>
        <w:rPr>
          <w:rFonts w:ascii="Arial" w:cs="Arial" w:eastAsia="Arial" w:hAnsi="Arial"/>
          <w:sz w:val="18"/>
          <w:szCs w:val="18"/>
          <w:color w:val="000000"/>
        </w:rPr>
        <w:t>, and</w:t>
      </w:r>
      <w:r>
        <w:rPr>
          <w:rFonts w:ascii="Arial" w:cs="Arial" w:eastAsia="Arial" w:hAnsi="Arial"/>
          <w:sz w:val="18"/>
          <w:szCs w:val="18"/>
          <w:color w:val="1E5EFF"/>
        </w:rPr>
        <w:t xml:space="preserve"> </w:t>
      </w:r>
      <w:r>
        <w:rPr>
          <w:rFonts w:ascii="Arial" w:cs="Arial" w:eastAsia="Arial" w:hAnsi="Arial"/>
          <w:sz w:val="18"/>
          <w:szCs w:val="18"/>
          <w:u w:val="single" w:color="auto"/>
          <w:color w:val="1E5EFF"/>
        </w:rPr>
        <w:t>International Covenant on Economic, Social and Cultural Rights</w:t>
      </w:r>
      <w:r>
        <w:rPr>
          <w:rFonts w:ascii="Arial" w:cs="Arial" w:eastAsia="Arial" w:hAnsi="Arial"/>
          <w:sz w:val="18"/>
          <w:szCs w:val="18"/>
          <w:color w:val="000000"/>
        </w:rPr>
        <w:t>. Our</w:t>
      </w:r>
      <w:r>
        <w:rPr>
          <w:rFonts w:ascii="Arial" w:cs="Arial" w:eastAsia="Arial" w:hAnsi="Arial"/>
          <w:sz w:val="18"/>
          <w:szCs w:val="18"/>
          <w:color w:val="1E5EFF"/>
        </w:rPr>
        <w:t xml:space="preserve"> </w:t>
      </w:r>
      <w:r>
        <w:rPr>
          <w:rFonts w:ascii="Arial" w:cs="Arial" w:eastAsia="Arial" w:hAnsi="Arial"/>
          <w:sz w:val="18"/>
          <w:szCs w:val="18"/>
          <w:color w:val="000000"/>
        </w:rPr>
        <w:t xml:space="preserve">business operations are informed by human rights guidelines described in the following documents: </w:t>
      </w:r>
      <w:r>
        <w:rPr>
          <w:rFonts w:ascii="Arial" w:cs="Arial" w:eastAsia="Arial" w:hAnsi="Arial"/>
          <w:sz w:val="18"/>
          <w:szCs w:val="18"/>
          <w:u w:val="single" w:color="auto"/>
          <w:color w:val="1E5EFF"/>
        </w:rPr>
        <w:t>International Labour Organization’s</w:t>
      </w:r>
      <w:r>
        <w:rPr>
          <w:rFonts w:ascii="Arial" w:cs="Arial" w:eastAsia="Arial" w:hAnsi="Arial"/>
          <w:sz w:val="18"/>
          <w:szCs w:val="18"/>
          <w:color w:val="000000"/>
        </w:rPr>
        <w:t xml:space="preserve"> </w:t>
      </w:r>
      <w:r>
        <w:rPr>
          <w:rFonts w:ascii="Arial" w:cs="Arial" w:eastAsia="Arial" w:hAnsi="Arial"/>
          <w:sz w:val="18"/>
          <w:szCs w:val="18"/>
          <w:u w:val="single" w:color="auto"/>
          <w:color w:val="1E5EFF"/>
        </w:rPr>
        <w:t>(“ILO”) Declaration on Fundamental Principles and Rights at Work</w:t>
      </w:r>
      <w:r>
        <w:rPr>
          <w:rFonts w:ascii="Arial" w:cs="Arial" w:eastAsia="Arial" w:hAnsi="Arial"/>
          <w:sz w:val="18"/>
          <w:szCs w:val="18"/>
          <w:color w:val="000000"/>
        </w:rPr>
        <w:t>,</w:t>
      </w:r>
      <w:r>
        <w:rPr>
          <w:rFonts w:ascii="Arial" w:cs="Arial" w:eastAsia="Arial" w:hAnsi="Arial"/>
          <w:sz w:val="18"/>
          <w:szCs w:val="18"/>
          <w:color w:val="1E5EFF"/>
        </w:rPr>
        <w:t xml:space="preserve"> </w:t>
      </w:r>
      <w:r>
        <w:rPr>
          <w:rFonts w:ascii="Arial" w:cs="Arial" w:eastAsia="Arial" w:hAnsi="Arial"/>
          <w:sz w:val="18"/>
          <w:szCs w:val="18"/>
          <w:u w:val="single" w:color="auto"/>
          <w:color w:val="1E5EFF"/>
        </w:rPr>
        <w:t>OECD Guidelines for Multinational Enterprises</w:t>
      </w:r>
      <w:r>
        <w:rPr>
          <w:rFonts w:ascii="Arial" w:cs="Arial" w:eastAsia="Arial" w:hAnsi="Arial"/>
          <w:sz w:val="18"/>
          <w:szCs w:val="18"/>
          <w:color w:val="000000"/>
        </w:rPr>
        <w:t>, and the</w:t>
      </w:r>
      <w:r>
        <w:rPr>
          <w:rFonts w:ascii="Arial" w:cs="Arial" w:eastAsia="Arial" w:hAnsi="Arial"/>
          <w:sz w:val="18"/>
          <w:szCs w:val="18"/>
          <w:color w:val="1E5EFF"/>
        </w:rPr>
        <w:t xml:space="preserve"> </w:t>
      </w:r>
      <w:r>
        <w:rPr>
          <w:rFonts w:ascii="Arial" w:cs="Arial" w:eastAsia="Arial" w:hAnsi="Arial"/>
          <w:sz w:val="18"/>
          <w:szCs w:val="18"/>
          <w:u w:val="single" w:color="auto"/>
          <w:color w:val="1E5EFF"/>
        </w:rPr>
        <w:t>United Nations</w:t>
      </w:r>
      <w:r>
        <w:rPr>
          <w:rFonts w:ascii="Arial" w:cs="Arial" w:eastAsia="Arial" w:hAnsi="Arial"/>
          <w:sz w:val="18"/>
          <w:szCs w:val="18"/>
          <w:color w:val="1E5EFF"/>
        </w:rPr>
        <w:t xml:space="preserve"> </w:t>
      </w:r>
      <w:r>
        <w:rPr>
          <w:rFonts w:ascii="Arial" w:cs="Arial" w:eastAsia="Arial" w:hAnsi="Arial"/>
          <w:sz w:val="18"/>
          <w:szCs w:val="18"/>
          <w:u w:val="single" w:color="auto"/>
          <w:color w:val="1E5EFF"/>
        </w:rPr>
        <w:t>Global Compact</w:t>
      </w:r>
      <w:r>
        <w:rPr>
          <w:rFonts w:ascii="Arial" w:cs="Arial" w:eastAsia="Arial" w:hAnsi="Arial"/>
          <w:sz w:val="18"/>
          <w:szCs w:val="18"/>
          <w:color w:val="000000"/>
        </w:rPr>
        <w:t>. As a global Information and Communications Technology company operating in more than 100 countries, we respect all</w:t>
      </w:r>
      <w:r>
        <w:rPr>
          <w:rFonts w:ascii="Arial" w:cs="Arial" w:eastAsia="Arial" w:hAnsi="Arial"/>
          <w:sz w:val="18"/>
          <w:szCs w:val="18"/>
          <w:color w:val="1E5EFF"/>
        </w:rPr>
        <w:t xml:space="preserve"> </w:t>
      </w:r>
      <w:r>
        <w:rPr>
          <w:rFonts w:ascii="Arial" w:cs="Arial" w:eastAsia="Arial" w:hAnsi="Arial"/>
          <w:sz w:val="18"/>
          <w:szCs w:val="18"/>
          <w:color w:val="000000"/>
        </w:rPr>
        <w:t>human rights - civil, political, economic, social, and cultural; and our supplier requirements expect the same level of commitment.</w:t>
      </w:r>
    </w:p>
    <w:p>
      <w:pPr>
        <w:spacing w:after="0" w:line="331" w:lineRule="exact"/>
        <w:rPr>
          <w:sz w:val="20"/>
          <w:szCs w:val="20"/>
          <w:color w:val="auto"/>
        </w:rPr>
      </w:pPr>
    </w:p>
    <w:p>
      <w:pPr>
        <w:ind w:left="2020" w:hanging="554"/>
        <w:spacing w:after="0"/>
        <w:tabs>
          <w:tab w:leader="none" w:pos="20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Internal Management Team and Corporate Approval</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 cross-functional internal team supports CMR development. Microsoft’s Senior Director of Devices Responsible Sourcing sponsors the team, which consists of representatives from Devices Manufacturing and Sourcing; Responsible Sourcing; Corporate, External and Legal Affairs; Information Services; Product Environmental Compliance; Global Trade; Finance; and Public Relations. The team assesses program progress, identifies steps needed to meet our compliance obligations, and identifies areas for continuous improvement. The team annually develops, reviews, and submits the final CMR to Microsoft’s President for approval and signature before being filed as an Exhibit to Microsoft’s Form SD and posted on the Microsoft website pursuant to the Rule.</w:t>
      </w:r>
    </w:p>
    <w:p>
      <w:pPr>
        <w:spacing w:after="0" w:line="331" w:lineRule="exact"/>
        <w:rPr>
          <w:sz w:val="20"/>
          <w:szCs w:val="20"/>
          <w:color w:val="auto"/>
        </w:rPr>
      </w:pPr>
    </w:p>
    <w:p>
      <w:pPr>
        <w:ind w:left="2020" w:hanging="554"/>
        <w:spacing w:after="0"/>
        <w:tabs>
          <w:tab w:leader="none" w:pos="20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System of Supply Chain Controls, Data Disclosure, and Due Diligence Assurance</w:t>
      </w:r>
    </w:p>
    <w:p>
      <w:pPr>
        <w:spacing w:after="0" w:line="126"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 xml:space="preserve">Our Due Diligence Framework is based on a system of supply chain controls, data disclosure, and due diligence assurance. We require our suppliers to meet Microsoft specifications through our contracts. Our environmental product compliance specifications - H00594, Restricted Substances for Hardware Products; and H00642, Microsoft Restricted Substances Control System for Hardware Products (both available at this </w:t>
      </w:r>
      <w:r>
        <w:rPr>
          <w:rFonts w:ascii="Arial" w:cs="Arial" w:eastAsia="Arial" w:hAnsi="Arial"/>
          <w:sz w:val="18"/>
          <w:szCs w:val="18"/>
          <w:u w:val="single" w:color="auto"/>
          <w:color w:val="1E5EFF"/>
        </w:rPr>
        <w:t>link</w:t>
      </w:r>
      <w:r>
        <w:rPr>
          <w:rFonts w:ascii="Arial" w:cs="Arial" w:eastAsia="Arial" w:hAnsi="Arial"/>
          <w:sz w:val="18"/>
          <w:szCs w:val="18"/>
          <w:color w:val="auto"/>
        </w:rPr>
        <w:t>) - require the disclosure of every substance contained in the materials, components, and products supplied to us, including 3TGs, by weight.</w:t>
      </w:r>
    </w:p>
    <w:p>
      <w:pPr>
        <w:spacing w:after="0" w:line="202" w:lineRule="exact"/>
        <w:rPr>
          <w:sz w:val="20"/>
          <w:szCs w:val="20"/>
          <w:color w:val="auto"/>
        </w:rPr>
      </w:pPr>
    </w:p>
    <w:p>
      <w:pPr>
        <w:ind w:right="500"/>
        <w:spacing w:after="0" w:line="257" w:lineRule="auto"/>
        <w:rPr>
          <w:sz w:val="20"/>
          <w:szCs w:val="20"/>
          <w:color w:val="auto"/>
        </w:rPr>
      </w:pPr>
      <w:r>
        <w:rPr>
          <w:rFonts w:ascii="Arial" w:cs="Arial" w:eastAsia="Arial" w:hAnsi="Arial"/>
          <w:sz w:val="17"/>
          <w:szCs w:val="17"/>
          <w:color w:val="auto"/>
        </w:rPr>
        <w:t>We require suppliers to annually submit a CMRT, providing source and chain of custody information for 3TGs that are contained in the products and components they supply to us. Our contracts also require suppliers to obtain the same information from their upstream suppliers. We collect these supply chain disclosures, conduct controls to ensure data integrity, and assess 3TG sourcing risk. Microsoft investigates any potential nonconformances and engages with suppliers that fail to meet Microsoft specifications and requirements.</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Microsoft supply chain mineral disclosure requirements go beyond 3TGs and cover additional prioritized minerals. Since 2019, we have required suppliers to report on their use of cobalt, using the Responsible Minerals Initiative’s </w:t>
      </w:r>
      <w:r>
        <w:rPr>
          <w:rFonts w:ascii="Arial" w:cs="Arial" w:eastAsia="Arial" w:hAnsi="Arial"/>
          <w:sz w:val="18"/>
          <w:szCs w:val="18"/>
          <w:u w:val="single" w:color="auto"/>
          <w:color w:val="1E5EFF"/>
        </w:rPr>
        <w:t>Extended Minerals Reporting Template</w:t>
      </w:r>
      <w:r>
        <w:rPr>
          <w:rFonts w:ascii="Arial" w:cs="Arial" w:eastAsia="Arial" w:hAnsi="Arial"/>
          <w:sz w:val="18"/>
          <w:szCs w:val="18"/>
          <w:color w:val="auto"/>
        </w:rPr>
        <w:t>. In 2020, we expanded our due diligence requirements, collecting data on aluminum, copper, lithium, magnesium, and nickel using the Microsoft Material Reporting Template.</w:t>
      </w:r>
    </w:p>
    <w:p>
      <w:pPr>
        <w:spacing w:after="0" w:line="20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 xml:space="preserve">Microsoft Devices’ </w:t>
      </w:r>
      <w:r>
        <w:rPr>
          <w:rFonts w:ascii="Arial" w:cs="Arial" w:eastAsia="Arial" w:hAnsi="Arial"/>
          <w:sz w:val="18"/>
          <w:szCs w:val="18"/>
          <w:u w:val="single" w:color="auto"/>
          <w:color w:val="1E5EFF"/>
        </w:rPr>
        <w:t>Supplier Social and Environmental Accountability Manual</w:t>
      </w:r>
      <w:r>
        <w:rPr>
          <w:rFonts w:ascii="Arial" w:cs="Arial" w:eastAsia="Arial" w:hAnsi="Arial"/>
          <w:sz w:val="18"/>
          <w:szCs w:val="18"/>
          <w:color w:val="auto"/>
        </w:rPr>
        <w:t xml:space="preserve"> (“H02050”) provides an operational framework for Microsoft to achieve supplier conformance with the Supplier Code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87" w:right="359" w:bottom="1440" w:gutter="0" w:footer="0" w:header="0"/>
        </w:sectPr>
      </w:pPr>
    </w:p>
    <w:bookmarkStart w:id="6" w:name="page7"/>
    <w:bookmarkEnd w:id="6"/>
    <w:p>
      <w:pPr>
        <w:ind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 and other responsible sourcing requirements. H02050 establishes a minimum set of requirements that suppliers must meet, including compliance with all applicable laws and regulations with respect to labor, ethics, occupational health and safety, and protection of the environment. Suppliers are encouraged to go beyond legal compliance by meeting relevant international standards (i.e., ILO and relevant United Nations Conventions) and committing to a process of continuous improvement.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H02050 requires all in-scope suppliers to:</w:t>
      </w:r>
    </w:p>
    <w:p>
      <w:pPr>
        <w:spacing w:after="0" w:line="117" w:lineRule="exact"/>
        <w:rPr>
          <w:sz w:val="20"/>
          <w:szCs w:val="20"/>
          <w:color w:val="auto"/>
        </w:rPr>
      </w:pPr>
    </w:p>
    <w:p>
      <w:pPr>
        <w:ind w:left="1000" w:hanging="439"/>
        <w:spacing w:after="0" w:line="24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Adopt a company policy for raw material sourcing, including a commitment to source raw materials from responsible sources and clearly communicate such policy to their suppliers and the public;</w:t>
      </w:r>
    </w:p>
    <w:p>
      <w:pPr>
        <w:spacing w:after="0" w:line="102" w:lineRule="exact"/>
        <w:rPr>
          <w:rFonts w:ascii="Arial" w:cs="Arial" w:eastAsia="Arial" w:hAnsi="Arial"/>
          <w:sz w:val="18"/>
          <w:szCs w:val="18"/>
          <w:color w:val="auto"/>
        </w:rPr>
      </w:pPr>
    </w:p>
    <w:p>
      <w:pPr>
        <w:ind w:left="1000" w:right="360" w:hanging="439"/>
        <w:spacing w:after="0" w:line="24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Exercise due diligence on the source and chain of custody of high-risk raw materials, including 3TGs, contained in materials, products, or parts supplied to Microsoft;</w:t>
      </w:r>
    </w:p>
    <w:p>
      <w:pPr>
        <w:spacing w:after="0" w:line="102" w:lineRule="exact"/>
        <w:rPr>
          <w:rFonts w:ascii="Arial" w:cs="Arial" w:eastAsia="Arial" w:hAnsi="Arial"/>
          <w:sz w:val="18"/>
          <w:szCs w:val="18"/>
          <w:color w:val="auto"/>
        </w:rPr>
      </w:pPr>
    </w:p>
    <w:p>
      <w:pPr>
        <w:ind w:left="1000" w:right="80" w:hanging="439"/>
        <w:spacing w:after="0" w:line="24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those SORs to participate in the Responsible Mining Assurance Program (“RMAP”) or an equivalent independent, third-party audit program for 3TGs; and</w:t>
      </w:r>
    </w:p>
    <w:p>
      <w:pPr>
        <w:spacing w:after="0" w:line="102" w:lineRule="exact"/>
        <w:rPr>
          <w:rFonts w:ascii="Arial" w:cs="Arial" w:eastAsia="Arial" w:hAnsi="Arial"/>
          <w:sz w:val="18"/>
          <w:szCs w:val="18"/>
          <w:color w:val="auto"/>
        </w:rPr>
      </w:pPr>
    </w:p>
    <w:p>
      <w:pPr>
        <w:ind w:left="1000" w:right="420" w:hanging="439"/>
        <w:spacing w:after="0" w:line="24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communicate potential sourcing risks to Microsoft and propose a contingency plan and mitigation strategy to achieve conformance.</w:t>
      </w:r>
    </w:p>
    <w:p>
      <w:pPr>
        <w:spacing w:after="0" w:line="8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Suppliers are required to establish a system to gather, examine, and verify sourcing information for raw materials, including 3TGs, contained in products supplied to Microsoft and request their upstream suppliers to do the same. This supply chain transfer of audit data, source and chain of custody information, and risk assessment enables and facilitates raw material due diligence, mapping, and transparency.</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Microsoft works with its suppliers to use SORs that are conformant to RMAP or another equivalent independent, third-party audit program for 3TGs. If we find that a supplier has introduced responsible sourcing risk to the Microsoft supply chain, such as use of an upstream SOR that is not conformant, Microsoft engages with such supplier to address the non-conformance. Risks are mitigated by supplier engagement, corrective actions, audits, training, and business termination when appropriate. These controls and related documentation are detailed in H02050 and Microsoft internal operating procedures.</w:t>
      </w:r>
    </w:p>
    <w:p>
      <w:pPr>
        <w:spacing w:after="0" w:line="329" w:lineRule="exact"/>
        <w:rPr>
          <w:sz w:val="20"/>
          <w:szCs w:val="20"/>
          <w:color w:val="auto"/>
        </w:rPr>
      </w:pPr>
    </w:p>
    <w:p>
      <w:pPr>
        <w:ind w:left="2020" w:hanging="554"/>
        <w:spacing w:after="0"/>
        <w:tabs>
          <w:tab w:leader="none" w:pos="20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Leveraging Industry Partnerships for Greater Impact</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leverage partnerships with industry peers and partners to scale our responsible sourcing impact. Microsoft is a long-standing member of the Responsible Business Alliance (“RBA”), and chairs its Responsible Minerals Initiative (RMI) Steering Committee. The RMI is one of the most utilized and respected resources for supply chain minerals due diligence and is aligned to the OECD Guidance. The RMI operates and manages the Responsible Minerals Assurance Process (RMAP), which uses independent, third-party audits to assess, monitor, and validate whether SORs process 3TGs from sources that directly or indirectly finance or benefit armed groups in a CAHRA, including Covered Countries.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87" w:right="339" w:bottom="1440" w:gutter="0" w:footer="0" w:header="0"/>
        </w:sectPr>
      </w:pPr>
    </w:p>
    <w:bookmarkStart w:id="7" w:name="page8"/>
    <w:bookmarkEnd w:id="7"/>
    <w:p>
      <w:pPr>
        <w:ind w:right="1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2021, Microsoft provided direct financial support to the RMI upstream smelter due diligence fund to further the reach and success of the RMAP. Microsoft also supported the development of an RMI toolkit that provides due diligence guidance for mineral supply chains beyond 3TG and cobalt. This guidance will help suppliers conduct due diligence on a broader range of critical minerals, aligning with Microsoft’s expanded supply chain disclosure requirements for aluminum, copper, lithium, magnesium, and nickel.</w:t>
      </w:r>
    </w:p>
    <w:p>
      <w:pPr>
        <w:spacing w:after="0" w:line="20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We also work outside of our supply chain to promote responsible mining practices in CAHRAs, including Covered Countries, by partnering with organizations, including the RMI, the </w:t>
      </w:r>
      <w:r>
        <w:rPr>
          <w:rFonts w:ascii="Arial" w:cs="Arial" w:eastAsia="Arial" w:hAnsi="Arial"/>
          <w:sz w:val="18"/>
          <w:szCs w:val="18"/>
          <w:u w:val="single" w:color="auto"/>
          <w:color w:val="1E5EFF"/>
        </w:rPr>
        <w:t>Initiative for Responsible Mining Assurance</w:t>
      </w:r>
      <w:r>
        <w:rPr>
          <w:rFonts w:ascii="Arial" w:cs="Arial" w:eastAsia="Arial" w:hAnsi="Arial"/>
          <w:sz w:val="18"/>
          <w:szCs w:val="18"/>
          <w:color w:val="auto"/>
        </w:rPr>
        <w:t xml:space="preserve"> (“IRMA”), the </w:t>
      </w:r>
      <w:r>
        <w:rPr>
          <w:rFonts w:ascii="Arial" w:cs="Arial" w:eastAsia="Arial" w:hAnsi="Arial"/>
          <w:sz w:val="18"/>
          <w:szCs w:val="18"/>
          <w:u w:val="single" w:color="auto"/>
          <w:color w:val="1E5EFF"/>
        </w:rPr>
        <w:t>Public-Private Alliance for Responsible</w:t>
      </w:r>
      <w:r>
        <w:rPr>
          <w:rFonts w:ascii="Arial" w:cs="Arial" w:eastAsia="Arial" w:hAnsi="Arial"/>
          <w:sz w:val="18"/>
          <w:szCs w:val="18"/>
          <w:color w:val="auto"/>
        </w:rPr>
        <w:t xml:space="preserve"> </w:t>
      </w:r>
      <w:r>
        <w:rPr>
          <w:rFonts w:ascii="Arial" w:cs="Arial" w:eastAsia="Arial" w:hAnsi="Arial"/>
          <w:sz w:val="18"/>
          <w:szCs w:val="18"/>
          <w:u w:val="single" w:color="auto"/>
          <w:color w:val="1E5EFF"/>
        </w:rPr>
        <w:t>Minerals Trade</w:t>
      </w:r>
      <w:r>
        <w:rPr>
          <w:rFonts w:ascii="Arial" w:cs="Arial" w:eastAsia="Arial" w:hAnsi="Arial"/>
          <w:sz w:val="18"/>
          <w:szCs w:val="18"/>
          <w:color w:val="1E5EFF"/>
        </w:rPr>
        <w:t xml:space="preserve"> </w:t>
      </w:r>
      <w:r>
        <w:rPr>
          <w:rFonts w:ascii="Arial" w:cs="Arial" w:eastAsia="Arial" w:hAnsi="Arial"/>
          <w:sz w:val="18"/>
          <w:szCs w:val="18"/>
          <w:color w:val="000000"/>
        </w:rPr>
        <w:t>(“PPA”), and others. In this manner, we go beyond the minimum due diligence established by the OECD Guidance to assess</w:t>
      </w:r>
      <w:r>
        <w:rPr>
          <w:rFonts w:ascii="Arial" w:cs="Arial" w:eastAsia="Arial" w:hAnsi="Arial"/>
          <w:sz w:val="18"/>
          <w:szCs w:val="18"/>
          <w:color w:val="1E5EFF"/>
        </w:rPr>
        <w:t xml:space="preserve"> </w:t>
      </w:r>
      <w:r>
        <w:rPr>
          <w:rFonts w:ascii="Arial" w:cs="Arial" w:eastAsia="Arial" w:hAnsi="Arial"/>
          <w:sz w:val="18"/>
          <w:szCs w:val="18"/>
          <w:color w:val="000000"/>
        </w:rPr>
        <w:t>and reduce our supply chain sourcing risk and improve working conditions in raw material supply chains.</w:t>
      </w:r>
    </w:p>
    <w:p>
      <w:pPr>
        <w:spacing w:after="0" w:line="331" w:lineRule="exact"/>
        <w:rPr>
          <w:sz w:val="20"/>
          <w:szCs w:val="20"/>
          <w:color w:val="auto"/>
        </w:rPr>
      </w:pPr>
    </w:p>
    <w:p>
      <w:pPr>
        <w:ind w:left="2020" w:hanging="554"/>
        <w:spacing w:after="0"/>
        <w:tabs>
          <w:tab w:leader="none" w:pos="20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Supplier Engagement to Ensure Conformance</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apply several supplier-focused strategies to promote responsible mining and sourcing, including the supplier engagement tools set forth below.</w:t>
      </w:r>
    </w:p>
    <w:p>
      <w:pPr>
        <w:spacing w:after="0" w:line="102" w:lineRule="exact"/>
        <w:rPr>
          <w:sz w:val="20"/>
          <w:szCs w:val="20"/>
          <w:color w:val="auto"/>
        </w:rPr>
      </w:pPr>
    </w:p>
    <w:p>
      <w:pPr>
        <w:ind w:left="1000" w:right="20" w:hanging="439"/>
        <w:spacing w:after="0" w:line="23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Supplier Requirements: We require our suppliers to meet our material disclosure requirements and related responsible sourcing policies through contractual provisions and product specifications. We communicate, monitor, and track supplier adherence to these requirements, ensuring conformance through the Microsoft Audit Management System (“AMS”) and maintain supplier records for a minimum of five years.</w:t>
      </w:r>
    </w:p>
    <w:p>
      <w:pPr>
        <w:spacing w:after="0" w:line="110" w:lineRule="exact"/>
        <w:rPr>
          <w:rFonts w:ascii="Arial" w:cs="Arial" w:eastAsia="Arial" w:hAnsi="Arial"/>
          <w:sz w:val="18"/>
          <w:szCs w:val="18"/>
          <w:color w:val="auto"/>
        </w:rPr>
      </w:pPr>
    </w:p>
    <w:p>
      <w:pPr>
        <w:ind w:left="1000" w:hanging="439"/>
        <w:spacing w:after="0" w:line="23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Training: We train suppliers on our responsible sourcing requirements through classes, educational forums, and direct communications. The SEA Academy is part of the supplier on-boarding process. Existing suppliers and newly onboarded suppliers are required to complete training modules to understand and implement Microsoft SEA requirements. We leverage the online component of our “SEA Academy” to educate factory management, workers, and third-party auditors as well as internal Microsoft teams with the goal of promoting responsible sourcing across our supply chain.</w:t>
      </w:r>
    </w:p>
    <w:p>
      <w:pPr>
        <w:spacing w:after="0" w:line="107" w:lineRule="exact"/>
        <w:rPr>
          <w:rFonts w:ascii="Arial" w:cs="Arial" w:eastAsia="Arial" w:hAnsi="Arial"/>
          <w:sz w:val="18"/>
          <w:szCs w:val="18"/>
          <w:color w:val="auto"/>
        </w:rPr>
      </w:pPr>
    </w:p>
    <w:p>
      <w:pPr>
        <w:ind w:left="1000" w:right="40" w:hanging="439"/>
        <w:spacing w:after="0" w:line="261"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Capability Building and Partnerships: We work closely with in-scope suppliers and third-party auditors to build suppliers’ raw material due diligence capabilities and advance conformance to the RMAP or equivalent independent, third-party audit program for 3TGs. We invest in industry programs to increase suppliers’ abilities and provide platforms for sharing best practices.</w:t>
      </w:r>
    </w:p>
    <w:p>
      <w:pPr>
        <w:spacing w:after="0" w:line="91" w:lineRule="exact"/>
        <w:rPr>
          <w:rFonts w:ascii="Arial" w:cs="Arial" w:eastAsia="Arial" w:hAnsi="Arial"/>
          <w:sz w:val="17"/>
          <w:szCs w:val="17"/>
          <w:color w:val="auto"/>
        </w:rPr>
      </w:pPr>
    </w:p>
    <w:p>
      <w:pPr>
        <w:ind w:left="1000" w:right="140" w:hanging="439"/>
        <w:spacing w:after="0" w:line="23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Supplier Audits and Conformance Assurance: Microsoft requires audits of its directly contracted suppliers to assess their conformance to these requirements. Newly contracted suppliers undergo an Initial Capability Assessment (“ICA”) prior to onboarding and Sustaining Maintenance Audits (“SMA”) after onboarding to verify their initial conformance and to confirm their sustained conformance to our requirements.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287" w:right="419" w:bottom="1440" w:gutter="0" w:footer="0" w:header="0"/>
        </w:sectPr>
      </w:pPr>
    </w:p>
    <w:bookmarkStart w:id="8" w:name="page9"/>
    <w:bookmarkEnd w:id="8"/>
    <w:p>
      <w:pPr>
        <w:ind w:right="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Microsoft selects and retains business partners that have committed to meet these requirements. A failure by a supplier or their upstream suppliers to conform to these requirements may constitute a breach of the supplier’s contractual agreement with Microsoft, resulting in possible business termination</w:t>
      </w:r>
    </w:p>
    <w:p>
      <w:pPr>
        <w:spacing w:after="0" w:line="329" w:lineRule="exact"/>
        <w:rPr>
          <w:sz w:val="20"/>
          <w:szCs w:val="20"/>
          <w:color w:val="auto"/>
        </w:rPr>
      </w:pPr>
    </w:p>
    <w:p>
      <w:pPr>
        <w:ind w:left="2020" w:hanging="554"/>
        <w:spacing w:after="0"/>
        <w:tabs>
          <w:tab w:leader="none" w:pos="20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Grievance Mechanism</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Microsoft provides an anonymous grievance reporting mechanism for employees and other stakeholders who may be impacted by our operations. Microsoft’s </w:t>
      </w:r>
      <w:r>
        <w:rPr>
          <w:rFonts w:ascii="Arial" w:cs="Arial" w:eastAsia="Arial" w:hAnsi="Arial"/>
          <w:sz w:val="18"/>
          <w:szCs w:val="18"/>
          <w:u w:val="single" w:color="auto"/>
          <w:color w:val="auto"/>
        </w:rPr>
        <w:t>Business Conduct Hotline</w:t>
      </w:r>
      <w:r>
        <w:rPr>
          <w:rFonts w:ascii="Arial" w:cs="Arial" w:eastAsia="Arial" w:hAnsi="Arial"/>
          <w:sz w:val="18"/>
          <w:szCs w:val="18"/>
          <w:color w:val="auto"/>
        </w:rPr>
        <w:t xml:space="preserve"> allows employees and others to anonymously ask compliance questions or report concerns regarding Microsoft’s business operations, including our responsible sourcing policies or those of our suppliers. Additionally, Microsoft continues to scale its Worker Voice Hotline Program</w:t>
      </w:r>
      <w:r>
        <w:rPr>
          <w:rFonts w:ascii="Arial" w:cs="Arial" w:eastAsia="Arial" w:hAnsi="Arial"/>
          <w:sz w:val="15"/>
          <w:szCs w:val="15"/>
          <w:color w:val="auto"/>
        </w:rPr>
        <w:t>3</w:t>
      </w:r>
      <w:r>
        <w:rPr>
          <w:rFonts w:ascii="Arial" w:cs="Arial" w:eastAsia="Arial" w:hAnsi="Arial"/>
          <w:sz w:val="18"/>
          <w:szCs w:val="18"/>
          <w:color w:val="auto"/>
        </w:rPr>
        <w:t xml:space="preserve"> across our supplier factories. This program provides workers with a reliable and anonymous reporting channel for raising workplace concerns. The Hotline is operated by a neutral third-party provider. We investigate and, where appropriate, take remedial action to address reported issues. We also participate in the development of industry grievance mechanisms that seek to address responsible sourcing of raw materials related issues.</w:t>
      </w:r>
    </w:p>
    <w:p>
      <w:pPr>
        <w:spacing w:after="0" w:line="329" w:lineRule="exact"/>
        <w:rPr>
          <w:sz w:val="20"/>
          <w:szCs w:val="20"/>
          <w:color w:val="auto"/>
        </w:rPr>
      </w:pPr>
    </w:p>
    <w:p>
      <w:pPr>
        <w:ind w:left="1000" w:hanging="547"/>
        <w:spacing w:after="0"/>
        <w:tabs>
          <w:tab w:leader="none" w:pos="10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Step #2: Identify and Assess Risk in the Supply Chain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order to make a Reasonable Country of Origin Inquiry (“RCOI”) determination, Microsoft took the following steps, which are consistent with</w:t>
      </w:r>
    </w:p>
    <w:p>
      <w:pPr>
        <w:spacing w:after="0"/>
        <w:rPr>
          <w:sz w:val="20"/>
          <w:szCs w:val="20"/>
          <w:color w:val="auto"/>
        </w:rPr>
      </w:pPr>
      <w:r>
        <w:rPr>
          <w:rFonts w:ascii="Arial" w:cs="Arial" w:eastAsia="Arial" w:hAnsi="Arial"/>
          <w:sz w:val="18"/>
          <w:szCs w:val="18"/>
          <w:color w:val="auto"/>
        </w:rPr>
        <w:t>OECD Guidance and Microsoft procedure, to identify and assess 3TG sourcing risk in our supply chain during the 2021 Reporting Year:</w:t>
      </w:r>
    </w:p>
    <w:p>
      <w:pPr>
        <w:spacing w:after="0" w:line="117" w:lineRule="exact"/>
        <w:rPr>
          <w:sz w:val="20"/>
          <w:szCs w:val="20"/>
          <w:color w:val="auto"/>
        </w:rPr>
      </w:pPr>
    </w:p>
    <w:p>
      <w:pPr>
        <w:ind w:left="1000" w:right="2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generated a list of in-scope suppliers by surveying 193 Devices direct suppliers to determine whether they used any 3TGs in the products or parts supplied to Microsoft by utilizing the CMRT and the services of a third-party solution provider. All suppliers responded to our survey request – a 100% response rate.</w:t>
      </w:r>
    </w:p>
    <w:p>
      <w:pPr>
        <w:spacing w:after="0" w:line="108" w:lineRule="exact"/>
        <w:rPr>
          <w:rFonts w:ascii="Arial" w:cs="Arial" w:eastAsia="Arial" w:hAnsi="Arial"/>
          <w:sz w:val="18"/>
          <w:szCs w:val="18"/>
          <w:color w:val="auto"/>
        </w:rPr>
      </w:pPr>
    </w:p>
    <w:p>
      <w:pPr>
        <w:ind w:left="1000" w:right="740" w:hanging="439"/>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excluded suppliers that did not report the use of 3TGs in the products or parts supplied to Microsoft during the 2021 Reporting Year from our in-scope supplier list.</w:t>
      </w:r>
    </w:p>
    <w:p>
      <w:pPr>
        <w:spacing w:after="0" w:line="102" w:lineRule="exact"/>
        <w:rPr>
          <w:rFonts w:ascii="Arial" w:cs="Arial" w:eastAsia="Arial" w:hAnsi="Arial"/>
          <w:sz w:val="18"/>
          <w:szCs w:val="18"/>
          <w:color w:val="auto"/>
        </w:rPr>
      </w:pPr>
    </w:p>
    <w:p>
      <w:pPr>
        <w:jc w:val="both"/>
        <w:ind w:left="1000" w:right="20" w:hanging="439"/>
        <w:spacing w:after="0" w:line="261"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the 2021 Reporting Year, we identified 148 in-scope suppliers that reported the use of 3TGs in the products or parts supplied to Microsoft. For these suppliers, we reviewed their CMRT responses to validate completion and to identify any contradictions or inconsistencies. We worked with our third-party solution provider to obtain updated or missing information when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886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60"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 xml:space="preserve">Please see page 60 of our </w:t>
      </w:r>
      <w:r>
        <w:rPr>
          <w:rFonts w:ascii="Arial" w:cs="Arial" w:eastAsia="Arial" w:hAnsi="Arial"/>
          <w:sz w:val="18"/>
          <w:szCs w:val="18"/>
          <w:u w:val="single" w:color="auto"/>
          <w:color w:val="1E5EFF"/>
        </w:rPr>
        <w:t>2021 Devices Responsible Sourcing Report</w:t>
      </w:r>
      <w:r>
        <w:rPr>
          <w:rFonts w:ascii="Arial" w:cs="Arial" w:eastAsia="Arial" w:hAnsi="Arial"/>
          <w:sz w:val="18"/>
          <w:szCs w:val="18"/>
          <w:color w:val="auto"/>
        </w:rPr>
        <w:t xml:space="preserve"> for more details regarding our Workers’ Voice Hotline Program.</w:t>
      </w:r>
    </w:p>
    <w:p>
      <w:pPr>
        <w:spacing w:after="0" w:line="144" w:lineRule="exact"/>
        <w:rPr>
          <w:rFonts w:ascii="Arial" w:cs="Arial" w:eastAsia="Arial" w:hAnsi="Arial"/>
          <w:sz w:val="15"/>
          <w:szCs w:val="15"/>
          <w:color w:val="auto"/>
        </w:rPr>
      </w:pPr>
    </w:p>
    <w:p>
      <w:pPr>
        <w:ind w:left="5580"/>
        <w:spacing w:after="0"/>
        <w:rPr>
          <w:rFonts w:ascii="Arial" w:cs="Arial" w:eastAsia="Arial" w:hAnsi="Arial"/>
          <w:sz w:val="15"/>
          <w:szCs w:val="15"/>
          <w:color w:val="auto"/>
        </w:rPr>
      </w:pPr>
      <w:r>
        <w:rPr>
          <w:rFonts w:ascii="Arial" w:cs="Arial" w:eastAsia="Arial" w:hAnsi="Arial"/>
          <w:sz w:val="18"/>
          <w:szCs w:val="18"/>
          <w:color w:val="auto"/>
        </w:rPr>
        <w:t>6</w:t>
      </w:r>
    </w:p>
    <w:p>
      <w:pPr>
        <w:sectPr>
          <w:pgSz w:w="11900" w:h="16838" w:orient="portrait"/>
          <w:cols w:equalWidth="0" w:num="1">
            <w:col w:w="11220"/>
          </w:cols>
          <w:pgMar w:left="320" w:top="287" w:right="359" w:bottom="1440" w:gutter="0" w:footer="0" w:header="0"/>
        </w:sectPr>
      </w:pPr>
    </w:p>
    <w:bookmarkStart w:id="9" w:name="page10"/>
    <w:bookmarkEnd w:id="9"/>
    <w:p>
      <w:pPr>
        <w:ind w:left="1000" w:right="660" w:hanging="439"/>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Based on the CMRTs, 322 SORs were found to be eligible for the RMAP or an equivalent, independent, third-party audit program for 3TGs such as cross-recognized programs overseen by the London Bullion Market Association (“LBMA”) or Responsible Jewellery Council (“RJC”).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 CMRT Response Rate (2013-2021 Reporting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320040</wp:posOffset>
            </wp:positionV>
            <wp:extent cx="4997450" cy="2726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74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Step #3: Design and Implement a Strategy to Respond to Risks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determined that 3TGs that were necessary to the functionality or production of covered devices may have originated in one or more Covered Country. Accordingly, we performed due diligence on the source and chain-of-custody of those 3TGs to assess our conflict minerals sourcing risk.</w:t>
      </w:r>
    </w:p>
    <w:p>
      <w:pPr>
        <w:spacing w:after="0" w:line="329" w:lineRule="exact"/>
        <w:rPr>
          <w:sz w:val="20"/>
          <w:szCs w:val="20"/>
          <w:color w:val="auto"/>
        </w:rPr>
      </w:pPr>
    </w:p>
    <w:p>
      <w:pPr>
        <w:ind w:left="2020" w:hanging="554"/>
        <w:spacing w:after="0"/>
        <w:tabs>
          <w:tab w:leader="none" w:pos="20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Microsoft Supplier Specifications—H00594, H00642, and H02050</w:t>
      </w:r>
    </w:p>
    <w:p>
      <w:pPr>
        <w:spacing w:after="0" w:line="126"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For the 2021 Reporting Year, Microsoft required its in-scope suppliers to conduct due diligence to address the potential sourcing of 3TGs from CAHRAs, including Covered Countries, through contract requirements (H00594, H00642, and H02050), incorporating Microsoft’s supplier specifications and responsible sourcing requirements, as detailed above.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287" w:right="399" w:bottom="1440" w:gutter="0" w:footer="0" w:header="0"/>
        </w:sectPr>
      </w:pPr>
    </w:p>
    <w:bookmarkStart w:id="10" w:name="page11"/>
    <w:bookmarkEnd w:id="10"/>
    <w:p>
      <w:pPr>
        <w:ind w:left="2020" w:hanging="554"/>
        <w:spacing w:after="0"/>
        <w:tabs>
          <w:tab w:leader="none" w:pos="20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Implementation of OECD Guidance</w:t>
      </w:r>
    </w:p>
    <w:p>
      <w:pPr>
        <w:spacing w:after="0" w:line="123"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Microsoft screened its in-scope supplier CMRT data for the 2021 Reporting Year against the OECD Guidance” red flag” triggers</w:t>
      </w:r>
      <w:r>
        <w:rPr>
          <w:rFonts w:ascii="Arial" w:cs="Arial" w:eastAsia="Arial" w:hAnsi="Arial"/>
          <w:sz w:val="15"/>
          <w:szCs w:val="15"/>
          <w:color w:val="auto"/>
        </w:rPr>
        <w:t>4</w:t>
      </w:r>
      <w:r>
        <w:rPr>
          <w:rFonts w:ascii="Arial" w:cs="Arial" w:eastAsia="Arial" w:hAnsi="Arial"/>
          <w:sz w:val="18"/>
          <w:szCs w:val="18"/>
          <w:color w:val="auto"/>
        </w:rPr>
        <w:t xml:space="preserve"> to assess the in-scope suppliers that required due diligence per the OECD Guidance.</w:t>
      </w:r>
    </w:p>
    <w:p>
      <w:pPr>
        <w:spacing w:after="0" w:line="321"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Step #4: Independent Third-Party Audits of Supply Chain Due Diligence</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due diligence program leveraged independent SOR audits to provide assurance that the 322 3TG SORs that were identified in our supply chain for the 2021 Reporting Year conducted an appropriate level of conflict minerals due diligence. Microsoft obtained SOR data from the RMAP Conformant Smelter List</w:t>
      </w:r>
      <w:r>
        <w:rPr>
          <w:rFonts w:ascii="Arial" w:cs="Arial" w:eastAsia="Arial" w:hAnsi="Arial"/>
          <w:sz w:val="15"/>
          <w:szCs w:val="15"/>
          <w:color w:val="auto"/>
        </w:rPr>
        <w:t>5</w:t>
      </w:r>
      <w:r>
        <w:rPr>
          <w:rFonts w:ascii="Arial" w:cs="Arial" w:eastAsia="Arial" w:hAnsi="Arial"/>
          <w:sz w:val="18"/>
          <w:szCs w:val="18"/>
          <w:color w:val="auto"/>
        </w:rPr>
        <w:t xml:space="preserve"> using </w:t>
      </w:r>
      <w:r>
        <w:rPr>
          <w:rFonts w:ascii="Arial" w:cs="Arial" w:eastAsia="Arial" w:hAnsi="Arial"/>
          <w:sz w:val="18"/>
          <w:szCs w:val="18"/>
          <w:i w:val="1"/>
          <w:iCs w:val="1"/>
          <w:color w:val="auto"/>
        </w:rPr>
        <w:t>Reasonable Country of Origin Inquiry Data</w:t>
      </w:r>
      <w:r>
        <w:rPr>
          <w:rFonts w:ascii="Arial" w:cs="Arial" w:eastAsia="Arial" w:hAnsi="Arial"/>
          <w:sz w:val="18"/>
          <w:szCs w:val="18"/>
          <w:color w:val="auto"/>
        </w:rPr>
        <w:t xml:space="preserve"> for member MSFT and used the SOR data to assess the conflict mineral audit status of our in-scope suppliers and to support our due diligence findings.</w:t>
      </w:r>
    </w:p>
    <w:p>
      <w:pPr>
        <w:spacing w:after="0" w:line="187" w:lineRule="exact"/>
        <w:rPr>
          <w:sz w:val="20"/>
          <w:szCs w:val="20"/>
          <w:color w:val="auto"/>
        </w:rPr>
      </w:pPr>
    </w:p>
    <w:p>
      <w:pPr>
        <w:jc w:val="both"/>
        <w:ind w:right="180"/>
        <w:spacing w:after="0" w:line="245" w:lineRule="auto"/>
        <w:rPr>
          <w:sz w:val="20"/>
          <w:szCs w:val="20"/>
          <w:color w:val="auto"/>
        </w:rPr>
      </w:pPr>
      <w:r>
        <w:rPr>
          <w:rFonts w:ascii="Arial" w:cs="Arial" w:eastAsia="Arial" w:hAnsi="Arial"/>
          <w:sz w:val="18"/>
          <w:szCs w:val="18"/>
          <w:color w:val="auto"/>
        </w:rPr>
        <w:t xml:space="preserve">Recognizing the importance of broad and consistent participation in the RMAP program, Microsoft </w:t>
      </w:r>
      <w:r>
        <w:rPr>
          <w:rFonts w:ascii="Arial" w:cs="Arial" w:eastAsia="Arial" w:hAnsi="Arial"/>
          <w:sz w:val="18"/>
          <w:szCs w:val="18"/>
          <w:i w:val="1"/>
          <w:iCs w:val="1"/>
          <w:color w:val="auto"/>
        </w:rPr>
        <w:t>proactively</w:t>
      </w:r>
      <w:r>
        <w:rPr>
          <w:rFonts w:ascii="Arial" w:cs="Arial" w:eastAsia="Arial" w:hAnsi="Arial"/>
          <w:sz w:val="18"/>
          <w:szCs w:val="18"/>
          <w:color w:val="auto"/>
        </w:rPr>
        <w:t xml:space="preserve"> engages directly with certain SORs where it is believed that a SOR may be </w:t>
      </w:r>
      <w:r>
        <w:rPr>
          <w:rFonts w:ascii="Arial" w:cs="Arial" w:eastAsia="Arial" w:hAnsi="Arial"/>
          <w:sz w:val="18"/>
          <w:szCs w:val="18"/>
          <w:i w:val="1"/>
          <w:iCs w:val="1"/>
          <w:color w:val="auto"/>
        </w:rPr>
        <w:t>at risk</w:t>
      </w:r>
      <w:r>
        <w:rPr>
          <w:rFonts w:ascii="Arial" w:cs="Arial" w:eastAsia="Arial" w:hAnsi="Arial"/>
          <w:sz w:val="18"/>
          <w:szCs w:val="18"/>
          <w:color w:val="auto"/>
        </w:rPr>
        <w:t xml:space="preserve"> of becoming non-conformant. Microsoft also asks its suppliers to engage directly with potentially non-conformant SORs in order to prevent potential non-conformance and to develop Corrective Action Plans (“CAPs”) to identify sourcing alternatives in case a SOR become non-conformant.</w:t>
      </w:r>
    </w:p>
    <w:p>
      <w:pPr>
        <w:spacing w:after="0" w:line="19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Although Microsoft’s Responsible Sourcing program operates an escalation and engagement process should non-conformant SORs be detected, taking a proactive approach to potentially non-conformant SORs helps prevent potential non-conformances from occurring. During the 2021 Reporting Year, we did not identify a SOR nonconformance that supported business termination with any in-scope supplier.</w:t>
      </w:r>
    </w:p>
    <w:p>
      <w:pPr>
        <w:spacing w:after="0" w:line="329"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Step #5: Report on Supply Chain Due Diligence</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We have filed our CMR with the SEC and concurrently posted it on our Microsoft Devices </w:t>
      </w:r>
      <w:r>
        <w:rPr>
          <w:rFonts w:ascii="Arial" w:cs="Arial" w:eastAsia="Arial" w:hAnsi="Arial"/>
          <w:sz w:val="18"/>
          <w:szCs w:val="18"/>
          <w:u w:val="single" w:color="auto"/>
          <w:color w:val="1E5EFF"/>
        </w:rPr>
        <w:t>Responsible Sourcing website</w:t>
      </w:r>
      <w:r>
        <w:rPr>
          <w:rFonts w:ascii="Arial" w:cs="Arial" w:eastAsia="Arial" w:hAnsi="Arial"/>
          <w:sz w:val="18"/>
          <w:szCs w:val="18"/>
          <w:color w:val="auto"/>
        </w:rPr>
        <w:t xml:space="preserve">. The results of our Responsible Sourcing program are also presented in Microsoft’s </w:t>
      </w:r>
      <w:r>
        <w:rPr>
          <w:rFonts w:ascii="Arial" w:cs="Arial" w:eastAsia="Arial" w:hAnsi="Arial"/>
          <w:sz w:val="18"/>
          <w:szCs w:val="18"/>
          <w:u w:val="single" w:color="auto"/>
          <w:color w:val="1E5EFF"/>
        </w:rPr>
        <w:t>2021 Devices Responsible Sourcing Report</w:t>
      </w:r>
      <w:r>
        <w:rPr>
          <w:rFonts w:ascii="Arial" w:cs="Arial" w:eastAsia="Arial" w:hAnsi="Arial"/>
          <w:sz w:val="18"/>
          <w:szCs w:val="18"/>
          <w:color w:val="auto"/>
        </w:rPr>
        <w:t xml:space="preserve">. The Microsoft </w:t>
      </w:r>
      <w:r>
        <w:rPr>
          <w:rFonts w:ascii="Arial" w:cs="Arial" w:eastAsia="Arial" w:hAnsi="Arial"/>
          <w:sz w:val="18"/>
          <w:szCs w:val="18"/>
          <w:u w:val="single" w:color="auto"/>
          <w:color w:val="1E5EFF"/>
        </w:rPr>
        <w:t>Corporate Social</w:t>
      </w:r>
      <w:r>
        <w:rPr>
          <w:rFonts w:ascii="Arial" w:cs="Arial" w:eastAsia="Arial" w:hAnsi="Arial"/>
          <w:sz w:val="18"/>
          <w:szCs w:val="18"/>
          <w:color w:val="auto"/>
        </w:rPr>
        <w:t xml:space="preserve"> </w:t>
      </w:r>
      <w:r>
        <w:rPr>
          <w:rFonts w:ascii="Arial" w:cs="Arial" w:eastAsia="Arial" w:hAnsi="Arial"/>
          <w:sz w:val="18"/>
          <w:szCs w:val="18"/>
          <w:u w:val="single" w:color="auto"/>
          <w:color w:val="1E5EFF"/>
        </w:rPr>
        <w:t>Responsibility Responsible Sourcing</w:t>
      </w:r>
      <w:r>
        <w:rPr>
          <w:rFonts w:ascii="Arial" w:cs="Arial" w:eastAsia="Arial" w:hAnsi="Arial"/>
          <w:sz w:val="18"/>
          <w:szCs w:val="18"/>
          <w:color w:val="1E5EFF"/>
        </w:rPr>
        <w:t xml:space="preserve"> </w:t>
      </w:r>
      <w:r>
        <w:rPr>
          <w:rFonts w:ascii="Arial" w:cs="Arial" w:eastAsia="Arial" w:hAnsi="Arial"/>
          <w:sz w:val="18"/>
          <w:szCs w:val="18"/>
          <w:color w:val="000000"/>
        </w:rPr>
        <w:t>website provides additional information about Microsoft’s RSRM Program. Each year, Microsoft Devices</w:t>
      </w:r>
      <w:r>
        <w:rPr>
          <w:rFonts w:ascii="Arial" w:cs="Arial" w:eastAsia="Arial" w:hAnsi="Arial"/>
          <w:sz w:val="18"/>
          <w:szCs w:val="18"/>
          <w:color w:val="1E5EFF"/>
        </w:rPr>
        <w:t xml:space="preserve"> </w:t>
      </w:r>
      <w:r>
        <w:rPr>
          <w:rFonts w:ascii="Arial" w:cs="Arial" w:eastAsia="Arial" w:hAnsi="Arial"/>
          <w:sz w:val="18"/>
          <w:szCs w:val="18"/>
          <w:color w:val="000000"/>
        </w:rPr>
        <w:t xml:space="preserve">publishes a list of its </w:t>
      </w:r>
      <w:r>
        <w:rPr>
          <w:rFonts w:ascii="Arial" w:cs="Arial" w:eastAsia="Arial" w:hAnsi="Arial"/>
          <w:sz w:val="18"/>
          <w:szCs w:val="18"/>
          <w:u w:val="single" w:color="auto"/>
          <w:color w:val="1E5EFF"/>
        </w:rPr>
        <w:t>Top 100 Production Suppliers</w:t>
      </w:r>
      <w:r>
        <w:rPr>
          <w:rFonts w:ascii="Arial" w:cs="Arial" w:eastAsia="Arial" w:hAnsi="Arial"/>
          <w:sz w:val="18"/>
          <w:szCs w:val="18"/>
          <w:color w:val="000000"/>
        </w:rPr>
        <w:t>. These disclosures meet the fifth step of the OECD Guidance.</w:t>
      </w:r>
    </w:p>
    <w:p>
      <w:pPr>
        <w:spacing w:after="0" w:line="33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CONFLICT MINERAL DISCLOSURE</w:t>
      </w:r>
    </w:p>
    <w:p>
      <w:pPr>
        <w:spacing w:after="0" w:line="117" w:lineRule="exact"/>
        <w:rPr>
          <w:sz w:val="20"/>
          <w:szCs w:val="20"/>
          <w:color w:val="auto"/>
        </w:rPr>
      </w:pPr>
    </w:p>
    <w:p>
      <w:pPr>
        <w:ind w:left="1000" w:hanging="547"/>
        <w:spacing w:after="0"/>
        <w:tabs>
          <w:tab w:leader="none" w:pos="10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Countries of Origin of 3TGs</w:t>
      </w:r>
    </w:p>
    <w:p>
      <w:pPr>
        <w:spacing w:after="0" w:line="108"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 xml:space="preserve">Microsoft obtained Reasonable Country of Origin data through our membership in the RMAP using the </w:t>
      </w:r>
      <w:r>
        <w:rPr>
          <w:rFonts w:ascii="Arial" w:cs="Arial" w:eastAsia="Arial" w:hAnsi="Arial"/>
          <w:sz w:val="18"/>
          <w:szCs w:val="18"/>
          <w:i w:val="1"/>
          <w:iCs w:val="1"/>
          <w:color w:val="auto"/>
        </w:rPr>
        <w:t>Reasonable Country of Origin Inquiry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w:t>
      </w:r>
      <w:r>
        <w:rPr>
          <w:rFonts w:ascii="Arial" w:cs="Arial" w:eastAsia="Arial" w:hAnsi="Arial"/>
          <w:sz w:val="18"/>
          <w:szCs w:val="18"/>
          <w:color w:val="auto"/>
        </w:rPr>
        <w:t>for member MSFT. We used this data to determine the 3TG country of origin for the 322 Eligible SORs identified in Microsoft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chain for the 2021 Reporting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886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1"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5"/>
          <w:szCs w:val="15"/>
          <w:color w:val="auto"/>
        </w:rPr>
      </w:pPr>
      <w:r>
        <w:rPr>
          <w:rFonts w:ascii="Arial" w:cs="Arial" w:eastAsia="Arial" w:hAnsi="Arial"/>
          <w:sz w:val="18"/>
          <w:szCs w:val="18"/>
          <w:color w:val="auto"/>
        </w:rPr>
        <w:t xml:space="preserve">See p. 33 of the </w:t>
      </w:r>
      <w:r>
        <w:rPr>
          <w:rFonts w:ascii="Arial" w:cs="Arial" w:eastAsia="Arial" w:hAnsi="Arial"/>
          <w:sz w:val="18"/>
          <w:szCs w:val="18"/>
          <w:u w:val="single" w:color="auto"/>
          <w:color w:val="1E5EFF"/>
        </w:rPr>
        <w:t>OECD Guidance.</w:t>
      </w:r>
    </w:p>
    <w:p>
      <w:pPr>
        <w:spacing w:after="0" w:line="3" w:lineRule="exact"/>
        <w:rPr>
          <w:sz w:val="20"/>
          <w:szCs w:val="20"/>
          <w:color w:val="auto"/>
        </w:rPr>
      </w:pPr>
    </w:p>
    <w:p>
      <w:pPr>
        <w:ind w:left="220" w:right="680" w:hanging="212"/>
        <w:spacing w:after="0" w:line="246" w:lineRule="auto"/>
        <w:tabs>
          <w:tab w:leader="none" w:pos="2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The RMAP Conformant Smelter list identifies the SORs that have undergone conformance audits through the RMAP or equivalent independent, third-party audit programs for 3TGs.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RMAP classifies SOR audit status in the manner described in the table below. The breakdown of the identified 322</w:t>
      </w:r>
    </w:p>
    <w:p>
      <w:pPr>
        <w:ind w:right="560"/>
        <w:spacing w:after="0" w:line="246" w:lineRule="auto"/>
        <w:rPr>
          <w:sz w:val="20"/>
          <w:szCs w:val="20"/>
          <w:color w:val="auto"/>
        </w:rPr>
      </w:pPr>
      <w:r>
        <w:rPr>
          <w:rFonts w:ascii="Arial" w:cs="Arial" w:eastAsia="Arial" w:hAnsi="Arial"/>
          <w:sz w:val="18"/>
          <w:szCs w:val="18"/>
          <w:color w:val="auto"/>
        </w:rPr>
        <w:t>Eligible 3TG SORs (for which minerals sourcing information was available from RMAP or an equivalent, independent, third-party audit program for 3TGs) by their RMI Status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Audit Status</w:t>
            </w:r>
          </w:p>
        </w:tc>
        <w:tc>
          <w:tcPr>
            <w:tcW w:w="8000" w:type="dxa"/>
            <w:vAlign w:val="bottom"/>
            <w:gridSpan w:val="3"/>
          </w:tcPr>
          <w:p>
            <w:pPr>
              <w:ind w:left="160"/>
              <w:spacing w:after="0"/>
              <w:rPr>
                <w:sz w:val="20"/>
                <w:szCs w:val="20"/>
                <w:color w:val="auto"/>
              </w:rPr>
            </w:pPr>
            <w:r>
              <w:rPr>
                <w:rFonts w:ascii="Arial" w:cs="Arial" w:eastAsia="Arial" w:hAnsi="Arial"/>
                <w:sz w:val="14"/>
                <w:szCs w:val="14"/>
                <w:b w:val="1"/>
                <w:bCs w:val="1"/>
                <w:color w:val="auto"/>
              </w:rPr>
              <w:t>Audit Status Description</w:t>
            </w: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SORs</w:t>
            </w: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1"/>
        </w:trPr>
        <w:tc>
          <w:tcPr>
            <w:tcW w:w="8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b w:val="1"/>
                <w:bCs w:val="1"/>
                <w:color w:val="auto"/>
                <w:w w:val="82"/>
              </w:rPr>
              <w:t>Conformant</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i w:val="1"/>
                <w:iCs w:val="1"/>
                <w:color w:val="auto"/>
              </w:rPr>
              <w:t>SOR has been audited and found to conform with a relevant, third-party audit protocol,</w:t>
            </w:r>
          </w:p>
        </w:tc>
        <w:tc>
          <w:tcPr>
            <w:tcW w:w="22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238</w:t>
            </w:r>
          </w:p>
        </w:tc>
        <w:tc>
          <w:tcPr>
            <w:tcW w:w="440" w:type="dxa"/>
            <w:vAlign w:val="bottom"/>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73.9</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0" w:type="dxa"/>
            <w:vAlign w:val="bottom"/>
            <w:gridSpan w:val="3"/>
          </w:tcPr>
          <w:p>
            <w:pPr>
              <w:ind w:left="160"/>
              <w:spacing w:after="0" w:line="202" w:lineRule="exact"/>
              <w:rPr>
                <w:sz w:val="20"/>
                <w:szCs w:val="20"/>
                <w:color w:val="auto"/>
              </w:rPr>
            </w:pPr>
            <w:r>
              <w:rPr>
                <w:rFonts w:ascii="Arial" w:cs="Arial" w:eastAsia="Arial" w:hAnsi="Arial"/>
                <w:sz w:val="18"/>
                <w:szCs w:val="18"/>
                <w:i w:val="1"/>
                <w:iCs w:val="1"/>
                <w:color w:val="auto"/>
              </w:rPr>
              <w:t>including RMAP, London Bullion Market Association (“LBMA”), or Responsible Jewellery</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Active</w:t>
            </w:r>
          </w:p>
        </w:tc>
        <w:tc>
          <w:tcPr>
            <w:tcW w:w="8000" w:type="dxa"/>
            <w:vAlign w:val="bottom"/>
            <w:gridSpan w:val="3"/>
          </w:tcPr>
          <w:p>
            <w:pPr>
              <w:ind w:left="160"/>
              <w:spacing w:after="0" w:line="202" w:lineRule="exact"/>
              <w:rPr>
                <w:sz w:val="20"/>
                <w:szCs w:val="20"/>
                <w:color w:val="auto"/>
              </w:rPr>
            </w:pPr>
            <w:r>
              <w:rPr>
                <w:rFonts w:ascii="Arial" w:cs="Arial" w:eastAsia="Arial" w:hAnsi="Arial"/>
                <w:sz w:val="18"/>
                <w:szCs w:val="18"/>
                <w:i w:val="1"/>
                <w:iCs w:val="1"/>
                <w:color w:val="auto"/>
              </w:rPr>
              <w:t>Council (“RJC”)</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60" w:type="dxa"/>
            <w:vAlign w:val="bottom"/>
            <w:gridSpan w:val="2"/>
            <w:vMerge w:val="continue"/>
          </w:tcPr>
          <w:p>
            <w:pPr>
              <w:spacing w:after="0"/>
              <w:rPr>
                <w:sz w:val="17"/>
                <w:szCs w:val="17"/>
                <w:color w:val="auto"/>
              </w:rPr>
            </w:pPr>
          </w:p>
        </w:tc>
        <w:tc>
          <w:tcPr>
            <w:tcW w:w="8000" w:type="dxa"/>
            <w:vAlign w:val="bottom"/>
            <w:gridSpan w:val="3"/>
          </w:tcPr>
          <w:p>
            <w:pPr>
              <w:ind w:left="160"/>
              <w:spacing w:after="0" w:line="199" w:lineRule="exact"/>
              <w:rPr>
                <w:sz w:val="20"/>
                <w:szCs w:val="20"/>
                <w:color w:val="auto"/>
              </w:rPr>
            </w:pPr>
            <w:r>
              <w:rPr>
                <w:rFonts w:ascii="Arial" w:cs="Arial" w:eastAsia="Arial" w:hAnsi="Arial"/>
                <w:sz w:val="18"/>
                <w:szCs w:val="18"/>
                <w:i w:val="1"/>
                <w:iCs w:val="1"/>
                <w:color w:val="auto"/>
              </w:rPr>
              <w:t>SOR has been engaged but is not yet conformant</w:t>
            </w:r>
          </w:p>
        </w:tc>
        <w:tc>
          <w:tcPr>
            <w:tcW w:w="84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25</w:t>
            </w:r>
          </w:p>
        </w:tc>
        <w:tc>
          <w:tcPr>
            <w:tcW w:w="5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6"/>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Non-Conformant</w:t>
            </w:r>
          </w:p>
        </w:tc>
        <w:tc>
          <w:tcPr>
            <w:tcW w:w="8000" w:type="dxa"/>
            <w:vAlign w:val="bottom"/>
            <w:gridSpan w:val="3"/>
          </w:tcPr>
          <w:p>
            <w:pPr>
              <w:ind w:left="160"/>
              <w:spacing w:after="0"/>
              <w:rPr>
                <w:sz w:val="20"/>
                <w:szCs w:val="20"/>
                <w:color w:val="auto"/>
              </w:rPr>
            </w:pPr>
            <w:r>
              <w:rPr>
                <w:rFonts w:ascii="Arial" w:cs="Arial" w:eastAsia="Arial" w:hAnsi="Arial"/>
                <w:sz w:val="18"/>
                <w:szCs w:val="18"/>
                <w:i w:val="1"/>
                <w:iCs w:val="1"/>
                <w:color w:val="auto"/>
              </w:rPr>
              <w:t>SOR was audited but found not to conform to a relevant, third-party audit protocol or failed to</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5"/>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Communication</w:t>
            </w:r>
          </w:p>
        </w:tc>
        <w:tc>
          <w:tcPr>
            <w:tcW w:w="8000" w:type="dxa"/>
            <w:vAlign w:val="bottom"/>
            <w:gridSpan w:val="3"/>
          </w:tcPr>
          <w:p>
            <w:pPr>
              <w:ind w:left="160"/>
              <w:spacing w:after="0"/>
              <w:rPr>
                <w:sz w:val="20"/>
                <w:szCs w:val="20"/>
                <w:color w:val="auto"/>
              </w:rPr>
            </w:pPr>
            <w:r>
              <w:rPr>
                <w:rFonts w:ascii="Arial" w:cs="Arial" w:eastAsia="Arial" w:hAnsi="Arial"/>
                <w:sz w:val="18"/>
                <w:szCs w:val="18"/>
                <w:i w:val="1"/>
                <w:iCs w:val="1"/>
                <w:color w:val="auto"/>
              </w:rPr>
              <w:t>renew its assessment</w:t>
            </w: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5</w:t>
            </w: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66"/>
        </w:trPr>
        <w:tc>
          <w:tcPr>
            <w:tcW w:w="1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Suspended</w:t>
            </w:r>
          </w:p>
        </w:tc>
        <w:tc>
          <w:tcPr>
            <w:tcW w:w="8000" w:type="dxa"/>
            <w:vAlign w:val="bottom"/>
            <w:gridSpan w:val="3"/>
          </w:tcPr>
          <w:p>
            <w:pPr>
              <w:ind w:left="160"/>
              <w:spacing w:after="0" w:line="202" w:lineRule="exact"/>
              <w:rPr>
                <w:sz w:val="20"/>
                <w:szCs w:val="20"/>
                <w:color w:val="auto"/>
              </w:rPr>
            </w:pPr>
            <w:r>
              <w:rPr>
                <w:rFonts w:ascii="Arial" w:cs="Arial" w:eastAsia="Arial" w:hAnsi="Arial"/>
                <w:sz w:val="18"/>
                <w:szCs w:val="18"/>
                <w:i w:val="1"/>
                <w:iCs w:val="1"/>
                <w:color w:val="auto"/>
              </w:rPr>
              <w:t>Not Interested: SOR has strongly communicated a lack of interest in participation</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Outreach Required</w:t>
            </w:r>
          </w:p>
        </w:tc>
        <w:tc>
          <w:tcPr>
            <w:tcW w:w="8000" w:type="dxa"/>
            <w:vAlign w:val="bottom"/>
            <w:gridSpan w:val="3"/>
          </w:tcPr>
          <w:p>
            <w:pPr>
              <w:ind w:left="160"/>
              <w:spacing w:after="0"/>
              <w:rPr>
                <w:sz w:val="20"/>
                <w:szCs w:val="20"/>
                <w:color w:val="auto"/>
              </w:rPr>
            </w:pPr>
            <w:r>
              <w:rPr>
                <w:rFonts w:ascii="Arial" w:cs="Arial" w:eastAsia="Arial" w:hAnsi="Arial"/>
                <w:sz w:val="18"/>
                <w:szCs w:val="18"/>
                <w:i w:val="1"/>
                <w:iCs w:val="1"/>
                <w:color w:val="auto"/>
              </w:rPr>
              <w:t>SOR is not yet active and outreach is needed by RMAP member companies to encourage SOR</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Communication</w:t>
            </w:r>
          </w:p>
        </w:tc>
        <w:tc>
          <w:tcPr>
            <w:tcW w:w="8000" w:type="dxa"/>
            <w:vAlign w:val="bottom"/>
            <w:gridSpan w:val="3"/>
          </w:tcPr>
          <w:p>
            <w:pPr>
              <w:ind w:left="160"/>
              <w:spacing w:after="0" w:line="202" w:lineRule="exact"/>
              <w:rPr>
                <w:sz w:val="20"/>
                <w:szCs w:val="20"/>
                <w:color w:val="auto"/>
              </w:rPr>
            </w:pPr>
            <w:r>
              <w:rPr>
                <w:rFonts w:ascii="Arial" w:cs="Arial" w:eastAsia="Arial" w:hAnsi="Arial"/>
                <w:sz w:val="18"/>
                <w:szCs w:val="18"/>
                <w:i w:val="1"/>
                <w:iCs w:val="1"/>
                <w:color w:val="auto"/>
              </w:rPr>
              <w:t>participation in RMAP</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60" w:type="dxa"/>
            <w:vAlign w:val="bottom"/>
            <w:gridSpan w:val="2"/>
            <w:vMerge w:val="continue"/>
          </w:tcPr>
          <w:p>
            <w:pPr>
              <w:spacing w:after="0"/>
              <w:rPr>
                <w:sz w:val="17"/>
                <w:szCs w:val="17"/>
                <w:color w:val="auto"/>
              </w:rPr>
            </w:pPr>
          </w:p>
        </w:tc>
        <w:tc>
          <w:tcPr>
            <w:tcW w:w="8000" w:type="dxa"/>
            <w:vAlign w:val="bottom"/>
            <w:gridSpan w:val="3"/>
          </w:tcPr>
          <w:p>
            <w:pPr>
              <w:ind w:left="160"/>
              <w:spacing w:after="0" w:line="199" w:lineRule="exact"/>
              <w:rPr>
                <w:sz w:val="20"/>
                <w:szCs w:val="20"/>
                <w:color w:val="auto"/>
              </w:rPr>
            </w:pPr>
            <w:r>
              <w:rPr>
                <w:rFonts w:ascii="Arial" w:cs="Arial" w:eastAsia="Arial" w:hAnsi="Arial"/>
                <w:sz w:val="18"/>
                <w:szCs w:val="18"/>
                <w:i w:val="1"/>
                <w:iCs w:val="1"/>
                <w:color w:val="auto"/>
              </w:rPr>
              <w:t>SOR is not yet active but is in communication with RMAP and/or member company</w:t>
            </w:r>
          </w:p>
        </w:tc>
        <w:tc>
          <w:tcPr>
            <w:tcW w:w="84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5</w:t>
            </w:r>
          </w:p>
        </w:tc>
        <w:tc>
          <w:tcPr>
            <w:tcW w:w="5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17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RMI Due Diligence</w:t>
            </w:r>
          </w:p>
        </w:tc>
        <w:tc>
          <w:tcPr>
            <w:tcW w:w="8000" w:type="dxa"/>
            <w:vAlign w:val="bottom"/>
            <w:gridSpan w:val="3"/>
          </w:tcPr>
          <w:p>
            <w:pPr>
              <w:ind w:left="160"/>
              <w:spacing w:after="0" w:line="202" w:lineRule="exact"/>
              <w:rPr>
                <w:sz w:val="20"/>
                <w:szCs w:val="20"/>
                <w:color w:val="auto"/>
              </w:rPr>
            </w:pPr>
            <w:r>
              <w:rPr>
                <w:rFonts w:ascii="Arial" w:cs="Arial" w:eastAsia="Arial" w:hAnsi="Arial"/>
                <w:sz w:val="18"/>
                <w:szCs w:val="18"/>
                <w:i w:val="1"/>
                <w:iCs w:val="1"/>
                <w:color w:val="auto"/>
              </w:rPr>
              <w:t>Unable to Proceed: SOR has not met the threshold for Due Diligence Vetting Process after a</w:t>
            </w:r>
          </w:p>
        </w:tc>
        <w:tc>
          <w:tcPr>
            <w:tcW w:w="8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9"/>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Review</w:t>
            </w:r>
          </w:p>
        </w:tc>
        <w:tc>
          <w:tcPr>
            <w:tcW w:w="8000" w:type="dxa"/>
            <w:vAlign w:val="bottom"/>
            <w:gridSpan w:val="3"/>
          </w:tcPr>
          <w:p>
            <w:pPr>
              <w:ind w:left="160"/>
              <w:spacing w:after="0"/>
              <w:rPr>
                <w:sz w:val="20"/>
                <w:szCs w:val="20"/>
                <w:color w:val="auto"/>
              </w:rPr>
            </w:pPr>
            <w:r>
              <w:rPr>
                <w:rFonts w:ascii="Arial" w:cs="Arial" w:eastAsia="Arial" w:hAnsi="Arial"/>
                <w:sz w:val="18"/>
                <w:szCs w:val="18"/>
                <w:i w:val="1"/>
                <w:iCs w:val="1"/>
                <w:color w:val="auto"/>
              </w:rPr>
              <w:t>period of 6 months. Status may change if additional information is submitted</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80" w:type="dxa"/>
            <w:vAlign w:val="bottom"/>
            <w:gridSpan w:val="2"/>
          </w:tcPr>
          <w:p>
            <w:pPr>
              <w:ind w:left="38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283"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identified 322 Eligible 3TG SORs:</w:t>
      </w:r>
    </w:p>
    <w:p>
      <w:pPr>
        <w:spacing w:after="0" w:line="117" w:lineRule="exact"/>
        <w:rPr>
          <w:sz w:val="20"/>
          <w:szCs w:val="20"/>
          <w:color w:val="auto"/>
        </w:rPr>
      </w:pPr>
    </w:p>
    <w:p>
      <w:pPr>
        <w:ind w:left="1000" w:hanging="439"/>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48 SORs sourced from Covered Countries, of which 46 (95.8%) were Conformant and 2 (4.2%) were Active;</w:t>
      </w:r>
    </w:p>
    <w:p>
      <w:pPr>
        <w:spacing w:after="0" w:line="117" w:lineRule="exact"/>
        <w:rPr>
          <w:rFonts w:ascii="Arial" w:cs="Arial" w:eastAsia="Arial" w:hAnsi="Arial"/>
          <w:sz w:val="18"/>
          <w:szCs w:val="18"/>
          <w:color w:val="auto"/>
        </w:rPr>
      </w:pPr>
    </w:p>
    <w:p>
      <w:pPr>
        <w:ind w:left="1000" w:right="640" w:hanging="439"/>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these 48 SORs, the audit status per 3TG mineral was 100% Conformant for Gold, Tantalum, and Tungsten and 80% Conformant and 20% Active for Tin (see Figure 3 below).</w:t>
      </w:r>
    </w:p>
    <w:p>
      <w:pPr>
        <w:spacing w:after="0" w:line="102" w:lineRule="exact"/>
        <w:rPr>
          <w:rFonts w:ascii="Arial" w:cs="Arial" w:eastAsia="Arial" w:hAnsi="Arial"/>
          <w:sz w:val="18"/>
          <w:szCs w:val="18"/>
          <w:color w:val="auto"/>
        </w:rPr>
      </w:pPr>
    </w:p>
    <w:p>
      <w:pPr>
        <w:ind w:left="1000" w:hanging="439"/>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 of 322 Eligible SORs, 238 (73.9%) were Conformant; and</w:t>
      </w:r>
    </w:p>
    <w:p>
      <w:pPr>
        <w:spacing w:after="0" w:line="117" w:lineRule="exact"/>
        <w:rPr>
          <w:rFonts w:ascii="Arial" w:cs="Arial" w:eastAsia="Arial" w:hAnsi="Arial"/>
          <w:sz w:val="18"/>
          <w:szCs w:val="18"/>
          <w:color w:val="auto"/>
        </w:rPr>
      </w:pPr>
    </w:p>
    <w:p>
      <w:pPr>
        <w:ind w:left="1000" w:hanging="439"/>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 of 322 Eligible SORs, 309 (96.0%) were Conformant, Active, or are reasonably believed to have sourced 3TGs from outside the Covered Countries.</w:t>
      </w:r>
    </w:p>
    <w:p>
      <w:pPr>
        <w:spacing w:after="0" w:line="1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Microsoft found no reasonable basis for concluding that any SOR sourced 3TGs in a manner that directly or indirectly financed or benefitted armed groups in a Covered Country. Figure 2 depicts the 322 SORs by 3TG audit status and Reporting Year. Figure 3 depicts the audit status of the 48 SORs that sourced 3TGs from a Covered Country by 3TG mineral for the 2021 Reporting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2. Identified SORs by Audit Status (2013- 2021 Reporting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243205</wp:posOffset>
            </wp:positionV>
            <wp:extent cx="6155055" cy="3145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55055"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320" w:top="287"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Figure 3: Audit Status of SORs Sourcing from Covered Countries by 3TG Mineral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88900</wp:posOffset>
            </wp:positionV>
            <wp:extent cx="6155055" cy="2143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505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Figures 4-7 show the geographic distribution of the 322 Eligible SORs identified in the Microsoft Devices’ supply chain by 3TG mineral for the 2021 Reporting Year. The circle size corresponds to the relative number of times our in-scope suppliers identified each 3TG SOR in their CMRT form.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4: Location and Relative Number of Identified SORs – 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165735</wp:posOffset>
            </wp:positionV>
            <wp:extent cx="5897880" cy="3377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9788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6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Figure 5: Location and Relative Number of Identified SORs – Tantalum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88900</wp:posOffset>
            </wp:positionV>
            <wp:extent cx="5469255" cy="3240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69255"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Figure 6: Location and Relative Number of Identified SORs – Tungsten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95885</wp:posOffset>
            </wp:positionV>
            <wp:extent cx="5460365" cy="3248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6036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39"/>
          </w:cols>
          <w:pgMar w:left="320" w:top="26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Figure 7: Location and Relative Number of Identified SORs –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165735</wp:posOffset>
            </wp:positionV>
            <wp:extent cx="5915025" cy="3377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Appendix A provides the list of 322 Eligible SORs identified in Microsoft Devices’ supply chain which processed 3TGs during the 2021 Reporting Year. Appendix A lists each SOR by mineral, official name, and country of operation.</w:t>
      </w:r>
    </w:p>
    <w:p>
      <w:pPr>
        <w:spacing w:after="0" w:line="323"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3TG Countries of Origin</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table below lists the countries of origin for the 322 Eligible SORs identified in Microsoft Devices’ supply chain which processed 3TGs during the 2021 Reporting Year.</w:t>
      </w:r>
    </w:p>
    <w:p>
      <w:pPr>
        <w:sectPr>
          <w:pgSz w:w="11900" w:h="16838" w:orient="portrait"/>
          <w:cols w:equalWidth="0" w:num="1">
            <w:col w:w="10880"/>
          </w:cols>
          <w:pgMar w:left="320" w:top="265" w:right="699" w:bottom="1440" w:gutter="0" w:footer="0" w:header="0"/>
        </w:sectPr>
      </w:pP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Angola</w:t>
      </w:r>
    </w:p>
    <w:p>
      <w:pPr>
        <w:ind w:left="1140"/>
        <w:spacing w:after="0" w:line="234" w:lineRule="auto"/>
        <w:rPr>
          <w:sz w:val="20"/>
          <w:szCs w:val="20"/>
          <w:color w:val="auto"/>
        </w:rPr>
      </w:pPr>
      <w:r>
        <w:rPr>
          <w:rFonts w:ascii="Arial" w:cs="Arial" w:eastAsia="Arial" w:hAnsi="Arial"/>
          <w:sz w:val="18"/>
          <w:szCs w:val="18"/>
          <w:color w:val="auto"/>
        </w:rPr>
        <w:t>Argentina</w:t>
      </w:r>
    </w:p>
    <w:p>
      <w:pPr>
        <w:ind w:left="1140"/>
        <w:spacing w:after="0" w:line="235" w:lineRule="auto"/>
        <w:rPr>
          <w:sz w:val="20"/>
          <w:szCs w:val="20"/>
          <w:color w:val="auto"/>
        </w:rPr>
      </w:pPr>
      <w:r>
        <w:rPr>
          <w:rFonts w:ascii="Arial" w:cs="Arial" w:eastAsia="Arial" w:hAnsi="Arial"/>
          <w:sz w:val="18"/>
          <w:szCs w:val="18"/>
          <w:color w:val="auto"/>
        </w:rPr>
        <w:t>Armenia</w:t>
      </w:r>
    </w:p>
    <w:p>
      <w:pPr>
        <w:ind w:left="1140"/>
        <w:spacing w:after="0" w:line="235" w:lineRule="auto"/>
        <w:rPr>
          <w:sz w:val="20"/>
          <w:szCs w:val="20"/>
          <w:color w:val="auto"/>
        </w:rPr>
      </w:pPr>
      <w:r>
        <w:rPr>
          <w:rFonts w:ascii="Arial" w:cs="Arial" w:eastAsia="Arial" w:hAnsi="Arial"/>
          <w:sz w:val="18"/>
          <w:szCs w:val="18"/>
          <w:color w:val="auto"/>
        </w:rPr>
        <w:t>Australia</w:t>
      </w:r>
    </w:p>
    <w:p>
      <w:pPr>
        <w:ind w:left="1140"/>
        <w:spacing w:after="0" w:line="235" w:lineRule="auto"/>
        <w:rPr>
          <w:sz w:val="20"/>
          <w:szCs w:val="20"/>
          <w:color w:val="auto"/>
        </w:rPr>
      </w:pPr>
      <w:r>
        <w:rPr>
          <w:rFonts w:ascii="Arial" w:cs="Arial" w:eastAsia="Arial" w:hAnsi="Arial"/>
          <w:sz w:val="18"/>
          <w:szCs w:val="18"/>
          <w:color w:val="auto"/>
        </w:rPr>
        <w:t>Austria</w:t>
      </w:r>
    </w:p>
    <w:p>
      <w:pPr>
        <w:ind w:left="1140"/>
        <w:spacing w:after="0" w:line="235" w:lineRule="auto"/>
        <w:rPr>
          <w:sz w:val="20"/>
          <w:szCs w:val="20"/>
          <w:color w:val="auto"/>
        </w:rPr>
      </w:pPr>
      <w:r>
        <w:rPr>
          <w:rFonts w:ascii="Arial" w:cs="Arial" w:eastAsia="Arial" w:hAnsi="Arial"/>
          <w:sz w:val="18"/>
          <w:szCs w:val="18"/>
          <w:color w:val="auto"/>
        </w:rPr>
        <w:t>Belarus</w:t>
      </w:r>
    </w:p>
    <w:p>
      <w:pPr>
        <w:ind w:left="1140"/>
        <w:spacing w:after="0" w:line="234" w:lineRule="auto"/>
        <w:rPr>
          <w:sz w:val="20"/>
          <w:szCs w:val="20"/>
          <w:color w:val="auto"/>
        </w:rPr>
      </w:pPr>
      <w:r>
        <w:rPr>
          <w:rFonts w:ascii="Arial" w:cs="Arial" w:eastAsia="Arial" w:hAnsi="Arial"/>
          <w:sz w:val="18"/>
          <w:szCs w:val="18"/>
          <w:color w:val="auto"/>
        </w:rPr>
        <w:t>Belgium</w:t>
      </w:r>
    </w:p>
    <w:p>
      <w:pPr>
        <w:ind w:left="1140"/>
        <w:spacing w:after="0" w:line="235" w:lineRule="auto"/>
        <w:rPr>
          <w:sz w:val="20"/>
          <w:szCs w:val="20"/>
          <w:color w:val="auto"/>
        </w:rPr>
      </w:pPr>
      <w:r>
        <w:rPr>
          <w:rFonts w:ascii="Arial" w:cs="Arial" w:eastAsia="Arial" w:hAnsi="Arial"/>
          <w:sz w:val="18"/>
          <w:szCs w:val="18"/>
          <w:color w:val="auto"/>
        </w:rPr>
        <w:t>Bolivia</w:t>
      </w:r>
    </w:p>
    <w:p>
      <w:pPr>
        <w:ind w:left="1140"/>
        <w:spacing w:after="0" w:line="235" w:lineRule="auto"/>
        <w:rPr>
          <w:sz w:val="20"/>
          <w:szCs w:val="20"/>
          <w:color w:val="auto"/>
        </w:rPr>
      </w:pPr>
      <w:r>
        <w:rPr>
          <w:rFonts w:ascii="Arial" w:cs="Arial" w:eastAsia="Arial" w:hAnsi="Arial"/>
          <w:sz w:val="18"/>
          <w:szCs w:val="18"/>
          <w:color w:val="auto"/>
        </w:rPr>
        <w:t>Brazil</w:t>
      </w:r>
    </w:p>
    <w:p>
      <w:pPr>
        <w:ind w:left="1140"/>
        <w:spacing w:after="0" w:line="235" w:lineRule="auto"/>
        <w:rPr>
          <w:sz w:val="20"/>
          <w:szCs w:val="20"/>
          <w:color w:val="auto"/>
        </w:rPr>
      </w:pPr>
      <w:r>
        <w:rPr>
          <w:rFonts w:ascii="Arial" w:cs="Arial" w:eastAsia="Arial" w:hAnsi="Arial"/>
          <w:sz w:val="18"/>
          <w:szCs w:val="18"/>
          <w:color w:val="auto"/>
        </w:rPr>
        <w:t>Burundi</w:t>
      </w:r>
    </w:p>
    <w:p>
      <w:pPr>
        <w:ind w:left="1140"/>
        <w:spacing w:after="0" w:line="235" w:lineRule="auto"/>
        <w:rPr>
          <w:sz w:val="20"/>
          <w:szCs w:val="20"/>
          <w:color w:val="auto"/>
        </w:rPr>
      </w:pPr>
      <w:r>
        <w:rPr>
          <w:rFonts w:ascii="Arial" w:cs="Arial" w:eastAsia="Arial" w:hAnsi="Arial"/>
          <w:sz w:val="18"/>
          <w:szCs w:val="18"/>
          <w:color w:val="auto"/>
        </w:rPr>
        <w:t>Cambodia</w:t>
      </w:r>
    </w:p>
    <w:p>
      <w:pPr>
        <w:ind w:left="1140"/>
        <w:spacing w:after="0" w:line="234" w:lineRule="auto"/>
        <w:rPr>
          <w:sz w:val="20"/>
          <w:szCs w:val="20"/>
          <w:color w:val="auto"/>
        </w:rPr>
      </w:pPr>
      <w:r>
        <w:rPr>
          <w:rFonts w:ascii="Arial" w:cs="Arial" w:eastAsia="Arial" w:hAnsi="Arial"/>
          <w:sz w:val="18"/>
          <w:szCs w:val="18"/>
          <w:color w:val="auto"/>
        </w:rPr>
        <w:t>Canada</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Central African Republic</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4" w:lineRule="auto"/>
        <w:rPr>
          <w:sz w:val="20"/>
          <w:szCs w:val="20"/>
          <w:color w:val="auto"/>
        </w:rPr>
      </w:pPr>
      <w:r>
        <w:rPr>
          <w:rFonts w:ascii="Arial" w:cs="Arial" w:eastAsia="Arial" w:hAnsi="Arial"/>
          <w:sz w:val="18"/>
          <w:szCs w:val="18"/>
          <w:color w:val="auto"/>
        </w:rPr>
        <w:t>Madagascar</w:t>
      </w:r>
    </w:p>
    <w:p>
      <w:pPr>
        <w:spacing w:after="0" w:line="235" w:lineRule="auto"/>
        <w:rPr>
          <w:sz w:val="20"/>
          <w:szCs w:val="20"/>
          <w:color w:val="auto"/>
        </w:rPr>
      </w:pPr>
      <w:r>
        <w:rPr>
          <w:rFonts w:ascii="Arial" w:cs="Arial" w:eastAsia="Arial" w:hAnsi="Arial"/>
          <w:sz w:val="18"/>
          <w:szCs w:val="18"/>
          <w:color w:val="auto"/>
        </w:rPr>
        <w:t>Malaysia</w:t>
      </w:r>
    </w:p>
    <w:p>
      <w:pPr>
        <w:spacing w:after="0" w:line="235" w:lineRule="auto"/>
        <w:rPr>
          <w:sz w:val="20"/>
          <w:szCs w:val="20"/>
          <w:color w:val="auto"/>
        </w:rPr>
      </w:pPr>
      <w:r>
        <w:rPr>
          <w:rFonts w:ascii="Arial" w:cs="Arial" w:eastAsia="Arial" w:hAnsi="Arial"/>
          <w:sz w:val="18"/>
          <w:szCs w:val="18"/>
          <w:color w:val="auto"/>
        </w:rPr>
        <w:t>Mali</w:t>
      </w:r>
    </w:p>
    <w:p>
      <w:pPr>
        <w:spacing w:after="0" w:line="235" w:lineRule="auto"/>
        <w:rPr>
          <w:sz w:val="20"/>
          <w:szCs w:val="20"/>
          <w:color w:val="auto"/>
        </w:rPr>
      </w:pPr>
      <w:r>
        <w:rPr>
          <w:rFonts w:ascii="Arial" w:cs="Arial" w:eastAsia="Arial" w:hAnsi="Arial"/>
          <w:sz w:val="18"/>
          <w:szCs w:val="18"/>
          <w:color w:val="auto"/>
        </w:rPr>
        <w:t>Mexico</w:t>
      </w:r>
    </w:p>
    <w:p>
      <w:pPr>
        <w:spacing w:after="0" w:line="235" w:lineRule="auto"/>
        <w:rPr>
          <w:sz w:val="20"/>
          <w:szCs w:val="20"/>
          <w:color w:val="auto"/>
        </w:rPr>
      </w:pPr>
      <w:r>
        <w:rPr>
          <w:rFonts w:ascii="Arial" w:cs="Arial" w:eastAsia="Arial" w:hAnsi="Arial"/>
          <w:sz w:val="18"/>
          <w:szCs w:val="18"/>
          <w:color w:val="auto"/>
        </w:rPr>
        <w:t>Mongolia</w:t>
      </w:r>
    </w:p>
    <w:p>
      <w:pPr>
        <w:spacing w:after="0" w:line="234" w:lineRule="auto"/>
        <w:rPr>
          <w:sz w:val="20"/>
          <w:szCs w:val="20"/>
          <w:color w:val="auto"/>
        </w:rPr>
      </w:pPr>
      <w:r>
        <w:rPr>
          <w:rFonts w:ascii="Arial" w:cs="Arial" w:eastAsia="Arial" w:hAnsi="Arial"/>
          <w:sz w:val="18"/>
          <w:szCs w:val="18"/>
          <w:color w:val="auto"/>
        </w:rPr>
        <w:t>Morocco</w:t>
      </w:r>
    </w:p>
    <w:p>
      <w:pPr>
        <w:spacing w:after="0" w:line="235" w:lineRule="auto"/>
        <w:rPr>
          <w:sz w:val="20"/>
          <w:szCs w:val="20"/>
          <w:color w:val="auto"/>
        </w:rPr>
      </w:pPr>
      <w:r>
        <w:rPr>
          <w:rFonts w:ascii="Arial" w:cs="Arial" w:eastAsia="Arial" w:hAnsi="Arial"/>
          <w:sz w:val="18"/>
          <w:szCs w:val="18"/>
          <w:color w:val="auto"/>
        </w:rPr>
        <w:t>Mozambique</w:t>
      </w:r>
    </w:p>
    <w:p>
      <w:pPr>
        <w:spacing w:after="0" w:line="235" w:lineRule="auto"/>
        <w:rPr>
          <w:sz w:val="20"/>
          <w:szCs w:val="20"/>
          <w:color w:val="auto"/>
        </w:rPr>
      </w:pPr>
      <w:r>
        <w:rPr>
          <w:rFonts w:ascii="Arial" w:cs="Arial" w:eastAsia="Arial" w:hAnsi="Arial"/>
          <w:sz w:val="18"/>
          <w:szCs w:val="18"/>
          <w:color w:val="auto"/>
        </w:rPr>
        <w:t>Myanmar</w:t>
      </w:r>
    </w:p>
    <w:p>
      <w:pPr>
        <w:spacing w:after="0" w:line="235" w:lineRule="auto"/>
        <w:rPr>
          <w:sz w:val="20"/>
          <w:szCs w:val="20"/>
          <w:color w:val="auto"/>
        </w:rPr>
      </w:pPr>
      <w:r>
        <w:rPr>
          <w:rFonts w:ascii="Arial" w:cs="Arial" w:eastAsia="Arial" w:hAnsi="Arial"/>
          <w:sz w:val="18"/>
          <w:szCs w:val="18"/>
          <w:color w:val="auto"/>
        </w:rPr>
        <w:t>Namibia</w:t>
      </w:r>
    </w:p>
    <w:p>
      <w:pPr>
        <w:spacing w:after="0" w:line="235" w:lineRule="auto"/>
        <w:rPr>
          <w:sz w:val="20"/>
          <w:szCs w:val="20"/>
          <w:color w:val="auto"/>
        </w:rPr>
      </w:pPr>
      <w:r>
        <w:rPr>
          <w:rFonts w:ascii="Arial" w:cs="Arial" w:eastAsia="Arial" w:hAnsi="Arial"/>
          <w:sz w:val="18"/>
          <w:szCs w:val="18"/>
          <w:color w:val="auto"/>
        </w:rPr>
        <w:t>Netherlands</w:t>
      </w:r>
    </w:p>
    <w:p>
      <w:pPr>
        <w:spacing w:after="0"/>
        <w:rPr>
          <w:sz w:val="20"/>
          <w:szCs w:val="20"/>
          <w:color w:val="auto"/>
        </w:rPr>
      </w:pPr>
      <w:r>
        <w:rPr>
          <w:rFonts w:ascii="Arial" w:cs="Arial" w:eastAsia="Arial" w:hAnsi="Arial"/>
          <w:sz w:val="17"/>
          <w:szCs w:val="17"/>
          <w:color w:val="auto"/>
        </w:rPr>
        <w:t>New Zealand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Niger</w:t>
      </w:r>
    </w:p>
    <w:p>
      <w:pPr>
        <w:spacing w:after="0" w:line="158" w:lineRule="exact"/>
        <w:rPr>
          <w:sz w:val="20"/>
          <w:szCs w:val="20"/>
          <w:color w:val="auto"/>
        </w:rPr>
      </w:pPr>
    </w:p>
    <w:p>
      <w:pPr>
        <w:sectPr>
          <w:pgSz w:w="11900" w:h="16838" w:orient="portrait"/>
          <w:cols w:equalWidth="0" w:num="2">
            <w:col w:w="5080" w:space="720"/>
            <w:col w:w="5080"/>
          </w:cols>
          <w:pgMar w:left="320" w:top="265" w:right="699" w:bottom="1440" w:gutter="0" w:footer="0" w:header="0"/>
          <w:type w:val="continuous"/>
        </w:sectPr>
      </w:pPr>
    </w:p>
    <w:p>
      <w:pPr>
        <w:jc w:val="center"/>
        <w:ind w:right="-3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80"/>
          </w:cols>
          <w:pgMar w:left="320" w:top="265" w:right="699" w:bottom="1440" w:gutter="0" w:footer="0" w:header="0"/>
          <w:type w:val="continuous"/>
        </w:sectPr>
      </w:pPr>
    </w:p>
    <w:bookmarkStart w:id="16" w:name="page17"/>
    <w:bookmarkEnd w:id="16"/>
    <w:p>
      <w:pPr>
        <w:ind w:left="1140"/>
        <w:spacing w:after="0"/>
        <w:rPr>
          <w:sz w:val="20"/>
          <w:szCs w:val="20"/>
          <w:color w:val="auto"/>
        </w:rPr>
      </w:pPr>
      <w:r>
        <w:rPr>
          <w:rFonts w:ascii="Arial" w:cs="Arial" w:eastAsia="Arial" w:hAnsi="Arial"/>
          <w:sz w:val="18"/>
          <w:szCs w:val="18"/>
          <w:color w:val="auto"/>
        </w:rPr>
        <w:t>Chile</w:t>
      </w:r>
    </w:p>
    <w:p>
      <w:pPr>
        <w:ind w:left="1140"/>
        <w:spacing w:after="0" w:line="234" w:lineRule="auto"/>
        <w:rPr>
          <w:sz w:val="20"/>
          <w:szCs w:val="20"/>
          <w:color w:val="auto"/>
        </w:rPr>
      </w:pPr>
      <w:r>
        <w:rPr>
          <w:rFonts w:ascii="Arial" w:cs="Arial" w:eastAsia="Arial" w:hAnsi="Arial"/>
          <w:sz w:val="18"/>
          <w:szCs w:val="18"/>
          <w:color w:val="auto"/>
        </w:rPr>
        <w:t>China</w:t>
      </w:r>
    </w:p>
    <w:p>
      <w:pPr>
        <w:ind w:left="1140"/>
        <w:spacing w:after="0" w:line="235" w:lineRule="auto"/>
        <w:rPr>
          <w:sz w:val="20"/>
          <w:szCs w:val="20"/>
          <w:color w:val="auto"/>
        </w:rPr>
      </w:pPr>
      <w:r>
        <w:rPr>
          <w:rFonts w:ascii="Arial" w:cs="Arial" w:eastAsia="Arial" w:hAnsi="Arial"/>
          <w:sz w:val="18"/>
          <w:szCs w:val="18"/>
          <w:color w:val="auto"/>
        </w:rPr>
        <w:t>Colombia</w:t>
      </w:r>
    </w:p>
    <w:p>
      <w:pPr>
        <w:ind w:left="1140"/>
        <w:spacing w:after="0" w:line="235" w:lineRule="auto"/>
        <w:rPr>
          <w:sz w:val="20"/>
          <w:szCs w:val="20"/>
          <w:color w:val="auto"/>
        </w:rPr>
      </w:pPr>
      <w:r>
        <w:rPr>
          <w:rFonts w:ascii="Arial" w:cs="Arial" w:eastAsia="Arial" w:hAnsi="Arial"/>
          <w:sz w:val="18"/>
          <w:szCs w:val="18"/>
          <w:color w:val="auto"/>
        </w:rPr>
        <w:t>Republic of the Congo</w:t>
      </w:r>
    </w:p>
    <w:p>
      <w:pPr>
        <w:ind w:left="1140"/>
        <w:spacing w:after="0" w:line="235" w:lineRule="auto"/>
        <w:rPr>
          <w:sz w:val="20"/>
          <w:szCs w:val="20"/>
          <w:color w:val="auto"/>
        </w:rPr>
      </w:pPr>
      <w:r>
        <w:rPr>
          <w:rFonts w:ascii="Arial" w:cs="Arial" w:eastAsia="Arial" w:hAnsi="Arial"/>
          <w:sz w:val="18"/>
          <w:szCs w:val="18"/>
          <w:color w:val="auto"/>
        </w:rPr>
        <w:t>Czech Republic</w:t>
      </w:r>
    </w:p>
    <w:p>
      <w:pPr>
        <w:ind w:left="1140"/>
        <w:spacing w:after="0" w:line="235" w:lineRule="auto"/>
        <w:rPr>
          <w:sz w:val="20"/>
          <w:szCs w:val="20"/>
          <w:color w:val="auto"/>
        </w:rPr>
      </w:pPr>
      <w:r>
        <w:rPr>
          <w:rFonts w:ascii="Arial" w:cs="Arial" w:eastAsia="Arial" w:hAnsi="Arial"/>
          <w:sz w:val="18"/>
          <w:szCs w:val="18"/>
          <w:color w:val="auto"/>
        </w:rPr>
        <w:t>Djibouti</w:t>
      </w:r>
    </w:p>
    <w:p>
      <w:pPr>
        <w:ind w:left="1140"/>
        <w:spacing w:after="0"/>
        <w:rPr>
          <w:sz w:val="20"/>
          <w:szCs w:val="20"/>
          <w:color w:val="auto"/>
        </w:rPr>
      </w:pPr>
      <w:r>
        <w:rPr>
          <w:rFonts w:ascii="Arial" w:cs="Arial" w:eastAsia="Arial" w:hAnsi="Arial"/>
          <w:sz w:val="17"/>
          <w:szCs w:val="17"/>
          <w:color w:val="auto"/>
        </w:rPr>
        <w:t>Democratic Republic of the Congo</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Ecuador</w:t>
      </w:r>
    </w:p>
    <w:p>
      <w:pPr>
        <w:ind w:left="1140"/>
        <w:spacing w:after="0" w:line="234" w:lineRule="auto"/>
        <w:rPr>
          <w:sz w:val="20"/>
          <w:szCs w:val="20"/>
          <w:color w:val="auto"/>
        </w:rPr>
      </w:pPr>
      <w:r>
        <w:rPr>
          <w:rFonts w:ascii="Arial" w:cs="Arial" w:eastAsia="Arial" w:hAnsi="Arial"/>
          <w:sz w:val="18"/>
          <w:szCs w:val="18"/>
          <w:color w:val="auto"/>
        </w:rPr>
        <w:t>Egypt</w:t>
      </w:r>
    </w:p>
    <w:p>
      <w:pPr>
        <w:ind w:left="1140"/>
        <w:spacing w:after="0" w:line="235" w:lineRule="auto"/>
        <w:rPr>
          <w:sz w:val="20"/>
          <w:szCs w:val="20"/>
          <w:color w:val="auto"/>
        </w:rPr>
      </w:pPr>
      <w:r>
        <w:rPr>
          <w:rFonts w:ascii="Arial" w:cs="Arial" w:eastAsia="Arial" w:hAnsi="Arial"/>
          <w:sz w:val="18"/>
          <w:szCs w:val="18"/>
          <w:color w:val="auto"/>
        </w:rPr>
        <w:t>Estonia</w:t>
      </w:r>
    </w:p>
    <w:p>
      <w:pPr>
        <w:ind w:left="1140"/>
        <w:spacing w:after="0" w:line="235" w:lineRule="auto"/>
        <w:rPr>
          <w:sz w:val="20"/>
          <w:szCs w:val="20"/>
          <w:color w:val="auto"/>
        </w:rPr>
      </w:pPr>
      <w:r>
        <w:rPr>
          <w:rFonts w:ascii="Arial" w:cs="Arial" w:eastAsia="Arial" w:hAnsi="Arial"/>
          <w:sz w:val="18"/>
          <w:szCs w:val="18"/>
          <w:color w:val="auto"/>
        </w:rPr>
        <w:t>Ethiopia</w:t>
      </w:r>
    </w:p>
    <w:p>
      <w:pPr>
        <w:ind w:left="1140"/>
        <w:spacing w:after="0" w:line="235" w:lineRule="auto"/>
        <w:rPr>
          <w:sz w:val="20"/>
          <w:szCs w:val="20"/>
          <w:color w:val="auto"/>
        </w:rPr>
      </w:pPr>
      <w:r>
        <w:rPr>
          <w:rFonts w:ascii="Arial" w:cs="Arial" w:eastAsia="Arial" w:hAnsi="Arial"/>
          <w:sz w:val="18"/>
          <w:szCs w:val="18"/>
          <w:color w:val="auto"/>
        </w:rPr>
        <w:t>Finland</w:t>
      </w:r>
    </w:p>
    <w:p>
      <w:pPr>
        <w:ind w:left="1140"/>
        <w:spacing w:after="0" w:line="235" w:lineRule="auto"/>
        <w:rPr>
          <w:sz w:val="20"/>
          <w:szCs w:val="20"/>
          <w:color w:val="auto"/>
        </w:rPr>
      </w:pPr>
      <w:r>
        <w:rPr>
          <w:rFonts w:ascii="Arial" w:cs="Arial" w:eastAsia="Arial" w:hAnsi="Arial"/>
          <w:sz w:val="18"/>
          <w:szCs w:val="18"/>
          <w:color w:val="auto"/>
        </w:rPr>
        <w:t>France</w:t>
      </w:r>
    </w:p>
    <w:p>
      <w:pPr>
        <w:ind w:left="1140"/>
        <w:spacing w:after="0" w:line="234" w:lineRule="auto"/>
        <w:rPr>
          <w:sz w:val="20"/>
          <w:szCs w:val="20"/>
          <w:color w:val="auto"/>
        </w:rPr>
      </w:pPr>
      <w:r>
        <w:rPr>
          <w:rFonts w:ascii="Arial" w:cs="Arial" w:eastAsia="Arial" w:hAnsi="Arial"/>
          <w:sz w:val="18"/>
          <w:szCs w:val="18"/>
          <w:color w:val="auto"/>
        </w:rPr>
        <w:t>Germany</w:t>
      </w:r>
    </w:p>
    <w:p>
      <w:pPr>
        <w:ind w:left="1140"/>
        <w:spacing w:after="0" w:line="235" w:lineRule="auto"/>
        <w:rPr>
          <w:sz w:val="20"/>
          <w:szCs w:val="20"/>
          <w:color w:val="auto"/>
        </w:rPr>
      </w:pPr>
      <w:r>
        <w:rPr>
          <w:rFonts w:ascii="Arial" w:cs="Arial" w:eastAsia="Arial" w:hAnsi="Arial"/>
          <w:sz w:val="18"/>
          <w:szCs w:val="18"/>
          <w:color w:val="auto"/>
        </w:rPr>
        <w:t>Ghana</w:t>
      </w:r>
    </w:p>
    <w:p>
      <w:pPr>
        <w:ind w:left="1140"/>
        <w:spacing w:after="0" w:line="235" w:lineRule="auto"/>
        <w:rPr>
          <w:sz w:val="20"/>
          <w:szCs w:val="20"/>
          <w:color w:val="auto"/>
        </w:rPr>
      </w:pPr>
      <w:r>
        <w:rPr>
          <w:rFonts w:ascii="Arial" w:cs="Arial" w:eastAsia="Arial" w:hAnsi="Arial"/>
          <w:sz w:val="18"/>
          <w:szCs w:val="18"/>
          <w:color w:val="auto"/>
        </w:rPr>
        <w:t>Guinea</w:t>
      </w:r>
    </w:p>
    <w:p>
      <w:pPr>
        <w:ind w:left="1140"/>
        <w:spacing w:after="0" w:line="235" w:lineRule="auto"/>
        <w:rPr>
          <w:sz w:val="20"/>
          <w:szCs w:val="20"/>
          <w:color w:val="auto"/>
        </w:rPr>
      </w:pPr>
      <w:r>
        <w:rPr>
          <w:rFonts w:ascii="Arial" w:cs="Arial" w:eastAsia="Arial" w:hAnsi="Arial"/>
          <w:sz w:val="18"/>
          <w:szCs w:val="18"/>
          <w:color w:val="auto"/>
        </w:rPr>
        <w:t>Guyana</w:t>
      </w:r>
    </w:p>
    <w:p>
      <w:pPr>
        <w:ind w:left="1140"/>
        <w:spacing w:after="0" w:line="235" w:lineRule="auto"/>
        <w:rPr>
          <w:sz w:val="20"/>
          <w:szCs w:val="20"/>
          <w:color w:val="auto"/>
        </w:rPr>
      </w:pPr>
      <w:r>
        <w:rPr>
          <w:rFonts w:ascii="Arial" w:cs="Arial" w:eastAsia="Arial" w:hAnsi="Arial"/>
          <w:sz w:val="18"/>
          <w:szCs w:val="18"/>
          <w:color w:val="auto"/>
        </w:rPr>
        <w:t>Hong Kong</w:t>
      </w:r>
    </w:p>
    <w:p>
      <w:pPr>
        <w:ind w:left="1140"/>
        <w:spacing w:after="0" w:line="234" w:lineRule="auto"/>
        <w:rPr>
          <w:sz w:val="20"/>
          <w:szCs w:val="20"/>
          <w:color w:val="auto"/>
        </w:rPr>
      </w:pPr>
      <w:r>
        <w:rPr>
          <w:rFonts w:ascii="Arial" w:cs="Arial" w:eastAsia="Arial" w:hAnsi="Arial"/>
          <w:sz w:val="18"/>
          <w:szCs w:val="18"/>
          <w:color w:val="auto"/>
        </w:rPr>
        <w:t>Hungary</w:t>
      </w:r>
    </w:p>
    <w:p>
      <w:pPr>
        <w:ind w:left="1140"/>
        <w:spacing w:after="0" w:line="235" w:lineRule="auto"/>
        <w:rPr>
          <w:sz w:val="20"/>
          <w:szCs w:val="20"/>
          <w:color w:val="auto"/>
        </w:rPr>
      </w:pPr>
      <w:r>
        <w:rPr>
          <w:rFonts w:ascii="Arial" w:cs="Arial" w:eastAsia="Arial" w:hAnsi="Arial"/>
          <w:sz w:val="18"/>
          <w:szCs w:val="18"/>
          <w:color w:val="auto"/>
        </w:rPr>
        <w:t>India</w:t>
      </w:r>
    </w:p>
    <w:p>
      <w:pPr>
        <w:ind w:left="1140"/>
        <w:spacing w:after="0" w:line="235" w:lineRule="auto"/>
        <w:rPr>
          <w:sz w:val="20"/>
          <w:szCs w:val="20"/>
          <w:color w:val="auto"/>
        </w:rPr>
      </w:pPr>
      <w:r>
        <w:rPr>
          <w:rFonts w:ascii="Arial" w:cs="Arial" w:eastAsia="Arial" w:hAnsi="Arial"/>
          <w:sz w:val="18"/>
          <w:szCs w:val="18"/>
          <w:color w:val="auto"/>
        </w:rPr>
        <w:t>Indonesia</w:t>
      </w:r>
    </w:p>
    <w:p>
      <w:pPr>
        <w:ind w:left="1140"/>
        <w:spacing w:after="0" w:line="235" w:lineRule="auto"/>
        <w:rPr>
          <w:sz w:val="20"/>
          <w:szCs w:val="20"/>
          <w:color w:val="auto"/>
        </w:rPr>
      </w:pPr>
      <w:r>
        <w:rPr>
          <w:rFonts w:ascii="Arial" w:cs="Arial" w:eastAsia="Arial" w:hAnsi="Arial"/>
          <w:sz w:val="18"/>
          <w:szCs w:val="18"/>
          <w:color w:val="auto"/>
        </w:rPr>
        <w:t>Ireland</w:t>
      </w:r>
    </w:p>
    <w:p>
      <w:pPr>
        <w:ind w:left="1140"/>
        <w:spacing w:after="0" w:line="235" w:lineRule="auto"/>
        <w:rPr>
          <w:sz w:val="20"/>
          <w:szCs w:val="20"/>
          <w:color w:val="auto"/>
        </w:rPr>
      </w:pPr>
      <w:r>
        <w:rPr>
          <w:rFonts w:ascii="Arial" w:cs="Arial" w:eastAsia="Arial" w:hAnsi="Arial"/>
          <w:sz w:val="18"/>
          <w:szCs w:val="18"/>
          <w:color w:val="auto"/>
        </w:rPr>
        <w:t>Israel</w:t>
      </w:r>
    </w:p>
    <w:p>
      <w:pPr>
        <w:ind w:left="1140"/>
        <w:spacing w:after="0" w:line="234" w:lineRule="auto"/>
        <w:rPr>
          <w:sz w:val="20"/>
          <w:szCs w:val="20"/>
          <w:color w:val="auto"/>
        </w:rPr>
      </w:pPr>
      <w:r>
        <w:rPr>
          <w:rFonts w:ascii="Arial" w:cs="Arial" w:eastAsia="Arial" w:hAnsi="Arial"/>
          <w:sz w:val="18"/>
          <w:szCs w:val="18"/>
          <w:color w:val="auto"/>
        </w:rPr>
        <w:t>Italy</w:t>
      </w:r>
    </w:p>
    <w:p>
      <w:pPr>
        <w:ind w:left="1140"/>
        <w:spacing w:after="0" w:line="235" w:lineRule="auto"/>
        <w:rPr>
          <w:sz w:val="20"/>
          <w:szCs w:val="20"/>
          <w:color w:val="auto"/>
        </w:rPr>
      </w:pPr>
      <w:r>
        <w:rPr>
          <w:rFonts w:ascii="Arial" w:cs="Arial" w:eastAsia="Arial" w:hAnsi="Arial"/>
          <w:sz w:val="18"/>
          <w:szCs w:val="18"/>
          <w:color w:val="auto"/>
        </w:rPr>
        <w:t>Ivory Coast</w:t>
      </w:r>
    </w:p>
    <w:p>
      <w:pPr>
        <w:ind w:left="1140"/>
        <w:spacing w:after="0" w:line="235" w:lineRule="auto"/>
        <w:rPr>
          <w:sz w:val="20"/>
          <w:szCs w:val="20"/>
          <w:color w:val="auto"/>
        </w:rPr>
      </w:pPr>
      <w:r>
        <w:rPr>
          <w:rFonts w:ascii="Arial" w:cs="Arial" w:eastAsia="Arial" w:hAnsi="Arial"/>
          <w:sz w:val="18"/>
          <w:szCs w:val="18"/>
          <w:color w:val="auto"/>
        </w:rPr>
        <w:t>Japan</w:t>
      </w:r>
    </w:p>
    <w:p>
      <w:pPr>
        <w:ind w:left="1140"/>
        <w:spacing w:after="0" w:line="235" w:lineRule="auto"/>
        <w:rPr>
          <w:sz w:val="20"/>
          <w:szCs w:val="20"/>
          <w:color w:val="auto"/>
        </w:rPr>
      </w:pPr>
      <w:r>
        <w:rPr>
          <w:rFonts w:ascii="Arial" w:cs="Arial" w:eastAsia="Arial" w:hAnsi="Arial"/>
          <w:sz w:val="18"/>
          <w:szCs w:val="18"/>
          <w:color w:val="auto"/>
        </w:rPr>
        <w:t>Kazakhstan</w:t>
      </w:r>
    </w:p>
    <w:p>
      <w:pPr>
        <w:ind w:left="1140"/>
        <w:spacing w:after="0" w:line="235" w:lineRule="auto"/>
        <w:rPr>
          <w:sz w:val="20"/>
          <w:szCs w:val="20"/>
          <w:color w:val="auto"/>
        </w:rPr>
      </w:pPr>
      <w:r>
        <w:rPr>
          <w:rFonts w:ascii="Arial" w:cs="Arial" w:eastAsia="Arial" w:hAnsi="Arial"/>
          <w:sz w:val="18"/>
          <w:szCs w:val="18"/>
          <w:color w:val="auto"/>
        </w:rPr>
        <w:t>Kenya</w:t>
      </w:r>
    </w:p>
    <w:p>
      <w:pPr>
        <w:ind w:left="1140"/>
        <w:spacing w:after="0" w:line="234" w:lineRule="auto"/>
        <w:rPr>
          <w:sz w:val="20"/>
          <w:szCs w:val="20"/>
          <w:color w:val="auto"/>
        </w:rPr>
      </w:pPr>
      <w:r>
        <w:rPr>
          <w:rFonts w:ascii="Arial" w:cs="Arial" w:eastAsia="Arial" w:hAnsi="Arial"/>
          <w:sz w:val="18"/>
          <w:szCs w:val="18"/>
          <w:color w:val="auto"/>
        </w:rPr>
        <w:t>Republic of Korea</w:t>
      </w:r>
    </w:p>
    <w:p>
      <w:pPr>
        <w:ind w:left="1140"/>
        <w:spacing w:after="0" w:line="235" w:lineRule="auto"/>
        <w:rPr>
          <w:sz w:val="20"/>
          <w:szCs w:val="20"/>
          <w:color w:val="auto"/>
        </w:rPr>
      </w:pPr>
      <w:r>
        <w:rPr>
          <w:rFonts w:ascii="Arial" w:cs="Arial" w:eastAsia="Arial" w:hAnsi="Arial"/>
          <w:sz w:val="18"/>
          <w:szCs w:val="18"/>
          <w:color w:val="auto"/>
        </w:rPr>
        <w:t>Kyrgyzstan</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Nigeria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-221615</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Papua New Guinea</w:t>
      </w:r>
    </w:p>
    <w:p>
      <w:pPr>
        <w:spacing w:after="0" w:line="235" w:lineRule="auto"/>
        <w:rPr>
          <w:sz w:val="20"/>
          <w:szCs w:val="20"/>
          <w:color w:val="auto"/>
        </w:rPr>
      </w:pPr>
      <w:r>
        <w:rPr>
          <w:rFonts w:ascii="Arial" w:cs="Arial" w:eastAsia="Arial" w:hAnsi="Arial"/>
          <w:sz w:val="18"/>
          <w:szCs w:val="18"/>
          <w:color w:val="auto"/>
        </w:rPr>
        <w:t>Peru</w:t>
      </w:r>
    </w:p>
    <w:p>
      <w:pPr>
        <w:spacing w:after="0" w:line="235" w:lineRule="auto"/>
        <w:rPr>
          <w:sz w:val="20"/>
          <w:szCs w:val="20"/>
          <w:color w:val="auto"/>
        </w:rPr>
      </w:pPr>
      <w:r>
        <w:rPr>
          <w:rFonts w:ascii="Arial" w:cs="Arial" w:eastAsia="Arial" w:hAnsi="Arial"/>
          <w:sz w:val="18"/>
          <w:szCs w:val="18"/>
          <w:color w:val="auto"/>
        </w:rPr>
        <w:t>Philippines</w:t>
      </w:r>
    </w:p>
    <w:p>
      <w:pPr>
        <w:spacing w:after="0" w:line="235" w:lineRule="auto"/>
        <w:rPr>
          <w:sz w:val="20"/>
          <w:szCs w:val="20"/>
          <w:color w:val="auto"/>
        </w:rPr>
      </w:pPr>
      <w:r>
        <w:rPr>
          <w:rFonts w:ascii="Arial" w:cs="Arial" w:eastAsia="Arial" w:hAnsi="Arial"/>
          <w:sz w:val="18"/>
          <w:szCs w:val="18"/>
          <w:color w:val="auto"/>
        </w:rPr>
        <w:t>Poland</w:t>
      </w:r>
    </w:p>
    <w:p>
      <w:pPr>
        <w:spacing w:after="0" w:line="235" w:lineRule="auto"/>
        <w:rPr>
          <w:sz w:val="20"/>
          <w:szCs w:val="20"/>
          <w:color w:val="auto"/>
        </w:rPr>
      </w:pPr>
      <w:r>
        <w:rPr>
          <w:rFonts w:ascii="Arial" w:cs="Arial" w:eastAsia="Arial" w:hAnsi="Arial"/>
          <w:sz w:val="18"/>
          <w:szCs w:val="18"/>
          <w:color w:val="auto"/>
        </w:rPr>
        <w:t>Portugal</w:t>
      </w:r>
    </w:p>
    <w:p>
      <w:pPr>
        <w:spacing w:after="0" w:line="234" w:lineRule="auto"/>
        <w:rPr>
          <w:sz w:val="20"/>
          <w:szCs w:val="20"/>
          <w:color w:val="auto"/>
        </w:rPr>
      </w:pPr>
      <w:r>
        <w:rPr>
          <w:rFonts w:ascii="Arial" w:cs="Arial" w:eastAsia="Arial" w:hAnsi="Arial"/>
          <w:sz w:val="18"/>
          <w:szCs w:val="18"/>
          <w:color w:val="auto"/>
        </w:rPr>
        <w:t>Russian Federation</w:t>
      </w:r>
    </w:p>
    <w:p>
      <w:pPr>
        <w:spacing w:after="0" w:line="235" w:lineRule="auto"/>
        <w:rPr>
          <w:sz w:val="20"/>
          <w:szCs w:val="20"/>
          <w:color w:val="auto"/>
        </w:rPr>
      </w:pPr>
      <w:r>
        <w:rPr>
          <w:rFonts w:ascii="Arial" w:cs="Arial" w:eastAsia="Arial" w:hAnsi="Arial"/>
          <w:sz w:val="18"/>
          <w:szCs w:val="18"/>
          <w:color w:val="auto"/>
        </w:rPr>
        <w:t>Rwanda</w:t>
      </w:r>
    </w:p>
    <w:p>
      <w:pPr>
        <w:spacing w:after="0" w:line="235" w:lineRule="auto"/>
        <w:rPr>
          <w:sz w:val="20"/>
          <w:szCs w:val="20"/>
          <w:color w:val="auto"/>
        </w:rPr>
      </w:pPr>
      <w:r>
        <w:rPr>
          <w:rFonts w:ascii="Arial" w:cs="Arial" w:eastAsia="Arial" w:hAnsi="Arial"/>
          <w:sz w:val="18"/>
          <w:szCs w:val="18"/>
          <w:color w:val="auto"/>
        </w:rPr>
        <w:t>Saudi Arabia</w:t>
      </w:r>
    </w:p>
    <w:p>
      <w:pPr>
        <w:spacing w:after="0" w:line="235" w:lineRule="auto"/>
        <w:rPr>
          <w:sz w:val="20"/>
          <w:szCs w:val="20"/>
          <w:color w:val="auto"/>
        </w:rPr>
      </w:pPr>
      <w:r>
        <w:rPr>
          <w:rFonts w:ascii="Arial" w:cs="Arial" w:eastAsia="Arial" w:hAnsi="Arial"/>
          <w:sz w:val="18"/>
          <w:szCs w:val="18"/>
          <w:color w:val="auto"/>
        </w:rPr>
        <w:t>Sierra Leone</w:t>
      </w:r>
    </w:p>
    <w:p>
      <w:pPr>
        <w:spacing w:after="0" w:line="235" w:lineRule="auto"/>
        <w:rPr>
          <w:sz w:val="20"/>
          <w:szCs w:val="20"/>
          <w:color w:val="auto"/>
        </w:rPr>
      </w:pPr>
      <w:r>
        <w:rPr>
          <w:rFonts w:ascii="Arial" w:cs="Arial" w:eastAsia="Arial" w:hAnsi="Arial"/>
          <w:sz w:val="18"/>
          <w:szCs w:val="18"/>
          <w:color w:val="auto"/>
        </w:rPr>
        <w:t>Singapore</w:t>
      </w:r>
    </w:p>
    <w:p>
      <w:pPr>
        <w:spacing w:after="0" w:line="234" w:lineRule="auto"/>
        <w:rPr>
          <w:sz w:val="20"/>
          <w:szCs w:val="20"/>
          <w:color w:val="auto"/>
        </w:rPr>
      </w:pPr>
      <w:r>
        <w:rPr>
          <w:rFonts w:ascii="Arial" w:cs="Arial" w:eastAsia="Arial" w:hAnsi="Arial"/>
          <w:sz w:val="18"/>
          <w:szCs w:val="18"/>
          <w:color w:val="auto"/>
        </w:rPr>
        <w:t>Slovakia</w:t>
      </w:r>
    </w:p>
    <w:p>
      <w:pPr>
        <w:spacing w:after="0" w:line="235" w:lineRule="auto"/>
        <w:rPr>
          <w:sz w:val="20"/>
          <w:szCs w:val="20"/>
          <w:color w:val="auto"/>
        </w:rPr>
      </w:pPr>
      <w:r>
        <w:rPr>
          <w:rFonts w:ascii="Arial" w:cs="Arial" w:eastAsia="Arial" w:hAnsi="Arial"/>
          <w:sz w:val="18"/>
          <w:szCs w:val="18"/>
          <w:color w:val="auto"/>
        </w:rPr>
        <w:t>South Africa</w:t>
      </w:r>
    </w:p>
    <w:p>
      <w:pPr>
        <w:spacing w:after="0" w:line="235" w:lineRule="auto"/>
        <w:rPr>
          <w:sz w:val="20"/>
          <w:szCs w:val="20"/>
          <w:color w:val="auto"/>
        </w:rPr>
      </w:pPr>
      <w:r>
        <w:rPr>
          <w:rFonts w:ascii="Arial" w:cs="Arial" w:eastAsia="Arial" w:hAnsi="Arial"/>
          <w:sz w:val="18"/>
          <w:szCs w:val="18"/>
          <w:color w:val="auto"/>
        </w:rPr>
        <w:t>South Sudan</w:t>
      </w:r>
    </w:p>
    <w:p>
      <w:pPr>
        <w:spacing w:after="0" w:line="235" w:lineRule="auto"/>
        <w:rPr>
          <w:sz w:val="20"/>
          <w:szCs w:val="20"/>
          <w:color w:val="auto"/>
        </w:rPr>
      </w:pPr>
      <w:r>
        <w:rPr>
          <w:rFonts w:ascii="Arial" w:cs="Arial" w:eastAsia="Arial" w:hAnsi="Arial"/>
          <w:sz w:val="18"/>
          <w:szCs w:val="18"/>
          <w:color w:val="auto"/>
        </w:rPr>
        <w:t>Spain</w:t>
      </w:r>
    </w:p>
    <w:p>
      <w:pPr>
        <w:spacing w:after="0" w:line="235" w:lineRule="auto"/>
        <w:rPr>
          <w:sz w:val="20"/>
          <w:szCs w:val="20"/>
          <w:color w:val="auto"/>
        </w:rPr>
      </w:pPr>
      <w:r>
        <w:rPr>
          <w:rFonts w:ascii="Arial" w:cs="Arial" w:eastAsia="Arial" w:hAnsi="Arial"/>
          <w:sz w:val="18"/>
          <w:szCs w:val="18"/>
          <w:color w:val="auto"/>
        </w:rPr>
        <w:t>Suriname</w:t>
      </w:r>
    </w:p>
    <w:p>
      <w:pPr>
        <w:spacing w:after="0" w:line="234" w:lineRule="auto"/>
        <w:rPr>
          <w:sz w:val="20"/>
          <w:szCs w:val="20"/>
          <w:color w:val="auto"/>
        </w:rPr>
      </w:pPr>
      <w:r>
        <w:rPr>
          <w:rFonts w:ascii="Arial" w:cs="Arial" w:eastAsia="Arial" w:hAnsi="Arial"/>
          <w:sz w:val="18"/>
          <w:szCs w:val="18"/>
          <w:color w:val="auto"/>
        </w:rPr>
        <w:t>Sweden</w:t>
      </w:r>
    </w:p>
    <w:p>
      <w:pPr>
        <w:spacing w:after="0" w:line="235" w:lineRule="auto"/>
        <w:rPr>
          <w:sz w:val="20"/>
          <w:szCs w:val="20"/>
          <w:color w:val="auto"/>
        </w:rPr>
      </w:pPr>
      <w:r>
        <w:rPr>
          <w:rFonts w:ascii="Arial" w:cs="Arial" w:eastAsia="Arial" w:hAnsi="Arial"/>
          <w:sz w:val="18"/>
          <w:szCs w:val="18"/>
          <w:color w:val="auto"/>
        </w:rPr>
        <w:t>Switzerland</w:t>
      </w:r>
    </w:p>
    <w:p>
      <w:pPr>
        <w:spacing w:after="0" w:line="235" w:lineRule="auto"/>
        <w:rPr>
          <w:sz w:val="20"/>
          <w:szCs w:val="20"/>
          <w:color w:val="auto"/>
        </w:rPr>
      </w:pPr>
      <w:r>
        <w:rPr>
          <w:rFonts w:ascii="Arial" w:cs="Arial" w:eastAsia="Arial" w:hAnsi="Arial"/>
          <w:sz w:val="18"/>
          <w:szCs w:val="18"/>
          <w:color w:val="auto"/>
        </w:rPr>
        <w:t>Taiwan</w:t>
      </w:r>
    </w:p>
    <w:p>
      <w:pPr>
        <w:spacing w:after="0" w:line="235" w:lineRule="auto"/>
        <w:rPr>
          <w:sz w:val="20"/>
          <w:szCs w:val="20"/>
          <w:color w:val="auto"/>
        </w:rPr>
      </w:pPr>
      <w:r>
        <w:rPr>
          <w:rFonts w:ascii="Arial" w:cs="Arial" w:eastAsia="Arial" w:hAnsi="Arial"/>
          <w:sz w:val="18"/>
          <w:szCs w:val="18"/>
          <w:color w:val="auto"/>
        </w:rPr>
        <w:t>Tajikistan</w:t>
      </w:r>
    </w:p>
    <w:p>
      <w:pPr>
        <w:spacing w:after="0" w:line="235" w:lineRule="auto"/>
        <w:rPr>
          <w:sz w:val="20"/>
          <w:szCs w:val="20"/>
          <w:color w:val="auto"/>
        </w:rPr>
      </w:pPr>
      <w:r>
        <w:rPr>
          <w:rFonts w:ascii="Arial" w:cs="Arial" w:eastAsia="Arial" w:hAnsi="Arial"/>
          <w:sz w:val="18"/>
          <w:szCs w:val="18"/>
          <w:color w:val="auto"/>
        </w:rPr>
        <w:t>Tanzania</w:t>
      </w:r>
    </w:p>
    <w:p>
      <w:pPr>
        <w:spacing w:after="0" w:line="234" w:lineRule="auto"/>
        <w:rPr>
          <w:sz w:val="20"/>
          <w:szCs w:val="20"/>
          <w:color w:val="auto"/>
        </w:rPr>
      </w:pPr>
      <w:r>
        <w:rPr>
          <w:rFonts w:ascii="Arial" w:cs="Arial" w:eastAsia="Arial" w:hAnsi="Arial"/>
          <w:sz w:val="18"/>
          <w:szCs w:val="18"/>
          <w:color w:val="auto"/>
        </w:rPr>
        <w:t>Thailand</w:t>
      </w:r>
    </w:p>
    <w:p>
      <w:pPr>
        <w:spacing w:after="0" w:line="235" w:lineRule="auto"/>
        <w:rPr>
          <w:sz w:val="20"/>
          <w:szCs w:val="20"/>
          <w:color w:val="auto"/>
        </w:rPr>
      </w:pPr>
      <w:r>
        <w:rPr>
          <w:rFonts w:ascii="Arial" w:cs="Arial" w:eastAsia="Arial" w:hAnsi="Arial"/>
          <w:sz w:val="18"/>
          <w:szCs w:val="18"/>
          <w:color w:val="auto"/>
        </w:rPr>
        <w:t>Turkey</w:t>
      </w:r>
    </w:p>
    <w:p>
      <w:pPr>
        <w:spacing w:after="0" w:line="235" w:lineRule="auto"/>
        <w:rPr>
          <w:sz w:val="20"/>
          <w:szCs w:val="20"/>
          <w:color w:val="auto"/>
        </w:rPr>
      </w:pPr>
      <w:r>
        <w:rPr>
          <w:rFonts w:ascii="Arial" w:cs="Arial" w:eastAsia="Arial" w:hAnsi="Arial"/>
          <w:sz w:val="18"/>
          <w:szCs w:val="18"/>
          <w:color w:val="auto"/>
        </w:rPr>
        <w:t>Uganda</w:t>
      </w:r>
    </w:p>
    <w:p>
      <w:pPr>
        <w:spacing w:after="0" w:line="235" w:lineRule="auto"/>
        <w:rPr>
          <w:sz w:val="20"/>
          <w:szCs w:val="20"/>
          <w:color w:val="auto"/>
        </w:rPr>
      </w:pPr>
      <w:r>
        <w:rPr>
          <w:rFonts w:ascii="Arial" w:cs="Arial" w:eastAsia="Arial" w:hAnsi="Arial"/>
          <w:sz w:val="18"/>
          <w:szCs w:val="18"/>
          <w:color w:val="auto"/>
        </w:rPr>
        <w:t>United Arab Emirates</w:t>
      </w:r>
    </w:p>
    <w:p>
      <w:pPr>
        <w:spacing w:after="0" w:line="235" w:lineRule="auto"/>
        <w:rPr>
          <w:sz w:val="20"/>
          <w:szCs w:val="20"/>
          <w:color w:val="auto"/>
        </w:rPr>
      </w:pPr>
      <w:r>
        <w:rPr>
          <w:rFonts w:ascii="Arial" w:cs="Arial" w:eastAsia="Arial" w:hAnsi="Arial"/>
          <w:sz w:val="18"/>
          <w:szCs w:val="18"/>
          <w:color w:val="auto"/>
        </w:rPr>
        <w:t>United Kingdom</w:t>
      </w:r>
    </w:p>
    <w:p>
      <w:pPr>
        <w:spacing w:after="0" w:line="234" w:lineRule="auto"/>
        <w:rPr>
          <w:sz w:val="20"/>
          <w:szCs w:val="20"/>
          <w:color w:val="auto"/>
        </w:rPr>
      </w:pPr>
      <w:r>
        <w:rPr>
          <w:rFonts w:ascii="Arial" w:cs="Arial" w:eastAsia="Arial" w:hAnsi="Arial"/>
          <w:sz w:val="18"/>
          <w:szCs w:val="18"/>
          <w:color w:val="auto"/>
        </w:rPr>
        <w:t>United States</w:t>
      </w:r>
    </w:p>
    <w:p>
      <w:pPr>
        <w:spacing w:after="0" w:line="235" w:lineRule="auto"/>
        <w:rPr>
          <w:sz w:val="20"/>
          <w:szCs w:val="20"/>
          <w:color w:val="auto"/>
        </w:rPr>
      </w:pPr>
      <w:r>
        <w:rPr>
          <w:rFonts w:ascii="Arial" w:cs="Arial" w:eastAsia="Arial" w:hAnsi="Arial"/>
          <w:sz w:val="18"/>
          <w:szCs w:val="18"/>
          <w:color w:val="auto"/>
        </w:rPr>
        <w:t>Uzbekistan</w:t>
      </w:r>
    </w:p>
    <w:p>
      <w:pPr>
        <w:spacing w:after="0" w:line="235" w:lineRule="auto"/>
        <w:rPr>
          <w:sz w:val="20"/>
          <w:szCs w:val="20"/>
          <w:color w:val="auto"/>
        </w:rPr>
      </w:pPr>
      <w:r>
        <w:rPr>
          <w:rFonts w:ascii="Arial" w:cs="Arial" w:eastAsia="Arial" w:hAnsi="Arial"/>
          <w:sz w:val="18"/>
          <w:szCs w:val="18"/>
          <w:color w:val="auto"/>
        </w:rPr>
        <w:t>Viet Nam</w:t>
      </w:r>
    </w:p>
    <w:p>
      <w:pPr>
        <w:spacing w:after="0" w:line="235" w:lineRule="auto"/>
        <w:rPr>
          <w:sz w:val="20"/>
          <w:szCs w:val="20"/>
          <w:color w:val="auto"/>
        </w:rPr>
      </w:pPr>
      <w:r>
        <w:rPr>
          <w:rFonts w:ascii="Arial" w:cs="Arial" w:eastAsia="Arial" w:hAnsi="Arial"/>
          <w:sz w:val="18"/>
          <w:szCs w:val="18"/>
          <w:color w:val="auto"/>
        </w:rPr>
        <w:t>Zambia</w:t>
      </w:r>
    </w:p>
    <w:p>
      <w:pPr>
        <w:spacing w:after="0"/>
        <w:rPr>
          <w:sz w:val="20"/>
          <w:szCs w:val="20"/>
          <w:color w:val="auto"/>
        </w:rPr>
      </w:pPr>
      <w:r>
        <w:rPr>
          <w:rFonts w:ascii="Arial" w:cs="Arial" w:eastAsia="Arial" w:hAnsi="Arial"/>
          <w:sz w:val="18"/>
          <w:szCs w:val="18"/>
          <w:color w:val="auto"/>
        </w:rPr>
        <w:t>Zimbabwe</w:t>
      </w:r>
    </w:p>
    <w:p>
      <w:pPr>
        <w:spacing w:after="0" w:line="200" w:lineRule="exact"/>
        <w:rPr>
          <w:sz w:val="20"/>
          <w:szCs w:val="20"/>
          <w:color w:val="auto"/>
        </w:rPr>
      </w:pPr>
    </w:p>
    <w:p>
      <w:pPr>
        <w:sectPr>
          <w:pgSz w:w="11900" w:h="16838" w:orient="portrait"/>
          <w:cols w:equalWidth="0" w:num="2">
            <w:col w:w="5080" w:space="720"/>
            <w:col w:w="5360"/>
          </w:cols>
          <w:pgMar w:left="320" w:top="283" w:right="419" w:bottom="1440" w:gutter="0" w:footer="0" w:header="0"/>
        </w:sectPr>
      </w:pP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MICROSOFT COMMITMENT</w:t>
      </w:r>
    </w:p>
    <w:p>
      <w:pPr>
        <w:spacing w:after="0" w:line="126"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Microsoft is committed to the responsible sourcing of raw materials in support of human rights; labor, health and safety; and environmental protection. We continue to advance implementation of our RSRM policy in our Devices supply chain to promote supply chain identification, traceability, risk assessment, and due diligence.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2021 Reporting Year achievements included the following:</w:t>
      </w:r>
    </w:p>
    <w:p>
      <w:pPr>
        <w:spacing w:after="0" w:line="117" w:lineRule="exact"/>
        <w:rPr>
          <w:sz w:val="20"/>
          <w:szCs w:val="20"/>
          <w:color w:val="auto"/>
        </w:rPr>
      </w:pPr>
    </w:p>
    <w:p>
      <w:pPr>
        <w:ind w:left="1000" w:hanging="439"/>
        <w:spacing w:after="0" w:line="246"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supported supplier efforts to increase their responsible sourcing capabilities through supplier forums, training, webinars, and by providing technical resources;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320" w:top="283" w:right="419" w:bottom="1440" w:gutter="0" w:footer="0" w:header="0"/>
          <w:type w:val="continuous"/>
        </w:sectPr>
      </w:pPr>
    </w:p>
    <w:bookmarkStart w:id="17" w:name="page18"/>
    <w:bookmarkEnd w:id="17"/>
    <w:p>
      <w:pPr>
        <w:ind w:left="1000" w:right="220" w:hanging="439"/>
        <w:spacing w:after="0" w:line="246"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continued our engagements with external responsible sourcing organizations, including but not limited to the RMI, that are committed to advancing responsible sourcing on a global basis;</w:t>
      </w:r>
    </w:p>
    <w:p>
      <w:pPr>
        <w:spacing w:after="0" w:line="102" w:lineRule="exact"/>
        <w:rPr>
          <w:rFonts w:ascii="Arial" w:cs="Arial" w:eastAsia="Arial" w:hAnsi="Arial"/>
          <w:sz w:val="18"/>
          <w:szCs w:val="18"/>
          <w:color w:val="auto"/>
        </w:rPr>
      </w:pPr>
    </w:p>
    <w:p>
      <w:pPr>
        <w:ind w:left="1000" w:right="20" w:hanging="439"/>
        <w:spacing w:after="0" w:line="246"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achieved a 100% supplier CMRT response rate through extensive supplier outreach, including a supplementary campaign to directly contact suppliers to encourage reporting;</w:t>
      </w:r>
    </w:p>
    <w:p>
      <w:pPr>
        <w:spacing w:after="0" w:line="102" w:lineRule="exact"/>
        <w:rPr>
          <w:rFonts w:ascii="Arial" w:cs="Arial" w:eastAsia="Arial" w:hAnsi="Arial"/>
          <w:sz w:val="18"/>
          <w:szCs w:val="18"/>
          <w:color w:val="auto"/>
        </w:rPr>
      </w:pPr>
    </w:p>
    <w:p>
      <w:pPr>
        <w:ind w:left="1000" w:right="320" w:hanging="439"/>
        <w:spacing w:after="0" w:line="246"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conducted a data validation and verification program to randomly audit CMRT information submitted to us by suppliers to validate and confirm that supplier data was accurate and complete;</w:t>
      </w:r>
    </w:p>
    <w:p>
      <w:pPr>
        <w:spacing w:after="0" w:line="102" w:lineRule="exact"/>
        <w:rPr>
          <w:rFonts w:ascii="Arial" w:cs="Arial" w:eastAsia="Arial" w:hAnsi="Arial"/>
          <w:sz w:val="18"/>
          <w:szCs w:val="18"/>
          <w:color w:val="auto"/>
        </w:rPr>
      </w:pPr>
    </w:p>
    <w:p>
      <w:pPr>
        <w:ind w:left="1000" w:right="600" w:hanging="439"/>
        <w:spacing w:after="0" w:line="246"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expanded due diligence program across all in-scope suppliers to capture sourcing data on additional priority minerals including aluminum, cobalt, copper, lithium, magnesium, and nickel.</w:t>
      </w:r>
    </w:p>
    <w:p>
      <w:pPr>
        <w:spacing w:after="0" w:line="19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Going forward, Microsoft will remain focused on internal and external efforts to promote the responsible sourcing of minerals from CAHRAs, including Covered Countries, including:</w:t>
      </w:r>
    </w:p>
    <w:p>
      <w:pPr>
        <w:spacing w:after="0" w:line="102" w:lineRule="exact"/>
        <w:rPr>
          <w:sz w:val="20"/>
          <w:szCs w:val="20"/>
          <w:color w:val="auto"/>
        </w:rPr>
      </w:pPr>
    </w:p>
    <w:p>
      <w:pPr>
        <w:ind w:left="1000" w:right="340" w:hanging="439"/>
        <w:spacing w:after="0" w:line="24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our knowledge about 3TGs, cobalt, and other critical raw materials to effectively implement our RSRM strategy to promote the responsible sourcing of raw materials across our hardware supply chains;</w:t>
      </w:r>
    </w:p>
    <w:p>
      <w:pPr>
        <w:spacing w:after="0" w:line="102" w:lineRule="exact"/>
        <w:rPr>
          <w:rFonts w:ascii="Arial" w:cs="Arial" w:eastAsia="Arial" w:hAnsi="Arial"/>
          <w:sz w:val="18"/>
          <w:szCs w:val="18"/>
          <w:color w:val="auto"/>
        </w:rPr>
      </w:pPr>
    </w:p>
    <w:p>
      <w:pPr>
        <w:ind w:left="1000" w:right="700" w:hanging="439"/>
        <w:spacing w:after="0" w:line="24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Requiring our in-scope suppliers to meet our requirements for responsibly sourcing raw materials and finding alternative upstream suppliers if they are found to be sourcing from non-conformant SORs;</w:t>
      </w:r>
    </w:p>
    <w:p>
      <w:pPr>
        <w:spacing w:after="0" w:line="102" w:lineRule="exact"/>
        <w:rPr>
          <w:rFonts w:ascii="Arial" w:cs="Arial" w:eastAsia="Arial" w:hAnsi="Arial"/>
          <w:sz w:val="18"/>
          <w:szCs w:val="18"/>
          <w:color w:val="auto"/>
        </w:rPr>
      </w:pPr>
    </w:p>
    <w:p>
      <w:pPr>
        <w:ind w:left="1000" w:hanging="439"/>
        <w:spacing w:after="0" w:line="24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Engaging with in-scope suppliers so that they utilize supplier best practices and tools for responsibly sourcing raw materials from CAHRAs, including Covered Countries;</w:t>
      </w:r>
    </w:p>
    <w:p>
      <w:pPr>
        <w:spacing w:after="0" w:line="102" w:lineRule="exact"/>
        <w:rPr>
          <w:rFonts w:ascii="Arial" w:cs="Arial" w:eastAsia="Arial" w:hAnsi="Arial"/>
          <w:sz w:val="18"/>
          <w:szCs w:val="18"/>
          <w:color w:val="auto"/>
        </w:rPr>
      </w:pPr>
    </w:p>
    <w:p>
      <w:pPr>
        <w:ind w:left="1000" w:right="300" w:hanging="439"/>
        <w:spacing w:after="0" w:line="24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Furthering engagement with industry organizations and external stakeholders to improve mineral traceability, establish global responsible sourcing standards, and support due diligence programs in the mineral supply chain;</w:t>
      </w:r>
    </w:p>
    <w:p>
      <w:pPr>
        <w:spacing w:after="0" w:line="102" w:lineRule="exact"/>
        <w:rPr>
          <w:rFonts w:ascii="Arial" w:cs="Arial" w:eastAsia="Arial" w:hAnsi="Arial"/>
          <w:sz w:val="18"/>
          <w:szCs w:val="18"/>
          <w:color w:val="auto"/>
        </w:rPr>
      </w:pPr>
    </w:p>
    <w:p>
      <w:pPr>
        <w:ind w:left="1000" w:right="220" w:hanging="439"/>
        <w:spacing w:after="0" w:line="24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Leveraging Full Material Disclosure and other supplier data to fine-tune supplier data requests and verify and confirm reported critical raw material information; and</w:t>
      </w:r>
    </w:p>
    <w:p>
      <w:pPr>
        <w:spacing w:after="0" w:line="102" w:lineRule="exact"/>
        <w:rPr>
          <w:rFonts w:ascii="Arial" w:cs="Arial" w:eastAsia="Arial" w:hAnsi="Arial"/>
          <w:sz w:val="18"/>
          <w:szCs w:val="18"/>
          <w:color w:val="auto"/>
        </w:rPr>
      </w:pPr>
    </w:p>
    <w:p>
      <w:pPr>
        <w:jc w:val="both"/>
        <w:ind w:left="1000" w:hanging="439"/>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Supporting the efforts of the RMI in developing the Minerals Agnostic Standard and Pilot Reporting Template (“PRT”), anticipated to be released in late 2022, which will provide a platform to collect data on all minerals, thus significantly expanding the scope of industry-wide minerals due diligence.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28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Eligible SORs for 2021 Reporting Year</w:t>
      </w:r>
    </w:p>
    <w:p>
      <w:pPr>
        <w:spacing w:after="0" w:line="126" w:lineRule="exact"/>
        <w:rPr>
          <w:sz w:val="20"/>
          <w:szCs w:val="20"/>
          <w:color w:val="auto"/>
        </w:rPr>
      </w:pPr>
    </w:p>
    <w:p>
      <w:pPr>
        <w:ind w:left="460" w:right="200"/>
        <w:spacing w:after="0" w:line="246" w:lineRule="auto"/>
        <w:rPr>
          <w:sz w:val="20"/>
          <w:szCs w:val="20"/>
          <w:color w:val="auto"/>
        </w:rPr>
      </w:pPr>
      <w:r>
        <w:rPr>
          <w:rFonts w:ascii="Arial" w:cs="Arial" w:eastAsia="Arial" w:hAnsi="Arial"/>
          <w:sz w:val="18"/>
          <w:szCs w:val="18"/>
          <w:color w:val="auto"/>
        </w:rPr>
        <w:t>This Appendix lists the 322 Eligible SORs which processed 3TGs during the 2021 Reporting Year. Please note that Eligible SORs are listed for each 3TG they processed. Therefore, certain Eligible SORs may be represented more than once.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5120" w:type="dxa"/>
            <w:vAlign w:val="bottom"/>
          </w:tcPr>
          <w:p>
            <w:pPr>
              <w:ind w:left="1800"/>
              <w:spacing w:after="0"/>
              <w:rPr>
                <w:sz w:val="20"/>
                <w:szCs w:val="20"/>
                <w:color w:val="auto"/>
              </w:rPr>
            </w:pPr>
            <w:r>
              <w:rPr>
                <w:rFonts w:ascii="Arial" w:cs="Arial" w:eastAsia="Arial" w:hAnsi="Arial"/>
                <w:sz w:val="14"/>
                <w:szCs w:val="14"/>
                <w:b w:val="1"/>
                <w:bCs w:val="1"/>
                <w:color w:val="auto"/>
              </w:rPr>
              <w:t>Official Smelter Name</w:t>
            </w:r>
          </w:p>
        </w:tc>
        <w:tc>
          <w:tcPr>
            <w:tcW w:w="100" w:type="dxa"/>
            <w:vAlign w:val="bottom"/>
          </w:tcPr>
          <w:p>
            <w:pPr>
              <w:spacing w:after="0"/>
              <w:rPr>
                <w:sz w:val="16"/>
                <w:szCs w:val="16"/>
                <w:color w:val="auto"/>
              </w:rPr>
            </w:pPr>
          </w:p>
        </w:tc>
        <w:tc>
          <w:tcPr>
            <w:tcW w:w="4900" w:type="dxa"/>
            <w:vAlign w:val="bottom"/>
          </w:tcPr>
          <w:p>
            <w:pPr>
              <w:ind w:left="1900"/>
              <w:spacing w:after="0"/>
              <w:rPr>
                <w:sz w:val="20"/>
                <w:szCs w:val="20"/>
                <w:color w:val="auto"/>
              </w:rPr>
            </w:pPr>
            <w:r>
              <w:rPr>
                <w:rFonts w:ascii="Arial" w:cs="Arial" w:eastAsia="Arial" w:hAnsi="Arial"/>
                <w:sz w:val="14"/>
                <w:szCs w:val="14"/>
                <w:b w:val="1"/>
                <w:bCs w:val="1"/>
                <w:color w:val="auto"/>
              </w:rPr>
              <w:t>Smelter Country</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4"/>
              </w:rPr>
              <w:t>Gold</w:t>
            </w:r>
          </w:p>
        </w:tc>
        <w:tc>
          <w:tcPr>
            <w:tcW w:w="740" w:type="dxa"/>
            <w:vAlign w:val="bottom"/>
          </w:tcPr>
          <w:p>
            <w:pPr>
              <w:spacing w:after="0"/>
              <w:rPr>
                <w:sz w:val="16"/>
                <w:szCs w:val="16"/>
                <w:color w:val="auto"/>
              </w:rPr>
            </w:pPr>
          </w:p>
        </w:tc>
        <w:tc>
          <w:tcPr>
            <w:tcW w:w="5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Matsuda Sangyo Co., Ltd.</w:t>
            </w:r>
          </w:p>
        </w:tc>
        <w:tc>
          <w:tcPr>
            <w:tcW w:w="100" w:type="dxa"/>
            <w:vAlign w:val="bottom"/>
          </w:tcPr>
          <w:p>
            <w:pPr>
              <w:spacing w:after="0"/>
              <w:rPr>
                <w:sz w:val="16"/>
                <w:szCs w:val="16"/>
                <w:color w:val="auto"/>
              </w:rPr>
            </w:pPr>
          </w:p>
        </w:tc>
        <w:tc>
          <w:tcPr>
            <w:tcW w:w="4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Japan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Ogussa Osterreichische Gold- und Silber-Scheideanstalt GmbH</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Austria</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Singway Technology Co.,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Taiwan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8853 S.p.A.</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Metalurgica Met-Mex Penoles S.A. De C.V.</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SOE Shyolkovsky Factory of Secondary Precious Metals</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Russian Federation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Solar Applied Materials Technology Corp.</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Taiwan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Metal Concentrators SA (Pty)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Refinery of Seemine Gold Co.,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Advanced Chemical Company</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Metalor Technologies (Hong Kong)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Metalor Technologies (Singapore) Pte.,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Metalor Technologies (Suzhou)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Metalor Technologies S.A.</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Metalor USA Refining Corporation</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Asahi Refining Canada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Aida Chemical Industries Co.,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Geib Refining Corporation</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Degussa Sonne / Mond Goldhandel GmbH</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L’Orfebre S.A.</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Andorra</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Al Etihad Gold Refinery DMCC</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United Arab Emirates</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Pease &amp; Curren</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SAAMP</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Allgemeine Gold-und Silberscheideanstalt A.G.</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Industrial Refining Company</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Belgium</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Almalyk Mining and Metallurgical Complex (AMMC)</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Uzbekistan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Sudan Gold Refinery</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Sudan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Mitsubishi Materials Corporation</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Mitsui Mining and Smelting Co.,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MMTC-PAMP India Pvt.,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Sumitomo Metal Mining Co., Ltd.</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Morris and Watson</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New Zealand</w:t>
            </w:r>
          </w:p>
        </w:tc>
      </w:tr>
      <w:tr>
        <w:trPr>
          <w:trHeight w:val="202"/>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Moscow Special Alloys Processing Plant</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Russian Federation</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AngloGold Ashanti Corrego do Sitio Mineracao</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5120" w:type="dxa"/>
            <w:vAlign w:val="bottom"/>
          </w:tcPr>
          <w:p>
            <w:pPr>
              <w:spacing w:after="0" w:line="202" w:lineRule="exact"/>
              <w:rPr>
                <w:sz w:val="20"/>
                <w:szCs w:val="20"/>
                <w:color w:val="auto"/>
              </w:rPr>
            </w:pPr>
            <w:r>
              <w:rPr>
                <w:rFonts w:ascii="Arial" w:cs="Arial" w:eastAsia="Arial" w:hAnsi="Arial"/>
                <w:sz w:val="18"/>
                <w:szCs w:val="18"/>
                <w:color w:val="auto"/>
              </w:rPr>
              <w:t>Nadir Metal Rafineri San. Ve Tic. A.S.</w:t>
            </w:r>
          </w:p>
        </w:tc>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Turkey</w:t>
            </w:r>
          </w:p>
        </w:tc>
      </w:tr>
      <w:tr>
        <w:trPr>
          <w:trHeight w:val="217"/>
        </w:trPr>
        <w:tc>
          <w:tcPr>
            <w:tcW w:w="1120" w:type="dxa"/>
            <w:vAlign w:val="bottom"/>
            <w:gridSpan w:val="2"/>
          </w:tcPr>
          <w:p>
            <w:pPr>
              <w:spacing w:after="0"/>
              <w:rPr>
                <w:sz w:val="20"/>
                <w:szCs w:val="20"/>
                <w:color w:val="auto"/>
              </w:rPr>
            </w:pPr>
            <w:r>
              <w:rPr>
                <w:rFonts w:ascii="Arial" w:cs="Arial" w:eastAsia="Arial" w:hAnsi="Arial"/>
                <w:sz w:val="18"/>
                <w:szCs w:val="18"/>
                <w:color w:val="auto"/>
              </w:rPr>
              <w:t>Gold</w:t>
            </w:r>
          </w:p>
        </w:tc>
        <w:tc>
          <w:tcPr>
            <w:tcW w:w="5120" w:type="dxa"/>
            <w:vAlign w:val="bottom"/>
          </w:tcPr>
          <w:p>
            <w:pPr>
              <w:spacing w:after="0"/>
              <w:rPr>
                <w:sz w:val="20"/>
                <w:szCs w:val="20"/>
                <w:color w:val="auto"/>
              </w:rPr>
            </w:pPr>
            <w:r>
              <w:rPr>
                <w:rFonts w:ascii="Arial" w:cs="Arial" w:eastAsia="Arial" w:hAnsi="Arial"/>
                <w:sz w:val="18"/>
                <w:szCs w:val="18"/>
                <w:color w:val="auto"/>
              </w:rPr>
              <w:t>Guangdong Jinding Gold Limited</w:t>
            </w: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51"/>
        </w:trPr>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20" w:type="dxa"/>
            <w:vAlign w:val="bottom"/>
          </w:tcPr>
          <w:p>
            <w:pPr>
              <w:ind w:left="4360"/>
              <w:spacing w:after="0"/>
              <w:rPr>
                <w:sz w:val="20"/>
                <w:szCs w:val="20"/>
                <w:color w:val="auto"/>
              </w:rPr>
            </w:pPr>
            <w:r>
              <w:rPr>
                <w:rFonts w:ascii="Arial" w:cs="Arial" w:eastAsia="Arial" w:hAnsi="Arial"/>
                <w:sz w:val="18"/>
                <w:szCs w:val="18"/>
                <w:color w:val="auto"/>
              </w:rPr>
              <w:t>A-1</w:t>
            </w:r>
          </w:p>
        </w:tc>
        <w:tc>
          <w:tcPr>
            <w:tcW w:w="10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rPr>
                <w:sz w:val="20"/>
                <w:szCs w:val="20"/>
                <w:color w:val="auto"/>
              </w:rPr>
            </w:pPr>
            <w:r>
              <w:rPr>
                <w:rFonts w:ascii="Arial" w:cs="Arial" w:eastAsia="Arial" w:hAnsi="Arial"/>
                <w:sz w:val="18"/>
                <w:szCs w:val="18"/>
                <w:color w:val="auto"/>
              </w:rPr>
              <w:t>T.C.A S.p.A</w:t>
            </w:r>
          </w:p>
        </w:tc>
        <w:tc>
          <w:tcPr>
            <w:tcW w:w="1900" w:type="dxa"/>
            <w:vAlign w:val="bottom"/>
          </w:tcPr>
          <w:p>
            <w:pPr>
              <w:ind w:left="200"/>
              <w:spacing w:after="0"/>
              <w:rPr>
                <w:sz w:val="20"/>
                <w:szCs w:val="20"/>
                <w:color w:val="auto"/>
              </w:rPr>
            </w:pPr>
            <w:r>
              <w:rPr>
                <w:rFonts w:ascii="Arial" w:cs="Arial" w:eastAsia="Arial" w:hAnsi="Arial"/>
                <w:sz w:val="18"/>
                <w:szCs w:val="18"/>
                <w:color w:val="auto"/>
              </w:rPr>
              <w:t>Italy</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African Gold Refinery</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Uganda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Argor-Heraeus S.A.</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Asahi Pretec Corp.</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Asaka Riken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Bangalore Refinery</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Navoi Mining and Metallurgical Combinat</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Uzbekistan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Tanaka Kikinzoku Kogyo K.K.</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Atasay Kuyumculuk Sanayi Ve Ticaret A.S.</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Turkey</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GCC Gujrat Gold Centre Pvt.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Aurubis AG</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Hunan Guiyang yinxing Nonferrous Smelting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Nihon Material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Bangko Sentral ng Pilipinas (Central Bank of the Philippines)</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Philippines</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Hangzhou Fuchunjiang Smelting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Great Wall Precious Metals Co., Ltd. of CBPM</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Shandong Gold Smelting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International Precious Metal Refiners</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w w:val="98"/>
              </w:rPr>
              <w:t>United Arab Emirates</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QG Refining, LLC</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LT Metal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Republic of Korea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Heimerle + Meule GmbH</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Planta Recuperadora de Metales SpA</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Chile</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Heraeus Metals Hong Kong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2"/>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Boliden AB</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Heraeus Precious Metals GmbH &amp; Co. KG</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Tokuriki Honten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Tongling Nonferrous Metals Group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TOO Tau-Ken-Altyn</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Kazakhstan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Torecom</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Republic of Korea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C. Hafner GmbH + Co. KG</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Ohura Precious Metal Industry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OJSC Novosibirsk Refinery</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Russian Federation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Caridad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OJSC “The Gulidov Krasnoyarsk Non-Ferrous Metals Plant”</w:t>
            </w:r>
          </w:p>
        </w:tc>
        <w:tc>
          <w:tcPr>
            <w:tcW w:w="190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(OJSC Krastsvetmet)</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Russian Federation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CCR Refinery—Glencore Canada Corporation</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Canada</w:t>
            </w:r>
          </w:p>
        </w:tc>
      </w:tr>
      <w:tr>
        <w:trPr>
          <w:trHeight w:val="202"/>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Cendres + Metaux S.A.</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Umicore Precious Metals Thailand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Thailand</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Umicore S.A. Business Unit Precious Metals Refining</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Belgium</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Hunan Chenzhou Mining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PAMP S.A.</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United Precious Metal Refining, Inc.</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Penglai Penggang Gold Industry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HwaSeong CJ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Republic of Korea</w:t>
            </w:r>
          </w:p>
        </w:tc>
      </w:t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rPr>
                <w:sz w:val="20"/>
                <w:szCs w:val="20"/>
                <w:color w:val="auto"/>
              </w:rPr>
            </w:pPr>
            <w:r>
              <w:rPr>
                <w:rFonts w:ascii="Arial" w:cs="Arial" w:eastAsia="Arial" w:hAnsi="Arial"/>
                <w:sz w:val="18"/>
                <w:szCs w:val="18"/>
                <w:color w:val="auto"/>
              </w:rPr>
              <w:t>Chimet S.p.A.</w:t>
            </w:r>
          </w:p>
        </w:tc>
        <w:tc>
          <w:tcPr>
            <w:tcW w:w="1900" w:type="dxa"/>
            <w:vAlign w:val="bottom"/>
          </w:tcPr>
          <w:p>
            <w:pPr>
              <w:ind w:left="200"/>
              <w:spacing w:after="0"/>
              <w:rPr>
                <w:sz w:val="20"/>
                <w:szCs w:val="20"/>
                <w:color w:val="auto"/>
              </w:rPr>
            </w:pPr>
            <w:r>
              <w:rPr>
                <w:rFonts w:ascii="Arial" w:cs="Arial" w:eastAsia="Arial" w:hAnsi="Arial"/>
                <w:sz w:val="18"/>
                <w:szCs w:val="18"/>
                <w:color w:val="auto"/>
              </w:rPr>
              <w:t>Italy</w:t>
            </w:r>
          </w:p>
        </w:tc>
      </w:tr>
      <w:tr>
        <w:trPr>
          <w:trHeight w:val="351"/>
        </w:trPr>
        <w:tc>
          <w:tcPr>
            <w:tcW w:w="760" w:type="dxa"/>
            <w:vAlign w:val="bottom"/>
          </w:tcPr>
          <w:p>
            <w:pPr>
              <w:spacing w:after="0"/>
              <w:rPr>
                <w:sz w:val="24"/>
                <w:szCs w:val="24"/>
                <w:color w:val="auto"/>
              </w:rPr>
            </w:pPr>
          </w:p>
        </w:tc>
        <w:tc>
          <w:tcPr>
            <w:tcW w:w="5380" w:type="dxa"/>
            <w:vAlign w:val="bottom"/>
          </w:tcPr>
          <w:p>
            <w:pPr>
              <w:ind w:left="4720"/>
              <w:spacing w:after="0"/>
              <w:rPr>
                <w:sz w:val="20"/>
                <w:szCs w:val="20"/>
                <w:color w:val="auto"/>
              </w:rPr>
            </w:pPr>
            <w:r>
              <w:rPr>
                <w:rFonts w:ascii="Arial" w:cs="Arial" w:eastAsia="Arial" w:hAnsi="Arial"/>
                <w:sz w:val="18"/>
                <w:szCs w:val="18"/>
                <w:color w:val="auto"/>
              </w:rPr>
              <w:t>A-2</w:t>
            </w:r>
          </w:p>
        </w:tc>
        <w:tc>
          <w:tcPr>
            <w:tcW w:w="1900" w:type="dxa"/>
            <w:vAlign w:val="bottom"/>
          </w:tcPr>
          <w:p>
            <w:pPr>
              <w:spacing w:after="0"/>
              <w:rPr>
                <w:sz w:val="24"/>
                <w:szCs w:val="24"/>
                <w:color w:val="auto"/>
              </w:rPr>
            </w:pPr>
          </w:p>
        </w:tc>
      </w:tr>
    </w:tbl>
    <w:p>
      <w:pPr>
        <w:sectPr>
          <w:pgSz w:w="11900" w:h="16838" w:orient="portrait"/>
          <w:cols w:equalWidth="0" w:num="1">
            <w:col w:w="10139"/>
          </w:cols>
          <w:pgMar w:left="320" w:top="283" w:right="1440"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rPr>
                <w:sz w:val="20"/>
                <w:szCs w:val="20"/>
                <w:color w:val="auto"/>
              </w:rPr>
            </w:pPr>
            <w:r>
              <w:rPr>
                <w:rFonts w:ascii="Arial" w:cs="Arial" w:eastAsia="Arial" w:hAnsi="Arial"/>
                <w:sz w:val="18"/>
                <w:szCs w:val="18"/>
                <w:color w:val="auto"/>
              </w:rPr>
              <w:t>Valcambi S.A.</w:t>
            </w:r>
          </w:p>
        </w:tc>
        <w:tc>
          <w:tcPr>
            <w:tcW w:w="1900" w:type="dxa"/>
            <w:vAlign w:val="bottom"/>
          </w:tcPr>
          <w:p>
            <w:pPr>
              <w:ind w:left="200"/>
              <w:spacing w:after="0"/>
              <w:rPr>
                <w:sz w:val="20"/>
                <w:szCs w:val="20"/>
                <w:color w:val="auto"/>
              </w:rPr>
            </w:pPr>
            <w:r>
              <w:rPr>
                <w:rFonts w:ascii="Arial" w:cs="Arial" w:eastAsia="Arial" w:hAnsi="Arial"/>
                <w:sz w:val="18"/>
                <w:szCs w:val="18"/>
                <w:color w:val="auto"/>
              </w:rPr>
              <w:t>Switzerland</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Inner Mongolia Qiankun Gold and Silver Refinery Share Co.,</w:t>
            </w:r>
          </w:p>
        </w:tc>
        <w:tc>
          <w:tcPr>
            <w:tcW w:w="190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Prioksky Plant of Non-Ferrous Metals</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Russian Federation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Chugai Mining</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PT Aneka Tambang (Persero) Tbk</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Western Australian Mint (T/a The Perth Mint)</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Ishifuku Metal Industry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Istanbul Gold Refinery</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Turkey</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Italpreziosi</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WIELAND Edelmetalle GmbH</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Japan Mint</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CGR Metalloys Pvt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Dijllah Gold Refinery FZC</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w w:val="98"/>
              </w:rPr>
              <w:t>United Arab Emirates</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Sovereign Metals</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C.I Metales Procesados Industriales SAS</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Colombia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Jiangxi Copper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PX Precinox S.A.</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Daye Non-Ferrous Metals Mining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Yamakin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Guoda Safina High-Tech Environmental Refinery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Rand Refinery (Pty)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NH Recytech Company</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Republic of Korea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Eco-System Recycling Co., Ltd. North Plant</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Eco-System Recycling Co., Ltd. West Plant</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2"/>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DSC (Do Sung Corporation)</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Republic of Korea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Asahi Refining USA Inc.</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DODUCO Contacts and Refining GmbH</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Yokohama Metal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JSC Ekaterinburg Non-Ferrous Metal Processing Plant</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Russian Federation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JSC Uralelectromed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Russian Federation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JX Nippon Mining &amp; Metals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AU Traders and Refiners</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Kaloti Precious Metals</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w w:val="98"/>
              </w:rPr>
              <w:t>United Arab Emirates</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Yunnan Copper Industry Co., Ltd.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Augmont Enterprises Private Limited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Kazakhmys Smelting LLC</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Kazakhstan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Kazzinc</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Kazakhstan</w:t>
            </w:r>
          </w:p>
        </w:tc>
      </w:tr>
      <w:tr>
        <w:trPr>
          <w:trHeight w:val="202"/>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Royal Canadian Mint</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REMONDIS PMR B.V.</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Sai Refinery</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Sabin Metal Corp.</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Modeltech Sdn Bhd</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Malaysia</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Safimet S.p.A</w:t>
            </w: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360"/>
              <w:spacing w:after="0"/>
              <w:rPr>
                <w:sz w:val="20"/>
                <w:szCs w:val="20"/>
                <w:color w:val="auto"/>
              </w:rPr>
            </w:pPr>
            <w:r>
              <w:rPr>
                <w:rFonts w:ascii="Arial" w:cs="Arial" w:eastAsia="Arial" w:hAnsi="Arial"/>
                <w:sz w:val="18"/>
                <w:szCs w:val="18"/>
                <w:color w:val="auto"/>
              </w:rPr>
              <w:t>Kyshtym Copper-Electrolytic Plant ZAO</w:t>
            </w:r>
          </w:p>
        </w:tc>
        <w:tc>
          <w:tcPr>
            <w:tcW w:w="1900" w:type="dxa"/>
            <w:vAlign w:val="bottom"/>
          </w:tcPr>
          <w:p>
            <w:pPr>
              <w:ind w:left="200"/>
              <w:spacing w:after="0"/>
              <w:rPr>
                <w:sz w:val="20"/>
                <w:szCs w:val="20"/>
                <w:color w:val="auto"/>
              </w:rPr>
            </w:pPr>
            <w:r>
              <w:rPr>
                <w:rFonts w:ascii="Arial" w:cs="Arial" w:eastAsia="Arial" w:hAnsi="Arial"/>
                <w:sz w:val="18"/>
                <w:szCs w:val="18"/>
                <w:color w:val="auto"/>
              </w:rPr>
              <w:t>Russian Federation</w:t>
            </w:r>
          </w:p>
        </w:tc>
      </w:tr>
      <w:tr>
        <w:trPr>
          <w:trHeight w:val="351"/>
        </w:trPr>
        <w:tc>
          <w:tcPr>
            <w:tcW w:w="760" w:type="dxa"/>
            <w:vAlign w:val="bottom"/>
          </w:tcPr>
          <w:p>
            <w:pPr>
              <w:spacing w:after="0"/>
              <w:rPr>
                <w:sz w:val="24"/>
                <w:szCs w:val="24"/>
                <w:color w:val="auto"/>
              </w:rPr>
            </w:pPr>
          </w:p>
        </w:tc>
        <w:tc>
          <w:tcPr>
            <w:tcW w:w="5380" w:type="dxa"/>
            <w:vAlign w:val="bottom"/>
          </w:tcPr>
          <w:p>
            <w:pPr>
              <w:ind w:left="4720"/>
              <w:spacing w:after="0"/>
              <w:rPr>
                <w:sz w:val="20"/>
                <w:szCs w:val="20"/>
                <w:color w:val="auto"/>
              </w:rPr>
            </w:pPr>
            <w:r>
              <w:rPr>
                <w:rFonts w:ascii="Arial" w:cs="Arial" w:eastAsia="Arial" w:hAnsi="Arial"/>
                <w:sz w:val="18"/>
                <w:szCs w:val="18"/>
                <w:color w:val="auto"/>
              </w:rPr>
              <w:t>A-3</w:t>
            </w:r>
          </w:p>
        </w:tc>
        <w:tc>
          <w:tcPr>
            <w:tcW w:w="1900" w:type="dxa"/>
            <w:vAlign w:val="bottom"/>
          </w:tcPr>
          <w:p>
            <w:pPr>
              <w:spacing w:after="0"/>
              <w:rPr>
                <w:sz w:val="24"/>
                <w:szCs w:val="24"/>
                <w:color w:val="auto"/>
              </w:rPr>
            </w:pPr>
          </w:p>
        </w:tc>
      </w:tr>
    </w:tbl>
    <w:p>
      <w:pPr>
        <w:sectPr>
          <w:pgSz w:w="11900" w:h="16838" w:orient="portrait"/>
          <w:cols w:equalWidth="0" w:num="1">
            <w:col w:w="10139"/>
          </w:cols>
          <w:pgMar w:left="320" w:top="283" w:right="1440"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rPr>
                <w:sz w:val="20"/>
                <w:szCs w:val="20"/>
                <w:color w:val="auto"/>
              </w:rPr>
            </w:pPr>
            <w:r>
              <w:rPr>
                <w:rFonts w:ascii="Arial" w:cs="Arial" w:eastAsia="Arial" w:hAnsi="Arial"/>
                <w:sz w:val="18"/>
                <w:szCs w:val="18"/>
                <w:color w:val="auto"/>
              </w:rPr>
              <w:t>SAFINA A.S.</w:t>
            </w:r>
          </w:p>
        </w:tc>
        <w:tc>
          <w:tcPr>
            <w:tcW w:w="1980" w:type="dxa"/>
            <w:vAlign w:val="bottom"/>
          </w:tcPr>
          <w:p>
            <w:pPr>
              <w:ind w:left="280"/>
              <w:spacing w:after="0"/>
              <w:rPr>
                <w:sz w:val="20"/>
                <w:szCs w:val="20"/>
                <w:color w:val="auto"/>
              </w:rPr>
            </w:pPr>
            <w:r>
              <w:rPr>
                <w:rFonts w:ascii="Arial" w:cs="Arial" w:eastAsia="Arial" w:hAnsi="Arial"/>
                <w:sz w:val="18"/>
                <w:szCs w:val="18"/>
                <w:color w:val="auto"/>
              </w:rPr>
              <w:t>Czech Republic</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Kennecott Utah Copper LLC</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KGHM Polska Miedz Spolka Akcyjna</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Poland</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Dowa</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Samduck Precious Metals</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Republic of Korea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Alexy Metals</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Sancus ZFS (L’Orfebre, SA)</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Colombia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SAMWON METALS Corp.</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Republic of Korea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Kojima Chemicals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Abington Reldan Metals, LLC</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Korea Zinc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Republic of Korea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Shandong Humon Smelting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Zhongyuan Gold Smelter of Zhongjin Gold Corporation</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SAXONIA Edelmetalle GmbH</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Gold Refinery of Zijin Mining Group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WEEEREFINING</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Eco-System Recycling Co., Ltd. East Plant</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SEMPSA Joyeria Plateria S.A.</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Kyrgyzaltyn JSC</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Kyrgyzstan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L’azurde Company for Jewelry</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Saudi Arabia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Emirates Gold DMCC</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w w:val="98"/>
              </w:rPr>
              <w:t>United Arab Emirates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SungEel HiMetal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Republic of Korea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Shandong Tiancheng Biological Gold Industrial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Shandong Zhaojin Gold &amp; Silver Refinery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Lingbao Gold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Lingbao Jinyuan Tonghui Refinery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2"/>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LS-NIKKO Copper Inc.</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Republic of Korea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Fidelity Printers and Refiners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Zimbabwe</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Luoyang Zijin Yinhui Gold Refinery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State Research Institute Center for Physical Sciences and</w:t>
            </w:r>
          </w:p>
        </w:tc>
        <w:tc>
          <w:tcPr>
            <w:tcW w:w="198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Technology</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Lithuania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Marsam Metals</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Sichuan Tianze Precious Metals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Fujairah Gold FZC</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w w:val="98"/>
              </w:rPr>
              <w:t>United Arab Emirates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Materion</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Solikamsk Magnesium Works OAO</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Russian Federation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Metallurgical Products India Pvt.,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Jiangxi Tuohong New Raw Material</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Mineracao Taboca S.A.</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Global Advanced Metals Aizu</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Japan</w:t>
            </w:r>
          </w:p>
        </w:tc>
      </w:tr>
      <w:tr>
        <w:trPr>
          <w:trHeight w:val="202"/>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Global Advanced Metals Boyertown</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Mitsui Mining and Smelting Co., Ltd.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NPM Silmet AS</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Estonia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XIMEI RESOURCES (GUANGDONG) LIMITED</w:t>
            </w:r>
          </w:p>
        </w:tc>
        <w:tc>
          <w:tcPr>
            <w:tcW w:w="198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rPr>
                <w:sz w:val="20"/>
                <w:szCs w:val="20"/>
                <w:color w:val="auto"/>
              </w:rPr>
            </w:pPr>
            <w:r>
              <w:rPr>
                <w:rFonts w:ascii="Arial" w:cs="Arial" w:eastAsia="Arial" w:hAnsi="Arial"/>
                <w:sz w:val="18"/>
                <w:szCs w:val="18"/>
                <w:color w:val="auto"/>
              </w:rPr>
              <w:t>TANIOBIS Co., Ltd.</w:t>
            </w:r>
          </w:p>
        </w:tc>
        <w:tc>
          <w:tcPr>
            <w:tcW w:w="1980" w:type="dxa"/>
            <w:vAlign w:val="bottom"/>
          </w:tcPr>
          <w:p>
            <w:pPr>
              <w:ind w:left="280"/>
              <w:spacing w:after="0"/>
              <w:rPr>
                <w:sz w:val="20"/>
                <w:szCs w:val="20"/>
                <w:color w:val="auto"/>
              </w:rPr>
            </w:pPr>
            <w:r>
              <w:rPr>
                <w:rFonts w:ascii="Arial" w:cs="Arial" w:eastAsia="Arial" w:hAnsi="Arial"/>
                <w:sz w:val="18"/>
                <w:szCs w:val="18"/>
                <w:color w:val="auto"/>
              </w:rPr>
              <w:t>Thailand</w:t>
            </w:r>
          </w:p>
        </w:tc>
      </w:tr>
      <w:tr>
        <w:trPr>
          <w:trHeight w:val="351"/>
        </w:trPr>
        <w:tc>
          <w:tcPr>
            <w:tcW w:w="920" w:type="dxa"/>
            <w:vAlign w:val="bottom"/>
          </w:tcPr>
          <w:p>
            <w:pPr>
              <w:spacing w:after="0"/>
              <w:rPr>
                <w:sz w:val="24"/>
                <w:szCs w:val="24"/>
                <w:color w:val="auto"/>
              </w:rPr>
            </w:pPr>
          </w:p>
        </w:tc>
        <w:tc>
          <w:tcPr>
            <w:tcW w:w="5140" w:type="dxa"/>
            <w:vAlign w:val="bottom"/>
          </w:tcPr>
          <w:p>
            <w:pPr>
              <w:ind w:left="4560"/>
              <w:spacing w:after="0"/>
              <w:rPr>
                <w:sz w:val="20"/>
                <w:szCs w:val="20"/>
                <w:color w:val="auto"/>
              </w:rPr>
            </w:pPr>
            <w:r>
              <w:rPr>
                <w:rFonts w:ascii="Arial" w:cs="Arial" w:eastAsia="Arial" w:hAnsi="Arial"/>
                <w:sz w:val="18"/>
                <w:szCs w:val="18"/>
                <w:color w:val="auto"/>
              </w:rPr>
              <w:t>A-4</w:t>
            </w:r>
          </w:p>
        </w:tc>
        <w:tc>
          <w:tcPr>
            <w:tcW w:w="1980" w:type="dxa"/>
            <w:vAlign w:val="bottom"/>
          </w:tcPr>
          <w:p>
            <w:pPr>
              <w:spacing w:after="0"/>
              <w:rPr>
                <w:sz w:val="24"/>
                <w:szCs w:val="24"/>
                <w:color w:val="auto"/>
              </w:rPr>
            </w:pPr>
          </w:p>
        </w:tc>
      </w:tr>
    </w:tbl>
    <w:p>
      <w:pPr>
        <w:sectPr>
          <w:pgSz w:w="11900" w:h="16838" w:orient="portrait"/>
          <w:cols w:equalWidth="0" w:num="1">
            <w:col w:w="10139"/>
          </w:cols>
          <w:pgMar w:left="320" w:top="283" w:right="1440"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rPr>
                <w:sz w:val="20"/>
                <w:szCs w:val="20"/>
                <w:color w:val="auto"/>
              </w:rPr>
            </w:pPr>
            <w:r>
              <w:rPr>
                <w:rFonts w:ascii="Arial" w:cs="Arial" w:eastAsia="Arial" w:hAnsi="Arial"/>
                <w:sz w:val="18"/>
                <w:szCs w:val="18"/>
                <w:color w:val="auto"/>
              </w:rPr>
              <w:t>TANIOBIS GmbH</w:t>
            </w:r>
          </w:p>
        </w:tc>
        <w:tc>
          <w:tcPr>
            <w:tcW w:w="1360" w:type="dxa"/>
            <w:vAlign w:val="bottom"/>
          </w:tcPr>
          <w:p>
            <w:pPr>
              <w:ind w:left="280"/>
              <w:spacing w:after="0"/>
              <w:rPr>
                <w:sz w:val="20"/>
                <w:szCs w:val="20"/>
                <w:color w:val="auto"/>
              </w:rPr>
            </w:pPr>
            <w:r>
              <w:rPr>
                <w:rFonts w:ascii="Arial" w:cs="Arial" w:eastAsia="Arial" w:hAnsi="Arial"/>
                <w:sz w:val="18"/>
                <w:szCs w:val="18"/>
                <w:color w:val="auto"/>
              </w:rPr>
              <w:t>Germany</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H.C. Starck Hermsdorf GmbH</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H.C. Starck Inc.</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w w:val="98"/>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TANIOBIS Japan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TANIOBIS Smelting GmbH &amp; Co. KG</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Telex Metals</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w w:val="98"/>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Ningxia Orient Tantalum Industry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Hengyang King Xing Lifeng New Materials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Ulba Metallurgical Plant JSC</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Kazakhstan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Changsha South Tantalum Niobium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Guangdong Rising Rare Metals-EO Materials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D Block Metals, LLC</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w w:val="98"/>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XinXing Haorong Electronic Material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QuantumClean</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w w:val="98"/>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JiuJiang JinXin Nonferrous Metals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Jiujiang Tanbre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Jiujiang Zhongao Tantalum &amp; Niobium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Resind Industria e Comercio Ltda.</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Yanling Jincheng Tantalum &amp; Niobium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KEMET de Mexico</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RFH Yancheng Jinye New Material Technology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Jiangxi Dinghai Tantalum &amp; Niobium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Taki Chemical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Exotech Inc.</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w w:val="98"/>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F&amp;X Electro-Materials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AMG Brasil</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FIR Metals &amp; Resource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Melt Metais e Ligas S.A.</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Brazil</w:t>
            </w:r>
          </w:p>
        </w:tc>
      </w:tr>
      <w:tr>
        <w:trPr>
          <w:trHeight w:val="202"/>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Soft Metais Ltda.</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Metallic Resources, Inc.</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w w:val="98"/>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Metallo Belgium N.V.</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Belgium</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Chenzhou Yunxiang Mining and Metallurgy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HuiChang Hill Tin Industry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Gejiu Kai Meng Industry and Trade LLC</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Gejiu Non-Ferrous Metal Processing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Gejiu Yunxin Nonferrous Electrolysis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Mineracao Taboca S.A.</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Minsur</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Peru</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Alpha</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w w:val="98"/>
              </w:rPr>
              <w:t>United States</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Mitsubishi Materials Corporation</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An Vinh Joint Stock Mineral Processing Company</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Viet Nam</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Guangdong Hanhe Non-Ferrous Metal Co.,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02"/>
        </w:trPr>
        <w:tc>
          <w:tcPr>
            <w:tcW w:w="9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Jiangxi New Nanshan Technology Ltd.</w:t>
            </w:r>
          </w:p>
        </w:tc>
        <w:tc>
          <w:tcPr>
            <w:tcW w:w="1360" w:type="dxa"/>
            <w:vAlign w:val="bottom"/>
          </w:tcPr>
          <w:p>
            <w:pPr>
              <w:ind w:left="280"/>
              <w:spacing w:after="0" w:line="202" w:lineRule="exact"/>
              <w:rPr>
                <w:sz w:val="20"/>
                <w:szCs w:val="20"/>
                <w:color w:val="auto"/>
              </w:rPr>
            </w:pPr>
            <w:r>
              <w:rPr>
                <w:rFonts w:ascii="Arial" w:cs="Arial" w:eastAsia="Arial" w:hAnsi="Arial"/>
                <w:sz w:val="18"/>
                <w:szCs w:val="18"/>
                <w:color w:val="auto"/>
              </w:rPr>
              <w:t>China</w:t>
            </w:r>
          </w:p>
        </w:tc>
      </w:t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5140" w:type="dxa"/>
            <w:vAlign w:val="bottom"/>
          </w:tcPr>
          <w:p>
            <w:pPr>
              <w:ind w:left="200"/>
              <w:spacing w:after="0"/>
              <w:rPr>
                <w:sz w:val="20"/>
                <w:szCs w:val="20"/>
                <w:color w:val="auto"/>
              </w:rPr>
            </w:pPr>
            <w:r>
              <w:rPr>
                <w:rFonts w:ascii="Arial" w:cs="Arial" w:eastAsia="Arial" w:hAnsi="Arial"/>
                <w:sz w:val="18"/>
                <w:szCs w:val="18"/>
                <w:color w:val="auto"/>
              </w:rPr>
              <w:t>Nghe Tinh Non-Ferrous Metals Joint Stock Company</w:t>
            </w:r>
          </w:p>
        </w:tc>
        <w:tc>
          <w:tcPr>
            <w:tcW w:w="1360" w:type="dxa"/>
            <w:vAlign w:val="bottom"/>
          </w:tcPr>
          <w:p>
            <w:pPr>
              <w:ind w:left="280"/>
              <w:spacing w:after="0"/>
              <w:rPr>
                <w:sz w:val="20"/>
                <w:szCs w:val="20"/>
                <w:color w:val="auto"/>
              </w:rPr>
            </w:pPr>
            <w:r>
              <w:rPr>
                <w:rFonts w:ascii="Arial" w:cs="Arial" w:eastAsia="Arial" w:hAnsi="Arial"/>
                <w:sz w:val="18"/>
                <w:szCs w:val="18"/>
                <w:color w:val="auto"/>
              </w:rPr>
              <w:t>Viet Nam</w:t>
            </w:r>
          </w:p>
        </w:tc>
      </w:tr>
      <w:tr>
        <w:trPr>
          <w:trHeight w:val="351"/>
        </w:trPr>
        <w:tc>
          <w:tcPr>
            <w:tcW w:w="920" w:type="dxa"/>
            <w:vAlign w:val="bottom"/>
          </w:tcPr>
          <w:p>
            <w:pPr>
              <w:spacing w:after="0"/>
              <w:rPr>
                <w:sz w:val="24"/>
                <w:szCs w:val="24"/>
                <w:color w:val="auto"/>
              </w:rPr>
            </w:pPr>
          </w:p>
        </w:tc>
        <w:tc>
          <w:tcPr>
            <w:tcW w:w="5140" w:type="dxa"/>
            <w:vAlign w:val="bottom"/>
          </w:tcPr>
          <w:p>
            <w:pPr>
              <w:ind w:left="4560"/>
              <w:spacing w:after="0"/>
              <w:rPr>
                <w:sz w:val="20"/>
                <w:szCs w:val="20"/>
                <w:color w:val="auto"/>
              </w:rPr>
            </w:pPr>
            <w:r>
              <w:rPr>
                <w:rFonts w:ascii="Arial" w:cs="Arial" w:eastAsia="Arial" w:hAnsi="Arial"/>
                <w:sz w:val="18"/>
                <w:szCs w:val="18"/>
                <w:color w:val="auto"/>
              </w:rPr>
              <w:t>A-5</w:t>
            </w:r>
          </w:p>
        </w:tc>
        <w:tc>
          <w:tcPr>
            <w:tcW w:w="1360" w:type="dxa"/>
            <w:vAlign w:val="bottom"/>
          </w:tcPr>
          <w:p>
            <w:pPr>
              <w:spacing w:after="0"/>
              <w:rPr>
                <w:sz w:val="24"/>
                <w:szCs w:val="24"/>
                <w:color w:val="auto"/>
              </w:rPr>
            </w:pPr>
          </w:p>
        </w:tc>
      </w:tr>
    </w:tbl>
    <w:p>
      <w:pPr>
        <w:sectPr>
          <w:pgSz w:w="11900" w:h="16838" w:orient="portrait"/>
          <w:cols w:equalWidth="0" w:num="1">
            <w:col w:w="10139"/>
          </w:cols>
          <w:pgMar w:left="320" w:top="283" w:right="1440"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80"/>
              <w:spacing w:after="0"/>
              <w:rPr>
                <w:sz w:val="20"/>
                <w:szCs w:val="20"/>
                <w:color w:val="auto"/>
              </w:rPr>
            </w:pPr>
            <w:r>
              <w:rPr>
                <w:rFonts w:ascii="Arial" w:cs="Arial" w:eastAsia="Arial" w:hAnsi="Arial"/>
                <w:sz w:val="18"/>
                <w:szCs w:val="18"/>
                <w:color w:val="auto"/>
              </w:rPr>
              <w:t>Thaisarco</w:t>
            </w:r>
          </w:p>
        </w:tc>
        <w:tc>
          <w:tcPr>
            <w:tcW w:w="1800" w:type="dxa"/>
            <w:vAlign w:val="bottom"/>
          </w:tcPr>
          <w:p>
            <w:pPr>
              <w:ind w:left="240"/>
              <w:spacing w:after="0"/>
              <w:rPr>
                <w:sz w:val="20"/>
                <w:szCs w:val="20"/>
                <w:color w:val="auto"/>
              </w:rPr>
            </w:pPr>
            <w:r>
              <w:rPr>
                <w:rFonts w:ascii="Arial" w:cs="Arial" w:eastAsia="Arial" w:hAnsi="Arial"/>
                <w:sz w:val="18"/>
                <w:szCs w:val="18"/>
                <w:color w:val="auto"/>
              </w:rPr>
              <w:t>Thailand</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Bangka Serumpun</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Pongpipat Company Limited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Myanmar</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Tin Technology &amp; Refining</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Dongguan CiEXPO Environmental Engineering Co., Ltd.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Masbro Alam Stania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Rajawali Rimba Perkasa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Novosibirsk Processing Plant Ltd.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w w:val="98"/>
              </w:rPr>
              <w:t>Russian Federation</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O.M. Manufacturing (Thailand) Co., Ltd.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Thailand</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O.M. Manufacturing Philippines, Inc.</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Philippines</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Tuyen Quang Non-Ferrous Metals Joint Stock Company</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Viet Nam</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Operaciones Metalurgicas S.A.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Bolivia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Thai Nguyen Mining and Metallurgy Co., Ltd.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Viet Nam</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Ma’anshan Weitai Tin Co., Ltd.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China Tin Group Co., Ltd.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Aries Kencana Sejahtera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Artha Cipta Langgeng</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ATD Makmur Mandiri Jaya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Babel Inti Perkasa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Babel Surya Alam Lestari</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Belitung Industri Sejahtera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Bukit Timah</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Cipta Persada Mulia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White Solder Metalurgia e Mineracao Ltda.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CRM Synergies</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Yunnan Yunfan Non-ferrous Metals Co., Ltd.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Mitra Stania Prima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Panca Mega Persada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Timah Nusantara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Prima Timah Utama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2"/>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Refined Bangka Tin</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Sariwiguna Binasentosa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Gejiu City Fuxiang Industry and Trade Co., Ltd.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CV Venus Inti Perkasa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Stanindo Inti Perkasa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Sukses Inti Makmur</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Precious Minerals and Smelting Limited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Luna Smelter, Ltd.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Rwanda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Timah Tbk Mentok</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Timah Tbk Kundur</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Tinindo Inter Nusa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PT Tommy Utama</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80" w:type="dxa"/>
            <w:vAlign w:val="bottom"/>
          </w:tcPr>
          <w:p>
            <w:pPr>
              <w:ind w:left="380"/>
              <w:spacing w:after="0" w:line="202" w:lineRule="exact"/>
              <w:rPr>
                <w:sz w:val="20"/>
                <w:szCs w:val="20"/>
                <w:color w:val="auto"/>
              </w:rPr>
            </w:pPr>
            <w:r>
              <w:rPr>
                <w:rFonts w:ascii="Arial" w:cs="Arial" w:eastAsia="Arial" w:hAnsi="Arial"/>
                <w:sz w:val="18"/>
                <w:szCs w:val="18"/>
                <w:color w:val="auto"/>
              </w:rPr>
              <w:t>Chifeng Dajingzi Tin Industry Co., Ltd.</w:t>
            </w:r>
          </w:p>
        </w:tc>
        <w:tc>
          <w:tcPr>
            <w:tcW w:w="1800" w:type="dxa"/>
            <w:vAlign w:val="bottom"/>
          </w:tcPr>
          <w:p>
            <w:pPr>
              <w:ind w:left="240"/>
              <w:spacing w:after="0" w:line="202" w:lineRule="exact"/>
              <w:rPr>
                <w:sz w:val="20"/>
                <w:szCs w:val="20"/>
                <w:color w:val="auto"/>
              </w:rPr>
            </w:pPr>
            <w:r>
              <w:rPr>
                <w:rFonts w:ascii="Arial" w:cs="Arial" w:eastAsia="Arial" w:hAnsi="Arial"/>
                <w:sz w:val="18"/>
                <w:szCs w:val="18"/>
                <w:color w:val="auto"/>
              </w:rPr>
              <w:t>China</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80"/>
              <w:spacing w:after="0"/>
              <w:rPr>
                <w:sz w:val="20"/>
                <w:szCs w:val="20"/>
                <w:color w:val="auto"/>
              </w:rPr>
            </w:pPr>
            <w:r>
              <w:rPr>
                <w:rFonts w:ascii="Arial" w:cs="Arial" w:eastAsia="Arial" w:hAnsi="Arial"/>
                <w:sz w:val="18"/>
                <w:szCs w:val="18"/>
                <w:color w:val="auto"/>
              </w:rPr>
              <w:t>PT Mitra Sukses Globalindo</w:t>
            </w:r>
          </w:p>
        </w:tc>
        <w:tc>
          <w:tcPr>
            <w:tcW w:w="1800" w:type="dxa"/>
            <w:vAlign w:val="bottom"/>
          </w:tcPr>
          <w:p>
            <w:pPr>
              <w:ind w:left="240"/>
              <w:spacing w:after="0"/>
              <w:rPr>
                <w:sz w:val="20"/>
                <w:szCs w:val="20"/>
                <w:color w:val="auto"/>
              </w:rPr>
            </w:pPr>
            <w:r>
              <w:rPr>
                <w:rFonts w:ascii="Arial" w:cs="Arial" w:eastAsia="Arial" w:hAnsi="Arial"/>
                <w:sz w:val="18"/>
                <w:szCs w:val="18"/>
                <w:color w:val="auto"/>
              </w:rPr>
              <w:t>Indonesia</w:t>
            </w:r>
          </w:p>
        </w:tc>
      </w:tr>
      <w:tr>
        <w:trPr>
          <w:trHeight w:val="351"/>
        </w:trPr>
        <w:tc>
          <w:tcPr>
            <w:tcW w:w="620" w:type="dxa"/>
            <w:vAlign w:val="bottom"/>
          </w:tcPr>
          <w:p>
            <w:pPr>
              <w:spacing w:after="0"/>
              <w:rPr>
                <w:sz w:val="24"/>
                <w:szCs w:val="24"/>
                <w:color w:val="auto"/>
              </w:rPr>
            </w:pPr>
          </w:p>
        </w:tc>
        <w:tc>
          <w:tcPr>
            <w:tcW w:w="5380" w:type="dxa"/>
            <w:vAlign w:val="bottom"/>
          </w:tcPr>
          <w:p>
            <w:pPr>
              <w:ind w:left="4860"/>
              <w:spacing w:after="0"/>
              <w:rPr>
                <w:sz w:val="20"/>
                <w:szCs w:val="20"/>
                <w:color w:val="auto"/>
              </w:rPr>
            </w:pPr>
            <w:r>
              <w:rPr>
                <w:rFonts w:ascii="Arial" w:cs="Arial" w:eastAsia="Arial" w:hAnsi="Arial"/>
                <w:sz w:val="18"/>
                <w:szCs w:val="18"/>
                <w:color w:val="auto"/>
              </w:rPr>
              <w:t>A-6</w:t>
            </w:r>
          </w:p>
        </w:tc>
        <w:tc>
          <w:tcPr>
            <w:tcW w:w="1800" w:type="dxa"/>
            <w:vAlign w:val="bottom"/>
          </w:tcPr>
          <w:p>
            <w:pPr>
              <w:spacing w:after="0"/>
              <w:rPr>
                <w:sz w:val="24"/>
                <w:szCs w:val="24"/>
                <w:color w:val="auto"/>
              </w:rPr>
            </w:pPr>
          </w:p>
        </w:tc>
      </w:tr>
    </w:tbl>
    <w:p>
      <w:pPr>
        <w:sectPr>
          <w:pgSz w:w="11900" w:h="16838" w:orient="portrait"/>
          <w:cols w:equalWidth="0" w:num="1">
            <w:col w:w="10139"/>
          </w:cols>
          <w:pgMar w:left="320" w:top="283" w:right="1440"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320" w:type="dxa"/>
            <w:vAlign w:val="bottom"/>
          </w:tcPr>
          <w:p>
            <w:pPr>
              <w:ind w:left="180"/>
              <w:spacing w:after="0"/>
              <w:rPr>
                <w:sz w:val="20"/>
                <w:szCs w:val="20"/>
                <w:color w:val="auto"/>
              </w:rPr>
            </w:pPr>
            <w:r>
              <w:rPr>
                <w:rFonts w:ascii="Arial" w:cs="Arial" w:eastAsia="Arial" w:hAnsi="Arial"/>
                <w:sz w:val="18"/>
                <w:szCs w:val="18"/>
                <w:color w:val="auto"/>
              </w:rPr>
              <w:t>Resind Industria e Comercio Ltda.</w:t>
            </w:r>
          </w:p>
        </w:tc>
        <w:tc>
          <w:tcPr>
            <w:tcW w:w="1640" w:type="dxa"/>
            <w:vAlign w:val="bottom"/>
          </w:tcPr>
          <w:p>
            <w:pPr>
              <w:ind w:left="80"/>
              <w:spacing w:after="0"/>
              <w:rPr>
                <w:sz w:val="20"/>
                <w:szCs w:val="20"/>
                <w:color w:val="auto"/>
              </w:rPr>
            </w:pPr>
            <w:r>
              <w:rPr>
                <w:rFonts w:ascii="Arial" w:cs="Arial" w:eastAsia="Arial" w:hAnsi="Arial"/>
                <w:sz w:val="18"/>
                <w:szCs w:val="18"/>
                <w:color w:val="auto"/>
              </w:rPr>
              <w:t>Brazil</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Yunnan Chengfeng Non-ferrous Metals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Yunnan Tin Company Limited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Rui Da Hung</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Taiwan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Modeltech Sdn Bhd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Malaysia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CRM Fundicao De Metais E Comercio De Equipamentos</w:t>
            </w:r>
          </w:p>
        </w:tc>
        <w:tc>
          <w:tcPr>
            <w:tcW w:w="164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Eletronicos Do Brasil Ltda</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Dowa</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Fabrica Auricchio Industria e Comercio Ltda.</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PT Menara Cipta Mulia</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Electro-Mechanical Facility of the Cao Bang Minerals &amp;</w:t>
            </w:r>
          </w:p>
        </w:tc>
        <w:tc>
          <w:tcPr>
            <w:tcW w:w="164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Metallurgy Joint Stock Company</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Viet Nam</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Super Ligas</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Metallo Spain S.L.U.</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EM Vinto</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Bolivia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Estanho de Rondonia S.A.</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Fenix Metals</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Poland</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Magnu’s Minerais Metais e Ligas Ltda.</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Gejiu Zili Mining and Metallurgy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Malaysia Smelting Corporation (MSC)</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Malaysia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A.L.M.T. TUNGSTEN Corp.</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Ganzhou Haichuang Tungsten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Ganzhou Huaxing Tungsten Products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Ganzhou Jiangwu Ferrotungsten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ACL Metais Eireli</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Ganzhou Seadragon W &amp; Mo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Moliren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w w:val="98"/>
              </w:rPr>
              <w:t>Russian Federation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Xinfeng Huarui Tungsten &amp; Molybdenum New Material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Global Tungsten &amp; Powders Corp.</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Guangdong Xianglu Tungsten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Asia Tungsten Products Vietnam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Viet Nam</w:t>
            </w:r>
          </w:p>
        </w:tc>
      </w:tr>
      <w:tr>
        <w:trPr>
          <w:trHeight w:val="202"/>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H.C. Starck Tungsten GmbH</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Niagara Refining LLC</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TANIOBIS Smelting GmbH &amp; Co. KG</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KGETS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Republic of Korea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Masan High-Tech Materials</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Viet Nam</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Hunan Chenzhou Mining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Hunan Chunchang Nonferrous Metals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Chenzhou Diamond Tungsten Products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Hydrometallurg, JSC</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w w:val="98"/>
              </w:rPr>
              <w:t>Russian Federation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Chongyi Zhangyuan Tungsten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CNMC (Guangxi) PGMA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Japan New Metals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China Molybdenum Co., Ltd.</w:t>
            </w:r>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5320" w:type="dxa"/>
            <w:vAlign w:val="bottom"/>
          </w:tcPr>
          <w:p>
            <w:pPr>
              <w:ind w:left="180"/>
              <w:spacing w:after="0"/>
              <w:rPr>
                <w:sz w:val="20"/>
                <w:szCs w:val="20"/>
                <w:color w:val="auto"/>
              </w:rPr>
            </w:pPr>
            <w:r>
              <w:rPr>
                <w:rFonts w:ascii="Arial" w:cs="Arial" w:eastAsia="Arial" w:hAnsi="Arial"/>
                <w:sz w:val="18"/>
                <w:szCs w:val="18"/>
                <w:color w:val="auto"/>
              </w:rPr>
              <w:t>Fujian Ganmin RareMetal Co., Ltd.</w:t>
            </w:r>
          </w:p>
        </w:tc>
        <w:tc>
          <w:tcPr>
            <w:tcW w:w="164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351"/>
        </w:trPr>
        <w:tc>
          <w:tcPr>
            <w:tcW w:w="940" w:type="dxa"/>
            <w:vAlign w:val="bottom"/>
          </w:tcPr>
          <w:p>
            <w:pPr>
              <w:spacing w:after="0"/>
              <w:rPr>
                <w:sz w:val="24"/>
                <w:szCs w:val="24"/>
                <w:color w:val="auto"/>
              </w:rPr>
            </w:pPr>
          </w:p>
        </w:tc>
        <w:tc>
          <w:tcPr>
            <w:tcW w:w="5320" w:type="dxa"/>
            <w:vAlign w:val="bottom"/>
          </w:tcPr>
          <w:p>
            <w:pPr>
              <w:ind w:left="4540"/>
              <w:spacing w:after="0"/>
              <w:rPr>
                <w:sz w:val="20"/>
                <w:szCs w:val="20"/>
                <w:color w:val="auto"/>
              </w:rPr>
            </w:pPr>
            <w:r>
              <w:rPr>
                <w:rFonts w:ascii="Arial" w:cs="Arial" w:eastAsia="Arial" w:hAnsi="Arial"/>
                <w:sz w:val="18"/>
                <w:szCs w:val="18"/>
                <w:color w:val="auto"/>
              </w:rPr>
              <w:t>A-7</w:t>
            </w:r>
          </w:p>
        </w:tc>
        <w:tc>
          <w:tcPr>
            <w:tcW w:w="1640" w:type="dxa"/>
            <w:vAlign w:val="bottom"/>
          </w:tcPr>
          <w:p>
            <w:pPr>
              <w:spacing w:after="0"/>
              <w:rPr>
                <w:sz w:val="24"/>
                <w:szCs w:val="24"/>
                <w:color w:val="auto"/>
              </w:rPr>
            </w:pPr>
          </w:p>
        </w:tc>
      </w:tr>
    </w:tbl>
    <w:p>
      <w:pPr>
        <w:sectPr>
          <w:pgSz w:w="11900" w:h="16838" w:orient="portrait"/>
          <w:cols w:equalWidth="0" w:num="1">
            <w:col w:w="10139"/>
          </w:cols>
          <w:pgMar w:left="320" w:top="283" w:right="1440"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rPr>
                <w:sz w:val="20"/>
                <w:szCs w:val="20"/>
                <w:color w:val="auto"/>
              </w:rPr>
            </w:pPr>
            <w:r>
              <w:rPr>
                <w:rFonts w:ascii="Arial" w:cs="Arial" w:eastAsia="Arial" w:hAnsi="Arial"/>
                <w:sz w:val="18"/>
                <w:szCs w:val="18"/>
                <w:color w:val="auto"/>
              </w:rPr>
              <w:t>Wolfram Bergbau und Hutten AG</w:t>
            </w:r>
          </w:p>
        </w:tc>
        <w:tc>
          <w:tcPr>
            <w:tcW w:w="1700" w:type="dxa"/>
            <w:vAlign w:val="bottom"/>
          </w:tcPr>
          <w:p>
            <w:pPr>
              <w:ind w:left="140"/>
              <w:spacing w:after="0"/>
              <w:rPr>
                <w:sz w:val="20"/>
                <w:szCs w:val="20"/>
                <w:color w:val="auto"/>
              </w:rPr>
            </w:pPr>
            <w:r>
              <w:rPr>
                <w:rFonts w:ascii="Arial" w:cs="Arial" w:eastAsia="Arial" w:hAnsi="Arial"/>
                <w:sz w:val="18"/>
                <w:szCs w:val="18"/>
                <w:color w:val="auto"/>
              </w:rPr>
              <w:t>Austria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JSC “Kirovgrad Hard Alloys Plant”</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w w:val="98"/>
              </w:rPr>
              <w:t>Russian Federation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Lianyou Metals Co.,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Taiwan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Jingmen Dewei GEM Tungsten Resources Recycling Co.,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NPP Tyazhmetprom LLC</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w w:val="98"/>
              </w:rPr>
              <w:t>Russian Federation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Jiangwu H.C. Starck Tungsten Products Co.,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Xiamen Tungsten (H.C.) Co.,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Xiamen Tungsten Co.,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Jiangxi Gan Bei Tungsten Co.,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Jiangxi Minmetals Gao’an Non-ferrous Metals Co.,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Jiangxi Tonggu Non-ferrous Metallurgical &amp; Chemical Co.,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Jiangxi Xinsheng Tungsten Industry Co.,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Jiangxi Yaosheng Tungsten Co.,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Albasteel Industria e Comercio de Ligas Para Fundicao Ltd.</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Cronimet Brasil Ltda</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Philippine Chuangxin Industrial Co., Inc.</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Philippines</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Kennametal Fallon</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Kennametal Huntsville</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Unecha Refractory Metals Plant</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w w:val="98"/>
              </w:rPr>
              <w:t>Russian Federation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OOO “Technolom” 1</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w w:val="98"/>
              </w:rPr>
              <w:t>Russian Federation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OOO “Technolom” 2</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w w:val="98"/>
              </w:rPr>
              <w:t>Russian Federation</w:t>
            </w: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Fujian Xinlu Tungsten</w:t>
            </w:r>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5260" w:type="dxa"/>
            <w:vAlign w:val="bottom"/>
          </w:tcPr>
          <w:p>
            <w:pPr>
              <w:ind w:left="180"/>
              <w:spacing w:after="0"/>
              <w:rPr>
                <w:sz w:val="20"/>
                <w:szCs w:val="20"/>
                <w:color w:val="auto"/>
              </w:rPr>
            </w:pPr>
            <w:r>
              <w:rPr>
                <w:rFonts w:ascii="Arial" w:cs="Arial" w:eastAsia="Arial" w:hAnsi="Arial"/>
                <w:sz w:val="18"/>
                <w:szCs w:val="18"/>
                <w:color w:val="auto"/>
              </w:rPr>
              <w:t>Malipo Haiyu Tungsten Co., Ltd.</w:t>
            </w:r>
          </w:p>
        </w:tc>
        <w:tc>
          <w:tcPr>
            <w:tcW w:w="1700" w:type="dxa"/>
            <w:vAlign w:val="bottom"/>
          </w:tcPr>
          <w:p>
            <w:pPr>
              <w:ind w:left="140"/>
              <w:spacing w:after="0"/>
              <w:rPr>
                <w:sz w:val="20"/>
                <w:szCs w:val="20"/>
                <w:color w:val="auto"/>
              </w:rPr>
            </w:pPr>
            <w:r>
              <w:rPr>
                <w:rFonts w:ascii="Arial" w:cs="Arial" w:eastAsia="Arial" w:hAnsi="Arial"/>
                <w:sz w:val="18"/>
                <w:szCs w:val="18"/>
                <w:color w:val="auto"/>
              </w:rPr>
              <w:t>China</w:t>
            </w:r>
          </w:p>
        </w:tc>
      </w:tr>
      <w:tr>
        <w:trPr>
          <w:trHeight w:val="351"/>
        </w:trPr>
        <w:tc>
          <w:tcPr>
            <w:tcW w:w="940" w:type="dxa"/>
            <w:vAlign w:val="bottom"/>
          </w:tcPr>
          <w:p>
            <w:pPr>
              <w:spacing w:after="0"/>
              <w:rPr>
                <w:sz w:val="24"/>
                <w:szCs w:val="24"/>
                <w:color w:val="auto"/>
              </w:rPr>
            </w:pPr>
          </w:p>
        </w:tc>
        <w:tc>
          <w:tcPr>
            <w:tcW w:w="5260" w:type="dxa"/>
            <w:vAlign w:val="bottom"/>
          </w:tcPr>
          <w:p>
            <w:pPr>
              <w:ind w:left="4540"/>
              <w:spacing w:after="0"/>
              <w:rPr>
                <w:sz w:val="20"/>
                <w:szCs w:val="20"/>
                <w:color w:val="auto"/>
              </w:rPr>
            </w:pPr>
            <w:r>
              <w:rPr>
                <w:rFonts w:ascii="Arial" w:cs="Arial" w:eastAsia="Arial" w:hAnsi="Arial"/>
                <w:sz w:val="18"/>
                <w:szCs w:val="18"/>
                <w:color w:val="auto"/>
              </w:rPr>
              <w:t>A-8</w:t>
            </w:r>
          </w:p>
        </w:tc>
        <w:tc>
          <w:tcPr>
            <w:tcW w:w="17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139"/>
      </w:cols>
      <w:pgMar w:left="32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upperLetter"/>
      <w:start w:val="9"/>
    </w:lvl>
  </w:abstractNum>
  <w:abstractNum w:abstractNumId="2">
    <w:nsid w:val="519B500D"/>
    <w:multiLevelType w:val="hybridMultilevel"/>
    <w:lvl w:ilvl="0">
      <w:lvlJc w:val="left"/>
      <w:lvlText w:val="1"/>
      <w:numFmt w:val="bullet"/>
      <w:start w:val="1"/>
    </w:lvl>
  </w:abstractNum>
  <w:abstractNum w:abstractNumId="3">
    <w:nsid w:val="431BD7B7"/>
    <w:multiLevelType w:val="hybridMultilevel"/>
    <w:lvl w:ilvl="0">
      <w:lvlJc w:val="left"/>
      <w:lvlText w:val="2"/>
      <w:numFmt w:val="bullet"/>
      <w:start w:val="1"/>
    </w:lvl>
  </w:abstractNum>
  <w:abstractNum w:abstractNumId="4">
    <w:nsid w:val="3F2DBA31"/>
    <w:multiLevelType w:val="hybridMultilevel"/>
    <w:lvl w:ilvl="0">
      <w:lvlJc w:val="left"/>
      <w:lvlText w:val="%1."/>
      <w:numFmt w:val="upperLetter"/>
      <w:start w:val="35"/>
    </w:lvl>
  </w:abstractNum>
  <w:abstractNum w:abstractNumId="5">
    <w:nsid w:val="7C83E458"/>
    <w:multiLevelType w:val="hybridMultilevel"/>
    <w:lvl w:ilvl="0">
      <w:lvlJc w:val="left"/>
      <w:lvlText w:val="%1."/>
      <w:numFmt w:val="upperLetter"/>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4"/>
    </w:lvl>
  </w:abstractNum>
  <w:abstractNum w:abstractNumId="11">
    <w:nsid w:val="721DA317"/>
    <w:multiLevelType w:val="hybridMultilevel"/>
    <w:lvl w:ilvl="0">
      <w:lvlJc w:val="left"/>
      <w:lvlText w:val="%1."/>
      <w:numFmt w:val="decimal"/>
      <w:start w:val="5"/>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6"/>
    </w:lvl>
  </w:abstractNum>
  <w:abstractNum w:abstractNumId="14">
    <w:nsid w:val="6763845E"/>
    <w:multiLevelType w:val="hybridMultilevel"/>
    <w:lvl w:ilvl="0">
      <w:lvlJc w:val="left"/>
      <w:lvlText w:val="%1."/>
      <w:numFmt w:val="upperLetter"/>
      <w:start w:val="2"/>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3"/>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upperLetter"/>
      <w:start w:val="3"/>
    </w:lvl>
  </w:abstractNum>
  <w:abstractNum w:abstractNumId="19">
    <w:nsid w:val="B03E0C6"/>
    <w:multiLevelType w:val="hybridMultilevel"/>
    <w:lvl w:ilvl="0">
      <w:lvlJc w:val="left"/>
      <w:lvlText w:val="%1."/>
      <w:numFmt w:val="decimal"/>
      <w:start w:val="7"/>
    </w:lvl>
  </w:abstractNum>
  <w:abstractNum w:abstractNumId="20">
    <w:nsid w:val="189A769B"/>
    <w:multiLevelType w:val="hybridMultilevel"/>
    <w:lvl w:ilvl="0">
      <w:lvlJc w:val="left"/>
      <w:lvlText w:val="%1."/>
      <w:numFmt w:val="decimal"/>
      <w:start w:val="8"/>
    </w:lvl>
  </w:abstractNum>
  <w:abstractNum w:abstractNumId="21">
    <w:nsid w:val="54E49EB4"/>
    <w:multiLevelType w:val="hybridMultilevel"/>
    <w:lvl w:ilvl="0">
      <w:lvlJc w:val="left"/>
      <w:lvlText w:val="%1."/>
      <w:numFmt w:val="upperLetter"/>
      <w:start w:val="4"/>
    </w:lvl>
  </w:abstractNum>
  <w:abstractNum w:abstractNumId="22">
    <w:nsid w:val="71F32454"/>
    <w:multiLevelType w:val="hybridMultilevel"/>
    <w:lvl w:ilvl="0">
      <w:lvlJc w:val="left"/>
      <w:lvlText w:val="%1."/>
      <w:numFmt w:val="upperLetter"/>
      <w:start w:val="5"/>
    </w:lvl>
  </w:abstractNum>
  <w:abstractNum w:abstractNumId="23">
    <w:nsid w:val="2CA88611"/>
    <w:multiLevelType w:val="hybridMultilevel"/>
    <w:lvl w:ilvl="0">
      <w:lvlJc w:val="left"/>
      <w:lvlText w:val="%1."/>
      <w:numFmt w:val="upperLetter"/>
      <w:start w:val="61"/>
    </w:lvl>
  </w:abstractNum>
  <w:abstractNum w:abstractNumId="24">
    <w:nsid w:val="836C40E"/>
    <w:multiLevelType w:val="hybridMultilevel"/>
    <w:lvl w:ilvl="0">
      <w:lvlJc w:val="left"/>
      <w:lvlText w:val="%1."/>
      <w:numFmt w:val="upperLetter"/>
      <w:start w:val="6"/>
    </w:lvl>
  </w:abstractNum>
  <w:abstractNum w:abstractNumId="25">
    <w:nsid w:val="2901D82"/>
    <w:multiLevelType w:val="hybridMultilevel"/>
    <w:lvl w:ilvl="0">
      <w:lvlJc w:val="left"/>
      <w:lvlText w:val="4"/>
      <w:numFmt w:val="bullet"/>
      <w:start w:val="1"/>
    </w:lvl>
  </w:abstractNum>
  <w:abstractNum w:abstractNumId="26">
    <w:nsid w:val="3A95F874"/>
    <w:multiLevelType w:val="hybridMultilevel"/>
    <w:lvl w:ilvl="0">
      <w:lvlJc w:val="left"/>
      <w:lvlText w:val="5"/>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upperLetter"/>
      <w:start w:val="7"/>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2022-05-31T13:55:09Z</dcterms:created>
  <dcterms:modified xsi:type="dcterms:W3CDTF">2022-05-31T13:55:09Z</dcterms:modified>
</cp:coreProperties>
</file>