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PETERSON SANDRA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MICROSOFT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MICROSOFT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98052-6399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MICROSOFT CORP</w:t>
              </w:r>
            </w:hyperlink>
            <w:r>
              <w:rPr/>
              <w:t xml:space="preserve"> [ </w:t>
            </w:r>
            <w:r>
              <w:rPr>
                <w:rFonts w:ascii="Times;serif" w:hAnsi="Times;serif"/>
                <w:color w:val="0000FF"/>
                <w:sz w:val="24"/>
                <w:shd w:fill="FFFFFF" w:val="clear"/>
              </w:rPr>
              <w:t>MSFT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91"/>
        <w:gridCol w:w="801"/>
        <w:gridCol w:w="801"/>
        <w:gridCol w:w="1071"/>
        <w:gridCol w:w="831"/>
        <w:gridCol w:w="846"/>
      </w:tblGrid>
      <w:tr>
        <w:trPr>
          <w:tblHeader w:val="true"/>
        </w:trPr>
        <w:tc>
          <w:tcPr>
            <w:tcW w:w="123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48.902</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48.902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26,511.947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Microsoft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Dividend equivalent rights accrue when and as dividends are paid on the Company's common stock and become exercisable proportionately with the restricted stock units to which they relate.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are fully vested. Delivery of the shares to the reporting person will be made 30 days after the date of the reporting person's separation from service to the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Julia Stark, Attorney-in-fact for Sandra E. Peterson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2752" TargetMode="External"/><Relationship Id="rId5" Type="http://schemas.openxmlformats.org/officeDocument/2006/relationships/hyperlink" Target="http://www.sec.gov/cgi-bin/browse-edgar?action=getcompany&amp;CIK=0000789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656</Words>
  <Characters>3563</Characters>
  <CharactersWithSpaces>4143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