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Nadella Satya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MICROSOFT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MICROSOFT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REDMOND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98052-6399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MICROSOFT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MSFT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11"/>
        <w:gridCol w:w="897"/>
        <w:gridCol w:w="771"/>
        <w:gridCol w:w="596"/>
        <w:gridCol w:w="331"/>
        <w:gridCol w:w="1223"/>
        <w:gridCol w:w="407"/>
        <w:gridCol w:w="825"/>
        <w:gridCol w:w="1409"/>
        <w:gridCol w:w="938"/>
        <w:gridCol w:w="89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1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5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8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1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178,622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643,753.378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70,465.844</w:t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513.53</w:t>
            </w:r>
          </w:p>
        </w:tc>
        <w:tc>
          <w:tcPr>
            <w:tcW w:w="1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573,287.534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51,450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GRAT 25-1</w:t>
            </w:r>
          </w:p>
        </w:tc>
      </w:tr>
      <w:tr>
        <w:trPr/>
        <w:tc>
          <w:tcPr>
            <w:tcW w:w="19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103,985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GRAT 25-2</w:t>
            </w:r>
          </w:p>
        </w:tc>
      </w:tr>
      <w:tr>
        <w:trPr/>
        <w:tc>
          <w:tcPr>
            <w:tcW w:w="19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116,300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GRAT 26-1</w:t>
            </w:r>
          </w:p>
        </w:tc>
      </w:tr>
      <w:tr>
        <w:trPr/>
        <w:tc>
          <w:tcPr>
            <w:tcW w:w="19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58,270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GRAT 26-2</w:t>
            </w:r>
          </w:p>
        </w:tc>
      </w:tr>
      <w:tr>
        <w:trPr/>
        <w:tc>
          <w:tcPr>
            <w:tcW w:w="191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101,459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GRAT 26-3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full vesting of shares earned under a performance stock award granted in September 2023 under the Microsoft Corporation Executive Incentive Plan for the 3-year performance period that ended on June 30,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Julia Stark, Attorney-in-Fact for Satya Nadella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13142" TargetMode="External"/><Relationship Id="rId5" Type="http://schemas.openxmlformats.org/officeDocument/2006/relationships/hyperlink" Target="http://www.sec.gov/cgi-bin/browse-edgar?action=getcompany&amp;CIK=00007890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643</Words>
  <Characters>3486</Characters>
  <CharactersWithSpaces>4033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