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151765</wp:posOffset>
            </wp:positionV>
            <wp:extent cx="98298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160655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June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166370</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9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81280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13" w:lineRule="exact"/>
        <w:rPr>
          <w:sz w:val="24"/>
          <w:szCs w:val="24"/>
          <w:color w:val="auto"/>
        </w:rPr>
      </w:pPr>
    </w:p>
    <w:tbl>
      <w:tblPr>
        <w:tblLayout w:type="fixed"/>
        <w:tblInd w:w="1460" w:type="dxa"/>
        <w:tblCellMar>
          <w:top w:w="0" w:type="dxa"/>
          <w:left w:w="0" w:type="dxa"/>
          <w:bottom w:w="0" w:type="dxa"/>
          <w:right w:w="0" w:type="dxa"/>
        </w:tblCellMar>
      </w:tblPr>
      <w:tr>
        <w:trPr>
          <w:trHeight w:val="141"/>
        </w:trPr>
        <w:tc>
          <w:tcPr>
            <w:tcW w:w="2640" w:type="dxa"/>
            <w:vAlign w:val="bottom"/>
          </w:tcPr>
          <w:p>
            <w:pPr>
              <w:jc w:val="center"/>
              <w:ind w:right="1346"/>
              <w:spacing w:after="0"/>
              <w:rPr>
                <w:sz w:val="20"/>
                <w:szCs w:val="20"/>
                <w:color w:val="auto"/>
              </w:rPr>
            </w:pPr>
            <w:r>
              <w:rPr>
                <w:rFonts w:ascii="Arial" w:cs="Arial" w:eastAsia="Arial" w:hAnsi="Arial"/>
                <w:sz w:val="12"/>
                <w:szCs w:val="12"/>
                <w:b w:val="1"/>
                <w:bCs w:val="1"/>
                <w:color w:val="auto"/>
                <w:w w:val="98"/>
              </w:rPr>
              <w:t>Washington</w:t>
            </w:r>
          </w:p>
        </w:tc>
        <w:tc>
          <w:tcPr>
            <w:tcW w:w="1380" w:type="dxa"/>
            <w:vAlign w:val="bottom"/>
          </w:tcPr>
          <w:p>
            <w:pPr>
              <w:ind w:left="200"/>
              <w:spacing w:after="0"/>
              <w:rPr>
                <w:sz w:val="20"/>
                <w:szCs w:val="20"/>
                <w:color w:val="auto"/>
              </w:rPr>
            </w:pPr>
            <w:r>
              <w:rPr>
                <w:rFonts w:ascii="Arial" w:cs="Arial" w:eastAsia="Arial" w:hAnsi="Arial"/>
                <w:sz w:val="12"/>
                <w:szCs w:val="12"/>
                <w:b w:val="1"/>
                <w:bCs w:val="1"/>
                <w:color w:val="auto"/>
              </w:rPr>
              <w:t>001-37845</w:t>
            </w:r>
          </w:p>
        </w:tc>
        <w:tc>
          <w:tcPr>
            <w:tcW w:w="1920" w:type="dxa"/>
            <w:vAlign w:val="bottom"/>
          </w:tcPr>
          <w:p>
            <w:pPr>
              <w:jc w:val="center"/>
              <w:ind w:left="1066"/>
              <w:spacing w:after="0"/>
              <w:rPr>
                <w:sz w:val="20"/>
                <w:szCs w:val="20"/>
                <w:color w:val="auto"/>
              </w:rPr>
            </w:pPr>
            <w:r>
              <w:rPr>
                <w:rFonts w:ascii="Arial" w:cs="Arial" w:eastAsia="Arial" w:hAnsi="Arial"/>
                <w:sz w:val="12"/>
                <w:szCs w:val="12"/>
                <w:b w:val="1"/>
                <w:bCs w:val="1"/>
                <w:color w:val="auto"/>
                <w:w w:val="99"/>
              </w:rPr>
              <w:t>91-1144442</w:t>
            </w:r>
          </w:p>
        </w:tc>
      </w:tr>
      <w:tr>
        <w:trPr>
          <w:trHeight w:val="108"/>
        </w:trPr>
        <w:tc>
          <w:tcPr>
            <w:tcW w:w="2640" w:type="dxa"/>
            <w:vAlign w:val="bottom"/>
          </w:tcPr>
          <w:p>
            <w:pPr>
              <w:jc w:val="center"/>
              <w:ind w:right="1346"/>
              <w:spacing w:after="0" w:line="108" w:lineRule="exact"/>
              <w:rPr>
                <w:sz w:val="20"/>
                <w:szCs w:val="20"/>
                <w:color w:val="auto"/>
              </w:rPr>
            </w:pPr>
            <w:r>
              <w:rPr>
                <w:rFonts w:ascii="Arial" w:cs="Arial" w:eastAsia="Arial" w:hAnsi="Arial"/>
                <w:sz w:val="10"/>
                <w:szCs w:val="10"/>
                <w:b w:val="1"/>
                <w:bCs w:val="1"/>
                <w:color w:val="auto"/>
                <w:w w:val="95"/>
              </w:rPr>
              <w:t>(State or Other Jurisdiction</w:t>
            </w:r>
          </w:p>
        </w:tc>
        <w:tc>
          <w:tcPr>
            <w:tcW w:w="1380" w:type="dxa"/>
            <w:vAlign w:val="bottom"/>
          </w:tcPr>
          <w:p>
            <w:pPr>
              <w:ind w:left="180"/>
              <w:spacing w:after="0" w:line="108" w:lineRule="exact"/>
              <w:rPr>
                <w:sz w:val="20"/>
                <w:szCs w:val="20"/>
                <w:color w:val="auto"/>
              </w:rPr>
            </w:pPr>
            <w:r>
              <w:rPr>
                <w:rFonts w:ascii="Arial" w:cs="Arial" w:eastAsia="Arial" w:hAnsi="Arial"/>
                <w:sz w:val="10"/>
                <w:szCs w:val="10"/>
                <w:b w:val="1"/>
                <w:bCs w:val="1"/>
                <w:color w:val="auto"/>
              </w:rPr>
              <w:t>(Commission</w:t>
            </w:r>
          </w:p>
        </w:tc>
        <w:tc>
          <w:tcPr>
            <w:tcW w:w="1920" w:type="dxa"/>
            <w:vAlign w:val="bottom"/>
          </w:tcPr>
          <w:p>
            <w:pPr>
              <w:jc w:val="center"/>
              <w:ind w:left="1066"/>
              <w:spacing w:after="0" w:line="108" w:lineRule="exact"/>
              <w:rPr>
                <w:sz w:val="20"/>
                <w:szCs w:val="20"/>
                <w:color w:val="auto"/>
              </w:rPr>
            </w:pPr>
            <w:r>
              <w:rPr>
                <w:rFonts w:ascii="Arial" w:cs="Arial" w:eastAsia="Arial" w:hAnsi="Arial"/>
                <w:sz w:val="10"/>
                <w:szCs w:val="10"/>
                <w:b w:val="1"/>
                <w:bCs w:val="1"/>
                <w:color w:val="auto"/>
                <w:w w:val="93"/>
              </w:rPr>
              <w:t>(IRS Employer</w:t>
            </w:r>
          </w:p>
        </w:tc>
      </w:tr>
      <w:tr>
        <w:trPr>
          <w:trHeight w:val="131"/>
        </w:trPr>
        <w:tc>
          <w:tcPr>
            <w:tcW w:w="2640" w:type="dxa"/>
            <w:vAlign w:val="bottom"/>
          </w:tcPr>
          <w:p>
            <w:pPr>
              <w:jc w:val="center"/>
              <w:ind w:right="1346"/>
              <w:spacing w:after="0"/>
              <w:rPr>
                <w:sz w:val="20"/>
                <w:szCs w:val="20"/>
                <w:color w:val="auto"/>
              </w:rPr>
            </w:pPr>
            <w:r>
              <w:rPr>
                <w:rFonts w:ascii="Arial" w:cs="Arial" w:eastAsia="Arial" w:hAnsi="Arial"/>
                <w:sz w:val="10"/>
                <w:szCs w:val="10"/>
                <w:b w:val="1"/>
                <w:bCs w:val="1"/>
                <w:color w:val="auto"/>
                <w:w w:val="94"/>
              </w:rPr>
              <w:t>of Incorporation)</w:t>
            </w:r>
          </w:p>
        </w:tc>
        <w:tc>
          <w:tcPr>
            <w:tcW w:w="1380" w:type="dxa"/>
            <w:vAlign w:val="bottom"/>
          </w:tcPr>
          <w:p>
            <w:pPr>
              <w:ind w:left="180"/>
              <w:spacing w:after="0"/>
              <w:rPr>
                <w:sz w:val="20"/>
                <w:szCs w:val="20"/>
                <w:color w:val="auto"/>
              </w:rPr>
            </w:pPr>
            <w:r>
              <w:rPr>
                <w:rFonts w:ascii="Arial" w:cs="Arial" w:eastAsia="Arial" w:hAnsi="Arial"/>
                <w:sz w:val="10"/>
                <w:szCs w:val="10"/>
                <w:b w:val="1"/>
                <w:bCs w:val="1"/>
                <w:color w:val="auto"/>
              </w:rPr>
              <w:t>File Number)</w:t>
            </w:r>
          </w:p>
        </w:tc>
        <w:tc>
          <w:tcPr>
            <w:tcW w:w="1920" w:type="dxa"/>
            <w:vAlign w:val="bottom"/>
          </w:tcPr>
          <w:p>
            <w:pPr>
              <w:jc w:val="center"/>
              <w:ind w:left="1066"/>
              <w:spacing w:after="0"/>
              <w:rPr>
                <w:sz w:val="20"/>
                <w:szCs w:val="20"/>
                <w:color w:val="auto"/>
              </w:rPr>
            </w:pPr>
            <w:r>
              <w:rPr>
                <w:rFonts w:ascii="Arial" w:cs="Arial" w:eastAsia="Arial" w:hAnsi="Arial"/>
                <w:sz w:val="10"/>
                <w:szCs w:val="10"/>
                <w:b w:val="1"/>
                <w:bCs w:val="1"/>
                <w:color w:val="auto"/>
                <w:w w:val="94"/>
              </w:rPr>
              <w:t>Identification No.)</w:t>
            </w:r>
          </w:p>
        </w:tc>
      </w:tr>
      <w:tr>
        <w:trPr>
          <w:trHeight w:val="307"/>
        </w:trPr>
        <w:tc>
          <w:tcPr>
            <w:tcW w:w="2640" w:type="dxa"/>
            <w:vAlign w:val="bottom"/>
          </w:tcPr>
          <w:p>
            <w:pPr>
              <w:spacing w:after="0"/>
              <w:rPr>
                <w:sz w:val="20"/>
                <w:szCs w:val="20"/>
                <w:color w:val="auto"/>
              </w:rPr>
            </w:pPr>
            <w:r>
              <w:rPr>
                <w:rFonts w:ascii="Arial" w:cs="Arial" w:eastAsia="Arial" w:hAnsi="Arial"/>
                <w:sz w:val="12"/>
                <w:szCs w:val="12"/>
                <w:b w:val="1"/>
                <w:bCs w:val="1"/>
                <w:color w:val="auto"/>
              </w:rPr>
              <w:t>One Microsoft Way, Redmond, Washington</w:t>
            </w:r>
          </w:p>
        </w:tc>
        <w:tc>
          <w:tcPr>
            <w:tcW w:w="1380" w:type="dxa"/>
            <w:vAlign w:val="bottom"/>
          </w:tcPr>
          <w:p>
            <w:pPr>
              <w:spacing w:after="0"/>
              <w:rPr>
                <w:sz w:val="24"/>
                <w:szCs w:val="24"/>
                <w:color w:val="auto"/>
              </w:rPr>
            </w:pPr>
          </w:p>
        </w:tc>
        <w:tc>
          <w:tcPr>
            <w:tcW w:w="1920" w:type="dxa"/>
            <w:vAlign w:val="bottom"/>
          </w:tcPr>
          <w:p>
            <w:pPr>
              <w:jc w:val="right"/>
              <w:ind w:right="626"/>
              <w:spacing w:after="0"/>
              <w:rPr>
                <w:sz w:val="20"/>
                <w:szCs w:val="20"/>
                <w:color w:val="auto"/>
              </w:rPr>
            </w:pPr>
            <w:r>
              <w:rPr>
                <w:rFonts w:ascii="Arial" w:cs="Arial" w:eastAsia="Arial" w:hAnsi="Arial"/>
                <w:sz w:val="12"/>
                <w:szCs w:val="12"/>
                <w:b w:val="1"/>
                <w:bCs w:val="1"/>
                <w:color w:val="auto"/>
              </w:rPr>
              <w:t>98052-6399</w:t>
            </w:r>
          </w:p>
        </w:tc>
      </w:tr>
    </w:tbl>
    <w:p>
      <w:pPr>
        <w:spacing w:after="0" w:line="11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(425) 882-8080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www.microsoft.com/investor</w:t>
      </w:r>
    </w:p>
    <w:p>
      <w:pPr>
        <w:spacing w:after="0" w:line="121" w:lineRule="exact"/>
        <w:rPr>
          <w:sz w:val="24"/>
          <w:szCs w:val="24"/>
          <w:color w:val="auto"/>
        </w:rPr>
      </w:pPr>
    </w:p>
    <w:p>
      <w:pPr>
        <w:ind w:left="840" w:right="839"/>
        <w:spacing w:after="0" w:line="270"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41"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67" w:lineRule="exact"/>
        <w:rPr>
          <w:sz w:val="24"/>
          <w:szCs w:val="24"/>
          <w:color w:val="auto"/>
        </w:rPr>
      </w:pPr>
    </w:p>
    <w:tbl>
      <w:tblPr>
        <w:tblLayout w:type="fixed"/>
        <w:tblInd w:w="840" w:type="dxa"/>
        <w:tblCellMar>
          <w:top w:w="0" w:type="dxa"/>
          <w:left w:w="0" w:type="dxa"/>
          <w:bottom w:w="0" w:type="dxa"/>
          <w:right w:w="0" w:type="dxa"/>
        </w:tblCellMar>
      </w:tblPr>
      <w:tr>
        <w:trPr>
          <w:trHeight w:val="122"/>
        </w:trPr>
        <w:tc>
          <w:tcPr>
            <w:tcW w:w="4320" w:type="dxa"/>
            <w:vAlign w:val="bottom"/>
            <w:gridSpan w:val="2"/>
          </w:tcPr>
          <w:p>
            <w:pPr>
              <w:ind w:left="1740"/>
              <w:spacing w:after="0"/>
              <w:rPr>
                <w:sz w:val="20"/>
                <w:szCs w:val="20"/>
                <w:color w:val="auto"/>
              </w:rPr>
            </w:pPr>
            <w:r>
              <w:rPr>
                <w:rFonts w:ascii="Arial" w:cs="Arial" w:eastAsia="Arial" w:hAnsi="Arial"/>
                <w:sz w:val="10"/>
                <w:szCs w:val="10"/>
                <w:color w:val="auto"/>
              </w:rPr>
              <w:t>Title of each class</w:t>
            </w:r>
          </w:p>
        </w:tc>
        <w:tc>
          <w:tcPr>
            <w:tcW w:w="1040" w:type="dxa"/>
            <w:vAlign w:val="bottom"/>
            <w:gridSpan w:val="2"/>
          </w:tcPr>
          <w:p>
            <w:pPr>
              <w:jc w:val="center"/>
              <w:ind w:right="60"/>
              <w:spacing w:after="0"/>
              <w:rPr>
                <w:sz w:val="20"/>
                <w:szCs w:val="20"/>
                <w:color w:val="auto"/>
              </w:rPr>
            </w:pPr>
            <w:r>
              <w:rPr>
                <w:rFonts w:ascii="Arial" w:cs="Arial" w:eastAsia="Arial" w:hAnsi="Arial"/>
                <w:sz w:val="10"/>
                <w:szCs w:val="10"/>
                <w:color w:val="auto"/>
                <w:w w:val="94"/>
              </w:rPr>
              <w:t>Trading Symbol</w:t>
            </w:r>
          </w:p>
        </w:tc>
        <w:tc>
          <w:tcPr>
            <w:tcW w:w="1980" w:type="dxa"/>
            <w:vAlign w:val="bottom"/>
          </w:tcPr>
          <w:p>
            <w:pPr>
              <w:jc w:val="center"/>
              <w:spacing w:after="0"/>
              <w:rPr>
                <w:sz w:val="20"/>
                <w:szCs w:val="20"/>
                <w:color w:val="auto"/>
              </w:rPr>
            </w:pPr>
            <w:r>
              <w:rPr>
                <w:rFonts w:ascii="Arial" w:cs="Arial" w:eastAsia="Arial" w:hAnsi="Arial"/>
                <w:sz w:val="10"/>
                <w:szCs w:val="10"/>
                <w:color w:val="auto"/>
                <w:w w:val="95"/>
              </w:rPr>
              <w:t>Name of exchange on which registered</w:t>
            </w:r>
          </w:p>
        </w:tc>
      </w:tr>
      <w:tr>
        <w:trPr>
          <w:trHeight w:val="111"/>
        </w:trPr>
        <w:tc>
          <w:tcPr>
            <w:tcW w:w="4260" w:type="dxa"/>
            <w:vAlign w:val="bottom"/>
            <w:tcBorders>
              <w:top w:val="single" w:sz="8" w:color="auto"/>
            </w:tcBorders>
          </w:tcPr>
          <w:p>
            <w:pPr>
              <w:spacing w:after="0" w:line="111" w:lineRule="exact"/>
              <w:rPr>
                <w:sz w:val="20"/>
                <w:szCs w:val="20"/>
                <w:color w:val="auto"/>
              </w:rPr>
            </w:pPr>
            <w:r>
              <w:rPr>
                <w:rFonts w:ascii="Arial" w:cs="Arial" w:eastAsia="Arial" w:hAnsi="Arial"/>
                <w:sz w:val="12"/>
                <w:szCs w:val="12"/>
                <w:b w:val="1"/>
                <w:bCs w:val="1"/>
                <w:color w:val="auto"/>
              </w:rPr>
              <w:t>Common stock, $0.00000625 par value per share</w:t>
            </w:r>
          </w:p>
        </w:tc>
        <w:tc>
          <w:tcPr>
            <w:tcW w:w="60" w:type="dxa"/>
            <w:vAlign w:val="bottom"/>
          </w:tcPr>
          <w:p>
            <w:pPr>
              <w:spacing w:after="0"/>
              <w:rPr>
                <w:sz w:val="9"/>
                <w:szCs w:val="9"/>
                <w:color w:val="auto"/>
              </w:rPr>
            </w:pPr>
          </w:p>
        </w:tc>
        <w:tc>
          <w:tcPr>
            <w:tcW w:w="96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MSFT</w:t>
            </w:r>
          </w:p>
        </w:tc>
        <w:tc>
          <w:tcPr>
            <w:tcW w:w="80" w:type="dxa"/>
            <w:vAlign w:val="bottom"/>
          </w:tcPr>
          <w:p>
            <w:pPr>
              <w:spacing w:after="0"/>
              <w:rPr>
                <w:sz w:val="9"/>
                <w:szCs w:val="9"/>
                <w:color w:val="auto"/>
              </w:rPr>
            </w:pPr>
          </w:p>
        </w:tc>
        <w:tc>
          <w:tcPr>
            <w:tcW w:w="198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w w:val="99"/>
              </w:rPr>
              <w:t>NASDAQ</w:t>
            </w:r>
          </w:p>
        </w:tc>
      </w:tr>
      <w:tr>
        <w:trPr>
          <w:trHeight w:val="135"/>
        </w:trPr>
        <w:tc>
          <w:tcPr>
            <w:tcW w:w="4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3.125% Notes due 2028</w:t>
            </w:r>
          </w:p>
        </w:tc>
        <w:tc>
          <w:tcPr>
            <w:tcW w:w="10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rPr>
              <w:t>MSFT</w:t>
            </w:r>
          </w:p>
        </w:tc>
        <w:tc>
          <w:tcPr>
            <w:tcW w:w="19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NASDAQ</w:t>
            </w:r>
          </w:p>
        </w:tc>
      </w:tr>
      <w:tr>
        <w:trPr>
          <w:trHeight w:val="165"/>
        </w:trPr>
        <w:tc>
          <w:tcPr>
            <w:tcW w:w="4320" w:type="dxa"/>
            <w:vAlign w:val="bottom"/>
            <w:gridSpan w:val="2"/>
          </w:tcPr>
          <w:p>
            <w:pPr>
              <w:spacing w:after="0"/>
              <w:rPr>
                <w:sz w:val="20"/>
                <w:szCs w:val="20"/>
                <w:color w:val="auto"/>
              </w:rPr>
            </w:pPr>
            <w:r>
              <w:rPr>
                <w:rFonts w:ascii="Arial" w:cs="Arial" w:eastAsia="Arial" w:hAnsi="Arial"/>
                <w:sz w:val="12"/>
                <w:szCs w:val="12"/>
                <w:b w:val="1"/>
                <w:bCs w:val="1"/>
                <w:color w:val="auto"/>
              </w:rPr>
              <w:t>2.625% Notes due 2033</w:t>
            </w:r>
          </w:p>
        </w:tc>
        <w:tc>
          <w:tcPr>
            <w:tcW w:w="10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MSFT</w:t>
            </w:r>
          </w:p>
        </w:tc>
        <w:tc>
          <w:tcPr>
            <w:tcW w:w="1980" w:type="dxa"/>
            <w:vAlign w:val="bottom"/>
          </w:tcPr>
          <w:p>
            <w:pPr>
              <w:jc w:val="center"/>
              <w:spacing w:after="0"/>
              <w:rPr>
                <w:sz w:val="20"/>
                <w:szCs w:val="20"/>
                <w:color w:val="auto"/>
              </w:rPr>
            </w:pPr>
            <w:r>
              <w:rPr>
                <w:rFonts w:ascii="Arial" w:cs="Arial" w:eastAsia="Arial" w:hAnsi="Arial"/>
                <w:sz w:val="12"/>
                <w:szCs w:val="12"/>
                <w:b w:val="1"/>
                <w:bCs w:val="1"/>
                <w:color w:val="auto"/>
                <w:w w:val="99"/>
              </w:rPr>
              <w:t>NASDAQ</w:t>
            </w:r>
          </w:p>
        </w:tc>
      </w:tr>
    </w:tbl>
    <w:p>
      <w:pPr>
        <w:spacing w:after="0" w:line="114" w:lineRule="exact"/>
        <w:rPr>
          <w:sz w:val="24"/>
          <w:szCs w:val="24"/>
          <w:color w:val="auto"/>
        </w:rPr>
      </w:pPr>
    </w:p>
    <w:p>
      <w:pPr>
        <w:jc w:val="both"/>
        <w:ind w:left="840" w:right="859"/>
        <w:spacing w:after="0" w:line="242"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 Emerging growth company</w:t>
      </w:r>
    </w:p>
    <w:p>
      <w:pPr>
        <w:spacing w:after="0" w:line="1" w:lineRule="exact"/>
        <w:rPr>
          <w:sz w:val="24"/>
          <w:szCs w:val="24"/>
          <w:color w:val="auto"/>
        </w:rPr>
      </w:pPr>
    </w:p>
    <w:p>
      <w:pPr>
        <w:ind w:left="840"/>
        <w:spacing w:after="0" w:line="121" w:lineRule="exact"/>
        <w:rPr>
          <w:sz w:val="20"/>
          <w:szCs w:val="20"/>
          <w:color w:val="auto"/>
        </w:rPr>
      </w:pPr>
      <w:r>
        <w:rPr>
          <w:rFonts w:ascii="MS PGothic" w:cs="MS PGothic" w:eastAsia="MS PGothic" w:hAnsi="MS PGothic"/>
          <w:sz w:val="12"/>
          <w:szCs w:val="12"/>
          <w:color w:val="auto"/>
        </w:rPr>
        <w:t>☐</w:t>
      </w:r>
    </w:p>
    <w:p>
      <w:pPr>
        <w:spacing w:after="0" w:line="159" w:lineRule="exact"/>
        <w:rPr>
          <w:sz w:val="24"/>
          <w:szCs w:val="24"/>
          <w:color w:val="auto"/>
        </w:rPr>
      </w:pPr>
    </w:p>
    <w:p>
      <w:pPr>
        <w:jc w:val="both"/>
        <w:ind w:left="840" w:right="859"/>
        <w:spacing w:after="0" w:line="152"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101600</wp:posOffset>
            </wp:positionV>
            <wp:extent cx="46634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 w:name="page2"/>
    <w:bookmarkEnd w:id="1"/>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7.01. Regulation FD Disclosure</w:t>
      </w:r>
    </w:p>
    <w:p>
      <w:pPr>
        <w:spacing w:after="0" w:line="69" w:lineRule="exact"/>
        <w:rPr>
          <w:sz w:val="20"/>
          <w:szCs w:val="20"/>
          <w:color w:val="auto"/>
        </w:rPr>
      </w:pPr>
    </w:p>
    <w:p>
      <w:pPr>
        <w:ind w:left="840" w:right="939"/>
        <w:spacing w:after="0" w:line="270" w:lineRule="auto"/>
        <w:rPr>
          <w:sz w:val="20"/>
          <w:szCs w:val="20"/>
          <w:color w:val="auto"/>
        </w:rPr>
      </w:pPr>
      <w:r>
        <w:rPr>
          <w:rFonts w:ascii="Arial" w:cs="Arial" w:eastAsia="Arial" w:hAnsi="Arial"/>
          <w:sz w:val="12"/>
          <w:szCs w:val="12"/>
          <w:color w:val="auto"/>
        </w:rPr>
        <w:t>On June 2, 2022, Microsoft Corporation updated our guidance for the quarter ending June 30, 2022 due to unfavorable foreign exchange rate movement in the quarter through May. A slide deck with our revised guidance is furnished as Exhibit 99.1 to this report.</w:t>
      </w:r>
    </w:p>
    <w:p>
      <w:pPr>
        <w:spacing w:after="0" w:line="104" w:lineRule="exact"/>
        <w:rPr>
          <w:sz w:val="20"/>
          <w:szCs w:val="20"/>
          <w:color w:val="auto"/>
        </w:rPr>
      </w:pPr>
    </w:p>
    <w:p>
      <w:pPr>
        <w:ind w:left="840" w:right="919"/>
        <w:spacing w:after="0" w:line="243" w:lineRule="auto"/>
        <w:rPr>
          <w:sz w:val="20"/>
          <w:szCs w:val="20"/>
          <w:color w:val="auto"/>
        </w:rPr>
      </w:pPr>
      <w:r>
        <w:rPr>
          <w:rFonts w:ascii="Arial" w:cs="Arial" w:eastAsia="Arial" w:hAnsi="Arial"/>
          <w:sz w:val="12"/>
          <w:szCs w:val="12"/>
          <w:color w:val="auto"/>
        </w:rPr>
        <w:t>This Form 8-K contains forward-looking statements, which are any predictions, projections or other statements about future events based on current expectations and assumptions that are subject to risks and uncertainties, which are described in our filings with the Securities and Exchange Commission. Forward-looking statements speak only as of the date they are made. Readers are cautioned not to put undue reliance on forward-looking statements, and Microsoft undertakes no duty to update any forward-looking statement to conform the statement to actual results or changes in the company’s expectations.</w:t>
      </w:r>
    </w:p>
    <w:p>
      <w:pPr>
        <w:spacing w:after="0" w:line="120" w:lineRule="exact"/>
        <w:rPr>
          <w:sz w:val="20"/>
          <w:szCs w:val="20"/>
          <w:color w:val="auto"/>
        </w:rPr>
      </w:pPr>
    </w:p>
    <w:p>
      <w:pPr>
        <w:ind w:left="840" w:right="1019"/>
        <w:spacing w:after="0" w:line="243" w:lineRule="auto"/>
        <w:rPr>
          <w:sz w:val="20"/>
          <w:szCs w:val="20"/>
          <w:color w:val="auto"/>
        </w:rPr>
      </w:pPr>
      <w:r>
        <w:rPr>
          <w:rFonts w:ascii="Arial" w:cs="Arial" w:eastAsia="Arial" w:hAnsi="Arial"/>
          <w:sz w:val="12"/>
          <w:szCs w:val="12"/>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6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(d) Exhibits:</w:t>
      </w:r>
    </w:p>
    <w:p>
      <w:pPr>
        <w:spacing w:after="0" w:line="159" w:lineRule="exact"/>
        <w:rPr>
          <w:sz w:val="20"/>
          <w:szCs w:val="20"/>
          <w:color w:val="auto"/>
        </w:rPr>
      </w:pPr>
    </w:p>
    <w:p>
      <w:pPr>
        <w:ind w:left="1120"/>
        <w:spacing w:after="0"/>
        <w:tabs>
          <w:tab w:leader="none" w:pos="1600" w:val="left"/>
        </w:tabs>
        <w:rPr>
          <w:sz w:val="20"/>
          <w:szCs w:val="20"/>
          <w:color w:val="auto"/>
        </w:rPr>
      </w:pPr>
      <w:r>
        <w:rPr>
          <w:rFonts w:ascii="Arial" w:cs="Arial" w:eastAsia="Arial" w:hAnsi="Arial"/>
          <w:sz w:val="12"/>
          <w:szCs w:val="12"/>
          <w:color w:val="auto"/>
        </w:rPr>
        <w:t>99.1</w:t>
      </w:r>
      <w:r>
        <w:rPr>
          <w:sz w:val="20"/>
          <w:szCs w:val="20"/>
          <w:color w:val="auto"/>
        </w:rPr>
        <w:tab/>
      </w:r>
      <w:r>
        <w:rPr>
          <w:rFonts w:ascii="Arial" w:cs="Arial" w:eastAsia="Arial" w:hAnsi="Arial"/>
          <w:sz w:val="12"/>
          <w:szCs w:val="12"/>
          <w:u w:val="single" w:color="auto"/>
          <w:color w:val="0000EE"/>
        </w:rPr>
        <w:t>Slide deck with updated quarterly guidance</w:t>
      </w:r>
    </w:p>
    <w:p>
      <w:pPr>
        <w:spacing w:after="0" w:line="9" w:lineRule="exact"/>
        <w:rPr>
          <w:sz w:val="20"/>
          <w:szCs w:val="20"/>
          <w:color w:val="auto"/>
        </w:rPr>
      </w:pPr>
    </w:p>
    <w:p>
      <w:pPr>
        <w:ind w:left="1120"/>
        <w:spacing w:after="0"/>
        <w:tabs>
          <w:tab w:leader="none" w:pos="160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Cover Page Interactive Data File (embedded within the Inline XBRL document)</w:t>
      </w:r>
    </w:p>
    <w:p>
      <w:pPr>
        <w:sectPr>
          <w:pgSz w:w="11900" w:h="16838" w:orient="portrait"/>
          <w:cols w:equalWidth="0" w:num="1">
            <w:col w:w="9019"/>
          </w:cols>
          <w:pgMar w:left="1440" w:top="244"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w:t>
      </w:r>
    </w:p>
    <w:p>
      <w:pPr>
        <w:spacing w:after="0" w:line="141" w:lineRule="exact"/>
        <w:rPr>
          <w:sz w:val="20"/>
          <w:szCs w:val="20"/>
          <w:color w:val="auto"/>
        </w:rPr>
      </w:pPr>
    </w:p>
    <w:p>
      <w:pPr>
        <w:ind w:left="840" w:right="939"/>
        <w:spacing w:after="0" w:line="270"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22" w:lineRule="exact"/>
        <w:rPr>
          <w:sz w:val="20"/>
          <w:szCs w:val="20"/>
          <w:color w:val="auto"/>
        </w:rPr>
      </w:pPr>
    </w:p>
    <w:p>
      <w:pPr>
        <w:jc w:val="center"/>
        <w:ind w:left="3820"/>
        <w:spacing w:after="0"/>
        <w:rPr>
          <w:sz w:val="20"/>
          <w:szCs w:val="20"/>
          <w:color w:val="auto"/>
        </w:rPr>
      </w:pPr>
      <w:r>
        <w:rPr>
          <w:rFonts w:ascii="Arial" w:cs="Arial" w:eastAsia="Arial" w:hAnsi="Arial"/>
          <w:sz w:val="12"/>
          <w:szCs w:val="12"/>
          <w:color w:val="auto"/>
        </w:rPr>
        <w:t>MICROSOFT CORPORATION</w:t>
      </w:r>
    </w:p>
    <w:p>
      <w:pPr>
        <w:spacing w:after="0" w:line="9" w:lineRule="exact"/>
        <w:rPr>
          <w:sz w:val="20"/>
          <w:szCs w:val="20"/>
          <w:color w:val="auto"/>
        </w:rPr>
      </w:pPr>
    </w:p>
    <w:p>
      <w:pPr>
        <w:jc w:val="center"/>
        <w:ind w:left="3820"/>
        <w:spacing w:after="0"/>
        <w:rPr>
          <w:sz w:val="20"/>
          <w:szCs w:val="20"/>
          <w:color w:val="auto"/>
        </w:rPr>
      </w:pPr>
      <w:r>
        <w:rPr>
          <w:rFonts w:ascii="Arial" w:cs="Arial" w:eastAsia="Arial" w:hAnsi="Arial"/>
          <w:sz w:val="12"/>
          <w:szCs w:val="12"/>
          <w:color w:val="auto"/>
        </w:rPr>
        <w:t>(Registrant)</w:t>
      </w:r>
    </w:p>
    <w:p>
      <w:pPr>
        <w:spacing w:after="0" w:line="129" w:lineRule="exact"/>
        <w:rPr>
          <w:sz w:val="20"/>
          <w:szCs w:val="20"/>
          <w:color w:val="auto"/>
        </w:rPr>
      </w:pPr>
    </w:p>
    <w:p>
      <w:pPr>
        <w:ind w:left="840"/>
        <w:spacing w:after="0"/>
        <w:tabs>
          <w:tab w:leader="none" w:pos="5920" w:val="left"/>
        </w:tabs>
        <w:rPr>
          <w:sz w:val="20"/>
          <w:szCs w:val="20"/>
          <w:color w:val="auto"/>
        </w:rPr>
      </w:pPr>
      <w:r>
        <w:rPr>
          <w:rFonts w:ascii="Arial" w:cs="Arial" w:eastAsia="Arial" w:hAnsi="Arial"/>
          <w:sz w:val="12"/>
          <w:szCs w:val="12"/>
          <w:color w:val="auto"/>
        </w:rPr>
        <w:t>Date: June 2, 2022</w:t>
      </w:r>
      <w:r>
        <w:rPr>
          <w:sz w:val="20"/>
          <w:szCs w:val="20"/>
          <w:color w:val="auto"/>
        </w:rPr>
        <w:tab/>
      </w:r>
      <w:r>
        <w:rPr>
          <w:rFonts w:ascii="Arial" w:cs="Arial" w:eastAsia="Arial" w:hAnsi="Arial"/>
          <w:sz w:val="12"/>
          <w:szCs w:val="12"/>
          <w:color w:val="auto"/>
        </w:rPr>
        <w:t>/</w:t>
      </w:r>
      <w:r>
        <w:rPr>
          <w:rFonts w:ascii="Arial" w:cs="Arial" w:eastAsia="Arial" w:hAnsi="Arial"/>
          <w:sz w:val="9"/>
          <w:szCs w:val="9"/>
          <w:color w:val="auto"/>
        </w:rPr>
        <w:t>S</w:t>
      </w:r>
      <w:r>
        <w:rPr>
          <w:rFonts w:ascii="Arial" w:cs="Arial" w:eastAsia="Arial" w:hAnsi="Arial"/>
          <w:sz w:val="12"/>
          <w:szCs w:val="12"/>
          <w:color w:val="auto"/>
        </w:rPr>
        <w:t>/ A</w:t>
      </w:r>
      <w:r>
        <w:rPr>
          <w:rFonts w:ascii="Arial" w:cs="Arial" w:eastAsia="Arial" w:hAnsi="Arial"/>
          <w:sz w:val="9"/>
          <w:szCs w:val="9"/>
          <w:color w:val="auto"/>
        </w:rPr>
        <w:t>LICE</w:t>
      </w:r>
      <w:r>
        <w:rPr>
          <w:rFonts w:ascii="Arial" w:cs="Arial" w:eastAsia="Arial" w:hAnsi="Arial"/>
          <w:sz w:val="12"/>
          <w:szCs w:val="12"/>
          <w:color w:val="auto"/>
        </w:rPr>
        <w:t xml:space="preserve"> L. J</w:t>
      </w:r>
      <w:r>
        <w:rPr>
          <w:rFonts w:ascii="Arial" w:cs="Arial" w:eastAsia="Arial" w:hAnsi="Arial"/>
          <w:sz w:val="9"/>
          <w:szCs w:val="9"/>
          <w:color w:val="auto"/>
        </w:rPr>
        <w:t>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6350</wp:posOffset>
            </wp:positionV>
            <wp:extent cx="223456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1" w:lineRule="exact"/>
        <w:rPr>
          <w:sz w:val="20"/>
          <w:szCs w:val="20"/>
          <w:color w:val="auto"/>
        </w:rPr>
      </w:pPr>
    </w:p>
    <w:p>
      <w:pPr>
        <w:jc w:val="center"/>
        <w:ind w:left="3820"/>
        <w:spacing w:after="0"/>
        <w:rPr>
          <w:sz w:val="20"/>
          <w:szCs w:val="20"/>
          <w:color w:val="auto"/>
        </w:rPr>
      </w:pPr>
      <w:r>
        <w:rPr>
          <w:rFonts w:ascii="Arial" w:cs="Arial" w:eastAsia="Arial" w:hAnsi="Arial"/>
          <w:sz w:val="12"/>
          <w:szCs w:val="12"/>
          <w:color w:val="auto"/>
        </w:rPr>
        <w:t>Alice L. Jolla</w:t>
      </w:r>
    </w:p>
    <w:p>
      <w:pPr>
        <w:jc w:val="center"/>
        <w:ind w:left="3820"/>
        <w:spacing w:after="0"/>
        <w:rPr>
          <w:sz w:val="20"/>
          <w:szCs w:val="20"/>
          <w:color w:val="auto"/>
        </w:rPr>
      </w:pPr>
      <w:r>
        <w:rPr>
          <w:rFonts w:ascii="Arial" w:cs="Arial" w:eastAsia="Arial" w:hAnsi="Arial"/>
          <w:sz w:val="12"/>
          <w:szCs w:val="12"/>
          <w:color w:val="auto"/>
        </w:rPr>
        <w:t>Corporate Vice President and Chief Accounting</w:t>
      </w:r>
    </w:p>
    <w:p>
      <w:pPr>
        <w:jc w:val="center"/>
        <w:ind w:left="3820"/>
        <w:spacing w:after="0"/>
        <w:rPr>
          <w:sz w:val="20"/>
          <w:szCs w:val="20"/>
          <w:color w:val="auto"/>
        </w:rPr>
      </w:pPr>
      <w:r>
        <w:rPr>
          <w:rFonts w:ascii="Arial" w:cs="Arial" w:eastAsia="Arial" w:hAnsi="Arial"/>
          <w:sz w:val="12"/>
          <w:szCs w:val="12"/>
          <w:color w:val="auto"/>
        </w:rPr>
        <w:t>Officer</w:t>
      </w:r>
    </w:p>
    <w:p>
      <w:pPr>
        <w:sectPr>
          <w:pgSz w:w="11900" w:h="16838" w:orient="portrait"/>
          <w:cols w:equalWidth="0" w:num="1">
            <w:col w:w="9019"/>
          </w:cols>
          <w:pgMar w:left="1440" w:top="244" w:right="1440"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2022-06-02T08:03:26Z</dcterms:created>
  <dcterms:modified xsi:type="dcterms:W3CDTF">2022-06-02T08:03:26Z</dcterms:modified>
</cp:coreProperties>
</file>