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Human Resources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27.944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387.81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45,995.8654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56,421.0526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7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Award that will vest over three years with 33.33% vesting on April 15, 2026, 33.33% vesting on April 15, 2027, and 33.34% vesting on April 15, 2028, subject to continued employment.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55.1872 shares acquired on March 31, 2025 under the Microsoft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Amy Coleman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356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2025-04-16T17:05:15Z</dcterms:created>
  <dcterms:modified xsi:type="dcterms:W3CDTF">2025-04-16T17:05:15Z</dcterms:modified>
</cp:coreProperties>
</file>