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sft-20260630.htm"/>
      <w:bookmarkStart w:id="1" w:name="ksmsft20260630"/>
      <w:bookmarkEnd w:id="0"/>
      <w:bookmarkEnd w:id="1"/>
      <w:r>
        <w:rPr/>
        <w:t> </w:t>
      </w:r>
    </w:p>
    <w:p>
      <w:pPr>
        <w:pStyle w:val="TextBody"/>
        <w:bidi w:val="0"/>
        <w:jc w:val="left"/>
        <w:rPr/>
      </w:pPr>
      <w:r>
        <w:rPr/>
        <w:t> </w:t>
      </w:r>
    </w:p>
    <w:p>
      <w:pPr>
        <w:pStyle w:val="TextBody"/>
        <w:pBdr>
          <w:top w:val="single" w:sz="6" w:space="1" w:color="000000"/>
        </w:pBdr>
        <w:bidi w:val="0"/>
        <w:jc w:val="left"/>
        <w:rPr/>
      </w:pPr>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2"/>
        </w:rPr>
      </w:pPr>
      <w:r>
        <w:rPr>
          <w:rFonts w:ascii="Arial" w:hAnsi="Arial"/>
          <w:b/>
          <w:color w:val="000000"/>
          <w:sz w:val="22"/>
        </w:rPr>
        <w:t>Washington, D.C. 20549</w:t>
      </w:r>
    </w:p>
    <w:p>
      <w:pPr>
        <w:pStyle w:val="TextBody"/>
        <w:pBdr>
          <w:bottom w:val="single" w:sz="6" w:space="1" w:color="000000"/>
        </w:pBdr>
        <w:bidi w:val="0"/>
        <w:jc w:val="center"/>
        <w:rPr/>
      </w:pPr>
      <w:r>
        <w:rPr/>
        <w:t> </w:t>
      </w:r>
    </w:p>
    <w:p>
      <w:pPr>
        <w:pStyle w:val="TextBody"/>
        <w:bidi w:val="0"/>
        <w:spacing w:before="40" w:after="283"/>
        <w:jc w:val="center"/>
        <w:rPr/>
      </w:pPr>
      <w:r>
        <w:rPr/>
        <w:t> </w:t>
      </w:r>
    </w:p>
    <w:p>
      <w:pPr>
        <w:pStyle w:val="TextBody"/>
        <w:bidi w:val="0"/>
        <w:jc w:val="center"/>
        <w:rPr>
          <w:rFonts w:ascii="Arial" w:hAnsi="Arial"/>
          <w:b/>
          <w:color w:val="000000"/>
          <w:sz w:val="34"/>
        </w:rPr>
      </w:pPr>
      <w:r>
        <w:rPr>
          <w:rFonts w:ascii="Arial" w:hAnsi="Arial"/>
          <w:b/>
          <w:color w:val="000000"/>
          <w:sz w:val="34"/>
        </w:rPr>
        <w:t>FORM 10-K</w:t>
      </w:r>
    </w:p>
    <w:p>
      <w:pPr>
        <w:pStyle w:val="TextBody"/>
        <w:pBdr>
          <w:bottom w:val="single" w:sz="6" w:space="1" w:color="000000"/>
        </w:pBdr>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Arial" w:hAnsi="Arial"/>
                <w:b/>
                <w:color w:val="000000"/>
                <w:sz w:val="22"/>
              </w:rPr>
              <w:t>ANNUAL REPORT PURSUANT TO SECTION 13 OR 15(d) OF THE SECURITIES EXCHANGE ACT OF 1934</w:t>
            </w:r>
            <w:r>
              <w:rPr>
                <w:rFonts w:ascii="Times New Roman" w:hAnsi="Times New Roman"/>
                <w:color w:val="000000"/>
                <w:sz w:val="22"/>
              </w:rPr>
              <w:t xml:space="preserve">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For the Fiscal Year Ended June 30, 2026</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OR</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22"/>
              </w:rPr>
            </w:pPr>
            <w:r>
              <w:rPr>
                <w:rFonts w:ascii="Arial" w:hAnsi="Arial"/>
                <w:b/>
                <w:color w:val="000000"/>
                <w:sz w:val="22"/>
              </w:rPr>
              <w:t>TRANSITION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16"/>
              </w:rPr>
            </w:pPr>
            <w:r>
              <w:rPr>
                <w:rFonts w:ascii="Arial" w:hAnsi="Arial"/>
                <w:b/>
                <w:color w:val="000000"/>
                <w:sz w:val="16"/>
              </w:rPr>
              <w:t>For the Transition Period From to</w:t>
            </w:r>
          </w:p>
        </w:tc>
      </w:tr>
    </w:tbl>
    <w:p>
      <w:pPr>
        <w:pStyle w:val="TextBody"/>
        <w:bidi w:val="0"/>
        <w:spacing w:before="40" w:after="283"/>
        <w:jc w:val="center"/>
        <w:rPr>
          <w:rFonts w:ascii="Times New Roman" w:hAnsi="Times New Roman"/>
          <w:sz w:val="20"/>
        </w:rPr>
      </w:pPr>
      <w:r>
        <w:rPr>
          <w:rFonts w:ascii="Arial" w:hAnsi="Arial"/>
          <w:b/>
          <w:color w:val="000000"/>
          <w:sz w:val="18"/>
        </w:rPr>
        <w:t>Commission File Number 001-37845</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40" w:after="283"/>
        <w:jc w:val="center"/>
        <w:rPr/>
      </w:pPr>
      <w:r>
        <w:rPr/>
        <w:t> </w:t>
      </w:r>
    </w:p>
    <w:p>
      <w:pPr>
        <w:pStyle w:val="TextBody"/>
        <w:bidi w:val="0"/>
        <w:jc w:val="center"/>
        <w:rPr>
          <w:rFonts w:ascii="Arial" w:hAnsi="Arial"/>
          <w:b/>
          <w:color w:val="000000"/>
          <w:sz w:val="44"/>
        </w:rPr>
      </w:pPr>
      <w:r>
        <w:rPr>
          <w:rFonts w:ascii="Arial" w:hAnsi="Arial"/>
          <w:b/>
          <w:color w:val="000000"/>
          <w:sz w:val="44"/>
        </w:rPr>
        <w:t>MICROSOFT CORPORATION</w:t>
      </w:r>
    </w:p>
    <w:p>
      <w:pPr>
        <w:pStyle w:val="TextBody"/>
        <w:pBdr>
          <w:bottom w:val="single" w:sz="6" w:space="1" w:color="000000"/>
        </w:pBdr>
        <w:bidi w:val="0"/>
        <w:jc w:val="center"/>
        <w:rPr/>
      </w:pPr>
      <w:r>
        <w:rPr/>
        <w:t> </w:t>
      </w:r>
    </w:p>
    <w:tbl>
      <w:tblPr>
        <w:tblW w:w="3448" w:type="dxa"/>
        <w:jc w:val="left"/>
        <w:tblInd w:w="0" w:type="dxa"/>
        <w:tblLayout w:type="fixed"/>
        <w:tblCellMar>
          <w:top w:w="28" w:type="dxa"/>
          <w:left w:w="28" w:type="dxa"/>
          <w:bottom w:w="28" w:type="dxa"/>
          <w:right w:w="28" w:type="dxa"/>
        </w:tblCellMar>
      </w:tblPr>
      <w:tblGrid>
        <w:gridCol w:w="2281"/>
        <w:gridCol w:w="146"/>
        <w:gridCol w:w="102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6"/>
              </w:rPr>
            </w:pPr>
            <w:r>
              <w:rPr>
                <w:rFonts w:ascii="Arial" w:hAnsi="Arial"/>
                <w:b/>
                <w:caps/>
                <w:color w:val="000000"/>
                <w:sz w:val="16"/>
              </w:rPr>
              <w:t>Washington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91-1144442</w:t>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(STATE 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(I.R.S. ID)</w:t>
            </w:r>
          </w:p>
        </w:tc>
      </w:tr>
    </w:tbl>
    <w:p>
      <w:pPr>
        <w:pStyle w:val="TextBody"/>
        <w:bidi w:val="0"/>
        <w:spacing w:before="40" w:after="283"/>
        <w:jc w:val="center"/>
        <w:rPr>
          <w:rFonts w:ascii="Times New Roman" w:hAnsi="Times New Roman"/>
          <w:sz w:val="20"/>
        </w:rPr>
      </w:pPr>
      <w:r>
        <w:rPr>
          <w:rFonts w:ascii="Arial" w:hAnsi="Arial"/>
          <w:b/>
          <w:color w:val="000000"/>
          <w:sz w:val="16"/>
        </w:rPr>
        <w:t xml:space="preserve">ONE MICROSOFT WAY, REDMOND, </w:t>
      </w:r>
      <w:r>
        <w:rPr>
          <w:rFonts w:ascii="Arial" w:hAnsi="Arial"/>
          <w:b/>
          <w:caps/>
          <w:color w:val="000000"/>
          <w:sz w:val="16"/>
        </w:rPr>
        <w:t>Washington</w:t>
      </w:r>
      <w:r>
        <w:rPr>
          <w:rFonts w:ascii="Times New Roman" w:hAnsi="Times New Roman"/>
          <w:color w:val="000000"/>
          <w:sz w:val="20"/>
        </w:rPr>
        <w:t xml:space="preserve"> </w:t>
      </w:r>
      <w:r>
        <w:rPr>
          <w:rFonts w:ascii="Arial" w:hAnsi="Arial"/>
          <w:b/>
          <w:color w:val="000000"/>
          <w:sz w:val="16"/>
        </w:rPr>
        <w:t>98052-6399</w:t>
      </w:r>
    </w:p>
    <w:p>
      <w:pPr>
        <w:pStyle w:val="TextBody"/>
        <w:bidi w:val="0"/>
        <w:spacing w:before="40" w:after="283"/>
        <w:jc w:val="center"/>
        <w:rPr>
          <w:rFonts w:ascii="Arial" w:hAnsi="Arial"/>
          <w:b/>
          <w:color w:val="000000"/>
          <w:sz w:val="16"/>
        </w:rPr>
      </w:pPr>
      <w:r>
        <w:rPr>
          <w:rFonts w:ascii="Arial" w:hAnsi="Arial"/>
          <w:b/>
          <w:color w:val="000000"/>
          <w:sz w:val="16"/>
        </w:rPr>
        <w:t>(425) 882-8080</w:t>
      </w:r>
    </w:p>
    <w:p>
      <w:pPr>
        <w:pStyle w:val="TextBody"/>
        <w:bidi w:val="0"/>
        <w:spacing w:before="40" w:after="283"/>
        <w:jc w:val="center"/>
        <w:rPr>
          <w:rFonts w:ascii="Arial" w:hAnsi="Arial"/>
          <w:b/>
          <w:sz w:val="16"/>
        </w:rPr>
      </w:pPr>
      <w:r>
        <w:rPr>
          <w:rFonts w:ascii="Arial" w:hAnsi="Arial"/>
          <w:b/>
          <w:sz w:val="16"/>
        </w:rPr>
        <w:t>www.microsoft.com/investor</w:t>
      </w:r>
    </w:p>
    <w:tbl>
      <w:tblPr>
        <w:tblW w:w="9775" w:type="dxa"/>
        <w:jc w:val="left"/>
        <w:tblInd w:w="0" w:type="dxa"/>
        <w:tblLayout w:type="fixed"/>
        <w:tblCellMar>
          <w:top w:w="28" w:type="dxa"/>
          <w:left w:w="28" w:type="dxa"/>
          <w:bottom w:w="28" w:type="dxa"/>
          <w:right w:w="28" w:type="dxa"/>
        </w:tblCellMar>
      </w:tblPr>
      <w:tblGrid>
        <w:gridCol w:w="4741"/>
        <w:gridCol w:w="146"/>
        <w:gridCol w:w="1396"/>
        <w:gridCol w:w="146"/>
        <w:gridCol w:w="3346"/>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4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8"/>
              </w:rPr>
            </w:pPr>
            <w:r>
              <w:rPr>
                <w:rFonts w:ascii="Arial" w:hAnsi="Arial"/>
                <w:color w:val="000000"/>
                <w:sz w:val="18"/>
              </w:rPr>
              <w:t>Securities registered pursuant to Section 12(b) of the Act: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Trading Symbol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Name of exchange on which registered</w:t>
            </w:r>
          </w:p>
        </w:tc>
      </w:tr>
      <w:tr>
        <w:trPr/>
        <w:tc>
          <w:tcPr>
            <w:tcW w:w="4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rFonts w:ascii="Arial" w:hAnsi="Arial"/>
                <w:sz w:val="18"/>
              </w:rPr>
            </w:pPr>
            <w:r>
              <w:rPr>
                <w:rFonts w:ascii="Arial" w:hAnsi="Arial"/>
                <w:b/>
                <w:color w:val="000000"/>
                <w:sz w:val="18"/>
              </w:rPr>
              <w:t>Common stock, $0.00000625</w:t>
            </w:r>
            <w:r>
              <w:rPr>
                <w:rFonts w:ascii="Arial" w:hAnsi="Arial"/>
                <w:color w:val="000000"/>
                <w:sz w:val="18"/>
              </w:rPr>
              <w:t xml:space="preserve"> </w:t>
            </w:r>
            <w:r>
              <w:rPr>
                <w:rFonts w:ascii="Arial" w:hAnsi="Arial"/>
                <w:b/>
                <w:color w:val="000000"/>
                <w:sz w:val="18"/>
              </w:rPr>
              <w:t>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MSFT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8"/>
              </w:rPr>
            </w:pPr>
            <w:r>
              <w:rPr>
                <w:rFonts w:ascii="Arial" w:hAnsi="Arial"/>
                <w:b/>
                <w:caps/>
                <w:color w:val="000000"/>
                <w:sz w:val="18"/>
              </w:rPr>
              <w:t>Nasdaq</w:t>
            </w:r>
          </w:p>
        </w:tc>
      </w:tr>
      <w:tr>
        <w:trPr/>
        <w:tc>
          <w:tcPr>
            <w:tcW w:w="47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3.125% Notes due 2028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MSFT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8"/>
              </w:rPr>
            </w:pPr>
            <w:r>
              <w:rPr>
                <w:rFonts w:ascii="Arial" w:hAnsi="Arial"/>
                <w:b/>
                <w:caps/>
                <w:color w:val="000000"/>
                <w:sz w:val="18"/>
              </w:rPr>
              <w:t>Nasdaq</w:t>
            </w:r>
          </w:p>
        </w:tc>
      </w:tr>
      <w:tr>
        <w:trPr/>
        <w:tc>
          <w:tcPr>
            <w:tcW w:w="47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2.625% Notes due 2033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MSFT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8"/>
              </w:rPr>
            </w:pPr>
            <w:r>
              <w:rPr>
                <w:rFonts w:ascii="Arial" w:hAnsi="Arial"/>
                <w:b/>
                <w:caps/>
                <w:color w:val="000000"/>
                <w:sz w:val="18"/>
              </w:rPr>
              <w:t>Nasdaq</w:t>
            </w:r>
          </w:p>
        </w:tc>
      </w:tr>
      <w:tr>
        <w:trPr/>
        <w:tc>
          <w:tcPr>
            <w:tcW w:w="4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Securities registered pursuant to Section 12(g) of the Act: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b/>
                <w:caps/>
                <w:color w:val="000000"/>
                <w:sz w:val="16"/>
              </w:rPr>
              <w:t>N</w:t>
            </w:r>
            <w:r>
              <w:rPr>
                <w:rFonts w:ascii="Arial" w:hAnsi="Arial"/>
                <w:b/>
                <w:color w:val="000000"/>
                <w:sz w:val="16"/>
              </w:rPr>
              <w:t>one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4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sz w:val="20"/>
        </w:rPr>
      </w:pPr>
      <w:r>
        <w:rPr>
          <w:rFonts w:ascii="Arial" w:hAnsi="Arial"/>
          <w:color w:val="000000"/>
          <w:sz w:val="16"/>
        </w:rPr>
        <w:t>Indicate by check mark if the registrant is a well-known seasoned issuer, as defined in Rule 405 of the Securities Act. Yes</w:t>
      </w:r>
      <w:r>
        <w:rPr>
          <w:rFonts w:ascii="Times New Roman" w:hAnsi="Times New Roman"/>
          <w:color w:val="000000"/>
          <w:sz w:val="20"/>
        </w:rPr>
        <w:t xml:space="preserve"> ☒ </w:t>
      </w:r>
      <w:r>
        <w:rPr>
          <w:rFonts w:ascii="Arial" w:hAnsi="Arial"/>
          <w:color w:val="000000"/>
          <w:sz w:val="16"/>
        </w:rPr>
        <w:t>No ☐</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Arial" w:hAnsi="Arial"/>
          <w:color w:val="000000"/>
          <w:sz w:val="16"/>
        </w:rPr>
        <w:t>Indicate by check mark if the registrant is not required to file reports pursuant to Section 13 or Section 15(d) of the Act. Yes ☐ No</w:t>
      </w:r>
      <w:r>
        <w:rPr>
          <w:rFonts w:ascii="Times New Roman" w:hAnsi="Times New Roman"/>
          <w:color w:val="000000"/>
          <w:sz w:val="20"/>
        </w:rPr>
        <w:t xml:space="preserve"> ☒ </w:t>
      </w:r>
    </w:p>
    <w:p>
      <w:pPr>
        <w:pStyle w:val="TextBody"/>
        <w:bidi w:val="0"/>
        <w:spacing w:before="40" w:after="283"/>
        <w:jc w:val="both"/>
        <w:rPr>
          <w:rFonts w:ascii="Times New Roman" w:hAnsi="Times New Roman"/>
          <w:sz w:val="20"/>
        </w:rPr>
      </w:pPr>
      <w:r>
        <w:rPr>
          <w:rFonts w:ascii="Arial" w:hAnsi="Arial"/>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6"/>
        </w:rPr>
        <w:t>No ☐</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Arial" w:hAnsi="Arial"/>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6"/>
        </w:rPr>
        <w:t>No ☐</w:t>
      </w:r>
    </w:p>
    <w:p>
      <w:pPr>
        <w:pStyle w:val="TextBody"/>
        <w:bidi w:val="0"/>
        <w:spacing w:before="40" w:after="283"/>
        <w:jc w:val="both"/>
        <w:rPr>
          <w:rFonts w:ascii="Times New Roman" w:hAnsi="Times New Roman"/>
          <w:sz w:val="20"/>
        </w:rPr>
      </w:pPr>
      <w:r>
        <w:rPr>
          <w:rFonts w:ascii="Arial" w:hAnsi="Arial"/>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tbl>
      <w:tblPr>
        <w:tblW w:w="4603" w:type="dxa"/>
        <w:jc w:val="left"/>
        <w:tblInd w:w="0" w:type="dxa"/>
        <w:tblLayout w:type="fixed"/>
        <w:tblCellMar>
          <w:top w:w="28" w:type="dxa"/>
          <w:left w:w="28" w:type="dxa"/>
          <w:bottom w:w="28" w:type="dxa"/>
          <w:right w:w="28" w:type="dxa"/>
        </w:tblCellMar>
      </w:tblPr>
      <w:tblGrid>
        <w:gridCol w:w="2041"/>
        <w:gridCol w:w="146"/>
        <w:gridCol w:w="2416"/>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Large Accelerated Filer</w:t>
            </w:r>
            <w:r>
              <w:rPr>
                <w:rFonts w:ascii="Times New Roman" w:hAnsi="Times New Roman"/>
                <w:color w:val="000000"/>
                <w:sz w:val="2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Accelerated Filer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Non-accelerated Filer ☐</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 xml:space="preserve">Smaller Reporting Company </w:t>
            </w:r>
            <w:r>
              <w:rPr>
                <w:rFonts w:ascii="Times New Roman" w:hAnsi="Times New Roman"/>
                <w:color w:val="000000"/>
                <w:sz w:val="2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 xml:space="preserve">Emerging Growth Company </w:t>
            </w:r>
            <w:r>
              <w:rPr>
                <w:rFonts w:ascii="Times New Roman" w:hAnsi="Times New Roman"/>
                <w:color w:val="000000"/>
                <w:sz w:val="20"/>
              </w:rPr>
              <w:t>☐</w:t>
            </w:r>
          </w:p>
        </w:tc>
      </w:tr>
    </w:tbl>
    <w:p>
      <w:pPr>
        <w:pStyle w:val="TextBody"/>
        <w:bidi w:val="0"/>
        <w:spacing w:before="40" w:after="283"/>
        <w:jc w:val="both"/>
        <w:rPr>
          <w:rFonts w:ascii="Arial" w:hAnsi="Arial"/>
          <w:color w:val="000000"/>
          <w:sz w:val="16"/>
        </w:rPr>
      </w:pPr>
      <w:r>
        <w:rPr>
          <w:rFonts w:ascii="Arial" w:hAnsi="Arial"/>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both"/>
        <w:rPr>
          <w:rFonts w:ascii="Times New Roman" w:hAnsi="Times New Roman"/>
          <w:sz w:val="20"/>
        </w:rPr>
      </w:pPr>
      <w:r>
        <w:rPr>
          <w:rFonts w:ascii="Arial" w:hAnsi="Arial"/>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both"/>
        <w:rPr>
          <w:rFonts w:ascii="Times New Roman" w:hAnsi="Times New Roman"/>
          <w:sz w:val="20"/>
        </w:rPr>
      </w:pPr>
      <w:r>
        <w:rPr>
          <w:rFonts w:ascii="Arial" w:hAnsi="Arial"/>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both"/>
        <w:rPr>
          <w:rFonts w:ascii="Arial" w:hAnsi="Arial"/>
          <w:color w:val="000000"/>
          <w:sz w:val="16"/>
        </w:rPr>
      </w:pPr>
      <w:r>
        <w:rPr>
          <w:rFonts w:ascii="Arial" w:hAnsi="Arial"/>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jc w:val="both"/>
        <w:rPr>
          <w:rFonts w:ascii="Times New Roman" w:hAnsi="Times New Roman"/>
          <w:sz w:val="20"/>
        </w:rPr>
      </w:pPr>
      <w:r>
        <w:rPr>
          <w:rFonts w:ascii="Arial" w:hAnsi="Arial"/>
          <w:color w:val="000000"/>
          <w:sz w:val="16"/>
        </w:rPr>
        <w:t xml:space="preserve">Indicate by check mark whether the registrant is a shell company (as defined in Rule 12b-2 of the Act). Yes ☐ No </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Arial" w:hAnsi="Arial"/>
          <w:color w:val="000000"/>
          <w:sz w:val="16"/>
        </w:rPr>
        <w:t>As of December 31, 2025, the aggregate market value of the registrant’s common stock held by non-affiliates of the registrant was $3.6</w:t>
      </w:r>
      <w:r>
        <w:rPr>
          <w:rFonts w:ascii="Times New Roman" w:hAnsi="Times New Roman"/>
          <w:color w:val="000000"/>
          <w:sz w:val="20"/>
        </w:rPr>
        <w:t xml:space="preserve"> </w:t>
      </w:r>
      <w:r>
        <w:rPr>
          <w:rFonts w:ascii="Arial" w:hAnsi="Arial"/>
          <w:color w:val="000000"/>
          <w:sz w:val="16"/>
        </w:rPr>
        <w:t>trillion based on the closing sale price as reported on the NASDAQ National Market System. As of July 23, 2026, there were 7,425,545,491</w:t>
      </w:r>
      <w:r>
        <w:rPr>
          <w:rFonts w:ascii="Times New Roman" w:hAnsi="Times New Roman"/>
          <w:color w:val="000000"/>
          <w:sz w:val="20"/>
        </w:rPr>
        <w:t xml:space="preserve"> </w:t>
      </w:r>
      <w:r>
        <w:rPr>
          <w:rFonts w:ascii="Arial" w:hAnsi="Arial"/>
          <w:color w:val="000000"/>
          <w:sz w:val="16"/>
        </w:rPr>
        <w:t>shares of common stock outstanding.</w:t>
      </w:r>
    </w:p>
    <w:p>
      <w:pPr>
        <w:pStyle w:val="TextBody"/>
        <w:bidi w:val="0"/>
        <w:spacing w:before="120" w:after="283"/>
        <w:jc w:val="center"/>
        <w:rPr>
          <w:rFonts w:ascii="Arial" w:hAnsi="Arial"/>
          <w:b/>
          <w:color w:val="000000"/>
          <w:sz w:val="16"/>
        </w:rPr>
      </w:pPr>
      <w:r>
        <w:rPr>
          <w:rFonts w:ascii="Arial" w:hAnsi="Arial"/>
          <w:b/>
          <w:color w:val="000000"/>
          <w:sz w:val="16"/>
        </w:rPr>
        <w:t>DOCUMENTS INCORPORATED BY REFERENCE</w:t>
      </w:r>
    </w:p>
    <w:p>
      <w:pPr>
        <w:pStyle w:val="TextBody"/>
        <w:bidi w:val="0"/>
        <w:spacing w:before="40" w:after="283"/>
        <w:jc w:val="both"/>
        <w:rPr>
          <w:rFonts w:ascii="Arial" w:hAnsi="Arial"/>
          <w:color w:val="000000"/>
          <w:sz w:val="16"/>
        </w:rPr>
      </w:pPr>
      <w:r>
        <w:rPr>
          <w:rFonts w:ascii="Arial" w:hAnsi="Arial"/>
          <w:color w:val="000000"/>
          <w:sz w:val="16"/>
        </w:rPr>
        <w:t>Portions of the definitive Proxy Statement to be delivered to shareholders in connection with the Annual Meeting of Shareholders to be held on December 8, 2026 are incorporated by reference into Part III.</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MICROSOFT CORPORATION</w:t>
      </w:r>
    </w:p>
    <w:p>
      <w:pPr>
        <w:pStyle w:val="TextBody"/>
        <w:bidi w:val="0"/>
        <w:jc w:val="center"/>
        <w:rPr>
          <w:rFonts w:ascii="Times New Roman" w:hAnsi="Times New Roman"/>
          <w:sz w:val="20"/>
        </w:rPr>
      </w:pPr>
      <w:r>
        <w:rPr>
          <w:rFonts w:ascii="Arial" w:hAnsi="Arial"/>
          <w:b/>
          <w:color w:val="000000"/>
          <w:sz w:val="20"/>
        </w:rPr>
        <w:t>FORM 10-K</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For the Fiscal Year Ended June 30, 2026</w:t>
      </w:r>
    </w:p>
    <w:p>
      <w:pPr>
        <w:pStyle w:val="TextBody"/>
        <w:bidi w:val="0"/>
        <w:jc w:val="center"/>
        <w:rPr>
          <w:rFonts w:ascii="Arial" w:hAnsi="Arial"/>
          <w:b/>
          <w:color w:val="000000"/>
          <w:sz w:val="20"/>
        </w:rPr>
      </w:pPr>
      <w:r>
        <w:rPr>
          <w:rFonts w:ascii="Arial" w:hAnsi="Arial"/>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783"/>
        <w:gridCol w:w="146"/>
        <w:gridCol w:w="8210"/>
        <w:gridCol w:w="146"/>
        <w:gridCol w:w="421"/>
        <w:gridCol w:w="192"/>
      </w:tblGrid>
      <w:tr>
        <w:trPr/>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1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92" w:type="dxa"/>
            <w:tcBorders/>
            <w:shd w:fill="FFFFFF" w:val="cle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u w:val="single"/>
              </w:rPr>
            </w:pPr>
            <w:r>
              <w:rPr>
                <w:rFonts w:ascii="Arial" w:hAnsi="Arial"/>
                <w:b/>
                <w:color w:val="000000"/>
                <w:sz w:val="15"/>
                <w:u w:val="single"/>
              </w:rPr>
              <w:t>Page</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PART 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1_business">
              <w:r>
                <w:rPr>
                  <w:rStyle w:val="InternetLink"/>
                  <w:rFonts w:ascii="Arial" w:hAnsi="Arial"/>
                  <w:color w:val="000000"/>
                  <w:sz w:val="20"/>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nformation_about_our_executive_ficers">
              <w:r>
                <w:rPr>
                  <w:rStyle w:val="InternetLink"/>
                  <w:rFonts w:ascii="Arial" w:hAnsi="Arial"/>
                  <w:color w:val="000000"/>
                  <w:sz w:val="20"/>
                </w:rPr>
                <w:t>Information about our 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1a_risk_factors">
              <w:r>
                <w:rPr>
                  <w:rStyle w:val="InternetLink"/>
                  <w:rFonts w:ascii="Arial" w:hAnsi="Arial"/>
                  <w:color w:val="000000"/>
                  <w:sz w:val="20"/>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1B.</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1b_unresolved_staff_comments">
              <w:r>
                <w:rPr>
                  <w:rStyle w:val="InternetLink"/>
                  <w:rFonts w:ascii="Arial" w:hAnsi="Arial"/>
                  <w:color w:val="000000"/>
                  <w:sz w:val="20"/>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1C.</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1c_cybersecurity">
              <w:r>
                <w:rPr>
                  <w:rStyle w:val="InternetLink"/>
                  <w:rFonts w:ascii="Arial" w:hAnsi="Arial"/>
                  <w:color w:val="000000"/>
                  <w:sz w:val="20"/>
                </w:rPr>
                <w:t>Cybersecurity</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2_properties">
              <w:r>
                <w:rPr>
                  <w:rStyle w:val="InternetLink"/>
                  <w:rFonts w:ascii="Arial" w:hAnsi="Arial"/>
                  <w:color w:val="000000"/>
                  <w:sz w:val="20"/>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3_legal_proceedings">
              <w:r>
                <w:rPr>
                  <w:rStyle w:val="InternetLink"/>
                  <w:rFonts w:ascii="Arial" w:hAnsi="Arial"/>
                  <w:color w:val="000000"/>
                  <w:sz w:val="20"/>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4_mine_safety_disclosures">
              <w:r>
                <w:rPr>
                  <w:rStyle w:val="InternetLink"/>
                  <w:rFonts w:ascii="Arial" w:hAnsi="Arial"/>
                  <w:color w:val="000000"/>
                  <w:sz w:val="20"/>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5_market_for_registrants">
              <w:r>
                <w:rPr>
                  <w:rStyle w:val="InternetLink"/>
                  <w:rFonts w:ascii="Arial" w:hAnsi="Arial"/>
                  <w:color w:val="000000"/>
                  <w:sz w:val="20"/>
                </w:rPr>
                <w:t>Market for Registrant’s Common Equity, Related Stockholder Matters,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6_reserved">
              <w:r>
                <w:rPr>
                  <w:rStyle w:val="InternetLink"/>
                  <w:rFonts w:ascii="Arial" w:hAnsi="Arial"/>
                  <w:color w:val="000000"/>
                  <w:sz w:val="20"/>
                </w:rPr>
                <w:t>[Reserved]</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7_managements_discussion_analysis_f">
              <w:r>
                <w:rPr>
                  <w:rStyle w:val="InternetLink"/>
                  <w:rFonts w:ascii="Arial" w:hAnsi="Arial"/>
                  <w:color w:val="000000"/>
                  <w:sz w:val="20"/>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7A.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7a_quantitative_qualitative_disclos">
              <w:r>
                <w:rPr>
                  <w:rStyle w:val="InternetLink"/>
                  <w:rFonts w:ascii="Arial" w:hAnsi="Arial"/>
                  <w:color w:val="000000"/>
                  <w:sz w:val="20"/>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8.</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8_financial_statements_and_supplem">
              <w:r>
                <w:rPr>
                  <w:rStyle w:val="InternetLink"/>
                  <w:rFonts w:ascii="Arial" w:hAnsi="Arial"/>
                  <w:color w:val="000000"/>
                  <w:sz w:val="20"/>
                </w:rPr>
                <w:t>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9.</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9_changes_in_disagreements_with_acc">
              <w:r>
                <w:rPr>
                  <w:rStyle w:val="InternetLink"/>
                  <w:rFonts w:ascii="Arial" w:hAnsi="Arial"/>
                  <w:color w:val="000000"/>
                  <w:sz w:val="20"/>
                </w:rPr>
                <w:t>Changes in and Disagreements with Accountants on Accounting and Financial Disclosure</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9A.</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9a_controls_procedures">
              <w:r>
                <w:rPr>
                  <w:rStyle w:val="InternetLink"/>
                  <w:rFonts w:ascii="Arial" w:hAnsi="Arial"/>
                  <w:color w:val="000000"/>
                  <w:sz w:val="20"/>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report_management_on_internal_control_ov">
              <w:r>
                <w:rPr>
                  <w:rStyle w:val="InternetLink"/>
                  <w:rFonts w:ascii="Arial" w:hAnsi="Arial"/>
                  <w:color w:val="000000"/>
                  <w:sz w:val="20"/>
                </w:rPr>
                <w:t>Report of Management on Internal Control over Financial Reporting</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report_independent_registered_public_acc">
              <w:r>
                <w:rPr>
                  <w:rStyle w:val="InternetLink"/>
                  <w:rFonts w:ascii="Arial" w:hAnsi="Arial"/>
                  <w:color w:val="000000"/>
                  <w:sz w:val="20"/>
                </w:rPr>
                <w:t>Report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9B.</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9b_or_information">
              <w:r>
                <w:rPr>
                  <w:rStyle w:val="InternetLink"/>
                  <w:rFonts w:ascii="Arial" w:hAnsi="Arial"/>
                  <w:color w:val="000000"/>
                  <w:sz w:val="20"/>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1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56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9C.</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9c_disclosure_regarding_foreign_jur">
              <w:r>
                <w:rPr>
                  <w:rStyle w:val="InternetLink"/>
                  <w:rFonts w:ascii="Arial" w:hAnsi="Arial"/>
                  <w:color w:val="000000"/>
                  <w:sz w:val="20"/>
                </w:rPr>
                <w:t>Disclosure Regarding Foreign Jurisdictions that Prevent Inspections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1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PART III</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10.</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10_directors_executive_ficers_corpo">
              <w:r>
                <w:rPr>
                  <w:rStyle w:val="InternetLink"/>
                  <w:rFonts w:ascii="Arial" w:hAnsi="Arial"/>
                  <w:color w:val="000000"/>
                  <w:sz w:val="20"/>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1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11_executive_compensation">
              <w:r>
                <w:rPr>
                  <w:rStyle w:val="InternetLink"/>
                  <w:rFonts w:ascii="Arial" w:hAnsi="Arial"/>
                  <w:color w:val="000000"/>
                  <w:sz w:val="20"/>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1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12_security_ownership_certain_benef">
              <w:r>
                <w:rPr>
                  <w:rStyle w:val="InternetLink"/>
                  <w:rFonts w:ascii="Arial" w:hAnsi="Arial"/>
                  <w:color w:val="000000"/>
                  <w:sz w:val="20"/>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1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13.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13_certain_relationships_related_tr">
              <w:r>
                <w:rPr>
                  <w:rStyle w:val="InternetLink"/>
                  <w:rFonts w:ascii="Arial" w:hAnsi="Arial"/>
                  <w:color w:val="000000"/>
                  <w:sz w:val="20"/>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1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14_principal_accounting_fees_servic">
              <w:r>
                <w:rPr>
                  <w:rStyle w:val="InternetLink"/>
                  <w:rFonts w:ascii="Arial" w:hAnsi="Arial"/>
                  <w:color w:val="000000"/>
                  <w:sz w:val="20"/>
                </w:rPr>
                <w:t>Principal Accountant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PART IV</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15.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15_exhibits_financial_statement_sch">
              <w:r>
                <w:rPr>
                  <w:rStyle w:val="InternetLink"/>
                  <w:rFonts w:ascii="Arial" w:hAnsi="Arial"/>
                  <w:color w:val="000000"/>
                  <w:sz w:val="20"/>
                </w:rPr>
                <w:t>Exhibit and Financial Statement Schedules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8356"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759"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Item 16.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item_16_form_10k_summary">
              <w:r>
                <w:rPr>
                  <w:rStyle w:val="InternetLink"/>
                  <w:rFonts w:ascii="Arial" w:hAnsi="Arial"/>
                  <w:color w:val="000000"/>
                  <w:sz w:val="20"/>
                </w:rPr>
                <w:t>Form 10-K Summary</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210" w:type="dxa"/>
            <w:tcBorders/>
            <w:tcMar>
              <w:top w:w="0" w:type="dxa"/>
              <w:left w:w="0" w:type="dxa"/>
              <w:bottom w:w="0" w:type="dxa"/>
              <w:right w:w="0" w:type="dxa"/>
            </w:tcMar>
            <w:vAlign w:val="center"/>
          </w:tcPr>
          <w:p>
            <w:pPr>
              <w:pStyle w:val="TableContents"/>
              <w:bidi w:val="0"/>
              <w:spacing w:before="0" w:after="283"/>
              <w:jc w:val="both"/>
              <w:rPr/>
            </w:pPr>
            <w:hyperlink w:anchor="signatures">
              <w:r>
                <w:rPr>
                  <w:rStyle w:val="InternetLink"/>
                  <w:rFonts w:ascii="Arial" w:hAnsi="Arial"/>
                  <w:color w:val="000000"/>
                  <w:sz w:val="20"/>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92"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Note About Forward-Looking Statements</w:t>
      </w:r>
    </w:p>
    <w:p>
      <w:pPr>
        <w:pStyle w:val="TextBody"/>
        <w:bidi w:val="0"/>
        <w:spacing w:before="180" w:after="283"/>
        <w:jc w:val="both"/>
        <w:rPr>
          <w:rFonts w:ascii="Arial" w:hAnsi="Arial"/>
          <w:color w:val="000000"/>
          <w:sz w:val="20"/>
        </w:rPr>
      </w:pPr>
      <w:r>
        <w:rPr>
          <w:rFonts w:ascii="Arial" w:hAnsi="Arial"/>
          <w:color w:val="000000"/>
          <w:sz w:val="20"/>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“Business” (Part I, Item 1 of this Form 10-K), “Risk Factors” (Part I, Item 1A of this Form 10-K), and “Management’s Discussion and Analysis of Financial Condition and Results of Operations” (Part II, Item 7 of this Form 10-K). These forward-looking statements generally are identified by the words “believe,” “project,” “expect,” “anticipate,” “estimate,” “intend,” “strategy,” “future,” “opportunity,” “plan,” “may,” “should,” “will,” “would,” “could,”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“Management’s Discussion and Analysis of Financial Condition and Results of Operations,” and “Quantitative and Qualitative Disclosures About Market Risk” (Part II, Item 7A of this Form 10-K).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pStyle w:val="TextBody"/>
        <w:bidi w:val="0"/>
        <w:spacing w:before="270" w:after="283"/>
        <w:jc w:val="center"/>
        <w:rPr>
          <w:rFonts w:ascii="Times New Roman" w:hAnsi="Times New Roman"/>
          <w:sz w:val="20"/>
        </w:rPr>
      </w:pPr>
      <w:bookmarkStart w:id="2" w:name="part_i"/>
      <w:bookmarkEnd w:id="2"/>
      <w:r>
        <w:rPr>
          <w:rFonts w:ascii="Arial" w:hAnsi="Arial"/>
          <w:b/>
          <w:color w:val="000000"/>
          <w:sz w:val="20"/>
        </w:rPr>
        <w:t>PART</w:t>
      </w:r>
      <w:r>
        <w:rPr>
          <w:rFonts w:ascii="Times New Roman" w:hAnsi="Times New Roman"/>
          <w:color w:val="000000"/>
          <w:sz w:val="20"/>
        </w:rPr>
        <w:t xml:space="preserve"> </w:t>
      </w:r>
      <w:r>
        <w:rPr>
          <w:rFonts w:ascii="Arial" w:hAnsi="Arial"/>
          <w:b/>
          <w:color w:val="000000"/>
          <w:sz w:val="20"/>
        </w:rPr>
        <w:t>I</w:t>
      </w:r>
    </w:p>
    <w:p>
      <w:pPr>
        <w:pStyle w:val="TextBody"/>
        <w:bidi w:val="0"/>
        <w:spacing w:before="180" w:after="283"/>
        <w:jc w:val="center"/>
        <w:rPr>
          <w:rFonts w:ascii="Arial" w:hAnsi="Arial"/>
          <w:b/>
          <w:color w:val="000000"/>
          <w:sz w:val="24"/>
        </w:rPr>
      </w:pPr>
      <w:bookmarkStart w:id="3" w:name="item_1_business"/>
      <w:bookmarkEnd w:id="3"/>
      <w:r>
        <w:rPr>
          <w:rFonts w:ascii="Arial" w:hAnsi="Arial"/>
          <w:b/>
          <w:color w:val="000000"/>
          <w:sz w:val="24"/>
        </w:rPr>
        <w:t>ITEM 1. BUSINESS</w:t>
      </w:r>
    </w:p>
    <w:p>
      <w:pPr>
        <w:pStyle w:val="TextBody"/>
        <w:bidi w:val="0"/>
        <w:spacing w:before="180" w:after="283"/>
        <w:jc w:val="center"/>
        <w:rPr>
          <w:rFonts w:ascii="Arial" w:hAnsi="Arial"/>
          <w:color w:val="000000"/>
          <w:sz w:val="20"/>
          <w:u w:val="single"/>
        </w:rPr>
      </w:pPr>
      <w:r>
        <w:rPr>
          <w:rFonts w:ascii="Arial" w:hAnsi="Arial"/>
          <w:color w:val="000000"/>
          <w:sz w:val="20"/>
          <w:u w:val="single"/>
        </w:rPr>
        <w:t>GENERAL</w:t>
      </w:r>
    </w:p>
    <w:p>
      <w:pPr>
        <w:pStyle w:val="TextBody"/>
        <w:bidi w:val="0"/>
        <w:spacing w:before="180" w:after="283"/>
        <w:jc w:val="both"/>
        <w:rPr>
          <w:rFonts w:ascii="Times New Roman" w:hAnsi="Times New Roman"/>
          <w:sz w:val="20"/>
        </w:rPr>
      </w:pPr>
      <w:r>
        <w:rPr>
          <w:rFonts w:ascii="Arial" w:hAnsi="Arial"/>
          <w:color w:val="000000"/>
          <w:sz w:val="20"/>
        </w:rPr>
        <w:t>Microsoft is a technology company committed to making digital technology and artificial intelligence (“AI”) available broadly and doing so responsibly. Our mission is to empower every person and every organization on the planet to achieve more.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develop and support a broad portfolio of technology solutions for individuals and businesses, focusing on secure, trusted, and innovative platforms and applications that meet evolving customer needs across AI, cloud computing, productivity and collaboration, and personal computing. We strive to create opportunity, growth, and impact in every country around the world.</w:t>
      </w:r>
    </w:p>
    <w:p>
      <w:pPr>
        <w:pStyle w:val="TextBody"/>
        <w:bidi w:val="0"/>
        <w:spacing w:before="180" w:after="283"/>
        <w:jc w:val="both"/>
        <w:rPr>
          <w:rFonts w:ascii="Times New Roman" w:hAnsi="Times New Roman"/>
          <w:sz w:val="20"/>
        </w:rPr>
      </w:pPr>
      <w:r>
        <w:rPr>
          <w:rFonts w:ascii="Arial" w:hAnsi="Arial"/>
          <w:color w:val="000000"/>
          <w:sz w:val="20"/>
        </w:rPr>
        <w:t>AI is fundamentally transforming productivity for every individual, organization, and industry. Microsoft's AI offerings span every layer of the technology stack, enabling transformative outcomes across sectors and unlocking opportunity for every country, community, and individual.</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believe AI should be as empowering as it is powerful, and we’re committed to designing and deploying AI responsibly with safety and security from the outset.</w:t>
      </w:r>
    </w:p>
    <w:p>
      <w:pPr>
        <w:pStyle w:val="TextBody"/>
        <w:bidi w:val="0"/>
        <w:spacing w:before="270" w:after="283"/>
        <w:jc w:val="left"/>
        <w:rPr>
          <w:rFonts w:ascii="Arial" w:hAnsi="Arial"/>
          <w:b/>
          <w:color w:val="000000"/>
          <w:sz w:val="20"/>
        </w:rPr>
      </w:pPr>
      <w:r>
        <w:rPr>
          <w:rFonts w:ascii="Arial" w:hAnsi="Arial"/>
          <w:b/>
          <w:color w:val="000000"/>
          <w:sz w:val="20"/>
        </w:rPr>
        <w:t>What We Offer</w:t>
      </w:r>
    </w:p>
    <w:p>
      <w:pPr>
        <w:pStyle w:val="TextBody"/>
        <w:bidi w:val="0"/>
        <w:spacing w:before="180" w:after="283"/>
        <w:jc w:val="both"/>
        <w:rPr>
          <w:rFonts w:ascii="Arial" w:hAnsi="Arial"/>
          <w:color w:val="000000"/>
          <w:sz w:val="20"/>
        </w:rPr>
      </w:pPr>
      <w:r>
        <w:rPr>
          <w:rFonts w:ascii="Arial" w:hAnsi="Arial"/>
          <w:color w:val="000000"/>
          <w:sz w:val="20"/>
        </w:rPr>
        <w:t>Founded in 1975, we develop and support software, services, devices, and solutions that deliver new value for customers and help people and businesses realize their full potential.</w:t>
      </w:r>
    </w:p>
    <w:p>
      <w:pPr>
        <w:pStyle w:val="TextBody"/>
        <w:bidi w:val="0"/>
        <w:spacing w:before="180" w:after="283"/>
        <w:jc w:val="both"/>
        <w:rPr>
          <w:rFonts w:ascii="Arial" w:hAnsi="Arial"/>
          <w:color w:val="000000"/>
          <w:sz w:val="20"/>
        </w:rPr>
      </w:pPr>
      <w:r>
        <w:rPr>
          <w:rFonts w:ascii="Arial" w:hAnsi="Arial"/>
          <w:color w:val="000000"/>
          <w:sz w:val="20"/>
        </w:rPr>
        <w:t>We offer an array of services, including cloud-based solutions that provide customers with AI, software, services, platforms, and content, and we provide solution support and consulting services. We also deliver relevant online advertising to a global audience.</w:t>
      </w:r>
    </w:p>
    <w:p>
      <w:pPr>
        <w:pStyle w:val="TextBody"/>
        <w:bidi w:val="0"/>
        <w:spacing w:before="180" w:after="283"/>
        <w:jc w:val="both"/>
        <w:rPr>
          <w:rFonts w:ascii="Arial" w:hAnsi="Arial"/>
          <w:color w:val="000000"/>
          <w:sz w:val="20"/>
        </w:rPr>
      </w:pPr>
      <w:r>
        <w:rPr>
          <w:rFonts w:ascii="Arial" w:hAnsi="Arial"/>
          <w:color w:val="000000"/>
          <w:sz w:val="20"/>
        </w:rPr>
        <w:t>Our products include operating systems, server applications, business solution applications, software development tools, desktop and server management tools, and video games. We also design and sell devices, including PCs, tablets, gaming and entertainment consoles, other intelligent devices, and related accessories.</w:t>
      </w:r>
    </w:p>
    <w:p>
      <w:pPr>
        <w:pStyle w:val="TextBody"/>
        <w:bidi w:val="0"/>
        <w:spacing w:before="180" w:after="283"/>
        <w:jc w:val="both"/>
        <w:rPr>
          <w:rFonts w:ascii="Times New Roman" w:hAnsi="Times New Roman"/>
          <w:sz w:val="20"/>
        </w:rPr>
      </w:pPr>
      <w:r>
        <w:rPr>
          <w:rFonts w:ascii="Arial" w:hAnsi="Arial"/>
          <w:color w:val="000000"/>
          <w:sz w:val="20"/>
        </w:rPr>
        <w:t>Digital transformation and adoption of AI continues to revolutionize more business workstreams for organizations in every sector across the globe. For enterprises, digital technology empowers employees, optimizes operations, engages customers, and in some cases, changes the very core of products and services.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center"/>
        <w:rPr/>
      </w:pPr>
      <w:r>
        <w:rPr/>
        <w:t> </w:t>
      </w:r>
    </w:p>
    <w:p>
      <w:pPr>
        <w:pStyle w:val="TextBody"/>
        <w:bidi w:val="0"/>
        <w:spacing w:before="180" w:after="283"/>
        <w:jc w:val="both"/>
        <w:rPr>
          <w:rFonts w:ascii="Times New Roman" w:hAnsi="Times New Roman"/>
          <w:sz w:val="20"/>
        </w:rPr>
      </w:pPr>
      <w:r>
        <w:rPr>
          <w:rFonts w:ascii="Arial" w:hAnsi="Arial"/>
          <w:color w:val="000000"/>
          <w:sz w:val="20"/>
        </w:rPr>
        <w:t>The Microsoft Cloud provides integration across the technology stack while offering openness, improving time to value, reducing costs, and increasing agility. Our cloud business benefits from three economies of scale: datacenters that deploy computational resources at significantly lower cost per unit than smaller ones; datacenters that coordinate and aggregate diverse customer, geographic, and application demand patterns, improving the utilization of computing, storage, and network resources; and multi-tenancy locations that lower application maintenance labor costs.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prioritize security above all else and we offer our customers integrated AI-driven products addressing security, compliance, identity, management, and privacy across customers’ multi-cloud, application, and device assets.</w:t>
      </w:r>
    </w:p>
    <w:p>
      <w:pPr>
        <w:pStyle w:val="TextBody"/>
        <w:bidi w:val="0"/>
        <w:spacing w:before="270" w:after="283"/>
        <w:jc w:val="left"/>
        <w:rPr>
          <w:rFonts w:ascii="Arial" w:hAnsi="Arial"/>
          <w:b/>
          <w:color w:val="000000"/>
          <w:sz w:val="20"/>
        </w:rPr>
      </w:pPr>
      <w:r>
        <w:rPr>
          <w:rFonts w:ascii="Arial" w:hAnsi="Arial"/>
          <w:b/>
          <w:color w:val="000000"/>
          <w:sz w:val="20"/>
        </w:rPr>
        <w:t>The Ambitions That Drive Us</w:t>
      </w:r>
    </w:p>
    <w:p>
      <w:pPr>
        <w:pStyle w:val="TextBody"/>
        <w:bidi w:val="0"/>
        <w:spacing w:before="180" w:after="283"/>
        <w:jc w:val="both"/>
        <w:rPr>
          <w:rFonts w:ascii="Arial" w:hAnsi="Arial"/>
          <w:color w:val="000000"/>
          <w:sz w:val="20"/>
        </w:rPr>
      </w:pPr>
      <w:r>
        <w:rPr>
          <w:rFonts w:ascii="Arial" w:hAnsi="Arial"/>
          <w:color w:val="000000"/>
          <w:sz w:val="20"/>
        </w:rPr>
        <w:t>To achieve our vision, our research and development efforts focus on three interconnected ambitions: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Reinvent productivity and business processes to help organizations and individuals work and collaborate more securely and efficiently.</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Build the intelligent cloud and intelligent edge platform to provide a foundation for our customers’ digital workloads, including hybrid consistency, developer productivity, data and AI capabilities, and trusted security and compliance.</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color w:val="000000"/>
          <w:sz w:val="20"/>
        </w:rPr>
        <w:t>Create</w:t>
      </w:r>
      <w:r>
        <w:rPr>
          <w:color w:val="000000"/>
        </w:rPr>
        <w:t xml:space="preserve"> </w:t>
      </w:r>
      <w:r>
        <w:rPr>
          <w:rFonts w:ascii="Arial" w:hAnsi="Arial"/>
          <w:color w:val="000000"/>
          <w:sz w:val="20"/>
        </w:rPr>
        <w:t xml:space="preserve">more personal computing experiences that empower people to play, create, and interact with technology in more intuitive, engaging, and dynamic ways. </w:t>
      </w:r>
    </w:p>
    <w:p>
      <w:pPr>
        <w:pStyle w:val="TextBody"/>
        <w:bidi w:val="0"/>
        <w:spacing w:before="270" w:after="283"/>
        <w:jc w:val="left"/>
        <w:rPr>
          <w:rFonts w:ascii="Arial" w:hAnsi="Arial"/>
          <w:b/>
          <w:color w:val="000000"/>
          <w:sz w:val="20"/>
        </w:rPr>
      </w:pPr>
      <w:r>
        <w:rPr>
          <w:rFonts w:ascii="Arial" w:hAnsi="Arial"/>
          <w:b/>
          <w:color w:val="000000"/>
          <w:sz w:val="20"/>
        </w:rPr>
        <w:t>Our Future Opportunity</w:t>
      </w:r>
    </w:p>
    <w:p>
      <w:pPr>
        <w:pStyle w:val="TextBody"/>
        <w:bidi w:val="0"/>
        <w:spacing w:before="180" w:after="283"/>
        <w:jc w:val="both"/>
        <w:rPr>
          <w:rFonts w:ascii="Arial" w:hAnsi="Arial"/>
          <w:color w:val="000000"/>
          <w:sz w:val="20"/>
        </w:rPr>
      </w:pPr>
      <w:r>
        <w:rPr>
          <w:rFonts w:ascii="Arial" w:hAnsi="Arial"/>
          <w:color w:val="000000"/>
          <w:sz w:val="20"/>
        </w:rPr>
        <w:t>We are focused on helping customers use the breadth and depth of the Microsoft Cloud to get the most value out of their digital spend while leading the AI platform wave across our solution areas. We continue to develop complete, intelligent solutions for our customers that empower people to be productive and collaborate, while safeguarding businesses and simplifying IT management. Our goal is to lead the industry in several distinct areas of technology over the long term, which we expect will translate to sustained growth. We are investing significant resources in:</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Tackling security from all angles with our integrated, end-to-end solutions spanning security, compliance, identity, and management, across all clouds and platforms.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Transforming the workplace to deliver new, modern, modular business applications, drive deeper insights, and improve how people communicate, collaborate, learn, work, and interact with one another.</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Building and running cloud-based services in ways that utilize ubiquitous computing to unleash new experiences and opportunities for businesses and individuals.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Applying AI and ambient intelligence to drive insights, revolutionize many types of work and business processes, and provide substantive productivity gains using Microsoft 365 Copilot and agents.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Helping customers drive frontier transformation by applying frontier AI capabilities, engineering expertise, and trusted platforms to reinvent how their organizations operate, improve decision-making, create new value, and deliver measurable business outcomes from AI.</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Providing a unified intelligence layer for enterprise AI to ground AI in a continuously evolving understanding of an organization’s data.</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Providing training on generative AI and greater access to digital learning and resources through skilling programs and initiatives, grants, and LinkedIn learning pathways.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Inventing new gaming experiences that bring people together around their shared love for games on any device and pushing the boundaries of innovation with console and PC gaming.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Leveraging Windows to fuel our cloud business, grow our share of the PC market, and drive increased engagement with our services like Microsoft Edge, Bing, Copilot, Microsoft Teams, Microsoft 365 Consumer, XBOX Game Pass, and more.</w:t>
      </w:r>
    </w:p>
    <w:p>
      <w:pPr>
        <w:pStyle w:val="TextBody"/>
        <w:bidi w:val="0"/>
        <w:spacing w:before="180" w:after="283"/>
        <w:jc w:val="both"/>
        <w:rPr>
          <w:rFonts w:ascii="Arial" w:hAnsi="Arial"/>
          <w:color w:val="000000"/>
          <w:sz w:val="20"/>
        </w:rPr>
      </w:pPr>
      <w:r>
        <w:rPr>
          <w:rFonts w:ascii="Arial" w:hAnsi="Arial"/>
          <w:color w:val="000000"/>
          <w:sz w:val="20"/>
        </w:rPr>
        <w:t>Our future growth depends on our ability to transcend current product category definitions, business models, and sales motions.</w:t>
      </w:r>
    </w:p>
    <w:p>
      <w:pPr>
        <w:pStyle w:val="TextBody"/>
        <w:bidi w:val="0"/>
        <w:spacing w:before="240" w:after="283"/>
        <w:jc w:val="center"/>
        <w:rPr>
          <w:rFonts w:ascii="Arial" w:hAnsi="Arial"/>
          <w:color w:val="000000"/>
          <w:sz w:val="16"/>
        </w:rPr>
      </w:pPr>
      <w:r>
        <w:rPr>
          <w:rFonts w:ascii="Arial" w:hAnsi="Arial"/>
          <w:color w:val="000000"/>
          <w:sz w:val="16"/>
        </w:rPr>
        <w:t>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center"/>
        <w:rPr/>
      </w:pPr>
      <w:r>
        <w:rPr/>
        <w:t> </w:t>
      </w:r>
    </w:p>
    <w:p>
      <w:pPr>
        <w:pStyle w:val="TextBody"/>
        <w:bidi w:val="0"/>
        <w:spacing w:before="270" w:after="283"/>
        <w:jc w:val="left"/>
        <w:rPr>
          <w:rFonts w:ascii="Arial" w:hAnsi="Arial"/>
          <w:b/>
          <w:color w:val="000000"/>
          <w:sz w:val="20"/>
        </w:rPr>
      </w:pPr>
      <w:r>
        <w:rPr>
          <w:rFonts w:ascii="Arial" w:hAnsi="Arial"/>
          <w:b/>
          <w:color w:val="000000"/>
          <w:sz w:val="20"/>
        </w:rPr>
        <w:t>Commitment to Sustainability</w:t>
      </w:r>
    </w:p>
    <w:p>
      <w:pPr>
        <w:pStyle w:val="TextBody"/>
        <w:bidi w:val="0"/>
        <w:spacing w:before="180" w:after="283"/>
        <w:jc w:val="both"/>
        <w:rPr>
          <w:rFonts w:ascii="Arial" w:hAnsi="Arial"/>
          <w:color w:val="000000"/>
          <w:sz w:val="20"/>
        </w:rPr>
      </w:pPr>
      <w:r>
        <w:rPr>
          <w:rFonts w:ascii="Arial" w:hAnsi="Arial"/>
          <w:color w:val="000000"/>
          <w:sz w:val="20"/>
        </w:rPr>
        <w:t>Microsoft is committed to sustainability and our approach to addressing climate change starts with the sustainability of our own business. In 2020, we announced goals to become a carbon negative, water positive, and zero waste company by 2030. Since announcing these goals, we have seen major changes in both the technology sector and in our understanding of what it will take to meet our goals. More information about our progress toward these goals can be found in our annual Environmental Sustainability Report.</w:t>
      </w:r>
    </w:p>
    <w:p>
      <w:pPr>
        <w:pStyle w:val="TextBody"/>
        <w:bidi w:val="0"/>
        <w:spacing w:before="270" w:after="283"/>
        <w:jc w:val="center"/>
        <w:rPr>
          <w:rFonts w:ascii="Arial" w:hAnsi="Arial"/>
          <w:color w:val="000000"/>
          <w:sz w:val="20"/>
          <w:u w:val="single"/>
        </w:rPr>
      </w:pPr>
      <w:r>
        <w:rPr>
          <w:rFonts w:ascii="Arial" w:hAnsi="Arial"/>
          <w:color w:val="000000"/>
          <w:sz w:val="20"/>
          <w:u w:val="single"/>
        </w:rPr>
        <w:t>OPERATING SEGMENTS</w:t>
      </w:r>
    </w:p>
    <w:p>
      <w:pPr>
        <w:pStyle w:val="TextBody"/>
        <w:bidi w:val="0"/>
        <w:spacing w:before="180" w:after="283"/>
        <w:jc w:val="both"/>
        <w:rPr>
          <w:rFonts w:ascii="Arial" w:hAnsi="Arial"/>
          <w:color w:val="000000"/>
          <w:sz w:val="20"/>
        </w:rPr>
      </w:pPr>
      <w:r>
        <w:rPr>
          <w:rFonts w:ascii="Arial" w:hAnsi="Arial"/>
          <w:color w:val="000000"/>
          <w:sz w:val="20"/>
        </w:rPr>
        <w:t>We operate our business and report our financial performance using three segments: Productivity and Business Processes, Intelligent Cloud, and More Personal Computing. Our segments provide management with a comprehensive financial view of our key businesses. The segments enable the alignment of strategies and objectives across the development, sales, marketing, and services organizations, and they provide a framework for timely and rational allocation of resources within businesses.</w:t>
      </w:r>
    </w:p>
    <w:p>
      <w:pPr>
        <w:pStyle w:val="TextBody"/>
        <w:bidi w:val="0"/>
        <w:spacing w:before="180" w:after="283"/>
        <w:jc w:val="both"/>
        <w:rPr>
          <w:rFonts w:ascii="Arial" w:hAnsi="Arial"/>
          <w:color w:val="000000"/>
          <w:sz w:val="20"/>
        </w:rPr>
      </w:pPr>
      <w:r>
        <w:rPr>
          <w:rFonts w:ascii="Arial" w:hAnsi="Arial"/>
          <w:color w:val="000000"/>
          <w:sz w:val="20"/>
        </w:rPr>
        <w:t>Additional information on our operating segments and geographic and product information is contained in Note 18 – Segment Information and Geographic Data of the Notes to Financial Statements (Part II, Item 8 of this Form 10-K).</w:t>
      </w:r>
    </w:p>
    <w:p>
      <w:pPr>
        <w:pStyle w:val="TextBody"/>
        <w:bidi w:val="0"/>
        <w:spacing w:before="180" w:after="283"/>
        <w:jc w:val="both"/>
        <w:rPr>
          <w:rFonts w:ascii="Arial" w:hAnsi="Arial"/>
          <w:color w:val="000000"/>
          <w:sz w:val="20"/>
        </w:rPr>
      </w:pPr>
      <w:r>
        <w:rPr>
          <w:rFonts w:ascii="Arial" w:hAnsi="Arial"/>
          <w:color w:val="000000"/>
          <w:sz w:val="20"/>
        </w:rPr>
        <w:t>Our reportable segments are described below.</w:t>
      </w:r>
    </w:p>
    <w:p>
      <w:pPr>
        <w:pStyle w:val="TextBody"/>
        <w:bidi w:val="0"/>
        <w:spacing w:before="270" w:after="283"/>
        <w:jc w:val="left"/>
        <w:rPr>
          <w:rFonts w:ascii="Arial" w:hAnsi="Arial"/>
          <w:b/>
          <w:color w:val="000000"/>
          <w:sz w:val="20"/>
        </w:rPr>
      </w:pPr>
      <w:r>
        <w:rPr>
          <w:rFonts w:ascii="Arial" w:hAnsi="Arial"/>
          <w:b/>
          <w:color w:val="000000"/>
          <w:sz w:val="20"/>
        </w:rPr>
        <w:t>Productivity and Business Processes</w:t>
      </w:r>
    </w:p>
    <w:p>
      <w:pPr>
        <w:pStyle w:val="TextBody"/>
        <w:bidi w:val="0"/>
        <w:spacing w:before="180" w:after="283"/>
        <w:jc w:val="both"/>
        <w:rPr>
          <w:rFonts w:ascii="Arial" w:hAnsi="Arial"/>
          <w:color w:val="000000"/>
          <w:sz w:val="20"/>
        </w:rPr>
      </w:pPr>
      <w:r>
        <w:rPr>
          <w:rFonts w:ascii="Arial" w:hAnsi="Arial"/>
          <w:color w:val="000000"/>
          <w:sz w:val="20"/>
        </w:rPr>
        <w:t>Our Productivity and Business Processes segment consists of products and services in our portfolio of productivity, communication, and information services, spanning a variety of devices and platforms.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Commercial products and cloud services, including Microsoft 365 Commercial cloud, comprising Microsoft 365 Commercial, Enterprise Mobility + Security, the cloud portion of Windows Commercial, the per-user portion of Power BI, Exchange, SharePoint, Microsoft Teams, Microsoft 365 Security and Compliance, and Microsoft 365 Copilot; and Microsoft 365 Commercial products, comprising Windows Commercial on-premises and Office licensed on-premises.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Consumer products and cloud services, including Microsoft 365 Consumer subscriptions, Office licensed on-premises, and other consumer services.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including Talent Solutions, Marketing Solutions, Premium Subscriptions, and Sales Solutions.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products and cloud services, including Dynamics 365, comprising a set of intelligent, cloud-based applications across ERP, CRM, Power Apps, and Power Automate; and on-premises ERP and CRM applications.</w:t>
      </w:r>
    </w:p>
    <w:p>
      <w:pPr>
        <w:pStyle w:val="TextBody"/>
        <w:bidi w:val="0"/>
        <w:spacing w:before="270" w:after="283"/>
        <w:jc w:val="left"/>
        <w:rPr>
          <w:rFonts w:ascii="Arial" w:hAnsi="Arial"/>
          <w:b/>
          <w:i/>
          <w:color w:val="000000"/>
          <w:sz w:val="20"/>
        </w:rPr>
      </w:pPr>
      <w:r>
        <w:rPr>
          <w:rFonts w:ascii="Arial" w:hAnsi="Arial"/>
          <w:b/>
          <w:i/>
          <w:color w:val="000000"/>
          <w:sz w:val="20"/>
        </w:rPr>
        <w:t>Microsoft 365 Commercial Products and Cloud Services</w:t>
      </w:r>
    </w:p>
    <w:p>
      <w:pPr>
        <w:pStyle w:val="TextBody"/>
        <w:bidi w:val="0"/>
        <w:spacing w:before="180" w:after="283"/>
        <w:jc w:val="both"/>
        <w:rPr>
          <w:rFonts w:ascii="Arial" w:hAnsi="Arial"/>
          <w:color w:val="000000"/>
          <w:sz w:val="20"/>
        </w:rPr>
      </w:pPr>
      <w:r>
        <w:rPr>
          <w:rFonts w:ascii="Arial" w:hAnsi="Arial"/>
          <w:color w:val="000000"/>
          <w:sz w:val="20"/>
        </w:rPr>
        <w:t>Microsoft 365 Commercial is an AI-powered business and productivity solutions platform that brings together Office, Windows, Microsoft 365 Copilot, and Enterprise Mobility + Security to help organizations empower their employees. Growth depends on our ability to reach new users in new markets such as frontline workers, small and medium businesses, and growth markets, as well as add AI-enabled tools, features, and agentic scenarios to our core product and service offerings across communication, collaboration, analytics, security, compliance, and other AI business productivity categories. Microsoft 365 Commercial revenue is mainly affected by a combination of continued installed base growth and average revenue per user expansion, as well as the continued shift from Office licensed on-premises to Microsoft 365.</w:t>
      </w:r>
    </w:p>
    <w:p>
      <w:pPr>
        <w:pStyle w:val="TextBody"/>
        <w:bidi w:val="0"/>
        <w:spacing w:before="270" w:after="283"/>
        <w:jc w:val="left"/>
        <w:rPr>
          <w:rFonts w:ascii="Arial" w:hAnsi="Arial"/>
          <w:b/>
          <w:i/>
          <w:color w:val="000000"/>
          <w:sz w:val="20"/>
        </w:rPr>
      </w:pPr>
      <w:r>
        <w:rPr>
          <w:rFonts w:ascii="Arial" w:hAnsi="Arial"/>
          <w:b/>
          <w:i/>
          <w:color w:val="000000"/>
          <w:sz w:val="20"/>
        </w:rPr>
        <w:t>Microsoft 365 Consumer Products and Cloud Services</w:t>
      </w:r>
    </w:p>
    <w:p>
      <w:pPr>
        <w:pStyle w:val="TextBody"/>
        <w:bidi w:val="0"/>
        <w:spacing w:before="180" w:after="283"/>
        <w:jc w:val="both"/>
        <w:rPr>
          <w:rFonts w:ascii="Arial" w:hAnsi="Arial"/>
          <w:color w:val="000000"/>
          <w:sz w:val="20"/>
        </w:rPr>
      </w:pPr>
      <w:r>
        <w:rPr>
          <w:rFonts w:ascii="Arial" w:hAnsi="Arial"/>
          <w:color w:val="000000"/>
          <w:sz w:val="20"/>
        </w:rPr>
        <w:t>Microsoft 365 Consumer is designed to increase personal productivity and creativity through a range of products and services. Growth depends on our ability to reach new users, add value to our core product set with new features including AI tools, and continue to expand our product and service offerings into new markets. Microsoft 365 Consumer cloud revenue and Office Consumer products revenue is mainly affected by the percentage of customers that buy Office with their new devices and the continued shift from Office licensed on-premises to Microsoft 365 Consumer subscriptions. Microsoft 365 Consumer cloud revenue is also affected by the demand for communication and storage through Outlook.com and OneDrive, which is largely driven by subscriptions and advertising.</w:t>
      </w:r>
    </w:p>
    <w:p>
      <w:pPr>
        <w:pStyle w:val="TextBody"/>
        <w:bidi w:val="0"/>
        <w:spacing w:before="240" w:after="283"/>
        <w:jc w:val="center"/>
        <w:rPr>
          <w:rFonts w:ascii="Arial" w:hAnsi="Arial"/>
          <w:color w:val="000000"/>
          <w:sz w:val="16"/>
        </w:rPr>
      </w:pPr>
      <w:r>
        <w:rPr>
          <w:rFonts w:ascii="Arial" w:hAnsi="Arial"/>
          <w:color w:val="000000"/>
          <w:sz w:val="16"/>
        </w:rPr>
        <w:t>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center"/>
        <w:rPr/>
      </w:pPr>
      <w:r>
        <w:rPr/>
        <w:t> </w:t>
      </w:r>
    </w:p>
    <w:p>
      <w:pPr>
        <w:pStyle w:val="TextBody"/>
        <w:bidi w:val="0"/>
        <w:spacing w:before="270" w:after="283"/>
        <w:jc w:val="left"/>
        <w:rPr>
          <w:rFonts w:ascii="Arial" w:hAnsi="Arial"/>
          <w:b/>
          <w:i/>
          <w:color w:val="000000"/>
          <w:sz w:val="20"/>
        </w:rPr>
      </w:pPr>
      <w:r>
        <w:rPr>
          <w:rFonts w:ascii="Arial" w:hAnsi="Arial"/>
          <w:b/>
          <w:i/>
          <w:color w:val="000000"/>
          <w:sz w:val="20"/>
        </w:rPr>
        <w:t>LinkedIn</w:t>
      </w:r>
    </w:p>
    <w:p>
      <w:pPr>
        <w:pStyle w:val="TextBody"/>
        <w:bidi w:val="0"/>
        <w:spacing w:before="180" w:after="283"/>
        <w:jc w:val="both"/>
        <w:rPr>
          <w:rFonts w:ascii="Times New Roman" w:hAnsi="Times New Roman"/>
          <w:sz w:val="20"/>
        </w:rPr>
      </w:pPr>
      <w:r>
        <w:rPr>
          <w:rFonts w:ascii="Arial" w:hAnsi="Arial"/>
          <w:color w:val="000000"/>
          <w:sz w:val="20"/>
        </w:rPr>
        <w:t>LinkedIn connects the world’s professionals to make them more productive and successful and transforms the way companies hire, market, sell, and learn. In addition to LinkedIn’s free services, LinkedIn offers monetized solutions designed to offer AI-enabled insights and productivity: Talent Solutions, Marketing Solutions, Premium Subscriptions, and Sales Solutions. Growth will depend on our ability to increase LinkedIn member engagement on the platform and our ability to continue offering insight and AI-enabled services that provide value for our members and customers. LinkedIn revenue is mainly affected by demand from enterprises and professionals for subscriptions to Talent Solutions, Sales Solutions, and Premium Subscriptions offerings, as well as member engagement and the quality of the sponsored content delivered to those members to drive Marketing Solutions.</w:t>
      </w:r>
      <w:r>
        <w:rPr>
          <w:rFonts w:ascii="Times New Roman" w:hAnsi="Times New Roman"/>
          <w:color w:val="000000"/>
          <w:sz w:val="20"/>
        </w:rPr>
        <w:t xml:space="preserve"> </w:t>
      </w:r>
    </w:p>
    <w:p>
      <w:pPr>
        <w:pStyle w:val="TextBody"/>
        <w:bidi w:val="0"/>
        <w:spacing w:before="270" w:after="283"/>
        <w:jc w:val="left"/>
        <w:rPr>
          <w:rFonts w:ascii="Arial" w:hAnsi="Arial"/>
          <w:b/>
          <w:i/>
          <w:color w:val="000000"/>
          <w:sz w:val="20"/>
        </w:rPr>
      </w:pPr>
      <w:r>
        <w:rPr>
          <w:rFonts w:ascii="Arial" w:hAnsi="Arial"/>
          <w:b/>
          <w:i/>
          <w:color w:val="000000"/>
          <w:sz w:val="20"/>
        </w:rPr>
        <w:t>Dynamics Products and Cloud Services</w:t>
      </w:r>
    </w:p>
    <w:p>
      <w:pPr>
        <w:pStyle w:val="TextBody"/>
        <w:bidi w:val="0"/>
        <w:spacing w:before="180" w:after="283"/>
        <w:jc w:val="both"/>
        <w:rPr>
          <w:rFonts w:ascii="Arial" w:hAnsi="Arial"/>
          <w:color w:val="000000"/>
          <w:sz w:val="20"/>
        </w:rPr>
      </w:pPr>
      <w:r>
        <w:rPr>
          <w:rFonts w:ascii="Arial" w:hAnsi="Arial"/>
          <w:color w:val="000000"/>
          <w:sz w:val="20"/>
        </w:rPr>
        <w:t>Dynamics provides cloud-based and on-premises business solutions for financial management, enterprise resource planning (“ERP”), customer relationship management (“CRM”), and supply chain management, as well as agentic AI and other low code application development platforms, for small and medium businesses, large organizations, and divisions of global enterprises. Dynamics revenue is driven by the number of users licensed and applications consumed, expansion of average revenue per user, and the continued shift to Dynamics 365, a unified set of cloud-based intelligent business applications, including our low code development platforms, such as Power Apps and Power Automate.</w:t>
      </w:r>
    </w:p>
    <w:p>
      <w:pPr>
        <w:pStyle w:val="TextBody"/>
        <w:bidi w:val="0"/>
        <w:spacing w:before="270" w:after="283"/>
        <w:jc w:val="left"/>
        <w:rPr>
          <w:rFonts w:ascii="Arial" w:hAnsi="Arial"/>
          <w:i/>
          <w:color w:val="000000"/>
          <w:sz w:val="20"/>
        </w:rPr>
      </w:pPr>
      <w:r>
        <w:rPr>
          <w:rFonts w:ascii="Arial" w:hAnsi="Arial"/>
          <w:i/>
          <w:color w:val="000000"/>
          <w:sz w:val="20"/>
        </w:rPr>
        <w:t>Competition</w:t>
      </w:r>
    </w:p>
    <w:p>
      <w:pPr>
        <w:pStyle w:val="TextBody"/>
        <w:bidi w:val="0"/>
        <w:spacing w:before="180" w:after="283"/>
        <w:jc w:val="both"/>
        <w:rPr>
          <w:rFonts w:ascii="Arial" w:hAnsi="Arial"/>
          <w:color w:val="000000"/>
          <w:sz w:val="20"/>
        </w:rPr>
      </w:pPr>
      <w:r>
        <w:rPr>
          <w:rFonts w:ascii="Arial" w:hAnsi="Arial"/>
          <w:color w:val="000000"/>
          <w:sz w:val="20"/>
        </w:rPr>
        <w:t>Competitors to Office include software and global application vendors, web-based and mobile application companies, AI-first application companies, as well as local application developers. We compete by providing secure, integrated industry-specific, and easy-to-use productivity and collaboration tools and services that create comprehensive solutions and work well with technologies our customers already have both on-premises or in the cloud.</w:t>
      </w:r>
    </w:p>
    <w:p>
      <w:pPr>
        <w:pStyle w:val="TextBody"/>
        <w:bidi w:val="0"/>
        <w:spacing w:before="180" w:after="283"/>
        <w:jc w:val="both"/>
        <w:rPr>
          <w:rFonts w:ascii="Times New Roman" w:hAnsi="Times New Roman"/>
          <w:sz w:val="20"/>
        </w:rPr>
      </w:pPr>
      <w:r>
        <w:rPr>
          <w:rFonts w:ascii="Arial" w:hAnsi="Arial"/>
          <w:color w:val="000000"/>
          <w:sz w:val="20"/>
        </w:rPr>
        <w:t>Windows faces competition from various software products and from alternative platforms and devices. Microsoft Defender for Endpoint competes with endpoint security solution providers.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Enterprise Mobility + Security offerings compete with products from a range of competitors including identity vendors, security solution vendors, and numerous other security point solution vendors.</w:t>
      </w:r>
    </w:p>
    <w:p>
      <w:pPr>
        <w:pStyle w:val="TextBody"/>
        <w:bidi w:val="0"/>
        <w:spacing w:before="180" w:after="283"/>
        <w:jc w:val="both"/>
        <w:rPr>
          <w:rFonts w:ascii="Arial" w:hAnsi="Arial"/>
          <w:color w:val="000000"/>
          <w:sz w:val="20"/>
        </w:rPr>
      </w:pPr>
      <w:r>
        <w:rPr>
          <w:rFonts w:ascii="Arial" w:hAnsi="Arial"/>
          <w:color w:val="000000"/>
          <w:sz w:val="20"/>
        </w:rPr>
        <w:t>LinkedIn faces competition from online professional networks; recruiting, talent management, and human resource services companies; job boards; companies that provide learning and development products and services; online and offline outlets that generate revenue from advertisers and marketers; and online and offline outlets for companies with lead generation and customer intelligence and insights.</w:t>
      </w:r>
    </w:p>
    <w:p>
      <w:pPr>
        <w:pStyle w:val="TextBody"/>
        <w:bidi w:val="0"/>
        <w:spacing w:before="180" w:after="283"/>
        <w:jc w:val="both"/>
        <w:rPr>
          <w:rFonts w:ascii="Arial" w:hAnsi="Arial"/>
          <w:color w:val="000000"/>
          <w:sz w:val="20"/>
        </w:rPr>
      </w:pPr>
      <w:r>
        <w:rPr>
          <w:rFonts w:ascii="Arial" w:hAnsi="Arial"/>
          <w:color w:val="000000"/>
          <w:sz w:val="20"/>
        </w:rPr>
        <w:t>Dynamics competes with cloud-based and on-premises business solution providers.</w:t>
      </w:r>
    </w:p>
    <w:p>
      <w:pPr>
        <w:pStyle w:val="TextBody"/>
        <w:bidi w:val="0"/>
        <w:spacing w:before="270" w:after="283"/>
        <w:jc w:val="left"/>
        <w:rPr>
          <w:rFonts w:ascii="Arial" w:hAnsi="Arial"/>
          <w:b/>
          <w:color w:val="000000"/>
          <w:sz w:val="20"/>
        </w:rPr>
      </w:pPr>
      <w:r>
        <w:rPr>
          <w:rFonts w:ascii="Arial" w:hAnsi="Arial"/>
          <w:b/>
          <w:color w:val="000000"/>
          <w:sz w:val="20"/>
        </w:rPr>
        <w:t>Intelligent Cloud</w:t>
      </w:r>
    </w:p>
    <w:p>
      <w:pPr>
        <w:pStyle w:val="TextBody"/>
        <w:bidi w:val="0"/>
        <w:spacing w:before="180" w:after="283"/>
        <w:jc w:val="both"/>
        <w:rPr>
          <w:rFonts w:ascii="Arial" w:hAnsi="Arial"/>
          <w:color w:val="000000"/>
          <w:sz w:val="20"/>
        </w:rPr>
      </w:pPr>
      <w:r>
        <w:rPr>
          <w:rFonts w:ascii="Arial" w:hAnsi="Arial"/>
          <w:color w:val="000000"/>
          <w:sz w:val="20"/>
        </w:rPr>
        <w:t>Our Intelligent Cloud segment consists of our public, private, and hybrid server products and cloud services that power modern business and developers.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Server products and cloud services, including Azure and other cloud services, comprising cloud and AI consumption-based services, GitHub cloud services, Health and Life Sciences cloud services (formerly Nuance Healthcare cloud services), virtual desktop offerings, and other cloud services; and Server products, comprising SQL Server, Windows Server, Visual Studio, System Center, related Client Access Licenses (“CALs”), and other on-premises offerings.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Enterprise and partner services, including Enterprise Support Services, Industry Solutions, Microsoft Partner Network, and Learning Experience.</w:t>
      </w:r>
    </w:p>
    <w:p>
      <w:pPr>
        <w:pStyle w:val="TextBody"/>
        <w:bidi w:val="0"/>
        <w:spacing w:before="240" w:after="283"/>
        <w:jc w:val="center"/>
        <w:rPr>
          <w:rFonts w:ascii="Arial" w:hAnsi="Arial"/>
          <w:color w:val="000000"/>
          <w:sz w:val="16"/>
        </w:rPr>
      </w:pPr>
      <w:r>
        <w:rPr>
          <w:rFonts w:ascii="Arial" w:hAnsi="Arial"/>
          <w:color w:val="000000"/>
          <w:sz w:val="16"/>
        </w:rPr>
        <w:t>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center"/>
        <w:rPr/>
      </w:pPr>
      <w:r>
        <w:rPr/>
        <w:t> </w:t>
      </w:r>
    </w:p>
    <w:p>
      <w:pPr>
        <w:pStyle w:val="TextBody"/>
        <w:bidi w:val="0"/>
        <w:spacing w:before="270" w:after="283"/>
        <w:jc w:val="left"/>
        <w:rPr>
          <w:rFonts w:ascii="Arial" w:hAnsi="Arial"/>
          <w:b/>
          <w:i/>
          <w:color w:val="000000"/>
          <w:sz w:val="20"/>
        </w:rPr>
      </w:pPr>
      <w:r>
        <w:rPr>
          <w:rFonts w:ascii="Arial" w:hAnsi="Arial"/>
          <w:b/>
          <w:i/>
          <w:color w:val="000000"/>
          <w:sz w:val="20"/>
        </w:rPr>
        <w:t>Server Products and Cloud Services</w:t>
      </w:r>
    </w:p>
    <w:p>
      <w:pPr>
        <w:pStyle w:val="TextBody"/>
        <w:bidi w:val="0"/>
        <w:spacing w:before="180" w:after="283"/>
        <w:jc w:val="both"/>
        <w:rPr>
          <w:rFonts w:ascii="Arial" w:hAnsi="Arial"/>
          <w:color w:val="000000"/>
          <w:sz w:val="20"/>
        </w:rPr>
      </w:pPr>
      <w:r>
        <w:rPr>
          <w:rFonts w:ascii="Arial" w:hAnsi="Arial"/>
          <w:color w:val="000000"/>
          <w:sz w:val="20"/>
        </w:rPr>
        <w:t>Azure is a comprehensive set of cloud services that offer developers, IT professionals, and enterprises freedom to build, deploy, and manage applications on any platform or device. Customers can use Azure through our global network of datacenters for computing, networking, storage, mobile and web application services, AI, and Internet of Things. Azure enables customers to devote more resources to development and use of applications that benefit their organizations, rather than managing on-premises hardware and software. Azure revenue is mainly affected by infrastructure-as-a-service and platform-as-a-service consumption-based services.</w:t>
      </w:r>
    </w:p>
    <w:p>
      <w:pPr>
        <w:pStyle w:val="TextBody"/>
        <w:bidi w:val="0"/>
        <w:spacing w:before="180" w:after="283"/>
        <w:jc w:val="both"/>
        <w:rPr>
          <w:rFonts w:ascii="Arial" w:hAnsi="Arial"/>
          <w:color w:val="000000"/>
          <w:sz w:val="20"/>
        </w:rPr>
      </w:pPr>
      <w:r>
        <w:rPr>
          <w:rFonts w:ascii="Arial" w:hAnsi="Arial"/>
          <w:color w:val="000000"/>
          <w:sz w:val="20"/>
        </w:rPr>
        <w:t>Azure AI offerings provide a competitive advantage as companies seek ways to optimize and scale their business with AI. We offer supercomputing power for AI at scale to run large workloads, complemented by our rapidly expanding portfolio of AI cloud services (including the latest models) and hardware, which includes custom-built silicon and strong partnerships with chip manufacturers. Azure AI Foundry is a unified platform for developers to design, customize, and manage AI applications and agents.</w:t>
      </w:r>
    </w:p>
    <w:p>
      <w:pPr>
        <w:pStyle w:val="TextBody"/>
        <w:bidi w:val="0"/>
        <w:spacing w:before="180" w:after="283"/>
        <w:jc w:val="both"/>
        <w:rPr>
          <w:rFonts w:ascii="Arial" w:hAnsi="Arial"/>
          <w:color w:val="000000"/>
          <w:sz w:val="20"/>
        </w:rPr>
      </w:pPr>
      <w:r>
        <w:rPr>
          <w:rFonts w:ascii="Arial" w:hAnsi="Arial"/>
          <w:color w:val="000000"/>
          <w:sz w:val="20"/>
        </w:rPr>
        <w:t>Our server products are designed to make IT professionals, developers, and their systems more productive and efficient. Server software is integrated server infrastructure and middleware designed to support software applications built on the Windows Server operating system. This includes the server platform, database, business intelligence, storage, management and operations, virtualization, service-oriented architecture platform, security, and identity software. We also license standalone and software development lifecycle tools for software architects, developers, testers, and project managers. Server products revenue is mainly affected by purchases through volume licensing programs, licenses sold to OEMs, and retail packaged products. CALs provide access rights to certain server products, including SQL Server and Windows Server, and revenue is reported along with the associated server product.</w:t>
      </w:r>
    </w:p>
    <w:p>
      <w:pPr>
        <w:pStyle w:val="TextBody"/>
        <w:bidi w:val="0"/>
        <w:spacing w:before="180" w:after="283"/>
        <w:jc w:val="both"/>
        <w:rPr>
          <w:rFonts w:ascii="Times New Roman" w:hAnsi="Times New Roman"/>
          <w:sz w:val="20"/>
        </w:rPr>
      </w:pPr>
      <w:r>
        <w:rPr>
          <w:rFonts w:ascii="Arial" w:hAnsi="Arial"/>
          <w:color w:val="000000"/>
          <w:sz w:val="20"/>
        </w:rPr>
        <w:t>GitHub includes both cloud and on-premises offerings. GitHub provides a collaboration platform for developers to manage code and incorporate AI and agent-based tools across the software development lifecycle. Health and Life Sciences cloud services provides AI solutions to the healthcare industry.</w:t>
      </w:r>
      <w:r>
        <w:rPr>
          <w:rFonts w:ascii="Times New Roman" w:hAnsi="Times New Roman"/>
          <w:color w:val="000000"/>
          <w:sz w:val="20"/>
        </w:rPr>
        <w:t xml:space="preserve"> </w:t>
      </w:r>
    </w:p>
    <w:p>
      <w:pPr>
        <w:pStyle w:val="TextBody"/>
        <w:bidi w:val="0"/>
        <w:spacing w:before="270" w:after="283"/>
        <w:jc w:val="left"/>
        <w:rPr>
          <w:rFonts w:ascii="Arial" w:hAnsi="Arial"/>
          <w:b/>
          <w:i/>
          <w:color w:val="000000"/>
          <w:sz w:val="20"/>
        </w:rPr>
      </w:pPr>
      <w:r>
        <w:rPr>
          <w:rFonts w:ascii="Arial" w:hAnsi="Arial"/>
          <w:b/>
          <w:i/>
          <w:color w:val="000000"/>
          <w:sz w:val="20"/>
        </w:rPr>
        <w:t>Enterprise and Partner Services</w:t>
      </w:r>
    </w:p>
    <w:p>
      <w:pPr>
        <w:pStyle w:val="TextBody"/>
        <w:bidi w:val="0"/>
        <w:spacing w:before="180" w:after="283"/>
        <w:jc w:val="both"/>
        <w:rPr>
          <w:rFonts w:ascii="Arial" w:hAnsi="Arial"/>
          <w:color w:val="000000"/>
          <w:sz w:val="20"/>
        </w:rPr>
      </w:pPr>
      <w:r>
        <w:rPr>
          <w:rFonts w:ascii="Arial" w:hAnsi="Arial"/>
          <w:color w:val="000000"/>
          <w:sz w:val="20"/>
        </w:rPr>
        <w:t>Enterprise and partner services assist customers in developing, deploying, and managing Microsoft server solutions, Microsoft desktop solutions, and conversational AI and ambient intelligent solutions, along with providing training and certification to developers and IT professionals on various Microsoft products.</w:t>
      </w:r>
    </w:p>
    <w:p>
      <w:pPr>
        <w:pStyle w:val="TextBody"/>
        <w:bidi w:val="0"/>
        <w:spacing w:before="270" w:after="283"/>
        <w:jc w:val="left"/>
        <w:rPr>
          <w:rFonts w:ascii="Arial" w:hAnsi="Arial"/>
          <w:i/>
          <w:color w:val="000000"/>
          <w:sz w:val="20"/>
        </w:rPr>
      </w:pPr>
      <w:r>
        <w:rPr>
          <w:rFonts w:ascii="Arial" w:hAnsi="Arial"/>
          <w:i/>
          <w:color w:val="000000"/>
          <w:sz w:val="20"/>
        </w:rPr>
        <w:t>Competition</w:t>
      </w:r>
    </w:p>
    <w:p>
      <w:pPr>
        <w:pStyle w:val="TextBody"/>
        <w:bidi w:val="0"/>
        <w:spacing w:before="180" w:after="283"/>
        <w:jc w:val="both"/>
        <w:rPr>
          <w:rFonts w:ascii="Arial" w:hAnsi="Arial"/>
          <w:color w:val="000000"/>
          <w:sz w:val="20"/>
        </w:rPr>
      </w:pPr>
      <w:r>
        <w:rPr>
          <w:rFonts w:ascii="Arial" w:hAnsi="Arial"/>
          <w:color w:val="000000"/>
          <w:sz w:val="20"/>
        </w:rPr>
        <w:t>Azure faces diverse competition from cloud service providers and open-source offerings. Azure’s competitive advantage includes enabling a hybrid cloud, allowing deployment of existing datacenters with our public cloud into a single, cohesive infrastructure, and the ability to run at a scale that meets the needs of businesses of all sizes and complexities. Our AI offerings compete with AI products from hyperscalers, as well as products from other emerging competitors and other open-source offerings, many of which are also current or potential partners. Our Azure Security offerings include our cloud security solution and our security information and event management solution, which compete with providers in the cybersecurity and cloud security space. We believe our cloud’s global scale, coupled with our broad portfolio of identity and security solutions, allows us to effectively solve complex cybersecurity challenges for our customers and differentiates us from the competition.</w:t>
      </w:r>
    </w:p>
    <w:p>
      <w:pPr>
        <w:pStyle w:val="TextBody"/>
        <w:bidi w:val="0"/>
        <w:spacing w:before="180" w:after="283"/>
        <w:jc w:val="both"/>
        <w:rPr>
          <w:rFonts w:ascii="Arial" w:hAnsi="Arial"/>
          <w:color w:val="000000"/>
          <w:sz w:val="20"/>
        </w:rPr>
      </w:pPr>
      <w:r>
        <w:rPr>
          <w:rFonts w:ascii="Arial" w:hAnsi="Arial"/>
          <w:color w:val="000000"/>
          <w:sz w:val="20"/>
        </w:rPr>
        <w:t>Our server products face competition from a wide variety of server operating systems and applications offered by companies with a range of market approaches. Vertically integrated computer manufacturers offer their own versions of the Unix operating system preinstalled on server hardware and nearly all computer manufacturers offer server hardware for the Linux operating system.</w:t>
      </w:r>
    </w:p>
    <w:p>
      <w:pPr>
        <w:pStyle w:val="TextBody"/>
        <w:bidi w:val="0"/>
        <w:spacing w:before="180" w:after="283"/>
        <w:jc w:val="both"/>
        <w:rPr>
          <w:rFonts w:ascii="Arial" w:hAnsi="Arial"/>
          <w:color w:val="000000"/>
          <w:sz w:val="20"/>
        </w:rPr>
      </w:pPr>
      <w:r>
        <w:rPr>
          <w:rFonts w:ascii="Arial" w:hAnsi="Arial"/>
          <w:color w:val="000000"/>
          <w:sz w:val="20"/>
        </w:rPr>
        <w:t>We compete to provide enterprise-wide computing and point solutions with numerous commercial software vendors that offer solutions and middleware technology platforms, software applications for connectivity, security, hosting, database, and e-business servers.</w:t>
      </w:r>
    </w:p>
    <w:p>
      <w:pPr>
        <w:pStyle w:val="TextBody"/>
        <w:bidi w:val="0"/>
        <w:spacing w:before="180" w:after="283"/>
        <w:jc w:val="both"/>
        <w:rPr>
          <w:rFonts w:ascii="Times New Roman" w:hAnsi="Times New Roman"/>
          <w:sz w:val="20"/>
        </w:rPr>
      </w:pPr>
      <w:r>
        <w:rPr>
          <w:rFonts w:ascii="Arial" w:hAnsi="Arial"/>
          <w:color w:val="000000"/>
          <w:sz w:val="20"/>
        </w:rPr>
        <w:t>Our database, business intelligence, and data warehousing solutions offerings compete with products from providers in the data and analytics industry. Our system management solutions compete with server management and server virtualization platform providers. Our products for software developers compete against offerings from major technology providers, as well as open-source alternatives.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center"/>
        <w:rPr/>
      </w:pPr>
      <w:r>
        <w:rPr/>
        <w:t> </w:t>
      </w:r>
    </w:p>
    <w:p>
      <w:pPr>
        <w:pStyle w:val="TextBody"/>
        <w:bidi w:val="0"/>
        <w:spacing w:before="180" w:after="283"/>
        <w:jc w:val="both"/>
        <w:rPr>
          <w:rFonts w:ascii="Times New Roman" w:hAnsi="Times New Roman"/>
          <w:sz w:val="20"/>
        </w:rPr>
      </w:pPr>
      <w:r>
        <w:rPr>
          <w:rFonts w:ascii="Arial" w:hAnsi="Arial"/>
          <w:color w:val="000000"/>
          <w:sz w:val="20"/>
        </w:rPr>
        <w:t>We believe our server products provide customers with advantages in performance, total costs of ownership, and productivity by delivering superior applications, development tools, compatibility with a broad base of hardware and software applications, security, and manageability.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Enterprise and partner services business competes with a wide range of companies that provide strategy and business planning, application development, and infrastructure services, including multinational consulting firms and small niche businesses focused on specific technologies.</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More Personal Computing</w:t>
      </w:r>
    </w:p>
    <w:p>
      <w:pPr>
        <w:pStyle w:val="TextBody"/>
        <w:bidi w:val="0"/>
        <w:spacing w:before="180" w:after="283"/>
        <w:jc w:val="both"/>
        <w:rPr>
          <w:rFonts w:ascii="Arial" w:hAnsi="Arial"/>
          <w:color w:val="000000"/>
          <w:sz w:val="20"/>
        </w:rPr>
      </w:pPr>
      <w:r>
        <w:rPr>
          <w:rFonts w:ascii="Arial" w:hAnsi="Arial"/>
          <w:color w:val="000000"/>
          <w:sz w:val="20"/>
        </w:rPr>
        <w:t>Our More Personal Computing segment consists of products and services that put customers at the center of the experience with our technology.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Windows and Devices, including Windows OEM licensing (Windows Pro and non-Pro licenses sold through the OEM channel) and Devices, comprising Surface and PC accessories.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XBOX (formerly Gaming), including XBOX hardware and XBOX content and services, comprising first- and third-party content (including games and in-game content), XBOX Game Pass and other subscriptions, XBOX Cloud Gaming, advertising, and other cloud services.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Search advertising (formerly Search and news advertising), comprising Bing, Copilot, Microsoft News, Microsoft Edge, and third-party affiliates.</w:t>
      </w:r>
    </w:p>
    <w:p>
      <w:pPr>
        <w:pStyle w:val="TextBody"/>
        <w:bidi w:val="0"/>
        <w:spacing w:before="270" w:after="283"/>
        <w:jc w:val="left"/>
        <w:rPr>
          <w:rFonts w:ascii="Arial" w:hAnsi="Arial"/>
          <w:b/>
          <w:i/>
          <w:color w:val="000000"/>
          <w:sz w:val="20"/>
        </w:rPr>
      </w:pPr>
      <w:r>
        <w:rPr>
          <w:rFonts w:ascii="Arial" w:hAnsi="Arial"/>
          <w:b/>
          <w:i/>
          <w:color w:val="000000"/>
          <w:sz w:val="20"/>
        </w:rPr>
        <w:t>Windows and Devices</w:t>
      </w:r>
    </w:p>
    <w:p>
      <w:pPr>
        <w:pStyle w:val="TextBody"/>
        <w:bidi w:val="0"/>
        <w:spacing w:before="180" w:after="283"/>
        <w:jc w:val="both"/>
        <w:rPr>
          <w:rFonts w:ascii="Times New Roman" w:hAnsi="Times New Roman"/>
          <w:sz w:val="20"/>
        </w:rPr>
      </w:pPr>
      <w:r>
        <w:rPr>
          <w:rFonts w:ascii="Arial" w:hAnsi="Arial"/>
          <w:color w:val="000000"/>
          <w:sz w:val="20"/>
        </w:rPr>
        <w:t>The Windows operating system is designed to deliver a more personal computing experience for users by enabling consistency of experience, applications, and information across their devices. Windows OEM revenue is impacted significantly by the number of Windows operating system licenses purchased by OEMs, which they pre-install on the devices they sell. In addition to computing device market volume, Windows OEM revenue is impacted by:</w:t>
      </w:r>
      <w:r>
        <w:rPr>
          <w:rFonts w:ascii="Times New Roman" w:hAnsi="Times New Roman"/>
          <w:color w:val="000000"/>
          <w:sz w:val="20"/>
        </w:rPr>
        <w:t xml:space="preserve">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The mix of computing devices based on form factor and screen size.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Differences in device market demand between developed markets and growth markets.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Growth of the AI PC category.</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Attachment of Windows to devices shipped.</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Customer mix between consumer, small and medium businesses, and large enterprises.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Changes in inventory levels in the OEM channel.</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Pricing changes and promotions, pricing variation that occurs when the mix of devices manufactured shifts from local and regional system builders to large multinational OEMs, and different pricing of Windows versions licensed.</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Constraints in the supply chain of device components.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Piracy.</w:t>
      </w:r>
    </w:p>
    <w:p>
      <w:pPr>
        <w:pStyle w:val="TextBody"/>
        <w:bidi w:val="0"/>
        <w:spacing w:before="180" w:after="283"/>
        <w:jc w:val="both"/>
        <w:rPr>
          <w:rFonts w:ascii="Arial" w:hAnsi="Arial"/>
          <w:color w:val="000000"/>
          <w:sz w:val="20"/>
        </w:rPr>
      </w:pPr>
      <w:r>
        <w:rPr>
          <w:rFonts w:ascii="Arial" w:hAnsi="Arial"/>
          <w:color w:val="000000"/>
          <w:sz w:val="20"/>
        </w:rPr>
        <w:t>We design and sell devices, such as Surface (including Copilot+ PCs) and PC accessories. Our devices are designed to enable people and organizations to connect to the people and content that matter most using Windows and integrated Microsoft products and services. Surface is designed to help organizations, students, and consumers be more productive. Growth in Devices is dependent on total PC shipments, the ability to attract new customers, our product roadmap, and expanding into new categories.</w:t>
      </w:r>
    </w:p>
    <w:p>
      <w:pPr>
        <w:pStyle w:val="TextBody"/>
        <w:bidi w:val="0"/>
        <w:spacing w:before="270" w:after="283"/>
        <w:jc w:val="left"/>
        <w:rPr>
          <w:rFonts w:ascii="Arial" w:hAnsi="Arial"/>
          <w:b/>
          <w:i/>
          <w:color w:val="000000"/>
          <w:sz w:val="20"/>
        </w:rPr>
      </w:pPr>
      <w:r>
        <w:rPr>
          <w:rFonts w:ascii="Arial" w:hAnsi="Arial"/>
          <w:b/>
          <w:i/>
          <w:color w:val="000000"/>
          <w:sz w:val="20"/>
        </w:rPr>
        <w:t>XBOX</w:t>
      </w:r>
    </w:p>
    <w:p>
      <w:pPr>
        <w:pStyle w:val="TextBody"/>
        <w:bidi w:val="0"/>
        <w:spacing w:before="180" w:after="283"/>
        <w:jc w:val="both"/>
        <w:rPr>
          <w:rFonts w:ascii="Arial" w:hAnsi="Arial"/>
          <w:color w:val="000000"/>
          <w:sz w:val="20"/>
        </w:rPr>
      </w:pPr>
      <w:r>
        <w:rPr>
          <w:rFonts w:ascii="Arial" w:hAnsi="Arial"/>
          <w:color w:val="000000"/>
          <w:sz w:val="20"/>
        </w:rPr>
        <w:t>Microsoft is expanding how billions of people globally access and play video games on PC, console, mobile, and cloud. Our game content is developed through a collection of first-party studios creating iconic and differentiated gaming experiences. We continue to invest in gaming studios and content to expand our intellectual property roadmap and leverage new content creators. These unique gaming experiences are the cornerstone of XBOX Game Pass, a subscription service and gaming community with access to a curated library of first- and third-party titles.</w:t>
      </w:r>
    </w:p>
    <w:p>
      <w:pPr>
        <w:pStyle w:val="TextBody"/>
        <w:bidi w:val="0"/>
        <w:spacing w:before="240" w:after="283"/>
        <w:jc w:val="center"/>
        <w:rPr>
          <w:rFonts w:ascii="Arial" w:hAnsi="Arial"/>
          <w:color w:val="000000"/>
          <w:sz w:val="16"/>
        </w:rPr>
      </w:pPr>
      <w:r>
        <w:rPr>
          <w:rFonts w:ascii="Arial" w:hAnsi="Arial"/>
          <w:color w:val="000000"/>
          <w:sz w:val="16"/>
        </w:rPr>
        <w:t>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center"/>
        <w:rPr/>
      </w:pPr>
      <w:r>
        <w:rPr/>
        <w:t> </w:t>
      </w:r>
    </w:p>
    <w:p>
      <w:pPr>
        <w:pStyle w:val="TextBody"/>
        <w:bidi w:val="0"/>
        <w:spacing w:before="180" w:after="283"/>
        <w:jc w:val="both"/>
        <w:rPr>
          <w:rFonts w:ascii="Times New Roman" w:hAnsi="Times New Roman"/>
          <w:sz w:val="20"/>
        </w:rPr>
      </w:pPr>
      <w:r>
        <w:rPr>
          <w:rFonts w:ascii="Arial" w:hAnsi="Arial"/>
          <w:color w:val="000000"/>
          <w:sz w:val="20"/>
        </w:rPr>
        <w:t>The gamer remains at the heart of the XBOX ecosystem. We are identifying new opportunities to attract gamers across a variety of different end points through our first- and third-party content and business diversification across subscriptions, ads, and digital stores. We’ve seen new devices from third-party manufacturers along with key PC and mobile end points that help us empower gamers to play in a way that is most convenient to them. We are focused on growing the platform and expanding to new ecosystems to engage as many gamers as possible.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XBOX enables people to connect and share online gaming experiences that are accessible on XBOX consoles, Windows-enabled devices, and other devices. XBOX is designed to benefit users by providing access to a network of certified applications and services and to benefit our developer and partner ecosystems by providing access to a large customer base. XBOX revenue is mainly affected by subscriptions and sales of first- and third-party content, as well as advertising. Growth of our XBOX business is determined by the overall active user base through XBOX enabled content, availability of games, providing exclusive game content that gamers seek, the computational power and reliability of the devices used to access our content and services, and the ability to create new experiences.</w:t>
      </w:r>
      <w:r>
        <w:rPr>
          <w:rFonts w:ascii="Times New Roman" w:hAnsi="Times New Roman"/>
          <w:color w:val="000000"/>
          <w:sz w:val="20"/>
        </w:rPr>
        <w:t xml:space="preserve"> </w:t>
      </w:r>
    </w:p>
    <w:p>
      <w:pPr>
        <w:pStyle w:val="TextBody"/>
        <w:bidi w:val="0"/>
        <w:spacing w:before="270" w:after="283"/>
        <w:jc w:val="left"/>
        <w:rPr>
          <w:rFonts w:ascii="Arial" w:hAnsi="Arial"/>
          <w:b/>
          <w:i/>
          <w:color w:val="000000"/>
          <w:sz w:val="20"/>
        </w:rPr>
      </w:pPr>
      <w:r>
        <w:rPr>
          <w:rFonts w:ascii="Arial" w:hAnsi="Arial"/>
          <w:b/>
          <w:i/>
          <w:color w:val="000000"/>
          <w:sz w:val="20"/>
        </w:rPr>
        <w:t>Search Advertising</w:t>
      </w:r>
    </w:p>
    <w:p>
      <w:pPr>
        <w:pStyle w:val="TextBody"/>
        <w:bidi w:val="0"/>
        <w:spacing w:before="180" w:after="283"/>
        <w:jc w:val="both"/>
        <w:rPr>
          <w:rFonts w:ascii="Arial" w:hAnsi="Arial"/>
          <w:color w:val="000000"/>
          <w:sz w:val="20"/>
        </w:rPr>
      </w:pPr>
      <w:r>
        <w:rPr>
          <w:rFonts w:ascii="Arial" w:hAnsi="Arial"/>
          <w:color w:val="000000"/>
          <w:sz w:val="20"/>
        </w:rPr>
        <w:t>Our Search advertising business is designed to deliver relevant search, native, and display advertising to a global audience. Microsoft Copilot is a digital companion designed to inform, entertain, and inspire. Our Microsoft Edge browser and Bing search engine with Copilot are key tools to enable user acquisition and engagement, while our technology platform enables accelerated delivery of digital advertising solutions. In addition to first-party tools, we have several partnerships with companies through which we provide and monetize search offerings. Growth depends on our ability to attract new users, understand intent, and match intent with relevant content on advertising offerings.</w:t>
      </w:r>
    </w:p>
    <w:p>
      <w:pPr>
        <w:pStyle w:val="TextBody"/>
        <w:bidi w:val="0"/>
        <w:spacing w:before="270" w:after="283"/>
        <w:jc w:val="left"/>
        <w:rPr>
          <w:rFonts w:ascii="Times New Roman" w:hAnsi="Times New Roman"/>
          <w:sz w:val="20"/>
        </w:rPr>
      </w:pPr>
      <w:r>
        <w:rPr>
          <w:rFonts w:ascii="Arial" w:hAnsi="Arial"/>
          <w:i/>
          <w:color w:val="000000"/>
          <w:sz w:val="20"/>
        </w:rPr>
        <w:t>Competition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Windows faces competition from various software products and from alternative platforms and devices. We believe Windows competes effectively by giving customers choice, value, flexibility, security, an easy-to-use interface, and compatibility with a broad range of hardware and software applications, including those that enable productivity.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Devices face competition from various computer, tablet, and hardware manufacturers who offer a unique combination of high-quality industrial design and innovative technologies across various price points. Many of these manufacturers are also current or potential partners and customers, including our Windows OEMs.</w:t>
      </w:r>
    </w:p>
    <w:p>
      <w:pPr>
        <w:pStyle w:val="TextBody"/>
        <w:bidi w:val="0"/>
        <w:spacing w:before="180" w:after="283"/>
        <w:jc w:val="both"/>
        <w:rPr>
          <w:rFonts w:ascii="Arial" w:hAnsi="Arial"/>
          <w:color w:val="000000"/>
          <w:sz w:val="20"/>
        </w:rPr>
      </w:pPr>
      <w:r>
        <w:rPr>
          <w:rFonts w:ascii="Arial" w:hAnsi="Arial"/>
          <w:color w:val="000000"/>
          <w:sz w:val="20"/>
        </w:rPr>
        <w:t>XBOX and our cloud gaming services face competition from various online gaming ecosystems and game streaming services. Our gaming platform competes with other console platforms. We believe our gaming platform is effectively positioned against, and uniquely differentiated from, competitive products and services based on significant innovation in hardware architecture, user interface, developer tools, online gaming and entertainment services, and continued strong content from our own first-party game franchises as well as other digital content offerings.</w:t>
      </w:r>
    </w:p>
    <w:p>
      <w:pPr>
        <w:pStyle w:val="TextBody"/>
        <w:bidi w:val="0"/>
        <w:spacing w:before="180" w:after="283"/>
        <w:jc w:val="both"/>
        <w:rPr>
          <w:rFonts w:ascii="Times New Roman" w:hAnsi="Times New Roman"/>
          <w:sz w:val="20"/>
        </w:rPr>
      </w:pPr>
      <w:r>
        <w:rPr>
          <w:rFonts w:ascii="Arial" w:hAnsi="Arial"/>
          <w:color w:val="000000"/>
          <w:sz w:val="20"/>
        </w:rPr>
        <w:t>Our Search advertising business competes with search engines, and a wide array of websites, social platforms, and portals that provide content and online offerings to end users.</w:t>
      </w:r>
      <w:r>
        <w:rPr>
          <w:rFonts w:ascii="Times New Roman" w:hAnsi="Times New Roman"/>
          <w:color w:val="000000"/>
          <w:sz w:val="20"/>
        </w:rPr>
        <w:t xml:space="preserve"> </w:t>
      </w:r>
    </w:p>
    <w:p>
      <w:pPr>
        <w:pStyle w:val="TextBody"/>
        <w:bidi w:val="0"/>
        <w:spacing w:before="270" w:after="283"/>
        <w:jc w:val="center"/>
        <w:rPr>
          <w:rFonts w:ascii="Arial" w:hAnsi="Arial"/>
          <w:color w:val="000000"/>
          <w:sz w:val="20"/>
          <w:u w:val="single"/>
        </w:rPr>
      </w:pPr>
      <w:r>
        <w:rPr>
          <w:rFonts w:ascii="Arial" w:hAnsi="Arial"/>
          <w:color w:val="000000"/>
          <w:sz w:val="20"/>
          <w:u w:val="single"/>
        </w:rPr>
        <w:t>HUMAN CAPITAL RESOURCES</w:t>
      </w:r>
    </w:p>
    <w:p>
      <w:pPr>
        <w:pStyle w:val="TextBody"/>
        <w:bidi w:val="0"/>
        <w:spacing w:before="180" w:after="283"/>
        <w:jc w:val="both"/>
        <w:rPr>
          <w:rFonts w:ascii="Arial" w:hAnsi="Arial"/>
          <w:color w:val="000000"/>
          <w:sz w:val="20"/>
        </w:rPr>
      </w:pPr>
      <w:r>
        <w:rPr>
          <w:rFonts w:ascii="Arial" w:hAnsi="Arial"/>
          <w:color w:val="000000"/>
          <w:sz w:val="20"/>
        </w:rPr>
        <w:t>As of June 30, 2026, we employed approximately 223,000 people on a full-time basis, 121,000 in the U.S. and 102,000 internationally. Of the total employees, 89,000 were in operations, including product support and consulting services, datacenter operations, and manufacturing and distribution; 77,000 were in product research and development; 43,000 were in sales and marketing; and 14,000 were in general and administration. Certain employees are subject to collective bargaining agreements.</w:t>
      </w:r>
    </w:p>
    <w:p>
      <w:pPr>
        <w:pStyle w:val="TextBody"/>
        <w:bidi w:val="0"/>
        <w:spacing w:before="180" w:after="283"/>
        <w:jc w:val="both"/>
        <w:rPr>
          <w:rFonts w:ascii="Arial" w:hAnsi="Arial"/>
          <w:color w:val="000000"/>
          <w:sz w:val="20"/>
        </w:rPr>
      </w:pPr>
      <w:r>
        <w:rPr>
          <w:rFonts w:ascii="Arial" w:hAnsi="Arial"/>
          <w:color w:val="000000"/>
          <w:sz w:val="20"/>
        </w:rPr>
        <w:t>We design our programs to attract, reward, and retain top talent while fostering continuous employee development and reinforcing our organizational culture and values. Our total compensation offering is both highly differentiated and competitive within the market, and we also monitor pay equity across multiple dimensions. We have invested significantly in employee wellbeing and offer a differentiated benefits package which includes many physical, emotional, and financial wellness programs. We also provide access to continuous learning through a wide range of internal and external content, supporting professional growth across roles and disciplines. Through our employee listening systems, we gather direct feedback from our workforce, enabling us to adapt our programs and address employee needs globally with real-time insights. Additionally, our culture prioritizes the security of both our customers and Microsoft, embedding this responsibility across all teams and functions.</w:t>
      </w:r>
    </w:p>
    <w:p>
      <w:pPr>
        <w:pStyle w:val="TextBody"/>
        <w:bidi w:val="0"/>
        <w:spacing w:before="240" w:after="283"/>
        <w:jc w:val="center"/>
        <w:rPr>
          <w:rFonts w:ascii="Arial" w:hAnsi="Arial"/>
          <w:color w:val="000000"/>
          <w:sz w:val="16"/>
        </w:rPr>
      </w:pPr>
      <w:r>
        <w:rPr>
          <w:rFonts w:ascii="Arial" w:hAnsi="Arial"/>
          <w:color w:val="000000"/>
          <w:sz w:val="16"/>
        </w:rPr>
        <w:t>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center"/>
        <w:rPr/>
      </w:pPr>
      <w:r>
        <w:rPr/>
        <w:t> </w:t>
      </w:r>
    </w:p>
    <w:p>
      <w:pPr>
        <w:pStyle w:val="TextBody"/>
        <w:bidi w:val="0"/>
        <w:spacing w:before="270" w:after="283"/>
        <w:jc w:val="center"/>
        <w:rPr>
          <w:rFonts w:ascii="Times New Roman" w:hAnsi="Times New Roman"/>
          <w:sz w:val="20"/>
        </w:rPr>
      </w:pPr>
      <w:r>
        <w:rPr>
          <w:rFonts w:ascii="Arial" w:hAnsi="Arial"/>
          <w:color w:val="000000"/>
          <w:sz w:val="20"/>
          <w:u w:val="single"/>
        </w:rPr>
        <w:t>OPERATIONS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have a global operations service center covering the Americas, Asia Pacific, Europe, and the Middle East that supports our business operations, including customer contract and order processing, billing, credit and collections, customer lifecycle AI and cloud operations, and vendor management and logistics.</w:t>
      </w:r>
    </w:p>
    <w:p>
      <w:pPr>
        <w:pStyle w:val="TextBody"/>
        <w:bidi w:val="0"/>
        <w:spacing w:before="180" w:after="283"/>
        <w:jc w:val="both"/>
        <w:rPr>
          <w:rFonts w:ascii="Arial" w:hAnsi="Arial"/>
          <w:color w:val="000000"/>
          <w:sz w:val="20"/>
        </w:rPr>
      </w:pPr>
      <w:r>
        <w:rPr>
          <w:rFonts w:ascii="Arial" w:hAnsi="Arial"/>
          <w:color w:val="000000"/>
          <w:sz w:val="20"/>
        </w:rPr>
        <w:t>In addition to our operations center, we also operate datacenters throughout each of these regions. We continue to align our datacenter locations and server capacity to meet the evolving needs of our customers, particularly given the growing demand for AI services. Our datacenters depend on the availability of permitted and buildable land, predictable energy, networking supplies, and servers, including graphics processing units and other components.</w:t>
      </w:r>
    </w:p>
    <w:p>
      <w:pPr>
        <w:pStyle w:val="TextBody"/>
        <w:bidi w:val="0"/>
        <w:spacing w:before="180" w:after="283"/>
        <w:jc w:val="both"/>
        <w:rPr>
          <w:rFonts w:ascii="Times New Roman" w:hAnsi="Times New Roman"/>
          <w:sz w:val="20"/>
        </w:rPr>
      </w:pPr>
      <w:r>
        <w:rPr>
          <w:rFonts w:ascii="Arial" w:hAnsi="Arial"/>
          <w:color w:val="000000"/>
          <w:sz w:val="20"/>
        </w:rPr>
        <w:t>We engage third-party manufacturers to produce our devices and have implemented measures to enhance supply chain efficiency and resilience, including the ability to relocate production geographically.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There are few qualified suppliers for certain components of our servers and devices. Extended or unforeseen disruptions, or limited availability of components from these suppliers could impact our ability to operate our datacenters and manufacture devices on time to meet consumer demand.</w:t>
      </w:r>
    </w:p>
    <w:p>
      <w:pPr>
        <w:pStyle w:val="TextBody"/>
        <w:bidi w:val="0"/>
        <w:spacing w:before="270" w:after="283"/>
        <w:jc w:val="center"/>
        <w:rPr>
          <w:rFonts w:ascii="Times New Roman" w:hAnsi="Times New Roman"/>
          <w:sz w:val="20"/>
        </w:rPr>
      </w:pPr>
      <w:r>
        <w:rPr>
          <w:rFonts w:ascii="Arial" w:hAnsi="Arial"/>
          <w:color w:val="000000"/>
          <w:sz w:val="20"/>
          <w:u w:val="single"/>
        </w:rPr>
        <w:t>RESEARCH AND DEVELOPMENT</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color w:val="000000"/>
          <w:sz w:val="20"/>
        </w:rPr>
        <w:t>Product and Service Development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success is based on our ability to create new and compelling products, services, and experiences for our users, initiate and embrace disruptive technology trends, enter new geographic and product markets, and drive broad adoption of our products and services. We make significant investments in research and development for new and existing products, services, and technologies, including tools and platforms spanning digital work and life experiences, cloud computing, AI, devices, security, and operating systems.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develop most of our products and services internally which allows us to maintain competitive advantages that come from product differentiation and closer technical control over our products and services. It also gives us the freedom to decide which modifications and enhancements are most important and when they should be implemented. We strive to obtain information as early as possible about changing usage patterns and hardware advances that may affect software and hardware design. Before releasing new software platforms, and as we make significant modifications to existing platforms, we provide application vendors with a range of resources and guidelines for development, training, and testing.</w:t>
      </w:r>
    </w:p>
    <w:p>
      <w:pPr>
        <w:pStyle w:val="TextBody"/>
        <w:bidi w:val="0"/>
        <w:spacing w:before="180" w:after="283"/>
        <w:jc w:val="both"/>
        <w:rPr>
          <w:rFonts w:ascii="Arial" w:hAnsi="Arial"/>
          <w:color w:val="000000"/>
          <w:sz w:val="20"/>
        </w:rPr>
      </w:pPr>
      <w:r>
        <w:rPr>
          <w:rFonts w:ascii="Arial" w:hAnsi="Arial"/>
          <w:color w:val="000000"/>
          <w:sz w:val="20"/>
        </w:rPr>
        <w:t>We plan to continue to make significant investments in a broad range of product research and development activities, including AI-based products and services. We will coordinate our research and development across operating segments and leverage the results across the company, as appropriate. This includes continuing to support fundamental research, which provides us with a unique perspective on future trends and contributes to our innovation.</w:t>
      </w:r>
    </w:p>
    <w:p>
      <w:pPr>
        <w:pStyle w:val="TextBody"/>
        <w:bidi w:val="0"/>
        <w:spacing w:before="270" w:after="283"/>
        <w:jc w:val="left"/>
        <w:rPr>
          <w:rFonts w:ascii="Arial" w:hAnsi="Arial"/>
          <w:b/>
          <w:color w:val="000000"/>
          <w:sz w:val="20"/>
        </w:rPr>
      </w:pPr>
      <w:r>
        <w:rPr>
          <w:rFonts w:ascii="Arial" w:hAnsi="Arial"/>
          <w:b/>
          <w:color w:val="000000"/>
          <w:sz w:val="20"/>
        </w:rPr>
        <w:t>Intellectual Property</w:t>
      </w:r>
    </w:p>
    <w:p>
      <w:pPr>
        <w:pStyle w:val="TextBody"/>
        <w:bidi w:val="0"/>
        <w:spacing w:before="180" w:after="283"/>
        <w:jc w:val="both"/>
        <w:rPr>
          <w:rFonts w:ascii="Arial" w:hAnsi="Arial"/>
          <w:color w:val="000000"/>
          <w:sz w:val="20"/>
        </w:rPr>
      </w:pPr>
      <w:r>
        <w:rPr>
          <w:rFonts w:ascii="Arial" w:hAnsi="Arial"/>
          <w:color w:val="000000"/>
          <w:sz w:val="20"/>
        </w:rPr>
        <w:t>We protect our intellectual property investments in a variety of ways. We work actively in the U.S. and internationally to ensure the enforcement of copyright, patent, trademark, trade secret, and other protections that apply to our software and hardware products, services, business plans, and branding. While we employ much of our internally-developed intellectual property in our products and services, we also engage in outbound licensing of specific patented technologies that are incorporated into licensees’ products. From time to time, we enter into broader cross-license agreements with other technology companies covering entire groups of patents. We may also purchase or license technology that we incorporate into our products and services. At times, we make select intellectual property broadly available at no or low cost to achieve a strategic objective, such as promoting industry standards, advancing interoperability, supporting societal and/or environmental efforts, or attracting and enabling our external development community. Our engagement with open-source software also causes us to license our intellectual property rights broadly in certain situations.</w:t>
      </w:r>
    </w:p>
    <w:p>
      <w:pPr>
        <w:pStyle w:val="TextBody"/>
        <w:bidi w:val="0"/>
        <w:spacing w:before="180" w:after="283"/>
        <w:jc w:val="both"/>
        <w:rPr>
          <w:rFonts w:ascii="Times New Roman" w:hAnsi="Times New Roman"/>
          <w:sz w:val="20"/>
        </w:rPr>
      </w:pPr>
      <w:r>
        <w:rPr>
          <w:rFonts w:ascii="Arial" w:hAnsi="Arial"/>
          <w:color w:val="000000"/>
          <w:sz w:val="20"/>
        </w:rPr>
        <w:t>While it may be necessary in the future to seek or renew licenses relating to various aspects of our products and services, we believe, based upon past experience and industry practice, such licenses generally can be obtained on commercially reasonable terms. We believe our continuing research and product development are not materially dependent on any single license or other agreement with a third-party relating to the development of our products.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10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center"/>
        <w:rPr/>
      </w:pPr>
      <w:r>
        <w:rPr/>
        <w:t> </w:t>
      </w:r>
    </w:p>
    <w:p>
      <w:pPr>
        <w:pStyle w:val="TextBody"/>
        <w:bidi w:val="0"/>
        <w:spacing w:before="270" w:after="283"/>
        <w:jc w:val="center"/>
        <w:rPr>
          <w:rFonts w:ascii="Times New Roman" w:hAnsi="Times New Roman"/>
          <w:sz w:val="20"/>
        </w:rPr>
      </w:pPr>
      <w:r>
        <w:rPr>
          <w:rFonts w:ascii="Arial" w:hAnsi="Arial"/>
          <w:color w:val="000000"/>
          <w:sz w:val="20"/>
          <w:u w:val="single"/>
        </w:rPr>
        <w:t>DISTRIBUTION, SALES, AND MARKETING</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Distribution occurs through a combination of direct and indirect channels. Direct sales activities serve customers ranging from large multinational enterprises and public sector organizations to small and medium-sized businesses. Indirect sales activities serve customers through a broad network of partners that support the sale, deployment, and management of Microsoft products and services worldwide.</w:t>
      </w:r>
    </w:p>
    <w:p>
      <w:pPr>
        <w:pStyle w:val="TextBody"/>
        <w:bidi w:val="0"/>
        <w:spacing w:before="180" w:after="283"/>
        <w:jc w:val="both"/>
        <w:rPr>
          <w:rFonts w:ascii="Arial" w:hAnsi="Arial"/>
          <w:color w:val="000000"/>
          <w:sz w:val="20"/>
        </w:rPr>
      </w:pPr>
      <w:r>
        <w:rPr>
          <w:rFonts w:ascii="Arial" w:hAnsi="Arial"/>
          <w:color w:val="000000"/>
          <w:sz w:val="20"/>
        </w:rPr>
        <w:t>The indirect channel extends the reach of commercial offerings and supports customers across industries, geographies, and organization sizes. Sales and distribution models continue to evolve to support cloud-based, subscription-based, and consumption-based offerings while maintaining multiple options through which customers may acquire and manage our products and services.</w:t>
      </w:r>
    </w:p>
    <w:p>
      <w:pPr>
        <w:pStyle w:val="TextBody"/>
        <w:bidi w:val="0"/>
        <w:spacing w:before="180" w:after="283"/>
        <w:jc w:val="both"/>
        <w:rPr>
          <w:rFonts w:ascii="Arial" w:hAnsi="Arial"/>
          <w:color w:val="000000"/>
          <w:sz w:val="20"/>
        </w:rPr>
      </w:pPr>
      <w:r>
        <w:rPr>
          <w:rFonts w:ascii="Arial" w:hAnsi="Arial"/>
          <w:color w:val="000000"/>
          <w:sz w:val="20"/>
        </w:rPr>
        <w:t>OEMs license and preinstall certain Microsoft software on devices that are sold to end customers. In addition, certain products and services are available through online purchasing channels and digital marketplaces.</w:t>
      </w:r>
    </w:p>
    <w:p>
      <w:pPr>
        <w:pStyle w:val="TextBody"/>
        <w:bidi w:val="0"/>
        <w:spacing w:before="270" w:after="283"/>
        <w:jc w:val="center"/>
        <w:rPr>
          <w:rFonts w:ascii="Times New Roman" w:hAnsi="Times New Roman"/>
          <w:sz w:val="20"/>
        </w:rPr>
      </w:pPr>
      <w:r>
        <w:rPr>
          <w:rFonts w:ascii="Arial" w:hAnsi="Arial"/>
          <w:color w:val="000000"/>
          <w:sz w:val="20"/>
          <w:u w:val="single"/>
        </w:rPr>
        <w:t>LICENSING OPTIONS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offer a range of volume purchasing programs that enable organizations of varying sizes to acquire software, cloud services, and related support benefits through direct and</w:t>
      </w:r>
      <w:r>
        <w:rPr>
          <w:rFonts w:ascii="Times New Roman" w:hAnsi="Times New Roman"/>
          <w:color w:val="000000"/>
          <w:sz w:val="20"/>
        </w:rPr>
        <w:t xml:space="preserve"> </w:t>
      </w:r>
      <w:r>
        <w:rPr>
          <w:rFonts w:ascii="Arial" w:hAnsi="Arial"/>
          <w:color w:val="000000"/>
          <w:sz w:val="20"/>
        </w:rPr>
        <w:t>partner-assisted purchasing arrangements. These programs provide customers with flexible purchasing, deployment, and management options and are tailored to large enterprises, mid-sized organizations, small businesses, educational institutions, and government entities.</w:t>
      </w:r>
    </w:p>
    <w:p>
      <w:pPr>
        <w:pStyle w:val="TextBody"/>
        <w:bidi w:val="0"/>
        <w:spacing w:before="270" w:after="283"/>
        <w:jc w:val="center"/>
        <w:rPr>
          <w:rFonts w:ascii="Times New Roman" w:hAnsi="Times New Roman"/>
          <w:sz w:val="20"/>
        </w:rPr>
      </w:pPr>
      <w:r>
        <w:rPr>
          <w:rFonts w:ascii="Arial" w:hAnsi="Arial"/>
          <w:color w:val="000000"/>
          <w:sz w:val="20"/>
          <w:u w:val="single"/>
        </w:rPr>
        <w:t>GOVERNMENT REGULATION</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are subject to a wide range of laws, regulations, and legal requirements in the U.S. and globally, including those that may apply to our products, services, and infrastructure, and those that impose requirements related to user privacy, telecommunications, data storage and protection, advertising, and online content. These requirements are continually evolving, and they can be unclear and vary significantly across jurisdictions. We have implemented comprehensive compliance programs across our operations to adapt to these changes and to maintain customer and regulator confidence. We monitor regulatory developments around the world and implement policies, controls, and technical safeguards so that our operations, products, and services meet applicable legal standards. Our business teams, with legal support, manage the compliance programs and prepare external regulatory and commercial reporting, and our internal audit teams conduct reviews of the programs and processes. While we have a unified approach to regulatory compliance, some of the programs and processes are tailored to meet specific regulatory obligations, such as with the creation of independent compliance functions required by the European Union (“EU”) Digital Markets Act and the EU Digital Services Act, which oversee, monitor, and assess the company’s compliance with these acts.</w:t>
      </w:r>
    </w:p>
    <w:p>
      <w:pPr>
        <w:pStyle w:val="TextBody"/>
        <w:bidi w:val="0"/>
        <w:spacing w:before="180" w:after="283"/>
        <w:jc w:val="both"/>
        <w:rPr>
          <w:rFonts w:ascii="Arial" w:hAnsi="Arial"/>
          <w:color w:val="000000"/>
          <w:sz w:val="20"/>
        </w:rPr>
      </w:pPr>
      <w:r>
        <w:rPr>
          <w:rFonts w:ascii="Arial" w:hAnsi="Arial"/>
          <w:color w:val="000000"/>
          <w:sz w:val="20"/>
        </w:rPr>
        <w:t>For a description of the risks we face related to regulatory matters, refer to Risk Factors (Part I, Item 1A of this Form 10-K).</w:t>
      </w:r>
    </w:p>
    <w:p>
      <w:pPr>
        <w:pStyle w:val="TextBody"/>
        <w:bidi w:val="0"/>
        <w:spacing w:before="240" w:after="283"/>
        <w:jc w:val="center"/>
        <w:rPr>
          <w:rFonts w:ascii="Arial" w:hAnsi="Arial"/>
          <w:color w:val="000000"/>
          <w:sz w:val="16"/>
        </w:rPr>
      </w:pPr>
      <w:r>
        <w:rPr>
          <w:rFonts w:ascii="Arial" w:hAnsi="Arial"/>
          <w:color w:val="000000"/>
          <w:sz w:val="16"/>
        </w:rPr>
        <w:t>11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center"/>
        <w:rPr/>
      </w:pPr>
      <w:r>
        <w:rPr/>
        <w:t> </w:t>
      </w:r>
    </w:p>
    <w:p>
      <w:pPr>
        <w:pStyle w:val="TextBody"/>
        <w:bidi w:val="0"/>
        <w:spacing w:before="270" w:after="283"/>
        <w:jc w:val="center"/>
        <w:rPr>
          <w:rFonts w:ascii="Arial" w:hAnsi="Arial"/>
          <w:color w:val="000000"/>
          <w:sz w:val="20"/>
          <w:u w:val="single"/>
        </w:rPr>
      </w:pPr>
      <w:bookmarkStart w:id="4" w:name="information_about_our_executive_ficers"/>
      <w:bookmarkEnd w:id="4"/>
      <w:r>
        <w:rPr>
          <w:rFonts w:ascii="Arial" w:hAnsi="Arial"/>
          <w:color w:val="000000"/>
          <w:sz w:val="20"/>
          <w:u w:val="single"/>
        </w:rPr>
        <w:t>INFORMATION ABOUT OUR EXECUTIVE OFFICERS</w:t>
      </w:r>
    </w:p>
    <w:p>
      <w:pPr>
        <w:pStyle w:val="TextBody"/>
        <w:bidi w:val="0"/>
        <w:spacing w:before="180" w:after="283"/>
        <w:jc w:val="both"/>
        <w:rPr>
          <w:rFonts w:ascii="Arial" w:hAnsi="Arial"/>
          <w:color w:val="000000"/>
          <w:sz w:val="20"/>
        </w:rPr>
      </w:pPr>
      <w:r>
        <w:rPr>
          <w:rFonts w:ascii="Arial" w:hAnsi="Arial"/>
          <w:color w:val="000000"/>
          <w:sz w:val="20"/>
        </w:rPr>
        <w:t>Our executive officers as of July 29, 2026 were as follows:</w:t>
      </w:r>
    </w:p>
    <w:p>
      <w:pPr>
        <w:pStyle w:val="TextBody"/>
        <w:bidi w:val="0"/>
        <w:jc w:val="both"/>
        <w:rPr/>
      </w:pPr>
      <w:r>
        <w:rPr/>
        <w:t> </w:t>
      </w:r>
    </w:p>
    <w:tbl>
      <w:tblPr>
        <w:tblW w:w="8518" w:type="dxa"/>
        <w:jc w:val="left"/>
        <w:tblInd w:w="0" w:type="dxa"/>
        <w:tblLayout w:type="fixed"/>
        <w:tblCellMar>
          <w:top w:w="28" w:type="dxa"/>
          <w:left w:w="28" w:type="dxa"/>
          <w:bottom w:w="28" w:type="dxa"/>
          <w:right w:w="28" w:type="dxa"/>
        </w:tblCellMar>
      </w:tblPr>
      <w:tblGrid>
        <w:gridCol w:w="1896"/>
        <w:gridCol w:w="109"/>
        <w:gridCol w:w="146"/>
        <w:gridCol w:w="316"/>
        <w:gridCol w:w="146"/>
        <w:gridCol w:w="109"/>
        <w:gridCol w:w="5796"/>
      </w:tblGrid>
      <w:tr>
        <w:trPr/>
        <w:tc>
          <w:tcPr>
            <w:tcW w:w="18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96" w:type="dxa"/>
            <w:tcBorders/>
            <w:shd w:fill="FFFFFF" w:val="clear"/>
            <w:vAlign w:val="center"/>
          </w:tcPr>
          <w:p>
            <w:pPr>
              <w:pStyle w:val="TableContents"/>
              <w:bidi w:val="0"/>
              <w:spacing w:before="0" w:after="283"/>
              <w:jc w:val="left"/>
              <w:rPr>
                <w:sz w:val="4"/>
                <w:szCs w:val="4"/>
              </w:rPr>
            </w:pPr>
            <w:r>
              <w:rPr>
                <w:sz w:val="4"/>
                <w:szCs w:val="4"/>
              </w:rPr>
            </w:r>
          </w:p>
        </w:tc>
      </w:tr>
      <w:tr>
        <w:trPr/>
        <w:tc>
          <w:tcPr>
            <w:tcW w:w="18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Position with the Company</w:t>
            </w:r>
          </w:p>
        </w:tc>
      </w:tr>
      <w:tr>
        <w:trPr/>
        <w:tc>
          <w:tcPr>
            <w:tcW w:w="8518" w:type="dxa"/>
            <w:gridSpan w:val="7"/>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5905"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Satya Nadella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Chairman and Chief Executive Officer</w:t>
            </w:r>
          </w:p>
        </w:tc>
      </w:tr>
      <w:tr>
        <w:trPr/>
        <w:tc>
          <w:tcPr>
            <w:tcW w:w="1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Judson B. Althoff</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Chief Executive Officer, Microsoft Commercial Business</w:t>
            </w:r>
          </w:p>
        </w:tc>
      </w:tr>
      <w:tr>
        <w:trPr/>
        <w:tc>
          <w:tcPr>
            <w:tcW w:w="1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Amy L. Coleman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Executive Vice President and Chief Human Resources Officer</w:t>
            </w:r>
          </w:p>
        </w:tc>
      </w:tr>
      <w:tr>
        <w:trPr/>
        <w:tc>
          <w:tcPr>
            <w:tcW w:w="1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Amy E. Hood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Executive Vice President and Chief Financial Officer</w:t>
            </w:r>
          </w:p>
        </w:tc>
      </w:tr>
      <w:tr>
        <w:trPr/>
        <w:tc>
          <w:tcPr>
            <w:tcW w:w="1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Takeshi Numoto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Executive Vice President and Chief Marketing Officer</w:t>
            </w:r>
          </w:p>
        </w:tc>
      </w:tr>
      <w:tr>
        <w:trPr/>
        <w:tc>
          <w:tcPr>
            <w:tcW w:w="1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Bradford L. Smith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Vice Chair and President</w:t>
            </w:r>
          </w:p>
        </w:tc>
      </w:tr>
      <w:tr>
        <w:trPr/>
        <w:tc>
          <w:tcPr>
            <w:tcW w:w="8518" w:type="dxa"/>
            <w:gridSpan w:val="7"/>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Mr. Nadella was appointed Chairman of the Board in June 2021 and Chief Executive Officer in February 2014. He served as Executive Vice President, Cloud and Enterprise from July 2013 until that time. From 2011 to 2013, Mr. Nadella served as President, Server and Tools. From 2009 to 2011, he was Senior Vice President, Online Services Division. From 2008 to 2009, he was Senior Vice President, Search, Portal, and Advertising. Since joining Microsoft in 1992, Mr. Nadella’s roles also included Vice President of the Business Division.</w:t>
      </w:r>
    </w:p>
    <w:p>
      <w:pPr>
        <w:pStyle w:val="TextBody"/>
        <w:bidi w:val="0"/>
        <w:spacing w:before="180" w:after="283"/>
        <w:jc w:val="both"/>
        <w:rPr>
          <w:rFonts w:ascii="Arial" w:hAnsi="Arial"/>
          <w:color w:val="000000"/>
          <w:sz w:val="20"/>
        </w:rPr>
      </w:pPr>
      <w:r>
        <w:rPr>
          <w:rFonts w:ascii="Arial" w:hAnsi="Arial"/>
          <w:color w:val="000000"/>
          <w:sz w:val="20"/>
        </w:rPr>
        <w:t>Mr. Althoff was appointed Chief Executive Officer, Microsoft Commercial Business in October 2025. He previously served as Executive Vice President and Chief Commercial Officer since July 2021. He served as Executive Vice President, Worldwide Commercial Business from July 2017 until July 2021. Prior to that, Mr. Althoff served as the President of Microsoft North America. Mr. Althoff joined Microsoft in March 2013 as President of Microsoft North America. Mr. Althoff also serves on the Board of Directors of Ecolab Inc. and General Electric Company, operating as GE Aerospace.</w:t>
      </w:r>
    </w:p>
    <w:p>
      <w:pPr>
        <w:pStyle w:val="TextBody"/>
        <w:bidi w:val="0"/>
        <w:spacing w:before="180" w:after="283"/>
        <w:jc w:val="both"/>
        <w:rPr>
          <w:rFonts w:ascii="Arial" w:hAnsi="Arial"/>
          <w:color w:val="000000"/>
          <w:sz w:val="20"/>
        </w:rPr>
      </w:pPr>
      <w:r>
        <w:rPr>
          <w:rFonts w:ascii="Arial" w:hAnsi="Arial"/>
          <w:color w:val="000000"/>
          <w:sz w:val="20"/>
        </w:rPr>
        <w:t>Ms. Coleman was appointed Executive Vice President and Chief Human Resources Officer in March 2025. She previously served as Corporate Vice President, Human Resources and Corporation Functions since January 2021. Prior to that, Ms. Coleman served as Vice President Human Resources and Corporate Functions since September 2020. Since joining Microsoft in 2009, Ms. Coleman has held various positions of increasing authority.</w:t>
      </w:r>
    </w:p>
    <w:p>
      <w:pPr>
        <w:pStyle w:val="TextBody"/>
        <w:bidi w:val="0"/>
        <w:spacing w:before="180" w:after="283"/>
        <w:jc w:val="both"/>
        <w:rPr>
          <w:rFonts w:ascii="Arial" w:hAnsi="Arial"/>
          <w:color w:val="000000"/>
          <w:sz w:val="20"/>
        </w:rPr>
      </w:pPr>
      <w:r>
        <w:rPr>
          <w:rFonts w:ascii="Arial" w:hAnsi="Arial"/>
          <w:color w:val="000000"/>
          <w:sz w:val="20"/>
        </w:rPr>
        <w:t>Ms. Hood was appointed Executive Vice President and Chief Financial Officer in July 2013, subsequent to her appointment as Chief Financial Officer in May 2013. From 2010 to 2013, Ms. Hood was Chief Financial Officer of the Microsoft Business Division. Since joining Microsoft in 2002, Ms. Hood has also held finance-related positions in the Server and Tools Business and the corporate finance organization.</w:t>
      </w:r>
    </w:p>
    <w:p>
      <w:pPr>
        <w:pStyle w:val="TextBody"/>
        <w:bidi w:val="0"/>
        <w:spacing w:before="180" w:after="283"/>
        <w:jc w:val="both"/>
        <w:rPr>
          <w:rFonts w:ascii="Arial" w:hAnsi="Arial"/>
          <w:color w:val="000000"/>
          <w:sz w:val="20"/>
        </w:rPr>
      </w:pPr>
      <w:r>
        <w:rPr>
          <w:rFonts w:ascii="Arial" w:hAnsi="Arial"/>
          <w:color w:val="000000"/>
          <w:sz w:val="20"/>
        </w:rPr>
        <w:t>Mr. Numoto was appointed Executive Vice President and Chief Marketing Officer in October 2023. He served as Executive Vice President and Commercial Chief Marketing Officer from March 2020. Mr. Numoto served as a Corporate Vice President, Cloud Marketing from January 2012. Prior to that, Mr. Numoto served as a Corporate Vice President for Office 365 Marketing from 2004, where he led the transformation from traditional on-premises packaged software to the introduction of Office 365. Since joining Microsoft in 1997, Mr. Numoto has held multiple roles in Windows Program Management and Office Marketing.</w:t>
      </w:r>
    </w:p>
    <w:p>
      <w:pPr>
        <w:pStyle w:val="TextBody"/>
        <w:bidi w:val="0"/>
        <w:spacing w:before="180" w:after="283"/>
        <w:jc w:val="both"/>
        <w:rPr>
          <w:rFonts w:ascii="Arial" w:hAnsi="Arial"/>
          <w:color w:val="000000"/>
          <w:sz w:val="20"/>
        </w:rPr>
      </w:pPr>
      <w:r>
        <w:rPr>
          <w:rFonts w:ascii="Arial" w:hAnsi="Arial"/>
          <w:color w:val="000000"/>
          <w:sz w:val="20"/>
        </w:rPr>
        <w:t>Mr. Smith was appointed Vice Chair and President in September 2021. Prior to that, he served as President and Chief Legal Officer since September 2015. He served as Executive Vice President, General Counsel, and Secretary from 2011 to 2015, and served as Senior Vice President, General Counsel, and Secretary from 2001 to 2011. Mr. Smith was also named Chief Compliance Officer in 2002. Since joining Microsoft in 1993, he was Deputy General Counsel for Worldwide Sales and previously was responsible for managing the European Law and Corporate Affairs Group, based in Paris. Mr. Smith also serves on the Board of Directors of Netflix, Inc.</w:t>
      </w:r>
    </w:p>
    <w:p>
      <w:pPr>
        <w:pStyle w:val="TextBody"/>
        <w:bidi w:val="0"/>
        <w:spacing w:before="240" w:after="283"/>
        <w:jc w:val="center"/>
        <w:rPr>
          <w:rFonts w:ascii="Arial" w:hAnsi="Arial"/>
          <w:color w:val="000000"/>
          <w:sz w:val="16"/>
        </w:rPr>
      </w:pPr>
      <w:r>
        <w:rPr>
          <w:rFonts w:ascii="Arial" w:hAnsi="Arial"/>
          <w:color w:val="000000"/>
          <w:sz w:val="16"/>
        </w:rPr>
        <w:t>12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center"/>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AVAILABLE INFORMATION</w:t>
      </w:r>
    </w:p>
    <w:p>
      <w:pPr>
        <w:pStyle w:val="TextBody"/>
        <w:bidi w:val="0"/>
        <w:spacing w:before="180" w:after="283"/>
        <w:jc w:val="both"/>
        <w:rPr>
          <w:rFonts w:ascii="Arial" w:hAnsi="Arial"/>
          <w:color w:val="000000"/>
          <w:sz w:val="20"/>
        </w:rPr>
      </w:pPr>
      <w:r>
        <w:rPr>
          <w:rFonts w:ascii="Arial" w:hAnsi="Arial"/>
          <w:color w:val="000000"/>
          <w:sz w:val="20"/>
        </w:rPr>
        <w:t>Our Internet address is www.microsoft.com. At our Investor Relations website, www.microsoft.com/investor, we make available free of charge a variety of information for investors. Our goal is to maintain the Investor Relations website as a portal through which investors can easily find or navigate to pertinent information about us, including: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Our annual report on Form 10-K, quarterly reports on Form 10-Q, current reports on Form 8-K, and any amendments to those reports, as soon as reasonably practicable after we electronically file that material with, or furnish it to, the Securities and Exchange Commission (“SEC”) at www.sec.gov.</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Information on our business strategies, financial results, and metrics for investors.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Announcements of investor conferences, speeches, and events at which our executives talk about our product, service, and competitive strategies. Archives of these events are also available.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Press releases on quarterly earnings, product and service announcements, and legal developments.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Corporate governance information including our articles of incorporation, bylaws, governance guidelines, committee charters, codes of conduct and ethics, corporate responsibility initiatives, and other governance-related policies.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Other news and announcements that we may post from time to time that investors might find useful or interesting.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Opportunities to sign up for email alerts to have information pushed in real time.</w:t>
      </w:r>
    </w:p>
    <w:p>
      <w:pPr>
        <w:pStyle w:val="TextBody"/>
        <w:bidi w:val="0"/>
        <w:spacing w:before="180" w:after="283"/>
        <w:jc w:val="both"/>
        <w:rPr>
          <w:rFonts w:ascii="Times New Roman" w:hAnsi="Times New Roman"/>
          <w:sz w:val="20"/>
        </w:rPr>
      </w:pPr>
      <w:r>
        <w:rPr>
          <w:rFonts w:ascii="Arial" w:hAnsi="Arial"/>
          <w:color w:val="000000"/>
          <w:sz w:val="20"/>
        </w:rPr>
        <w:t>We publish a variety of reports and resources related to our Corporate Responsibility programs and progress on our Reports Hub website, www.microsoft.com/corporate-responsibility/reports-hub, including the Environmental Sustainability Report, Microsoft Digital Defense Report, and Microsoft Impact Summary.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information found on these websites is not part of, or incorporated by reference into, this or any other report we file with, or furnish to, the SEC. In addition to these channels, we use social media to communicate to the public. It is possible that the information we post on social media could be deemed to be material to investors. We encourage investors, the media, and others interested in Microsoft to review the information we post on the social media channels listed on our Investor Relations website.</w:t>
      </w:r>
    </w:p>
    <w:p>
      <w:pPr>
        <w:pStyle w:val="TextBody"/>
        <w:bidi w:val="0"/>
        <w:spacing w:before="240" w:after="283"/>
        <w:jc w:val="center"/>
        <w:rPr>
          <w:rFonts w:ascii="Arial" w:hAnsi="Arial"/>
          <w:color w:val="000000"/>
          <w:sz w:val="16"/>
        </w:rPr>
      </w:pPr>
      <w:r>
        <w:rPr>
          <w:rFonts w:ascii="Arial" w:hAnsi="Arial"/>
          <w:color w:val="000000"/>
          <w:sz w:val="16"/>
        </w:rPr>
        <w:t>13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center"/>
        <w:rPr/>
      </w:pPr>
      <w:r>
        <w:rPr/>
        <w:t> </w:t>
      </w:r>
    </w:p>
    <w:p>
      <w:pPr>
        <w:pStyle w:val="TextBody"/>
        <w:bidi w:val="0"/>
        <w:jc w:val="center"/>
        <w:rPr>
          <w:rFonts w:ascii="Arial" w:hAnsi="Arial"/>
          <w:b/>
          <w:color w:val="000000"/>
          <w:sz w:val="24"/>
        </w:rPr>
      </w:pPr>
      <w:bookmarkStart w:id="5" w:name="item_1a_risk_factors"/>
      <w:bookmarkEnd w:id="5"/>
      <w:r>
        <w:rPr>
          <w:rFonts w:ascii="Arial" w:hAnsi="Arial"/>
          <w:b/>
          <w:color w:val="000000"/>
          <w:sz w:val="24"/>
        </w:rPr>
        <w:t>ITEM 1A. RISK FACTORS</w:t>
      </w:r>
    </w:p>
    <w:p>
      <w:pPr>
        <w:pStyle w:val="TextBody"/>
        <w:bidi w:val="0"/>
        <w:spacing w:before="180" w:after="283"/>
        <w:jc w:val="both"/>
        <w:rPr>
          <w:rFonts w:ascii="Arial" w:hAnsi="Arial"/>
          <w:color w:val="000000"/>
          <w:sz w:val="20"/>
        </w:rPr>
      </w:pPr>
      <w:r>
        <w:rPr>
          <w:rFonts w:ascii="Arial" w:hAnsi="Arial"/>
          <w:color w:val="000000"/>
          <w:sz w:val="20"/>
        </w:rPr>
        <w:t>Our operations and financial results are subject to various risks and uncertainties, including those described below, that could adversely affect our business, operations, financial condition, results of operations, liquidity, and the trading price of our common stock. Statements in this section reflect our beliefs and opinions as to matters that could adversely affect us in the future. References to past events are provided by way of example only and are not intended to be a complete listing or a representation as to whether or not such matters have occurred in the past.</w:t>
      </w:r>
    </w:p>
    <w:p>
      <w:pPr>
        <w:pStyle w:val="TextBody"/>
        <w:bidi w:val="0"/>
        <w:spacing w:before="270" w:after="283"/>
        <w:jc w:val="center"/>
        <w:rPr>
          <w:rFonts w:ascii="Arial" w:hAnsi="Arial"/>
          <w:color w:val="000000"/>
          <w:sz w:val="20"/>
          <w:u w:val="single"/>
        </w:rPr>
      </w:pPr>
      <w:r>
        <w:rPr>
          <w:rFonts w:ascii="Arial" w:hAnsi="Arial"/>
          <w:color w:val="000000"/>
          <w:sz w:val="20"/>
          <w:u w:val="single"/>
        </w:rPr>
        <w:t>STRATEGIC AND COMPETITIVE RISKS</w:t>
      </w:r>
    </w:p>
    <w:p>
      <w:pPr>
        <w:pStyle w:val="TextBody"/>
        <w:bidi w:val="0"/>
        <w:spacing w:before="180" w:after="283"/>
        <w:jc w:val="left"/>
        <w:rPr>
          <w:rFonts w:ascii="Arial" w:hAnsi="Arial"/>
          <w:b/>
          <w:color w:val="000000"/>
          <w:sz w:val="20"/>
        </w:rPr>
      </w:pPr>
      <w:r>
        <w:rPr>
          <w:rFonts w:ascii="Arial" w:hAnsi="Arial"/>
          <w:b/>
          <w:color w:val="000000"/>
          <w:sz w:val="20"/>
        </w:rPr>
        <w:t>We face intense competition across all markets for our products and services, which could adversely affect our results of operations.</w:t>
      </w:r>
    </w:p>
    <w:p>
      <w:pPr>
        <w:pStyle w:val="TextBody"/>
        <w:bidi w:val="0"/>
        <w:spacing w:before="180" w:after="283"/>
        <w:jc w:val="left"/>
        <w:rPr>
          <w:rFonts w:ascii="Arial" w:hAnsi="Arial"/>
          <w:b/>
          <w:i/>
          <w:color w:val="000000"/>
          <w:sz w:val="20"/>
        </w:rPr>
      </w:pPr>
      <w:r>
        <w:rPr>
          <w:rFonts w:ascii="Arial" w:hAnsi="Arial"/>
          <w:b/>
          <w:i/>
          <w:color w:val="000000"/>
          <w:sz w:val="20"/>
        </w:rPr>
        <w:t>Competition in the technology sector</w:t>
      </w:r>
    </w:p>
    <w:p>
      <w:pPr>
        <w:pStyle w:val="TextBody"/>
        <w:bidi w:val="0"/>
        <w:spacing w:before="180" w:after="283"/>
        <w:jc w:val="both"/>
        <w:rPr>
          <w:rFonts w:ascii="Arial" w:hAnsi="Arial"/>
          <w:color w:val="000000"/>
          <w:sz w:val="20"/>
        </w:rPr>
      </w:pPr>
      <w:r>
        <w:rPr>
          <w:rFonts w:ascii="Arial" w:hAnsi="Arial"/>
          <w:color w:val="000000"/>
          <w:sz w:val="20"/>
        </w:rPr>
        <w:t>Our competitors range in size from diversified global companies with significant research and development resources to small, specialized firms who may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If we do not continue to innovate and provide products, devices, and services that appeal to businesses and consumers, we may not remain competitive, which could adversely affect our business, financial condition, and results of operations.</w:t>
      </w:r>
    </w:p>
    <w:p>
      <w:pPr>
        <w:pStyle w:val="TextBody"/>
        <w:bidi w:val="0"/>
        <w:spacing w:before="270" w:after="283"/>
        <w:jc w:val="left"/>
        <w:rPr>
          <w:rFonts w:ascii="Arial" w:hAnsi="Arial"/>
          <w:b/>
          <w:i/>
          <w:color w:val="000000"/>
          <w:sz w:val="20"/>
        </w:rPr>
      </w:pPr>
      <w:r>
        <w:rPr>
          <w:rFonts w:ascii="Arial" w:hAnsi="Arial"/>
          <w:b/>
          <w:i/>
          <w:color w:val="000000"/>
          <w:sz w:val="20"/>
        </w:rPr>
        <w:t>Competition among platform-based ecosystems</w:t>
      </w:r>
    </w:p>
    <w:p>
      <w:pPr>
        <w:pStyle w:val="TextBody"/>
        <w:bidi w:val="0"/>
        <w:spacing w:before="180" w:after="283"/>
        <w:jc w:val="both"/>
        <w:rPr>
          <w:rFonts w:ascii="Arial" w:hAnsi="Arial"/>
          <w:color w:val="000000"/>
          <w:sz w:val="20"/>
        </w:rPr>
      </w:pPr>
      <w:r>
        <w:rPr>
          <w:rFonts w:ascii="Arial" w:hAnsi="Arial"/>
          <w:color w:val="000000"/>
          <w:sz w:val="20"/>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meet consumer demand and to achieve and maintain attractive margins. Firms offering competing platforms may make it more difficult to attract and retain customers.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A competing vertically-integrated model, in which a single firm controls the hardware and software elements of a product and related services, has succeeded with some consumer products such as PCs, tablets, smartphones,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vertically-integrated offer. We also offer some vertically-integrated hardware and software products and services. Expansion of our vertically-integrated capabilities, including developing proprietary hardware, infrastructure, and artificial intelligence (“AI”) models, could increase our cost structure, reduce margins, and expose us to operational risks.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We derive substantial revenue from licenses of Windows operating systems on PCs. We face significant competition from competing platforms developed for new types of devices, including smartphones and tablets. These devices compete on multiple bases including price and the perceived utility of the device and its platform. Users continue to turn to these devices to perform functions that in the past were performed by PCs. Even if many users view these devices as complementary to a PC,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OEM partners, which may affect their commitment to our platform.</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successfully, we must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pStyle w:val="TextBody"/>
        <w:bidi w:val="0"/>
        <w:spacing w:before="240" w:after="283"/>
        <w:jc w:val="center"/>
        <w:rPr>
          <w:rFonts w:ascii="Arial" w:hAnsi="Arial"/>
          <w:color w:val="000000"/>
          <w:sz w:val="16"/>
        </w:rPr>
      </w:pPr>
      <w:r>
        <w:rPr>
          <w:rFonts w:ascii="Arial" w:hAnsi="Arial"/>
          <w:color w:val="000000"/>
          <w:sz w:val="16"/>
        </w:rPr>
        <w:t>14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center"/>
        <w:rPr/>
      </w:pPr>
      <w:r>
        <w:rPr/>
        <w:t> </w:t>
      </w:r>
    </w:p>
    <w:p>
      <w:pPr>
        <w:pStyle w:val="TextBody"/>
        <w:bidi w:val="0"/>
        <w:spacing w:before="180" w:after="283"/>
        <w:jc w:val="both"/>
        <w:rPr>
          <w:rFonts w:ascii="Arial" w:hAnsi="Arial"/>
          <w:color w:val="000000"/>
          <w:sz w:val="20"/>
        </w:rPr>
      </w:pPr>
      <w:r>
        <w:rPr>
          <w:rFonts w:ascii="Arial" w:hAnsi="Arial"/>
          <w:color w:val="000000"/>
          <w:sz w:val="20"/>
        </w:rPr>
        <w:t>For all of these reasons, we may not be able to compete successfully against our current and future competitors, which could adversely affect our business, operations, financial condition, and results of operations.</w:t>
      </w:r>
    </w:p>
    <w:p>
      <w:pPr>
        <w:pStyle w:val="TextBody"/>
        <w:bidi w:val="0"/>
        <w:spacing w:before="270" w:after="283"/>
        <w:jc w:val="left"/>
        <w:rPr>
          <w:rFonts w:ascii="Arial" w:hAnsi="Arial"/>
          <w:b/>
          <w:i/>
          <w:color w:val="000000"/>
          <w:sz w:val="20"/>
        </w:rPr>
      </w:pPr>
      <w:r>
        <w:rPr>
          <w:rFonts w:ascii="Arial" w:hAnsi="Arial"/>
          <w:b/>
          <w:i/>
          <w:color w:val="000000"/>
          <w:sz w:val="20"/>
        </w:rPr>
        <w:t>Business model competition</w:t>
      </w:r>
    </w:p>
    <w:p>
      <w:pPr>
        <w:pStyle w:val="TextBody"/>
        <w:bidi w:val="0"/>
        <w:spacing w:before="180" w:after="283"/>
        <w:jc w:val="both"/>
        <w:rPr>
          <w:rFonts w:ascii="Arial" w:hAnsi="Arial"/>
          <w:color w:val="000000"/>
          <w:sz w:val="20"/>
        </w:rPr>
      </w:pPr>
      <w:r>
        <w:rPr>
          <w:rFonts w:ascii="Arial" w:hAnsi="Arial"/>
          <w:color w:val="000000"/>
          <w:sz w:val="20"/>
        </w:rPr>
        <w:t>Companies compete with us based on a growing variety of business models.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We are investing in AI across the entire company and infusing AI capabilities into our offerings. AI technology and services are a highly competitive and rapidly evolving market, and new competitors continue to enter the market. Our AI offerings compete with AI products from hyperscalers, open-source offerings, and frontier model providers, some of which are also current or potential partners. To compete effectively we must also be responsive to technological change, new and potential regulatory developments, and public scrutiny.</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A material part of our business involves cloud-based services available across the spectrum of computing devices. We and our competitors continue to devote significant resources to developing and deploying cloud-based strategies and services for consumers and business customers.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Even as we transition more of our business to infrastructure-, platform-, and software-as-a-service business models,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Other competitors develop and offer free applications, online services, and content, and make money by selling third-party advertising. Advertising revenue funds development of products and services these competitors provide to users at little or no cost, competing directly with our revenue-generating products.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Some companies compete with us by modifying and then distributing open-source software at little or no cost to end users, developing, making available, or using AI models that are open, and earning revenue on advertising or integrated products and services. These firms do not bear the full costs of research and development for the open-source products. Some open-source products mimic the features and functionality of our products.</w:t>
      </w:r>
    </w:p>
    <w:p>
      <w:pPr>
        <w:pStyle w:val="TextBody"/>
        <w:bidi w:val="0"/>
        <w:spacing w:before="180" w:after="283"/>
        <w:jc w:val="both"/>
        <w:rPr>
          <w:rFonts w:ascii="Arial" w:hAnsi="Arial"/>
          <w:color w:val="000000"/>
          <w:sz w:val="20"/>
        </w:rPr>
      </w:pPr>
      <w:r>
        <w:rPr>
          <w:rFonts w:ascii="Arial" w:hAnsi="Arial"/>
          <w:color w:val="000000"/>
          <w:sz w:val="20"/>
        </w:rPr>
        <w:t>The competitive pressures described above may cause decreased sales volumes, price reductions, and/or increased operating costs, such as for research and development, marketing, and sales incentives, which could adversely affect our financial condition and results of operations.</w:t>
      </w:r>
    </w:p>
    <w:p>
      <w:pPr>
        <w:pStyle w:val="TextBody"/>
        <w:bidi w:val="0"/>
        <w:spacing w:before="180" w:after="283"/>
        <w:jc w:val="both"/>
        <w:rPr>
          <w:rFonts w:ascii="Times New Roman" w:hAnsi="Times New Roman"/>
          <w:sz w:val="20"/>
        </w:rPr>
      </w:pPr>
      <w:r>
        <w:rPr>
          <w:rFonts w:ascii="Arial" w:hAnsi="Arial"/>
          <w:b/>
          <w:color w:val="000000"/>
          <w:sz w:val="20"/>
        </w:rPr>
        <w:t>Our cloud and AI strategy requires substantial investments and depends on evolving customer demand, technological developments, competitive dynamics, and regulatory conditions, any of which could adversely affect our business, financial condition, and results of operations.</w:t>
      </w:r>
      <w:r>
        <w:rPr>
          <w:rFonts w:ascii="Times New Roman" w:hAnsi="Times New Roman"/>
          <w:color w:val="000000"/>
          <w:sz w:val="20"/>
        </w:rPr>
        <w:t xml:space="preserve"> </w:t>
      </w:r>
      <w:r>
        <w:rPr>
          <w:rFonts w:ascii="Arial" w:hAnsi="Arial"/>
          <w:color w:val="000000"/>
          <w:sz w:val="20"/>
        </w:rPr>
        <w:t>We have made and are continuing to make significant capital and operational investments to develop, train, deploy, and support AI models and related cloud-based services, including building and expanding datacenters, acquiring necessary components, and securing energy resources. These investments are being made at significant scale and on an accelerated timeline, require substantial and increasing capital expenditures and continued access to capital, and are in advance of fully developed revenue streams. The associated revenue may not be realized in the expected timeframes or at expected levels. Our capital and operational investments are complex and involve projects in multiple locations around the world that expose us to increased compliance risks and political challenges, among others. Our ability to fund these investments depends on our ability to generate sufficient cash flows and obtain financing on acceptable terms. Adverse changes in interest rates, credit markets, investor sentiment, our credit ratings, or other factors affecting capital availability could increase our cost of capital or limit our ability to execute our infrastructure strategy. The financial success of these investments depends on a number of uncertain factors, including customer demand for cloud-based and AI products and services and continued customer use of Azure to build, train, deploy, and run AI workloads, our ability to price and monetize those services at levels sufficient to recover our costs, competitive dynamics affecting pricing, and the pace of adoption of AI. Customers may reduce, delay, or shift AI workloads to competing platforms, on-premises or local deployments, or other alternatives. If adoption of our AI services develops more slowly than expected, or if customers do not continue to utilize Azure for AI workloads at anticipated levels, we may not realize the expected returns on our investments.</w:t>
      </w:r>
    </w:p>
    <w:p>
      <w:pPr>
        <w:pStyle w:val="TextBody"/>
        <w:bidi w:val="0"/>
        <w:spacing w:before="240" w:after="283"/>
        <w:jc w:val="center"/>
        <w:rPr>
          <w:rFonts w:ascii="Arial" w:hAnsi="Arial"/>
          <w:color w:val="000000"/>
          <w:sz w:val="16"/>
        </w:rPr>
      </w:pPr>
      <w:r>
        <w:rPr>
          <w:rFonts w:ascii="Arial" w:hAnsi="Arial"/>
          <w:color w:val="000000"/>
          <w:sz w:val="16"/>
        </w:rPr>
        <w:t>15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center"/>
        <w:rPr/>
      </w:pPr>
      <w:r>
        <w:rPr/>
        <w:t> </w:t>
      </w:r>
    </w:p>
    <w:p>
      <w:pPr>
        <w:pStyle w:val="TextBody"/>
        <w:bidi w:val="0"/>
        <w:spacing w:before="180" w:after="283"/>
        <w:jc w:val="both"/>
        <w:rPr>
          <w:rFonts w:ascii="Arial" w:hAnsi="Arial"/>
          <w:color w:val="000000"/>
          <w:sz w:val="20"/>
        </w:rPr>
      </w:pPr>
      <w:r>
        <w:rPr>
          <w:rFonts w:ascii="Arial" w:hAnsi="Arial"/>
          <w:color w:val="000000"/>
          <w:sz w:val="20"/>
        </w:rPr>
        <w:t>Demand for cloud-based and AI products and services is evolving and difficult to forecast. Overestimation of demand or misalignment of capacity investments may result in underutilization of infrastructure and may lead to impairment of assets on our balance sheet. Conversely, demand exceeding available capacity limits our ability to meet customer needs in a timely manner.</w:t>
      </w:r>
    </w:p>
    <w:p>
      <w:pPr>
        <w:pStyle w:val="TextBody"/>
        <w:bidi w:val="0"/>
        <w:spacing w:before="180" w:after="283"/>
        <w:jc w:val="both"/>
        <w:rPr>
          <w:rFonts w:ascii="Arial" w:hAnsi="Arial"/>
          <w:color w:val="000000"/>
          <w:sz w:val="20"/>
        </w:rPr>
      </w:pPr>
      <w:r>
        <w:rPr>
          <w:rFonts w:ascii="Arial" w:hAnsi="Arial"/>
          <w:color w:val="000000"/>
          <w:sz w:val="20"/>
        </w:rPr>
        <w:t>The cost structure for AI products and services is subject to significant uncertainty, including with respect to model training and inference costs, the availability and pricing of components, and energy costs. If these costs increase, remain elevated, or fail to decline, or if pricing for AI products and services declines as a result of competition, commoditization, or other market forces, our margins, financial condition, and results of operations could be adversely affected.</w:t>
      </w:r>
    </w:p>
    <w:p>
      <w:pPr>
        <w:pStyle w:val="TextBody"/>
        <w:bidi w:val="0"/>
        <w:spacing w:before="180" w:after="283"/>
        <w:jc w:val="both"/>
        <w:rPr>
          <w:rFonts w:ascii="Arial" w:hAnsi="Arial"/>
          <w:color w:val="000000"/>
          <w:sz w:val="20"/>
        </w:rPr>
      </w:pPr>
      <w:r>
        <w:rPr>
          <w:rFonts w:ascii="Arial" w:hAnsi="Arial"/>
          <w:color w:val="000000"/>
          <w:sz w:val="20"/>
        </w:rPr>
        <w:t>Our AI strategy also depends in part on strategic relationships with third parties that provide technologies, models, products, and services that enhance our offerings. These relationships may change over time, and many of these partners compete with us with respect to certain products and services. Changes in strategic priorities, contractual arrangements, our access to third-party technologies, or key commercial relationships could adversely affect the competitiveness of our AI products and services. In some cases, these parties are significant customers of Azure and other cloud services. The economic benefits we expect to derive from these relationships, including through commercial arrangements, technology access, and Azure consumption, may not be realized or sustained. As we manage infrastructure capacity constraints and evolving customer demand, we may modify capacity allocations, deployment priorities, pricing, or other commercial arrangements. Strategic partners and other customers may likewise adjust their purchasing decisions, deployment strategies, workloads, or anticipated use of our products and services. As a result, expected consumption or anticipated demand may not materialize, may be delayed or reduced, or may decline over time. Any such developments could adversely affect our business, financial condition, and results of operations.</w:t>
      </w:r>
    </w:p>
    <w:p>
      <w:pPr>
        <w:pStyle w:val="TextBody"/>
        <w:bidi w:val="0"/>
        <w:spacing w:before="180" w:after="283"/>
        <w:jc w:val="both"/>
        <w:rPr>
          <w:rFonts w:ascii="Times New Roman" w:hAnsi="Times New Roman"/>
          <w:sz w:val="20"/>
        </w:rPr>
      </w:pPr>
      <w:r>
        <w:rPr>
          <w:rFonts w:ascii="Arial" w:hAnsi="Arial"/>
          <w:b/>
          <w:color w:val="000000"/>
          <w:sz w:val="20"/>
        </w:rPr>
        <w:t>Our success depends on our ability to develop, deliver, and maintain competitive cloud-based and AI products and services that achieve broad customer adoption and sustainable revenue growth.</w:t>
      </w:r>
      <w:r>
        <w:rPr>
          <w:rFonts w:ascii="Times New Roman" w:hAnsi="Times New Roman"/>
          <w:color w:val="000000"/>
          <w:sz w:val="20"/>
        </w:rPr>
        <w:t xml:space="preserve"> </w:t>
      </w:r>
      <w:r>
        <w:rPr>
          <w:rFonts w:ascii="Arial" w:hAnsi="Arial"/>
          <w:color w:val="000000"/>
          <w:sz w:val="20"/>
        </w:rPr>
        <w:t>Our ability to succeed depends on our ability to develop and deliver differentiated products and services that meet evolving customer needs, achieve broad adoption, maintain customer trust, and generate sustainable revenue and growth. The markets for cloud-based and AI products and services are highly dynamic, characterized by shifting customer expectations, increasing regulatory and governmental scrutiny, intense competition, and rapid technological change, such as the accelerating importance of agentic computing. Whether we succeed in cloud-based and AI products and services depends on our execution in several areas, including: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Continuing to bring to market compelling cloud-based and AI products and services that generate increasing traffic and market share.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Driving customer adoption, usage, and retention of our cloud-based and AI products and services.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Effectively monetizing our cloud-based and AI products through pricing models that reflect their value while remaining competitive.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Attracting third parties to utilize, build on, and extend our cloud and AI platforms.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Ensuring our cloud-based and AI services meet the reliability expectations and specific requirements of our customers and maintain the security of their data as well as help them meet their own compliance needs.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Making our suite of cloud-based and AI products and services platform-agnostic and maintaining the utility, compatibility, and performance of our cloud-based and AI products and services on the growing array of computing devices, including PCs, smartphones, tablets, gaming consoles, and other devices.</w:t>
      </w:r>
    </w:p>
    <w:p>
      <w:pPr>
        <w:pStyle w:val="TextBody"/>
        <w:bidi w:val="0"/>
        <w:spacing w:before="180" w:after="283"/>
        <w:jc w:val="both"/>
        <w:rPr>
          <w:rFonts w:ascii="Arial" w:hAnsi="Arial"/>
          <w:color w:val="000000"/>
          <w:sz w:val="20"/>
        </w:rPr>
      </w:pPr>
      <w:r>
        <w:rPr>
          <w:rFonts w:ascii="Arial" w:hAnsi="Arial"/>
          <w:color w:val="000000"/>
          <w:sz w:val="20"/>
        </w:rPr>
        <w:t>Our success depends on our ability to execute effectively across product development, go-to-market, customer acquisition, and customer retention initiatives. Failure to do so could reduce adoption, market share, and revenue growth. If we are not effective in executing organizational and technical changes to increase efficiency and accelerate innovation, or if we fail to generate sufficient usage of our new products and services, the timing or magnitude of any revenue growth may not be in line with these costs. This could adversely affect our operations, financial condition, and results of operations.</w:t>
      </w:r>
    </w:p>
    <w:p>
      <w:pPr>
        <w:pStyle w:val="TextBody"/>
        <w:bidi w:val="0"/>
        <w:spacing w:before="180" w:after="283"/>
        <w:jc w:val="both"/>
        <w:rPr>
          <w:rFonts w:ascii="Arial" w:hAnsi="Arial"/>
          <w:color w:val="000000"/>
          <w:sz w:val="20"/>
        </w:rPr>
      </w:pPr>
      <w:r>
        <w:rPr>
          <w:rFonts w:ascii="Arial" w:hAnsi="Arial"/>
          <w:color w:val="000000"/>
          <w:sz w:val="20"/>
        </w:rPr>
        <w:t>Our cloud-based and AI products and services may be misused by customers, users, or malicious actors for unintended, fraudulent, abusive, or unlawful purposes. Our efforts to detect, prevent, and mitigate such misuse may not be successful, which could result in reputational harm, regulatory scrutiny, service disruptions, or adverse impacts on our business, financial condition, and results of operations.</w:t>
      </w:r>
    </w:p>
    <w:p>
      <w:pPr>
        <w:pStyle w:val="TextBody"/>
        <w:bidi w:val="0"/>
        <w:spacing w:before="240" w:after="283"/>
        <w:jc w:val="center"/>
        <w:rPr>
          <w:rFonts w:ascii="Arial" w:hAnsi="Arial"/>
          <w:color w:val="000000"/>
          <w:sz w:val="16"/>
        </w:rPr>
      </w:pPr>
      <w:r>
        <w:rPr>
          <w:rFonts w:ascii="Arial" w:hAnsi="Arial"/>
          <w:color w:val="000000"/>
          <w:sz w:val="16"/>
        </w:rPr>
        <w:t>16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center"/>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RISKS RELATING TO THE EVOLUTION OF OUR BUSINESS</w:t>
      </w:r>
    </w:p>
    <w:p>
      <w:pPr>
        <w:pStyle w:val="TextBody"/>
        <w:bidi w:val="0"/>
        <w:spacing w:before="180" w:after="283"/>
        <w:jc w:val="both"/>
        <w:rPr>
          <w:rFonts w:ascii="Times New Roman" w:hAnsi="Times New Roman"/>
          <w:sz w:val="20"/>
        </w:rPr>
      </w:pPr>
      <w:r>
        <w:rPr>
          <w:rFonts w:ascii="Arial" w:hAnsi="Arial"/>
          <w:b/>
          <w:color w:val="000000"/>
          <w:sz w:val="20"/>
        </w:rPr>
        <w:t>We make significant investments in products and services that may not achieve expected returns.</w:t>
      </w:r>
      <w:r>
        <w:rPr>
          <w:rFonts w:ascii="Times New Roman" w:hAnsi="Times New Roman"/>
          <w:color w:val="000000"/>
          <w:sz w:val="20"/>
        </w:rPr>
        <w:t xml:space="preserve"> </w:t>
      </w:r>
      <w:r>
        <w:rPr>
          <w:rFonts w:ascii="Arial" w:hAnsi="Arial"/>
          <w:color w:val="000000"/>
          <w:sz w:val="20"/>
        </w:rPr>
        <w:t>We will continue to make significant investments in research, development, and marketing for existing products, services, and technologies, including AI-based products and services. We also invest in the development and acquisition of a variety of hardware for productivity, communication, and entertainment, including PCs, tablets, and gaming devices. Investments in new technology are speculative. Commercial success depends on many factors, including innovation,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or may not achieve operating margins as high as we have experienced historically. We may not get engagement in certain features that drive post-sale monetization opportunities. Our data-handling practices across our products and services will continue to be under scrutiny. Perceptions of mismanagement, driven by regulatory activity or negative public reaction to our practices or product experiences, could negatively impact product and feature adoption. Developing new technologies is complex. It can require long development and testing periods. We could experience significant delays in new releases or significant problems in creating new products or services. These factors could adversely affect our business, financial condition, and results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color w:val="000000"/>
          <w:sz w:val="20"/>
        </w:rPr>
        <w:t>Acquisitions, joint ventures, and strategic alliances could have an adverse effect on our business.</w:t>
      </w:r>
      <w:r>
        <w:rPr>
          <w:rFonts w:ascii="Times New Roman" w:hAnsi="Times New Roman"/>
          <w:color w:val="000000"/>
          <w:sz w:val="20"/>
        </w:rPr>
        <w:t xml:space="preserve"> </w:t>
      </w:r>
      <w:r>
        <w:rPr>
          <w:rFonts w:ascii="Arial" w:hAnsi="Arial"/>
          <w:color w:val="000000"/>
          <w:sz w:val="20"/>
        </w:rPr>
        <w:t xml:space="preserve">We expect to continue making acquisitions and entering into joint ventures and strategic alliances as part of our long-term business strategy. For example, in </w:t>
      </w:r>
      <w:r>
        <w:rPr>
          <w:rFonts w:ascii="Arial" w:hAnsi="Arial"/>
          <w:color w:val="212529"/>
          <w:sz w:val="20"/>
        </w:rPr>
        <w:t>October 2023 we completed our acquisition of</w:t>
      </w:r>
      <w:r>
        <w:rPr>
          <w:rFonts w:ascii="Times New Roman" w:hAnsi="Times New Roman"/>
          <w:color w:val="000000"/>
          <w:sz w:val="20"/>
        </w:rPr>
        <w:t xml:space="preserve"> </w:t>
      </w:r>
      <w:r>
        <w:rPr>
          <w:rFonts w:ascii="Arial" w:hAnsi="Arial"/>
          <w:color w:val="212529"/>
          <w:sz w:val="20"/>
        </w:rPr>
        <w:t>Activision Blizzard</w:t>
      </w:r>
      <w:r>
        <w:rPr>
          <w:rFonts w:ascii="Arial" w:hAnsi="Arial"/>
          <w:color w:val="000000"/>
          <w:sz w:val="20"/>
        </w:rPr>
        <w:t>, Inc. Additionally, we have a long-term strategic partnership with OpenAI. Acquisitions and other transactions and arrangements involve significant challenges and risks, including that they do not advance our business strategy, that we get an unsatisfactory return on our investment, that they raise new compliance-related obligations and challenges,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We also have limited ability to control or influence third parties with whom we have arrangements, which may impact our ability to realize the anticipated benefits. The success of these transactions and arrangements depend in part on our ability to leverage them to enhance our existing products and services or develop compelling new ones, as well as the acquired companies’ ability to meet our policies and processes in areas such as data governance, privacy, digital safety, responsible AI, and cybersecurity. It may take longer than expected to realize the full economic benefits from these transactions and arrangements, such as increased revenue or enhanced efficiencies, or the benefits may ultimately be smaller than we expected, which could cause an impairment of goodwill or intangibles. We have recorded, and may in the future be required to record, a significant charge in our consolidated financial statements during the period in which any impairment of our goodwill or amortizable intangible assets is determined, negatively affecting our results of operations. In addition, these transactions and arrangements have been and may be subject to legal and regulatory challenge. These events could adversely affect our business, operations, financial condition, and results of operations.</w:t>
      </w:r>
    </w:p>
    <w:p>
      <w:pPr>
        <w:pStyle w:val="TextBody"/>
        <w:bidi w:val="0"/>
        <w:spacing w:before="270" w:after="283"/>
        <w:jc w:val="center"/>
        <w:rPr>
          <w:rFonts w:ascii="Arial" w:hAnsi="Arial"/>
          <w:color w:val="000000"/>
          <w:sz w:val="20"/>
          <w:u w:val="single"/>
        </w:rPr>
      </w:pPr>
      <w:r>
        <w:rPr>
          <w:rFonts w:ascii="Arial" w:hAnsi="Arial"/>
          <w:color w:val="000000"/>
          <w:sz w:val="20"/>
          <w:u w:val="single"/>
        </w:rPr>
        <w:t>CYBERSECURITY, DATA PRIVACY, AND PLATFORM ABUSE RISKS</w:t>
      </w:r>
    </w:p>
    <w:p>
      <w:pPr>
        <w:pStyle w:val="TextBody"/>
        <w:bidi w:val="0"/>
        <w:spacing w:before="180" w:after="283"/>
        <w:jc w:val="left"/>
        <w:rPr>
          <w:rFonts w:ascii="Arial" w:hAnsi="Arial"/>
          <w:b/>
          <w:color w:val="000000"/>
          <w:sz w:val="20"/>
        </w:rPr>
      </w:pPr>
      <w:r>
        <w:rPr>
          <w:rFonts w:ascii="Arial" w:hAnsi="Arial"/>
          <w:b/>
          <w:color w:val="000000"/>
          <w:sz w:val="20"/>
        </w:rPr>
        <w:t>Cyberattacks and security vulnerabilities could lead to reduced revenue, increased costs, liability claims, or harm to our reputation or competitive position.</w:t>
      </w:r>
    </w:p>
    <w:p>
      <w:pPr>
        <w:pStyle w:val="TextBody"/>
        <w:bidi w:val="0"/>
        <w:spacing w:before="180" w:after="283"/>
        <w:jc w:val="left"/>
        <w:rPr>
          <w:rFonts w:ascii="Arial" w:hAnsi="Arial"/>
          <w:b/>
          <w:i/>
          <w:color w:val="000000"/>
          <w:sz w:val="20"/>
        </w:rPr>
      </w:pPr>
      <w:r>
        <w:rPr>
          <w:rFonts w:ascii="Arial" w:hAnsi="Arial"/>
          <w:b/>
          <w:i/>
          <w:color w:val="000000"/>
          <w:sz w:val="20"/>
        </w:rPr>
        <w:t>Security of our information technology</w:t>
      </w:r>
    </w:p>
    <w:p>
      <w:pPr>
        <w:pStyle w:val="TextBody"/>
        <w:bidi w:val="0"/>
        <w:spacing w:before="180" w:after="283"/>
        <w:jc w:val="both"/>
        <w:rPr>
          <w:rFonts w:ascii="Times New Roman" w:hAnsi="Times New Roman"/>
          <w:sz w:val="20"/>
        </w:rPr>
      </w:pPr>
      <w:r>
        <w:rPr>
          <w:rFonts w:ascii="Arial" w:hAnsi="Arial"/>
          <w:color w:val="000000"/>
          <w:sz w:val="20"/>
        </w:rPr>
        <w:t>Threats to security can take a variety of forms. Threat actors, including individual and groups of hackers and sophisticated organizations, including nation-states, state-sponsored organizations, or cybercriminal groups, continuously undertake attacks that pose threats to our customers and our internal infrastructure, and we have experienced cybersecurity incidents in which such actors have gained unauthorized access to our systems and data, as well as customer, partner, and supplier systems and data. These actors use a wide variety of methods, which include developing and deploying malicious software; exploiting known, latent, or potential vulnerabilities or intentionally designed processes in our or third-party hardware, software, or other infrastructure to attack our products and services or gain access to our networks and datacenters; using social engineering and AI-assisted techniques to induce our employees, users, partners, suppliers, or customers to disclose sensitive information, such as passwords, or take other actions to gain access to our data or our users’ or customers’ data; or acting in a coordinated manner or conducting coordinated attacks. For example, as previously disclosed in our Form 8-K filed with the Securities and Exchange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17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center"/>
        <w:rPr/>
      </w:pPr>
      <w:r>
        <w:rPr/>
        <w:t> </w:t>
      </w:r>
    </w:p>
    <w:p>
      <w:pPr>
        <w:pStyle w:val="TextBody"/>
        <w:bidi w:val="0"/>
        <w:spacing w:before="180" w:after="283"/>
        <w:jc w:val="both"/>
        <w:rPr>
          <w:rFonts w:ascii="Arial" w:hAnsi="Arial"/>
          <w:color w:val="000000"/>
          <w:sz w:val="20"/>
        </w:rPr>
      </w:pPr>
      <w:r>
        <w:rPr>
          <w:rFonts w:ascii="Arial" w:hAnsi="Arial"/>
          <w:color w:val="000000"/>
          <w:sz w:val="20"/>
        </w:rPr>
        <w:t>Commission on January 19, 2024 and amended on March 8, 2024, beginning in late November 2023, a nation-state associated threat actor used a password spray attack to compromise a legacy test account and, in turn, gain access to Microsoft email accounts. The threat actor used information it obtained to gain unauthorized access to some of our source code repositories and internal systems, and the threat actor could continue to utilize this and other information to attempt to gain access to our systems or otherwise adversely affect our business and results of operations. This incident has and may continue to result in harm to our reputation and customer relationships. Nation-state and state-sponsored actors can sustain malicious activities for extended periods and deploy significant resources to plan and carry out attacks. Nation-state attacks against us, our customers, suppliers, or partners have and may continue to intensify due to our transparency to our customers, other stakeholders, and the public about cyberattacks, and during elections or periods of intense diplomatic or armed conflict. Challenges or failures to update or apply security patches to all hardware and devices connected to our systems, including end-of-life and end-of-support equipment, have and may continue to result in unauthorized access to our systems and data in the future. Cyber incidents and attacks, individually or in the aggregate, could adversely affect our financial condition, results of operations, competitive position, and reputation, or expose us to legal or regulatory risk.</w:t>
      </w:r>
    </w:p>
    <w:p>
      <w:pPr>
        <w:pStyle w:val="TextBody"/>
        <w:bidi w:val="0"/>
        <w:spacing w:before="180" w:after="283"/>
        <w:jc w:val="both"/>
        <w:rPr>
          <w:rFonts w:ascii="Arial" w:hAnsi="Arial"/>
          <w:color w:val="000000"/>
          <w:sz w:val="20"/>
        </w:rPr>
      </w:pPr>
      <w:r>
        <w:rPr>
          <w:rFonts w:ascii="Arial" w:hAnsi="Arial"/>
          <w:color w:val="000000"/>
          <w:sz w:val="20"/>
        </w:rPr>
        <w:t>Cyberthreats are constantly evolving and becoming increasingly sophisticated and complex, increasing the difficulty of preventing, detecting and successfully defending against them. Threat actors also utilize emerging technologies such as AI and machine learning to, among other things, increase the speed and scale of attacks by generating and refining malicious content and code, automate reconnaissance and targeting, accelerate their ability to detect or exploit vulnerabilities, and rapidly iterate on attack techniques, which can broaden the scope, intensity, and sophistication of campaigns and reduce the time we have to identify and mitigate emerging threats. Our current capabilities may not detect certain vulnerabilities or new attack methods, which may allow them to persist in the environment over long periods of time. It may be difficult to determine the best way to investigate, mitigate, contain, and remediate the harm caused by a cyber incident. Such efforts may not be successful, and we may make errors or fail to take necessary actions. It is possible that threat actors may gain undetected access to other networks and systems after establishing a foothold on an internal system. Cyber incidents and attacks can have cascading impacts that unfold with increasing speed across our internal networks and systems, as well as those of our partners and customers. In addition, it may take considerable time for us to investigate and evaluate the full impact of incidents, particularly for sophisticated attacks. As a result of these and other factors, we may not be able to provide prompt, full, and reliable information about the incident to our customers, partners, suppliers, regulators, and the public. Breaches of our facilities, network, or data security can disrupt the security of our systems and business applications, impair our ability to provide services to our customers and protect the privacy of their data, result in product development delays, compromise confidential or technical business information, result in theft or misuse of our intellectual property or other assets, subject us to ransomware attacks, require us to allocate more resources to improve technologies or remediate the impacts of attacks, or otherwise adversely affect our business. In addition, actions taken to remediate an incident could result in outages, data losses, and disruptions of our services.</w:t>
      </w:r>
    </w:p>
    <w:p>
      <w:pPr>
        <w:pStyle w:val="TextBody"/>
        <w:bidi w:val="0"/>
        <w:spacing w:before="180" w:after="283"/>
        <w:jc w:val="both"/>
        <w:rPr>
          <w:rFonts w:ascii="Arial" w:hAnsi="Arial"/>
          <w:color w:val="000000"/>
          <w:sz w:val="20"/>
        </w:rPr>
      </w:pPr>
      <w:r>
        <w:rPr>
          <w:rFonts w:ascii="Arial" w:hAnsi="Arial"/>
          <w:color w:val="000000"/>
          <w:sz w:val="20"/>
        </w:rPr>
        <w:t>Our internal environment continues to evolve. Often, we are early adopters of new devices and technologies. We embrace new ways of sharing data and communicating internally and with partners and customers using methods such as social networking and other consumer-oriented technologies. Increasing use of AI, including models, algorithms, copilots, and autonomous or semi-autonomous agents, in our internal or third-party systems may create new attack surfaces or methods for adversaries. Our business policies and internal security controls may not keep pace with emerging threats or the evolving regulatory landscape.</w:t>
      </w:r>
    </w:p>
    <w:p>
      <w:pPr>
        <w:pStyle w:val="TextBody"/>
        <w:bidi w:val="0"/>
        <w:spacing w:before="180" w:after="283"/>
        <w:jc w:val="both"/>
        <w:rPr>
          <w:rFonts w:ascii="Arial" w:hAnsi="Arial"/>
          <w:color w:val="000000"/>
          <w:sz w:val="20"/>
        </w:rPr>
      </w:pPr>
      <w:r>
        <w:rPr>
          <w:rFonts w:ascii="Arial" w:hAnsi="Arial"/>
          <w:color w:val="000000"/>
          <w:sz w:val="20"/>
        </w:rPr>
        <w:t>Inadequate account security or organizational security practices, including those of companies we have acquired or those of the third parties we utilize, have resulted and may result in unauthorized access to our systems and data, including customer systems and data. For example, passwords may not be rotated and employee access may not be updated or removed on a timely basis. Further, third parties that we utilize may also face the AI-based enhanced cybersecurity risk as described elsewhere in these risk factors. Employees or third parties may intentionally compromise our or our users’ security or systems or reveal confidential information, and laws in certain jurisdictions may compel actions by such parties against our interests and could limit our recourse. Malicious actors have and may continue to exploit the supply chain to compromise our systems by, for example, injecting malware, including through software updates or compromised supplier or open-source software code, accounts, or hardware. Incidents involving the supply chain, including third-party vendors, suppliers, service providers, open-source software, or customer environments, may adversely affect our systems and our products and services, even where our own systems are not directly compromised.</w:t>
      </w:r>
    </w:p>
    <w:p>
      <w:pPr>
        <w:pStyle w:val="TextBody"/>
        <w:bidi w:val="0"/>
        <w:spacing w:before="240" w:after="283"/>
        <w:jc w:val="center"/>
        <w:rPr>
          <w:rFonts w:ascii="Arial" w:hAnsi="Arial"/>
          <w:color w:val="000000"/>
          <w:sz w:val="16"/>
        </w:rPr>
      </w:pPr>
      <w:r>
        <w:rPr>
          <w:rFonts w:ascii="Arial" w:hAnsi="Arial"/>
          <w:color w:val="000000"/>
          <w:sz w:val="16"/>
        </w:rPr>
        <w:t>18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center"/>
        <w:rPr/>
      </w:pPr>
      <w:r>
        <w:rPr/>
        <w:t> </w:t>
      </w:r>
    </w:p>
    <w:p>
      <w:pPr>
        <w:pStyle w:val="TextBody"/>
        <w:bidi w:val="0"/>
        <w:spacing w:before="270" w:after="283"/>
        <w:jc w:val="left"/>
        <w:rPr>
          <w:rFonts w:ascii="Arial" w:hAnsi="Arial"/>
          <w:b/>
          <w:i/>
          <w:color w:val="000000"/>
          <w:sz w:val="20"/>
        </w:rPr>
      </w:pPr>
      <w:r>
        <w:rPr>
          <w:rFonts w:ascii="Arial" w:hAnsi="Arial"/>
          <w:b/>
          <w:i/>
          <w:color w:val="000000"/>
          <w:sz w:val="20"/>
        </w:rPr>
        <w:t>Security of our products, services, devices, and customers’ data</w:t>
      </w:r>
    </w:p>
    <w:p>
      <w:pPr>
        <w:pStyle w:val="TextBody"/>
        <w:bidi w:val="0"/>
        <w:spacing w:before="180" w:after="283"/>
        <w:jc w:val="both"/>
        <w:rPr>
          <w:rFonts w:ascii="Arial" w:hAnsi="Arial"/>
          <w:color w:val="000000"/>
          <w:sz w:val="20"/>
        </w:rPr>
      </w:pPr>
      <w:r>
        <w:rPr>
          <w:rFonts w:ascii="Arial" w:hAnsi="Arial"/>
          <w:color w:val="000000"/>
          <w:sz w:val="20"/>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or attacks on, our own infrastructure, such as the nation-state attack described in the prior risk factor, have also affected our customers and may do so in the future. The reliability of our cloud-based services and the protection of customer data depend on the security of our infrastructure and the security of third-party infrastructure upon which we rely, which includes hardware, software, and other elements provided by third parties. Adversaries tend to focus their efforts on the most popular operating systems, programs, and services, including many of ours, as well as customers with sensitive data, and we expect that to continue. In addition, adversaries can attack our customers’ on-premises or cloud environments, sometimes exploiting previously unknown (“zero-day”) vulnerabilities. Product vulnerabilities can persist even after we have issued security patches if customers have not installed the most recent updates, or if attackers, potentially with the assistance of artificial intelligence, reconstruct and exploit the vulnerabilities before patching. Attackers may utilize vulnerabilities to install malware to further compromise customers’ systems. Adversaries will continue to attack customers as they embrace digital transformation. Adversaries that acquire user account information can use that information to compromise our users’ accounts, including where accounts share the same attributes such as passwords. Inadequate account security practices may also result in unauthorized access, and user activity may result in ransomware or other malicious software impacting a customer’s use of our products or services. Our products are highly complex and weaknesses may exist in our development processes. For example, code generated by AI could include errors, deficiencies, or vulnerabilities that increase our exposure to cyberattacks. Additionally, open-source software can also contain vulnerabilities that may make our products susceptible to cyberattacks as we increasingly incorporate open-source software into our products. Accordingly, our products have and may continue to contain vulnerabilities or undetected errors.</w:t>
      </w:r>
    </w:p>
    <w:p>
      <w:pPr>
        <w:pStyle w:val="TextBody"/>
        <w:bidi w:val="0"/>
        <w:spacing w:before="180" w:after="283"/>
        <w:jc w:val="both"/>
        <w:rPr>
          <w:rFonts w:ascii="Arial" w:hAnsi="Arial"/>
          <w:color w:val="000000"/>
          <w:sz w:val="20"/>
        </w:rPr>
      </w:pPr>
      <w:r>
        <w:rPr>
          <w:rFonts w:ascii="Arial" w:hAnsi="Arial"/>
          <w:color w:val="000000"/>
          <w:sz w:val="20"/>
        </w:rPr>
        <w:t>Our customers operate complex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of our services for a product, service, standard, or feature solely because a more secure alternative is available. Failure to utilize the most current security advances and standards can increase our customers’ vulnerability to attack. Further, the rapid evolution of AI technologies and use cases may outpace the development, deployment, and effectiveness of security products, controls, and industry standards, particularly in complex customer environments, increasing the risk that security measures will be insufficient to address newly emerging threats. Customers of widely varied sizes and technical sophistication use our technology, and consequently may still have limited capabilities and resources to help them adopt and implement state-of-the-art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operations and some customers may have limited capability to review and reset these defaults.</w:t>
      </w:r>
    </w:p>
    <w:p>
      <w:pPr>
        <w:pStyle w:val="TextBody"/>
        <w:bidi w:val="0"/>
        <w:spacing w:before="180" w:after="283"/>
        <w:jc w:val="both"/>
        <w:rPr>
          <w:rFonts w:ascii="Arial" w:hAnsi="Arial"/>
          <w:color w:val="000000"/>
          <w:sz w:val="20"/>
        </w:rPr>
      </w:pPr>
      <w:r>
        <w:rPr>
          <w:rFonts w:ascii="Arial" w:hAnsi="Arial"/>
          <w:color w:val="000000"/>
          <w:sz w:val="20"/>
        </w:rPr>
        <w:t>Cyberattacks could adversely impact our customers even if our production services are not directly compromised. We are committed to notifying our customers whose systems have been impacted as we become aware and have actionable information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pStyle w:val="TextBody"/>
        <w:bidi w:val="0"/>
        <w:spacing w:before="180" w:after="283"/>
        <w:jc w:val="both"/>
        <w:rPr>
          <w:rFonts w:ascii="Arial" w:hAnsi="Arial"/>
          <w:color w:val="000000"/>
          <w:sz w:val="20"/>
        </w:rPr>
      </w:pPr>
      <w:r>
        <w:rPr>
          <w:rFonts w:ascii="Arial" w:hAnsi="Arial"/>
          <w:color w:val="000000"/>
          <w:sz w:val="20"/>
        </w:rPr>
        <w:t>Any of the foregoing events could result in reputational harm, loss of revenue, increased costs, or otherwise adversely affect our business, financial condition, and results of operations.</w:t>
      </w:r>
    </w:p>
    <w:p>
      <w:pPr>
        <w:pStyle w:val="TextBody"/>
        <w:bidi w:val="0"/>
        <w:spacing w:before="270" w:after="283"/>
        <w:jc w:val="left"/>
        <w:rPr>
          <w:rFonts w:ascii="Arial" w:hAnsi="Arial"/>
          <w:b/>
          <w:i/>
          <w:color w:val="000000"/>
          <w:sz w:val="20"/>
        </w:rPr>
      </w:pPr>
      <w:r>
        <w:rPr>
          <w:rFonts w:ascii="Arial" w:hAnsi="Arial"/>
          <w:b/>
          <w:i/>
          <w:color w:val="000000"/>
          <w:sz w:val="20"/>
        </w:rPr>
        <w:t>Development and deployment of defensive measures</w:t>
      </w:r>
    </w:p>
    <w:p>
      <w:pPr>
        <w:pStyle w:val="TextBody"/>
        <w:bidi w:val="0"/>
        <w:spacing w:before="180" w:after="283"/>
        <w:jc w:val="both"/>
        <w:rPr>
          <w:rFonts w:ascii="Times New Roman" w:hAnsi="Times New Roman"/>
          <w:sz w:val="20"/>
        </w:rPr>
      </w:pPr>
      <w:r>
        <w:rPr>
          <w:rFonts w:ascii="Arial" w:hAnsi="Arial"/>
          <w:color w:val="000000"/>
          <w:sz w:val="20"/>
        </w:rPr>
        <w:t>To defend against security threats to our internal infrastructure, our cloud-based services, and our customers’ systems, we must take a complex and multifaceted approach. This includes continuously engineering more secure products and services, and enhancing security, threat detection, and reliability features, including through the deployment of AI-based and automated defenses. We must also escalate and improve our development processes and the deployment of software updates to address security vulnerabilities in our own products as well as those provided by others in a timely manner. In addition, we must develop mitigation technologies that help to secure customers from attacks even</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19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center"/>
        <w:rPr/>
      </w:pPr>
      <w:r>
        <w:rPr/>
        <w:t> </w:t>
      </w:r>
    </w:p>
    <w:p>
      <w:pPr>
        <w:pStyle w:val="TextBody"/>
        <w:bidi w:val="0"/>
        <w:spacing w:before="180" w:after="283"/>
        <w:jc w:val="both"/>
        <w:rPr>
          <w:rFonts w:ascii="Arial" w:hAnsi="Arial"/>
          <w:color w:val="000000"/>
          <w:sz w:val="20"/>
        </w:rPr>
      </w:pPr>
      <w:r>
        <w:rPr>
          <w:rFonts w:ascii="Arial" w:hAnsi="Arial"/>
          <w:color w:val="000000"/>
          <w:sz w:val="20"/>
        </w:rPr>
        <w:t>when software updates are not deployed, and maintain the digital security infrastructure that protects the integrity of our network, products, and services. Further, we must provide security tools such as firewalls, anti-virus software, and advanced security and information about the need to deploy security measures and the impact of doing so.</w:t>
      </w:r>
    </w:p>
    <w:p>
      <w:pPr>
        <w:pStyle w:val="TextBody"/>
        <w:bidi w:val="0"/>
        <w:spacing w:before="180" w:after="283"/>
        <w:jc w:val="both"/>
        <w:rPr>
          <w:rFonts w:ascii="Arial" w:hAnsi="Arial"/>
          <w:color w:val="000000"/>
          <w:sz w:val="20"/>
        </w:rPr>
      </w:pPr>
      <w:r>
        <w:rPr>
          <w:rFonts w:ascii="Arial" w:hAnsi="Arial"/>
          <w:color w:val="000000"/>
          <w:sz w:val="20"/>
        </w:rPr>
        <w:t>The cost of these measures to protect products and customer-facing services could reduce our operating margins. If we fail to do these things well, actual or perceived security vulnerabilities in our processes, products, and services, data corruption issues, or reduced performance could harm our reputation and lead customers to exercise contractual or other remedies against us, reduce or delay future purchases of products or subscriptions to services, or to use competing products or services. Customers and third parties granted access to customer systems may fail to update their systems, continue to run software or operating systems we no longer support, may fail to timely install or enable security patches, or may otherwise fail to adopt adequate security practices, including in response to enhanced AI-based threats. Customers may also spend more on protecting their existing computer systems from attack, which could delay adoption of additional products or services. Customers in certain industries such as financial services, health care, and government have enhanced or specialized expectations and requirements to which we must develop and engineer our products and services. Any of these could adversely affect our reputation and results of operations. Actual or perceived vulnerabilities may lead to claims against us. Our license agreements typically contain provisions that eliminate or limit our exposure to liability, but these provisions may not withstand legal challenges. At times, to achieve commercial objectives, we may enter into agreements with larger liability exposure to customers.</w:t>
      </w:r>
    </w:p>
    <w:p>
      <w:pPr>
        <w:pStyle w:val="TextBody"/>
        <w:bidi w:val="0"/>
        <w:spacing w:before="180" w:after="283"/>
        <w:jc w:val="both"/>
        <w:rPr>
          <w:rFonts w:ascii="Arial" w:hAnsi="Arial"/>
          <w:color w:val="000000"/>
          <w:sz w:val="20"/>
        </w:rPr>
      </w:pPr>
      <w:r>
        <w:rPr>
          <w:rFonts w:ascii="Arial" w:hAnsi="Arial"/>
          <w:color w:val="000000"/>
          <w:sz w:val="20"/>
        </w:rPr>
        <w:t>Our products operate in conjunction with and are dependent on products and components across a broad ecosystem of third parties. If there is a security vulnerability in one of these components, and if there is a security exploit targeting it, we could experience adverse impacts to our results of operations, reputation, or competitive position.</w:t>
      </w:r>
    </w:p>
    <w:p>
      <w:pPr>
        <w:pStyle w:val="TextBody"/>
        <w:bidi w:val="0"/>
        <w:spacing w:before="180" w:after="283"/>
        <w:jc w:val="both"/>
        <w:rPr>
          <w:rFonts w:ascii="Times New Roman" w:hAnsi="Times New Roman"/>
          <w:sz w:val="20"/>
        </w:rPr>
      </w:pPr>
      <w:r>
        <w:rPr>
          <w:rFonts w:ascii="Arial" w:hAnsi="Arial"/>
          <w:b/>
          <w:color w:val="000000"/>
          <w:sz w:val="20"/>
        </w:rPr>
        <w:t>Disclosure and misuse of personal data could result in liability and harm our reputation.</w:t>
      </w:r>
      <w:r>
        <w:rPr>
          <w:rFonts w:ascii="Times New Roman" w:hAnsi="Times New Roman"/>
          <w:color w:val="000000"/>
          <w:sz w:val="20"/>
        </w:rPr>
        <w:t xml:space="preserve"> </w:t>
      </w:r>
      <w:r>
        <w:rPr>
          <w:rFonts w:ascii="Arial" w:hAnsi="Arial"/>
          <w:color w:val="000000"/>
          <w:sz w:val="20"/>
        </w:rPr>
        <w:t>As we continue to grow the number, breadth, and scale of our cloud-based offerings, we store and process increasingly large amounts of personal data of our customers and users. The continued occurrence of high-profile data breaches provides evidence of an external environment increasingly hostile to information security. Our security controls over personal data, our training of employees and third parties on data security, and other practices we follow may not prevent the improper disclosure or misuse of customer or user data we or our vendors store and manage. Relatedly, we may fail to identify or mitigate insider threat activities that could lead to the misuse of our systems or customer and user data.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take to address customer or user concerns, or constraints on our flexibility to determine where and how to operate datacenters in response to customer or user expectations or governmental rules or actions, may increase costs or hinder sales of our products and services.</w:t>
      </w:r>
    </w:p>
    <w:p>
      <w:pPr>
        <w:pStyle w:val="TextBody"/>
        <w:bidi w:val="0"/>
        <w:spacing w:before="180" w:after="283"/>
        <w:jc w:val="both"/>
        <w:rPr>
          <w:rFonts w:ascii="Times New Roman" w:hAnsi="Times New Roman"/>
          <w:sz w:val="20"/>
        </w:rPr>
      </w:pPr>
      <w:r>
        <w:rPr>
          <w:rFonts w:ascii="Arial" w:hAnsi="Arial"/>
          <w:b/>
          <w:color w:val="000000"/>
          <w:sz w:val="20"/>
        </w:rPr>
        <w:t>We may not be able to protect information in our products and services from use by others</w:t>
      </w:r>
      <w:r>
        <w:rPr>
          <w:rFonts w:ascii="Arial" w:hAnsi="Arial"/>
          <w:color w:val="000000"/>
          <w:sz w:val="20"/>
        </w:rPr>
        <w:t>. LinkedIn and other Microsoft products and services contain valuable information and content protected by contractual restrictions or technical measures. In certain cases, we have made commitments to our members and users to limit access to or use of this information. Limitations on our ability to prevent third parties from scraping or gathering information or content through use of bots or other measures and using it for their own benefit due to, among other things, changes in the law, interpretations of law, or increasing use of agentic AI, could adversely affect our business, financial condition, and results of operations.</w:t>
      </w:r>
    </w:p>
    <w:p>
      <w:pPr>
        <w:pStyle w:val="TextBody"/>
        <w:bidi w:val="0"/>
        <w:spacing w:before="240" w:after="283"/>
        <w:jc w:val="center"/>
        <w:rPr>
          <w:rFonts w:ascii="Arial" w:hAnsi="Arial"/>
          <w:color w:val="000000"/>
          <w:sz w:val="16"/>
        </w:rPr>
      </w:pPr>
      <w:r>
        <w:rPr>
          <w:rFonts w:ascii="Arial" w:hAnsi="Arial"/>
          <w:color w:val="000000"/>
          <w:sz w:val="16"/>
        </w:rPr>
        <w:t>20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center"/>
        <w:rPr/>
      </w:pPr>
      <w:r>
        <w:rPr/>
        <w:t> </w:t>
      </w:r>
    </w:p>
    <w:p>
      <w:pPr>
        <w:pStyle w:val="TextBody"/>
        <w:bidi w:val="0"/>
        <w:spacing w:before="270" w:after="283"/>
        <w:jc w:val="left"/>
        <w:rPr>
          <w:rFonts w:ascii="Arial" w:hAnsi="Arial"/>
          <w:b/>
          <w:color w:val="000000"/>
          <w:sz w:val="20"/>
        </w:rPr>
      </w:pPr>
      <w:r>
        <w:rPr>
          <w:rFonts w:ascii="Arial" w:hAnsi="Arial"/>
          <w:b/>
          <w:color w:val="000000"/>
          <w:sz w:val="20"/>
        </w:rPr>
        <w:t>Abuse of our platforms may harm our reputation or user engagement.</w:t>
      </w:r>
    </w:p>
    <w:p>
      <w:pPr>
        <w:pStyle w:val="TextBody"/>
        <w:bidi w:val="0"/>
        <w:spacing w:before="180" w:after="283"/>
        <w:jc w:val="left"/>
        <w:rPr>
          <w:rFonts w:ascii="Arial" w:hAnsi="Arial"/>
          <w:b/>
          <w:i/>
          <w:color w:val="000000"/>
          <w:sz w:val="20"/>
        </w:rPr>
      </w:pPr>
      <w:r>
        <w:rPr>
          <w:rFonts w:ascii="Arial" w:hAnsi="Arial"/>
          <w:b/>
          <w:i/>
          <w:color w:val="000000"/>
          <w:sz w:val="20"/>
        </w:rPr>
        <w:t>Advertising, professional, marketplace, and gaming platform abuses</w:t>
      </w:r>
    </w:p>
    <w:p>
      <w:pPr>
        <w:pStyle w:val="TextBody"/>
        <w:bidi w:val="0"/>
        <w:spacing w:before="180" w:after="283"/>
        <w:jc w:val="both"/>
        <w:rPr>
          <w:rFonts w:ascii="Arial" w:hAnsi="Arial"/>
          <w:color w:val="000000"/>
          <w:sz w:val="20"/>
        </w:rPr>
      </w:pPr>
      <w:r>
        <w:rPr>
          <w:rFonts w:ascii="Arial" w:hAnsi="Arial"/>
          <w:color w:val="000000"/>
          <w:sz w:val="20"/>
        </w:rPr>
        <w:t>For platform products and services that provide content or host ads that come from or can be influenced by third parties, our reputation or user engagement may be negatively affected by activity that is hostile or inappropriate. This activity may come from users impersonating other people or organizations, including through the use of AI technologies,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financial condition, and results of operations.</w:t>
      </w:r>
    </w:p>
    <w:p>
      <w:pPr>
        <w:pStyle w:val="TextBody"/>
        <w:bidi w:val="0"/>
        <w:spacing w:before="270" w:after="283"/>
        <w:jc w:val="left"/>
        <w:rPr>
          <w:rFonts w:ascii="Arial" w:hAnsi="Arial"/>
          <w:b/>
          <w:i/>
          <w:color w:val="000000"/>
          <w:sz w:val="20"/>
        </w:rPr>
      </w:pPr>
      <w:r>
        <w:rPr>
          <w:rFonts w:ascii="Arial" w:hAnsi="Arial"/>
          <w:b/>
          <w:i/>
          <w:color w:val="000000"/>
          <w:sz w:val="20"/>
        </w:rPr>
        <w:t>Other digital safety abuses</w:t>
      </w:r>
    </w:p>
    <w:p>
      <w:pPr>
        <w:pStyle w:val="TextBody"/>
        <w:bidi w:val="0"/>
        <w:spacing w:before="180" w:after="283"/>
        <w:jc w:val="both"/>
        <w:rPr>
          <w:rFonts w:ascii="Arial" w:hAnsi="Arial"/>
          <w:color w:val="000000"/>
          <w:sz w:val="20"/>
        </w:rPr>
      </w:pPr>
      <w:r>
        <w:rPr>
          <w:rFonts w:ascii="Arial" w:hAnsi="Arial"/>
          <w:color w:val="000000"/>
          <w:sz w:val="20"/>
        </w:rPr>
        <w:t>Our services may be used to find, generate, store, or disseminate harmful or illegal content in violation of our terms or applicable law. We may not proactively discover such content due to scale, the limitations of existing technologies, and conflicting legal frameworks. This content may negatively affect users, our reputation, our brands, or could impact our business in certain markets. Regulatory enforcement is increasingly focused on product design, safety-by-design, and the responsibility of platform providers. At the same time, laws designed to reduce risks to children are driving new obligations for age-assurance systems, age-appropriate design, and parental controls across the online ecosystem, including within app stores and operating systems. In addition, certain AI technologies, including conversational or emotionally engaging AI systems, may present distinct risks for children and adolescents. Failure to comply with these requirements may subject us to enhanced regulatory oversight, civil or criminal liability, fines and penalties, or other reputational damage, which could adversely affect our business, financial condition, and results of operations.</w:t>
      </w:r>
    </w:p>
    <w:p>
      <w:pPr>
        <w:pStyle w:val="TextBody"/>
        <w:bidi w:val="0"/>
        <w:spacing w:before="180" w:after="283"/>
        <w:jc w:val="both"/>
        <w:rPr>
          <w:rFonts w:ascii="Times New Roman" w:hAnsi="Times New Roman"/>
          <w:sz w:val="20"/>
        </w:rPr>
      </w:pPr>
      <w:r>
        <w:rPr>
          <w:rFonts w:ascii="Arial" w:hAnsi="Arial"/>
          <w:b/>
          <w:color w:val="000000"/>
          <w:sz w:val="20"/>
        </w:rPr>
        <w:t xml:space="preserve">Our products and services, how they are used by customers, and how third-party products and services interact with them, may present security, privacy, and execution risks. </w:t>
      </w:r>
      <w:r>
        <w:rPr>
          <w:rFonts w:ascii="Arial" w:hAnsi="Arial"/>
          <w:color w:val="000000"/>
          <w:sz w:val="20"/>
        </w:rPr>
        <w:t>Our products and services may contain defects in design, manufacture, or operation that make them insecure or ineffective for their intended purposes. For example, customers control our products and services, including our AI products, within their environments, and may deploy them in high-risk scenarios or utilize them inappropriately. Our products may also collect large amounts of data in manners which may not satisfy customers or regulatory requirements. Our customers also operate complex systems with third-party hardware and software from multiple vendors whose products or personnel may take or fail to take actions which impact the reliability or security of our products and services. If our products and services do not work as intended, are utilized in methods not intended, violate the law, or harm individuals or businesses, we may be subject to legal claims or enforcement actions. These risks, if realized, may increase our costs, damage our reputation, or adversely affect our results of operations.</w:t>
      </w:r>
    </w:p>
    <w:p>
      <w:pPr>
        <w:pStyle w:val="TextBody"/>
        <w:bidi w:val="0"/>
        <w:spacing w:before="180" w:after="283"/>
        <w:jc w:val="both"/>
        <w:rPr>
          <w:rFonts w:ascii="Times New Roman" w:hAnsi="Times New Roman"/>
          <w:sz w:val="20"/>
        </w:rPr>
      </w:pPr>
      <w:r>
        <w:rPr>
          <w:rFonts w:ascii="Arial" w:hAnsi="Arial"/>
          <w:b/>
          <w:color w:val="000000"/>
          <w:sz w:val="20"/>
        </w:rPr>
        <w:t>Issues in the development, deployment, and use of AI may result in reputational or competitive harm or liability</w:t>
      </w:r>
      <w:r>
        <w:rPr>
          <w:rFonts w:ascii="Arial" w:hAnsi="Arial"/>
          <w:color w:val="000000"/>
          <w:sz w:val="20"/>
        </w:rPr>
        <w:t>. We are providing access to AI across our offerings and enabling customers and partners to build AI-based solutions using our platforms. These capabilities may be developed by Microsoft or third parties and are becoming an increasing part of our business. The increasing scale and adoption of AI amplifies challenges that may affect its development, deployment, and use, which could give rise to reputational, competitive, or legal harm. Our AI models and the methodologies used to train them may be flawed. Datasets may be overbroad, insufficient, or contain biased or inaccurate information. Content generated by AI systems may be offensive, illegal, inaccurate, or otherwise harmful. Ineffective or inadequate AI development or deployment practices by Microsoft or others could result in incidents that impair the acceptance of AI solutions, cause harm to individuals, customers, or society, or result in our products and services not working as intended. Human review of certain inputs and outputs or other forms of human oversight may be required, including for agentic AI systems that can take actions autonomously. Companion or highly-personalized AI systems may result in over-reliance or dependence by users that is harmful. Our implementation of AI systems could result in legal liability, regulatory action, litigation, brand, reputational, or competitive harm, or other adverse impacts. These risks may stem from issues related to AI model and system capabilities, intellectual property, data privacy, product liability, and other claims associated with AI training, outputs, and system behavior. They are further compounded by the evolving regulatory landscape, with new laws emerging globally and increased scrutiny from regulators and lawmakers. Certain AI technologies and use cases present ethical issues or may have broad or uneven impacts on society or vulnerable groups within society. There is also rising divergence globally in how to address these issues and impacts, with the result that we will need to navigate a web of different tensions across geographies. We have experienced, and expect to continue to experience, instances in which the AI solutions we enable or offer produce unintended consequences, are used or customized in unforeseen ways by customers or partners, or operate in a</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21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center"/>
        <w:rPr/>
      </w:pPr>
      <w:r>
        <w:rPr/>
        <w:t> </w:t>
      </w:r>
    </w:p>
    <w:p>
      <w:pPr>
        <w:pStyle w:val="TextBody"/>
        <w:bidi w:val="0"/>
        <w:spacing w:before="180" w:after="283"/>
        <w:jc w:val="both"/>
        <w:rPr>
          <w:rFonts w:ascii="Arial" w:hAnsi="Arial"/>
          <w:color w:val="000000"/>
          <w:sz w:val="20"/>
        </w:rPr>
      </w:pPr>
      <w:r>
        <w:rPr>
          <w:rFonts w:ascii="Arial" w:hAnsi="Arial"/>
          <w:color w:val="000000"/>
          <w:sz w:val="20"/>
        </w:rPr>
        <w:t>manner inconsistent with our responsible AI policies and practices. These outcomes may give rise to public controversy, societal concerns, or regulatory actions relating to human rights, privacy, employment, or other social, economic, or political issues, and could adversely affect our reputation, competitive position, business, financial condition, and results of operations.</w:t>
      </w:r>
    </w:p>
    <w:p>
      <w:pPr>
        <w:pStyle w:val="TextBody"/>
        <w:bidi w:val="0"/>
        <w:spacing w:before="270" w:after="283"/>
        <w:jc w:val="center"/>
        <w:rPr>
          <w:rFonts w:ascii="Arial" w:hAnsi="Arial"/>
          <w:color w:val="000000"/>
          <w:sz w:val="20"/>
          <w:u w:val="single"/>
        </w:rPr>
      </w:pPr>
      <w:r>
        <w:rPr>
          <w:rFonts w:ascii="Arial" w:hAnsi="Arial"/>
          <w:color w:val="000000"/>
          <w:sz w:val="20"/>
          <w:u w:val="single"/>
        </w:rPr>
        <w:t>OPERATIONAL RISKS</w:t>
      </w:r>
    </w:p>
    <w:p>
      <w:pPr>
        <w:pStyle w:val="TextBody"/>
        <w:bidi w:val="0"/>
        <w:spacing w:before="180" w:after="283"/>
        <w:jc w:val="both"/>
        <w:rPr>
          <w:rFonts w:ascii="Times New Roman" w:hAnsi="Times New Roman"/>
          <w:sz w:val="20"/>
        </w:rPr>
      </w:pPr>
      <w:r>
        <w:rPr>
          <w:rFonts w:ascii="Arial" w:hAnsi="Arial"/>
          <w:b/>
          <w:color w:val="000000"/>
          <w:sz w:val="20"/>
        </w:rPr>
        <w:t>We may be unable to develop and expand adequate infrastructure.</w:t>
      </w:r>
      <w:r>
        <w:rPr>
          <w:rFonts w:ascii="Times New Roman" w:hAnsi="Times New Roman"/>
          <w:color w:val="000000"/>
          <w:sz w:val="20"/>
        </w:rPr>
        <w:t xml:space="preserve"> </w:t>
      </w:r>
      <w:r>
        <w:rPr>
          <w:rFonts w:ascii="Arial" w:hAnsi="Arial"/>
          <w:color w:val="000000"/>
          <w:sz w:val="20"/>
        </w:rPr>
        <w:t>Our increasing user traffic, our growth in services, and the complexity of our products and services demand more infrastructure capacity and computing power. We have spent and will continue to spend substantial amounts to build, purchase, or lease datacenters and equipment and to upgrade our technology and network infrastructure. Our infrastructure capacity depends on the availability of permitted and buildable land, predictable and affordable energy, networking supplies, and servers, including graphics processing units and other components. These demands continue to increase as we introduce new products and services and support the growth and the augmentation of existing services, and scale further the incorporation of AI features and/or functionality. We are rapidly growing our business of providing a platform and back-end hosting for services provided by third parties to their end users. In addition, infrastructure in certain geographies carries higher safety and reliability risks. Maintaining, securing, and expanding our infrastructure globally is expensive and complex.</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availability, reliability, and cost of electrical power are critical to the operation and expansion of our datacenters. In many regions, electricity generation, transmission, and distribution infrastructure is experiencing increasing demand and capacity constraints. Limitations in power availability, delays in obtaining power connections, outages, shortages, increased energy costs, or requirements imposed by utilities, regulators, or other market participants could restrict our ability to develop or expand datacenter capacity. In addition, alternative energy sources and other emerging solutions may not be available in sufficient quantities, may not timely scale to meet our requirements, or may be available only at higher costs. If we are unable to secure adequate power resources on commercially reasonable terms, our ability to support customer demand and execute our growth strategy could be adversely affected.</w:t>
      </w:r>
    </w:p>
    <w:p>
      <w:pPr>
        <w:pStyle w:val="TextBody"/>
        <w:bidi w:val="0"/>
        <w:spacing w:before="180" w:after="283"/>
        <w:jc w:val="both"/>
        <w:rPr>
          <w:rFonts w:ascii="Times New Roman" w:hAnsi="Times New Roman"/>
          <w:sz w:val="20"/>
        </w:rPr>
      </w:pPr>
      <w:r>
        <w:rPr>
          <w:rFonts w:ascii="Arial" w:hAnsi="Arial"/>
          <w:color w:val="000000"/>
          <w:sz w:val="20"/>
        </w:rPr>
        <w:t>Our ability to develop additional capacity is also subject to land availability, zoning restrictions, environmental reviews, permitting requirements, and other regulatory approvals. Changes in governmental policies, permitting processes, environmental regulations, sustainability requirements, building standards, energy regulations, or other factors beyond our control may delay projects, restrict development opportunities, impose additional compliance obligations, or increase costs. We also face community opposition, state and local moratoriums, and hyper-local dissent, as well as increasingly coordinated opposition to infrastructure development across jurisdictions, including through the involvement or influence of elected officials, policymakers, and advocacy groups. Our failure to navigate successfully any of these challenges may delay projects, restrict development opportunities, impose additional compliance obligations, or increase costs.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construction and operation of datacenters also requires significant numbers of skilled technical, engineering, construction, and operational personnel. Labor shortages, competition for talent, wage inflation, labor disputes, immigration restrictions, or shortages of specialized contractors could increase operating and construction costs, extend project timelines, and adversely affect our ability to deploy infrastructure at the pace required to meet demand.</w:t>
      </w:r>
    </w:p>
    <w:p>
      <w:pPr>
        <w:pStyle w:val="TextBody"/>
        <w:bidi w:val="0"/>
        <w:spacing w:before="180" w:after="283"/>
        <w:jc w:val="both"/>
        <w:rPr>
          <w:rFonts w:ascii="Times New Roman" w:hAnsi="Times New Roman"/>
          <w:sz w:val="20"/>
        </w:rPr>
      </w:pPr>
      <w:r>
        <w:rPr>
          <w:rFonts w:ascii="Arial" w:hAnsi="Arial"/>
          <w:b/>
          <w:color w:val="000000"/>
          <w:sz w:val="20"/>
        </w:rPr>
        <w:t xml:space="preserve">We may experience supply problems. </w:t>
      </w:r>
      <w:r>
        <w:rPr>
          <w:rFonts w:ascii="Arial" w:hAnsi="Arial"/>
          <w:color w:val="000000"/>
          <w:sz w:val="20"/>
        </w:rPr>
        <w:t>There are limited suppliers for certain critical device and datacenter components, and those items are in short supply. We continue to identify and evaluate opportunities to expand our datacenter locations and increase our server capacity to meet the evolving needs of our customers, particularly given the growing demand for AI products and services. Our competitors are also scaling their infrastructure and use some of the same suppliers and materials for hardware components as we do, which impacts price and availability. We depend on the timely availability of critical hardware, equipment, and components used to construct and operate datacenters and related infrastructure. We have experienced and may continue to experience supply constraints, including shortages of semiconductors, networking equipment, power systems, cooling equipment, and other key components. Expanding manufacturing or supply capacity for certain components may require significant investments and multi-year lead times. As components are delayed or become unavailable or more expensive, whether because of supplier capacity constraint, industry shortages, legal or regulatory changes that restrict supply sources, geopolitical tensions, trade restrictions, tariffs, transportation disruptions, supplier financial distress, natural disasters, public health events, instability in regions important to our or our suppliers’ supply chains, or other reasons, we may not obtain timely replacement supplies, or may be able to obtain supplies only by entering into long-term purchase commitments, price commitments, paying prices above prevailing market rates, or other arrangements on terms that are less favorable than prevailing market terms. Any delay or inability to obtain necessary equipment, hardware, or components on acceptable terms and timelines could delay infrastructure deployments, result in reduced sales, higher costs, 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22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center"/>
        <w:rPr/>
      </w:pPr>
      <w:r>
        <w:rPr/>
        <w:t> </w:t>
      </w:r>
    </w:p>
    <w:p>
      <w:pPr>
        <w:pStyle w:val="TextBody"/>
        <w:bidi w:val="0"/>
        <w:spacing w:before="180" w:after="283"/>
        <w:jc w:val="both"/>
        <w:rPr>
          <w:rFonts w:ascii="Times New Roman" w:hAnsi="Times New Roman"/>
          <w:sz w:val="20"/>
        </w:rPr>
      </w:pPr>
      <w:r>
        <w:rPr>
          <w:rFonts w:ascii="Arial" w:hAnsi="Arial"/>
          <w:color w:val="000000"/>
          <w:sz w:val="20"/>
        </w:rPr>
        <w:t>inadequate datacenter capacity to support the delivery and continued development of our products and services. Component shortages, excess or obsolete inventory, or price reductions resulting in inventory adjustments have and may increase our cost of revenue.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addition to infrastructure, other products such as XBOX consoles, Surface devices, and other hardware are similarly subject to supply chain challenges and disruptions, resulting in shortages which could adversely affect our business, operations, financial condition, and results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color w:val="000000"/>
          <w:sz w:val="20"/>
        </w:rPr>
        <w:t>We may experience outages, disruptions, or capacity constraints if we fail to maintain and operate adequate infrastructure or secure the resources necessary to support it.</w:t>
      </w:r>
      <w:r>
        <w:rPr>
          <w:rFonts w:ascii="Times New Roman" w:hAnsi="Times New Roman"/>
          <w:color w:val="000000"/>
          <w:sz w:val="20"/>
        </w:rPr>
        <w:t xml:space="preserve"> </w:t>
      </w:r>
      <w:r>
        <w:rPr>
          <w:rFonts w:ascii="Arial" w:hAnsi="Arial"/>
          <w:color w:val="000000"/>
          <w:sz w:val="20"/>
        </w:rPr>
        <w:t>Maintaining, securing, and operating our infrastructure requires that we maintain an Internet connectivity infrastructure and storage and compute capacity that is robust, resilient, and reliable within competitive, economic, and regulatory constraints that continue to evolve. The cost or availability of critical resources necessary to support our infrastructure, including power, networking supplies, servers, graphics processing units, and other components, could be adversely affected by a variety of factors, including supply chain and energy issues, evolving environmental or other regulations, and geopolitical disruptions.</w:t>
      </w:r>
    </w:p>
    <w:p>
      <w:pPr>
        <w:pStyle w:val="TextBody"/>
        <w:bidi w:val="0"/>
        <w:spacing w:before="180" w:after="283"/>
        <w:jc w:val="both"/>
        <w:rPr>
          <w:rFonts w:ascii="Arial" w:hAnsi="Arial"/>
          <w:color w:val="000000"/>
          <w:sz w:val="20"/>
        </w:rPr>
      </w:pPr>
      <w:r>
        <w:rPr>
          <w:rFonts w:ascii="Arial" w:hAnsi="Arial"/>
          <w:color w:val="000000"/>
          <w:sz w:val="20"/>
        </w:rPr>
        <w:t>In addition to datacenters we own or operate, we rely on third-party providers, including colocation facilities, leased datacenters, and cloud infrastructure providers, to support portions of our operations. If any of these providers fail to meet our requirements, or experience service interruptions, operational failures, capacity constraints, physical damage, cybersecurity incidents, or other disruptions, our ability to provide services, maintain system performance, or meet customer expectations could be negatively impacted.</w:t>
      </w:r>
    </w:p>
    <w:p>
      <w:pPr>
        <w:pStyle w:val="TextBody"/>
        <w:bidi w:val="0"/>
        <w:spacing w:before="180" w:after="283"/>
        <w:jc w:val="both"/>
        <w:rPr>
          <w:rFonts w:ascii="Arial" w:hAnsi="Arial"/>
          <w:color w:val="000000"/>
          <w:sz w:val="20"/>
        </w:rPr>
      </w:pPr>
      <w:r>
        <w:rPr>
          <w:rFonts w:ascii="Arial" w:hAnsi="Arial"/>
          <w:color w:val="000000"/>
          <w:sz w:val="20"/>
        </w:rPr>
        <w:t>Inefficiencies or operational failures, including temporary or permanent loss of customer data, outages, insufficient Internet connectivity, insufficient or unavailable power or water supply, inefficient operation of our of our cloud-based and AI products and services on our infrastructure, or inadequate storage and compute capacity could diminish the actual or perceived quality of our products, services, and user experience, resulting in contractual liability, claims by customers and other third parties, regulatory actions, damage to our reputation, and loss of current and potential users, subscribers, and advertisers, each of which could adversely affect our business, operations, financial condition, and results of operations.</w:t>
      </w:r>
    </w:p>
    <w:p>
      <w:pPr>
        <w:pStyle w:val="TextBody"/>
        <w:bidi w:val="0"/>
        <w:spacing w:before="180" w:after="283"/>
        <w:jc w:val="both"/>
        <w:rPr>
          <w:rFonts w:ascii="Times New Roman" w:hAnsi="Times New Roman"/>
          <w:sz w:val="20"/>
        </w:rPr>
      </w:pPr>
      <w:r>
        <w:rPr>
          <w:rFonts w:ascii="Arial" w:hAnsi="Arial"/>
          <w:b/>
          <w:color w:val="000000"/>
          <w:sz w:val="20"/>
        </w:rPr>
        <w:t>We may experience other quality problems.</w:t>
      </w:r>
      <w:r>
        <w:rPr>
          <w:rFonts w:ascii="Times New Roman" w:hAnsi="Times New Roman"/>
          <w:color w:val="000000"/>
          <w:sz w:val="20"/>
        </w:rPr>
        <w:t xml:space="preserve"> </w:t>
      </w:r>
      <w:r>
        <w:rPr>
          <w:rFonts w:ascii="Arial" w:hAnsi="Arial"/>
          <w:color w:val="000000"/>
          <w:sz w:val="20"/>
        </w:rPr>
        <w:t>Our AI and other software products and services also have and may in the future experience quality or reliability problems. The processes we use to develop our software are imperfect. Like all software, our software contains bugs and other defects that interfere with their intended operation. Our customers rely on us for critical business functions and multiple workloads. Many of our products and services are interdependent on one another. Our products and services may be impacted by interaction with third-party products and services. Our customers may also utilize their own or third-party products and services whose reliability is dependent on interaction with our products and services. Each of these circumstances potentially magnifies the impact of quality or reliability issues. Weaknesses in our processes could result in defects we do not detect and fix in pre-release testing, which could cause reduced sales, damage to our reputation, repair or remediation costs, delays in the release of new products or versions, or legal liability, any of which could adversely affect our business, financial condition, and results of operations. Although our license agreements typically contain provisions that eliminate or limit our exposure to liability, these provisions may not withstand legal challenge.</w:t>
      </w:r>
    </w:p>
    <w:p>
      <w:pPr>
        <w:pStyle w:val="TextBody"/>
        <w:bidi w:val="0"/>
        <w:spacing w:before="180" w:after="283"/>
        <w:jc w:val="both"/>
        <w:rPr>
          <w:rFonts w:ascii="Times New Roman" w:hAnsi="Times New Roman"/>
          <w:sz w:val="20"/>
        </w:rPr>
      </w:pPr>
      <w:r>
        <w:rPr>
          <w:rFonts w:ascii="Arial" w:hAnsi="Arial"/>
          <w:color w:val="000000"/>
          <w:sz w:val="20"/>
        </w:rPr>
        <w:t>Our datacenters and our hardware products such as XBOX consoles, Surface devices, and other devices we design and market are highly complex. Failure to prevent, detect, or address defects in design, manufacture, or associated software could adversely affect our business and results of operations.</w:t>
      </w:r>
      <w:r>
        <w:rPr>
          <w:rFonts w:ascii="Times New Roman" w:hAnsi="Times New Roman"/>
          <w:color w:val="000000"/>
          <w:sz w:val="20"/>
        </w:rPr>
        <w:t xml:space="preserve"> </w:t>
      </w:r>
    </w:p>
    <w:p>
      <w:pPr>
        <w:pStyle w:val="TextBody"/>
        <w:bidi w:val="0"/>
        <w:spacing w:before="270" w:after="283"/>
        <w:jc w:val="center"/>
        <w:rPr>
          <w:rFonts w:ascii="Arial" w:hAnsi="Arial"/>
          <w:color w:val="000000"/>
          <w:sz w:val="20"/>
          <w:u w:val="single"/>
        </w:rPr>
      </w:pPr>
      <w:r>
        <w:rPr>
          <w:rFonts w:ascii="Arial" w:hAnsi="Arial"/>
          <w:color w:val="000000"/>
          <w:sz w:val="20"/>
          <w:u w:val="single"/>
        </w:rPr>
        <w:t>LEGAL, REGULATORY, AND LITIGATION RISKS</w:t>
      </w:r>
    </w:p>
    <w:p>
      <w:pPr>
        <w:pStyle w:val="TextBody"/>
        <w:bidi w:val="0"/>
        <w:spacing w:before="180" w:after="283"/>
        <w:jc w:val="both"/>
        <w:rPr>
          <w:rFonts w:ascii="Times New Roman" w:hAnsi="Times New Roman"/>
          <w:sz w:val="20"/>
        </w:rPr>
      </w:pPr>
      <w:r>
        <w:rPr>
          <w:rFonts w:ascii="Arial" w:hAnsi="Arial"/>
          <w:b/>
          <w:color w:val="000000"/>
          <w:sz w:val="20"/>
        </w:rPr>
        <w:t>We are subject to a variety of new, existing, and evolving legal and regulatory requirements that could adversely affect our results of operations.</w:t>
      </w:r>
      <w:r>
        <w:rPr>
          <w:rFonts w:ascii="Times New Roman" w:hAnsi="Times New Roman"/>
          <w:color w:val="000000"/>
          <w:sz w:val="20"/>
        </w:rPr>
        <w:t xml:space="preserve"> </w:t>
      </w:r>
      <w:r>
        <w:rPr>
          <w:rFonts w:ascii="Arial" w:hAnsi="Arial"/>
          <w:color w:val="000000"/>
          <w:sz w:val="20"/>
        </w:rPr>
        <w:t>We are subject to a wide range of laws, regulations, and legal requirements in the U.S. and globally, including those that may apply to our products and online services offerings, and those that impose requirements related to user privacy, cybersecurity, telecommunications, data storage and protection, digital accessibility, advertising, and online safety. Laws in several jurisdictions, including EU Member State laws under the European Electronic Communications Code, increasingly define certain of our services as regulated services. This trend may continue with our offerings becoming subject to additional data protection, security, digital safety, law enforcement surveillance, and other obligations. Regulators and private litigants may assert that our collection, use, and management of customer data and other information is inconsistent with their laws and regulations, including laws that apply to the tracking of users via technology such as cookies. In addition, laws requiring us 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23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center"/>
        <w:rPr/>
      </w:pPr>
      <w:r>
        <w:rPr/>
        <w:t> </w:t>
      </w:r>
    </w:p>
    <w:p>
      <w:pPr>
        <w:pStyle w:val="TextBody"/>
        <w:bidi w:val="0"/>
        <w:spacing w:before="180" w:after="283"/>
        <w:jc w:val="both"/>
        <w:rPr>
          <w:rFonts w:ascii="Times New Roman" w:hAnsi="Times New Roman"/>
          <w:sz w:val="20"/>
        </w:rPr>
      </w:pPr>
      <w:r>
        <w:rPr>
          <w:rFonts w:ascii="Arial" w:hAnsi="Arial"/>
          <w:color w:val="000000"/>
          <w:sz w:val="20"/>
        </w:rPr>
        <w:t>retrieve and produce customer data in response to compulsory legal demands from law enforcement and governmental authorities are evolving and the requests we are experiencing are increasing in volume and complexity.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New, existing, and evolving laws and regulations, or interpretations or applications of existing laws and regulations in a manner inconsistent with our interpretations of such laws and regulations or our practices, may result in modification of our products and services, altered business models and operations, increased costs, reputational damage, and civil or criminal liability. Examples include laws and regulations regarding:</w:t>
      </w:r>
      <w:r>
        <w:rPr>
          <w:rFonts w:ascii="Times New Roman" w:hAnsi="Times New Roman"/>
          <w:color w:val="000000"/>
          <w:sz w:val="20"/>
        </w:rPr>
        <w:t xml:space="preserve"> </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 xml:space="preserve">Competition laws and new market regulation: </w:t>
      </w:r>
      <w:r>
        <w:rPr>
          <w:rFonts w:ascii="Arial" w:hAnsi="Arial"/>
          <w:color w:val="000000"/>
          <w:sz w:val="20"/>
        </w:rPr>
        <w:t xml:space="preserve">Government agencies closely scrutinize us under U.S. and foreign competition laws. Governments are actively enforcing competition laws and regulations and enacting new regulations to intervene in digital markets, and this includes markets such as the EU, the United Kingdom, the U.S., and China. Some jurisdictions also allow competitors or consumers to assert claims of anti-competitive conduct. U.S. and foreign antitrust authorities have previously brought enforcement actions and continue to scrutinize our business. Competition law enforcement actions and court decisions along with new market regulations may result in fines or hinder our ability to provide the benefits of our software to consumers and businesses, reducing the attractiveness of our products and the revenue that comes from them. New competition law actions or obligations under market regulation schemes could be initiated, potentially using previous actions as precedent. </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 xml:space="preserve">AI: </w:t>
      </w:r>
      <w:r>
        <w:rPr>
          <w:rFonts w:ascii="Arial" w:hAnsi="Arial"/>
          <w:color w:val="000000"/>
          <w:sz w:val="20"/>
        </w:rPr>
        <w:t xml:space="preserve">Legislative and regulatory action is evolving with respect to AI, which could increase costs or restrict opportunity. For example, the EU’s AI Act may increase costs or impact the provision or operation of our AI models and services in the European market. In addition, governments may impose restrictions on the development, deployment, availability, or cross-border access to advanced AI models based on safety, cybersecurity, or national security or may apply laws to AI models in ways we cannot anticipate. AI regulatory areas include model and system development and deployment, frontier model safety, transparency, content provenance, digital replicas, and AI companions. </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Anti-corruption:</w:t>
      </w:r>
      <w:r>
        <w:rPr>
          <w:color w:val="000000"/>
        </w:rPr>
        <w:t xml:space="preserve"> </w:t>
      </w:r>
      <w:r>
        <w:rPr>
          <w:rFonts w:ascii="Arial" w:hAnsi="Arial"/>
          <w:color w:val="000000"/>
          <w:sz w:val="20"/>
        </w:rPr>
        <w:t>The 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and our compliance with Anti-Corruption Laws. Periodically, we receive such reports directly and investigate them and also cooperate with investigations by U.S. and foreign law enforcement authorities.</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 xml:space="preserve">Trade: </w:t>
      </w:r>
      <w:r>
        <w:rPr>
          <w:rFonts w:ascii="Arial" w:hAnsi="Arial"/>
          <w:color w:val="000000"/>
          <w:sz w:val="20"/>
        </w:rPr>
        <w:t>Increasing trade laws, policies, sanctions, and other regulatory requirements also affect our operations in and outside the U.S. relating to trade and investment. Economic sanctions in the U.S., the EU, and other countries could prohibit business with restricted entities or countries.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Supply chain regulations may impact the availability of goods or result in additional regulatory scrutiny. Restrictions on data flows and outbound investment and customer sensitivities may limit our ability to leverage parts of our global engineering footprint to provide services in certain jurisdictions. Increased geopolitical instabilities and changing U.S. Administration priorities create an unpredictable trade landscape. U.S. tariffs, shifting AI export controls policies, and disagreements among governments on sanctions policies toward third countries, has and may continue to increase operational costs, create uncertainty in the continuity of our products, and accelerate sovereignty initiatives among international partners and customers. The volatility of U.S. tariffs has triggered economic uncertainty and could impact cloud and devices supply chain cost competitiveness. The potential replacement of the rescinded AI Diffusion Rule, expanded export license conditions, and other potential AI-related rulemakings could adversely affect Microsoft’s business, strategy, and operations. Periods of intense diplomatic or armed conflict, such as the conflicts in Ukraine and the Middle East could continue to result in (1) new and rapidly evolving sanctions and trade restrictions, which may impair trade with sanctioned individuals and countries, and (2) negative impacts to regional trade ecosystems among our customers, partners, and us.</w:t>
      </w:r>
    </w:p>
    <w:p>
      <w:pPr>
        <w:pStyle w:val="TextBody"/>
        <w:bidi w:val="0"/>
        <w:spacing w:before="240" w:after="283"/>
        <w:jc w:val="center"/>
        <w:rPr>
          <w:rFonts w:ascii="Arial" w:hAnsi="Arial"/>
          <w:color w:val="000000"/>
          <w:sz w:val="16"/>
        </w:rPr>
      </w:pPr>
      <w:r>
        <w:rPr>
          <w:rFonts w:ascii="Arial" w:hAnsi="Arial"/>
          <w:color w:val="000000"/>
          <w:sz w:val="16"/>
        </w:rPr>
        <w:t>24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center"/>
        <w:rPr/>
      </w:pPr>
      <w:r>
        <w:rPr/>
        <w:t> </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Cybersecurity:</w:t>
      </w:r>
      <w:r>
        <w:rPr>
          <w:color w:val="000000"/>
        </w:rPr>
        <w:t xml:space="preserve"> </w:t>
      </w:r>
      <w:r>
        <w:rPr>
          <w:rFonts w:ascii="Arial" w:hAnsi="Arial"/>
          <w:color w:val="000000"/>
          <w:sz w:val="20"/>
        </w:rPr>
        <w:t>Legislative and regulatory actions related to cybersecurity may increase the costs associated with developing, implementing, or securing our products and services. The legal and regulatory environment in this area is complex and continues to evolve across multiple jurisdictions. As a result, there is considerable uncertainty regarding both current and future compliance obligations. This uncertainty increases the risk that we may incur additional operational costs, face regulatory enforcement actions, or encounter challenges in the development and deployment of our products.</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Handling of personal data:</w:t>
      </w:r>
      <w:r>
        <w:rPr>
          <w:color w:val="000000"/>
        </w:rPr>
        <w:t xml:space="preserve"> </w:t>
      </w:r>
      <w:r>
        <w:rPr>
          <w:rFonts w:ascii="Arial" w:hAnsi="Arial"/>
          <w:color w:val="000000"/>
          <w:sz w:val="20"/>
        </w:rPr>
        <w:t>Legal requirements relating to the collection, storage, handling, and transfer of personal data globally continue to evolve. The growth of our Internet- and cloud-based services internationally relies on the movement of data across national boundaries. Data protection authorities and governments in the EU and other markets have and may again restrict and/or block the use of services that involve the transfer of data across borders. New and evolving rules and restrictions on the flow of data across borders could increase the cost and complexity of delivering our products and services. In addition, the EU General Data Protection Regulation and other similar regulations impose a range of compliance obligations regarding the handling of personal data. New requirements related to the use of data, including the Data Act, add additional rules and restrictions on the use of data in our products and services.</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b/>
          <w:color w:val="000000"/>
          <w:sz w:val="20"/>
        </w:rPr>
        <w:t>Environmental, Social, and Governance:</w:t>
      </w:r>
      <w:r>
        <w:rPr>
          <w:color w:val="000000"/>
        </w:rPr>
        <w:t xml:space="preserve"> </w:t>
      </w:r>
      <w:r>
        <w:rPr>
          <w:rFonts w:ascii="Arial" w:hAnsi="Arial"/>
          <w:color w:val="000000"/>
          <w:sz w:val="20"/>
        </w:rPr>
        <w:t>Laws, regulations, and policies relating to environmental, social, and governance matters are being developed and formalized in Europe, the U.S., and elsewhere, which may include greenhouse gas emissions and energy usage caps, permitting, reporting, procurement, operational, and infrastructure-siting requirements as well as specific, target-driven environmental, social, and governance frameworks and disclosure requirements. These laws, regulations, and policies may require significant investments or operational changes and may result in new or unexpected costs. In addition, in 2020 we announced goals to become carbon negative, water positive, and zero waste by 2030. AI development and deployment has and will likely continue to raise energy use and emissions, making it harder to meet these goals. Any failure or perceived failure to meet our sustainability goals, or to meet various sustainability regulatory requirements, could result in claims and lawsuits, regulatory actions, penalties, or damage to our reputation, each of which could adversely affect our business, operations, financial condition, and results of operations.</w:t>
      </w:r>
    </w:p>
    <w:p>
      <w:pPr>
        <w:pStyle w:val="TextBody"/>
        <w:bidi w:val="0"/>
        <w:spacing w:before="180" w:after="283"/>
        <w:jc w:val="both"/>
        <w:rPr>
          <w:rFonts w:ascii="Arial" w:hAnsi="Arial"/>
          <w:color w:val="000000"/>
          <w:sz w:val="20"/>
        </w:rPr>
      </w:pPr>
      <w:r>
        <w:rPr>
          <w:rFonts w:ascii="Arial" w:hAnsi="Arial"/>
          <w:color w:val="000000"/>
          <w:sz w:val="20"/>
        </w:rPr>
        <w:t>How these laws and regulations apply to our business is often unclear, subject to change, and sometimes may conflict or be inconsistent from jurisdiction to jurisdiction. In addition, governments’ approach to enforcement, and our products and services, are continuing to evolve. Compliance with existing, expanding, or new laws and regulations may involve significant costs and operational efforts, or require changes in products or business practices that could adversely affect our results of operations. Noncompliance could result in the imposition of penalties, criminal sanctions, or orders to cease the alleged noncompliant activity. If our products do not meet customer expectations or legal requirements, we could face regulatory or legal actions, and our business, operations, financial condition, and results of operations could be adversely affected.</w:t>
      </w:r>
    </w:p>
    <w:p>
      <w:pPr>
        <w:pStyle w:val="TextBody"/>
        <w:bidi w:val="0"/>
        <w:spacing w:before="180" w:after="283"/>
        <w:jc w:val="both"/>
        <w:rPr>
          <w:rFonts w:ascii="Times New Roman" w:hAnsi="Times New Roman"/>
          <w:sz w:val="20"/>
        </w:rPr>
      </w:pPr>
      <w:r>
        <w:rPr>
          <w:rFonts w:ascii="Arial" w:hAnsi="Arial"/>
          <w:b/>
          <w:color w:val="000000"/>
          <w:sz w:val="20"/>
        </w:rPr>
        <w:t>We have claims and lawsuits against us that may result in adverse outcomes.</w:t>
      </w:r>
      <w:r>
        <w:rPr>
          <w:rFonts w:ascii="Times New Roman" w:hAnsi="Times New Roman"/>
          <w:color w:val="000000"/>
          <w:sz w:val="20"/>
        </w:rPr>
        <w:t xml:space="preserve"> </w:t>
      </w:r>
      <w:r>
        <w:rPr>
          <w:rFonts w:ascii="Arial" w:hAnsi="Arial"/>
          <w:color w:val="000000"/>
          <w:sz w:val="20"/>
        </w:rPr>
        <w:t>We are subject to a variety of claims and lawsuits. These claims may arise from a wide variety of business practices and initiatives, including major new product releases, AI products and services, significant business transactions, warranty or product claims, employment practices, and regulation. As we continue to expand our business and offerings, we may experience new and novel legal claims. Adverse outcomes in some or all of these claims may result in significant monetary damages or injunctive relief that could adversely affect our ability to conduct our business. Litigation and other claims are subject to inherent uncertainties and management’s view of these matters may change in the future. An adverse impact to our financial condition and results of operations could occur for the period in which the effect of an unfavorable outcome becomes probable and reasonably estimable.</w:t>
      </w:r>
    </w:p>
    <w:p>
      <w:pPr>
        <w:pStyle w:val="TextBody"/>
        <w:bidi w:val="0"/>
        <w:spacing w:before="180" w:after="283"/>
        <w:jc w:val="both"/>
        <w:rPr>
          <w:rFonts w:ascii="Times New Roman" w:hAnsi="Times New Roman"/>
          <w:sz w:val="20"/>
        </w:rPr>
      </w:pPr>
      <w:r>
        <w:rPr>
          <w:rFonts w:ascii="Arial" w:hAnsi="Arial"/>
          <w:b/>
          <w:color w:val="000000"/>
          <w:sz w:val="20"/>
        </w:rPr>
        <w:t xml:space="preserve">Our business with government customers may present additional uncertainties. </w:t>
      </w:r>
      <w:r>
        <w:rPr>
          <w:rFonts w:ascii="Arial" w:hAnsi="Arial"/>
          <w:color w:val="000000"/>
          <w:sz w:val="20"/>
        </w:rPr>
        <w:t>We derive substantial revenue from government contracts. Government contracts and regulatory requirements can present risks and challenges not present in private commercial agreements. For instance, we are subject to government audits and investigations relating to these contracts, and we are required to provide assurance and attestations about our products and processes. If we do not satisfy contractual or regulatory requirements,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or delays which could adversely impact public-sector demand for our products and services. These events could negatively impact our financial condition, results of operations, and reputation.</w:t>
      </w:r>
    </w:p>
    <w:p>
      <w:pPr>
        <w:pStyle w:val="TextBody"/>
        <w:bidi w:val="0"/>
        <w:spacing w:before="240" w:after="283"/>
        <w:jc w:val="center"/>
        <w:rPr>
          <w:rFonts w:ascii="Arial" w:hAnsi="Arial"/>
          <w:color w:val="000000"/>
          <w:sz w:val="16"/>
        </w:rPr>
      </w:pPr>
      <w:r>
        <w:rPr>
          <w:rFonts w:ascii="Arial" w:hAnsi="Arial"/>
          <w:color w:val="000000"/>
          <w:sz w:val="16"/>
        </w:rPr>
        <w:t>25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center"/>
        <w:rPr/>
      </w:pPr>
      <w:r>
        <w:rPr/>
        <w:t> </w:t>
      </w:r>
    </w:p>
    <w:p>
      <w:pPr>
        <w:pStyle w:val="TextBody"/>
        <w:bidi w:val="0"/>
        <w:spacing w:before="180" w:after="283"/>
        <w:jc w:val="both"/>
        <w:rPr>
          <w:rFonts w:ascii="Times New Roman" w:hAnsi="Times New Roman"/>
          <w:sz w:val="20"/>
        </w:rPr>
      </w:pPr>
      <w:r>
        <w:rPr>
          <w:rFonts w:ascii="Arial" w:hAnsi="Arial"/>
          <w:b/>
          <w:color w:val="000000"/>
          <w:sz w:val="20"/>
        </w:rPr>
        <w:t>We may have additional tax liabilities.</w:t>
      </w:r>
      <w:r>
        <w:rPr>
          <w:rFonts w:ascii="Times New Roman" w:hAnsi="Times New Roman"/>
          <w:color w:val="000000"/>
          <w:sz w:val="20"/>
        </w:rPr>
        <w:t xml:space="preserve"> </w:t>
      </w:r>
      <w:r>
        <w:rPr>
          <w:rFonts w:ascii="Arial" w:hAnsi="Arial"/>
          <w:color w:val="000000"/>
          <w:sz w:val="20"/>
        </w:rPr>
        <w:t>We are subject to income taxes in the U.S. and many foreign jurisdictions. Significant judgment is required in determining our worldwide provision for income taxes. In the course of our business, there are many transactions and calculations where the ultimate tax determination is uncertain. We may recognize additional tax expense and be subject to additional tax liabilities due to changes in tax laws, regulations, and administrative practices and principles, including changes to the global tax framework, in various jurisdictions. In recent years, multiple domestic and international tax proposals were proposed to impose greater tax burdens on large multinational enterprises. The Organisation for Economic Co-operation and Development continues to advance proposals or guidance in international taxation, including global minimum tax.</w:t>
      </w:r>
    </w:p>
    <w:p>
      <w:pPr>
        <w:pStyle w:val="TextBody"/>
        <w:bidi w:val="0"/>
        <w:spacing w:before="180" w:after="283"/>
        <w:jc w:val="both"/>
        <w:rPr>
          <w:rFonts w:ascii="Arial" w:hAnsi="Arial"/>
          <w:color w:val="000000"/>
          <w:sz w:val="20"/>
        </w:rPr>
      </w:pPr>
      <w:r>
        <w:rPr>
          <w:rFonts w:ascii="Arial" w:hAnsi="Arial"/>
          <w:color w:val="000000"/>
          <w:sz w:val="20"/>
        </w:rPr>
        <w:t>We are regularly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IRS audit for prior tax years and have received Notices of Proposed Adjustment (“NOPAs”) from the IRS for the tax years 2004 to 2013. The primary issues in the NOPAs relate to intercompany transfer pricing. In the NOPAs, the IRS is seeking an additional tax payment of $28.9 billion plus penalties and interest. The final resolution of the proposed adjustments, and other audits or litigation, may differ from the amounts recorded in our consolidated financial statements and adversely affect our results of operations in the period or periods in which that determination is made.</w:t>
      </w:r>
    </w:p>
    <w:p>
      <w:pPr>
        <w:pStyle w:val="TextBody"/>
        <w:bidi w:val="0"/>
        <w:spacing w:before="180" w:after="283"/>
        <w:jc w:val="both"/>
        <w:rPr>
          <w:rFonts w:ascii="Arial" w:hAnsi="Arial"/>
          <w:color w:val="000000"/>
          <w:sz w:val="20"/>
        </w:rPr>
      </w:pPr>
      <w:r>
        <w:rPr>
          <w:rFonts w:ascii="Arial" w:hAnsi="Arial"/>
          <w:color w:val="000000"/>
          <w:sz w:val="20"/>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global fundamental law changes currently being considered by many countries, including in the U.S., and changes in taxing jurisdictions’ administrative interpretations, decisions, policies, and positions could adversely affect our financial condition and results of operations.</w:t>
      </w:r>
    </w:p>
    <w:p>
      <w:pPr>
        <w:pStyle w:val="TextBody"/>
        <w:bidi w:val="0"/>
        <w:spacing w:before="270" w:after="283"/>
        <w:jc w:val="center"/>
        <w:rPr>
          <w:rFonts w:ascii="Arial" w:hAnsi="Arial"/>
          <w:color w:val="000000"/>
          <w:sz w:val="20"/>
          <w:u w:val="single"/>
        </w:rPr>
      </w:pPr>
      <w:r>
        <w:rPr>
          <w:rFonts w:ascii="Arial" w:hAnsi="Arial"/>
          <w:color w:val="000000"/>
          <w:sz w:val="20"/>
          <w:u w:val="single"/>
        </w:rPr>
        <w:t>INTELLECTUAL PROPERTY RISKS</w:t>
      </w:r>
    </w:p>
    <w:p>
      <w:pPr>
        <w:pStyle w:val="TextBody"/>
        <w:bidi w:val="0"/>
        <w:spacing w:before="180" w:after="283"/>
        <w:jc w:val="both"/>
        <w:rPr>
          <w:rFonts w:ascii="Times New Roman" w:hAnsi="Times New Roman"/>
          <w:sz w:val="20"/>
        </w:rPr>
      </w:pPr>
      <w:r>
        <w:rPr>
          <w:rFonts w:ascii="Arial" w:hAnsi="Arial"/>
          <w:b/>
          <w:color w:val="000000"/>
          <w:sz w:val="20"/>
        </w:rPr>
        <w:t xml:space="preserve">We face risks related to the protection and utilization of our intellectual property that may result in our business and operating results being harmed. </w:t>
      </w:r>
      <w:r>
        <w:rPr>
          <w:rFonts w:ascii="Arial" w:hAnsi="Arial"/>
          <w:color w:val="000000"/>
          <w:sz w:val="20"/>
        </w:rPr>
        <w:t>Protecting our intellectual property rights and combating unlicensed copying and use of our software, source code, trade secrets, and other intellectual property on a global basis is difficult. Similarly, the absence of harmonized patent laws makes it more difficult to ensure consistent respect for patent rights.</w:t>
      </w:r>
    </w:p>
    <w:p>
      <w:pPr>
        <w:pStyle w:val="TextBody"/>
        <w:bidi w:val="0"/>
        <w:spacing w:before="180" w:after="283"/>
        <w:jc w:val="both"/>
        <w:rPr>
          <w:rFonts w:ascii="Arial" w:hAnsi="Arial"/>
          <w:color w:val="000000"/>
          <w:sz w:val="20"/>
        </w:rPr>
      </w:pPr>
      <w:r>
        <w:rPr>
          <w:rFonts w:ascii="Arial" w:hAnsi="Arial"/>
          <w:color w:val="000000"/>
          <w:sz w:val="20"/>
        </w:rPr>
        <w:t>Source code, the detailed program commands for our software programs, is critical to our business. Unauthorized access to or disclosure of source code or other intellectual property may negatively impact future trade secret protection for that intellectual property. It may then become easier for third parties to compete with our products by copying functionality, which could adversely affect our results of operations. Unauthorized access to or disclosure of source code or other intellectual property also increases the security risks described elsewhere in these risk factors.</w:t>
      </w:r>
    </w:p>
    <w:p>
      <w:pPr>
        <w:pStyle w:val="TextBody"/>
        <w:bidi w:val="0"/>
        <w:spacing w:before="180" w:after="283"/>
        <w:jc w:val="both"/>
        <w:rPr>
          <w:rFonts w:ascii="Times New Roman" w:hAnsi="Times New Roman"/>
          <w:sz w:val="20"/>
        </w:rPr>
      </w:pPr>
      <w:r>
        <w:rPr>
          <w:rFonts w:ascii="Arial" w:hAnsi="Arial"/>
          <w:b/>
          <w:color w:val="000000"/>
          <w:sz w:val="20"/>
        </w:rPr>
        <w:t>Third parties may claim that we infringe their intellectual property.</w:t>
      </w:r>
      <w:r>
        <w:rPr>
          <w:rFonts w:ascii="Times New Roman" w:hAnsi="Times New Roman"/>
          <w:color w:val="000000"/>
          <w:sz w:val="20"/>
        </w:rPr>
        <w:t xml:space="preserve"> </w:t>
      </w:r>
      <w:r>
        <w:rPr>
          <w:rFonts w:ascii="Arial" w:hAnsi="Arial"/>
          <w:color w:val="000000"/>
          <w:sz w:val="20"/>
        </w:rPr>
        <w:t>From time to time, others claim we infringe their intellectual property rights, including current copyright infringement and other claims arising from AI training, inference, and output. To resolve these claims, we may enter into royalty-bearing data access or licensing agreements on terms that are less favorable than currently available, stop selling or redesign affected products or services, or pay damages to satisfy indemnification commitments with our customers. Adverse outcomes could also include monetary damages or injunctive relief that may limit or prevent importing, marketing, and selling our products or services that have infringing technologies. We have paid significant amounts to settle claims related to the use of technology and intellectual property rights and to procure intellectual property rights as part of our strategy to manage this risk, and may continue to do so, which could adversely affect our results of operations.</w:t>
      </w:r>
    </w:p>
    <w:p>
      <w:pPr>
        <w:pStyle w:val="TextBody"/>
        <w:bidi w:val="0"/>
        <w:spacing w:before="270" w:after="283"/>
        <w:jc w:val="center"/>
        <w:rPr>
          <w:rFonts w:ascii="Arial" w:hAnsi="Arial"/>
          <w:color w:val="000000"/>
          <w:sz w:val="20"/>
          <w:u w:val="single"/>
        </w:rPr>
      </w:pPr>
      <w:r>
        <w:rPr>
          <w:rFonts w:ascii="Arial" w:hAnsi="Arial"/>
          <w:color w:val="000000"/>
          <w:sz w:val="20"/>
          <w:u w:val="single"/>
        </w:rPr>
        <w:t>GENERAL RISKS</w:t>
      </w:r>
    </w:p>
    <w:p>
      <w:pPr>
        <w:pStyle w:val="TextBody"/>
        <w:bidi w:val="0"/>
        <w:spacing w:before="180" w:after="283"/>
        <w:jc w:val="both"/>
        <w:rPr>
          <w:rFonts w:ascii="Times New Roman" w:hAnsi="Times New Roman"/>
          <w:sz w:val="20"/>
        </w:rPr>
      </w:pPr>
      <w:r>
        <w:rPr>
          <w:rFonts w:ascii="Arial" w:hAnsi="Arial"/>
          <w:b/>
          <w:color w:val="000000"/>
          <w:sz w:val="20"/>
        </w:rPr>
        <w:t>If our reputation or our brands are damaged, our business and results of operations may be harmed</w:t>
      </w:r>
      <w:r>
        <w:rPr>
          <w:rFonts w:ascii="Arial" w:hAnsi="Arial"/>
          <w:color w:val="000000"/>
          <w:sz w:val="20"/>
        </w:rPr>
        <w:t>. Our reputation and brands are globally recognized and are important to our business. Our reputation and brands affect our ability to attract and retain consumer, business, and public-sector customers. There are numerous ways our reputation or brands could be damaged. These include product safety, quality, or accessibility issues, our environmental impact and sustainability, supply chain practices, or human rights record. We may experience backlash from customers, government entities, advocacy groups, employees, and other stakeholders that disagree with our product offering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26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center"/>
        <w:rPr/>
      </w:pPr>
      <w:r>
        <w:rPr/>
        <w:t> </w:t>
      </w:r>
    </w:p>
    <w:p>
      <w:pPr>
        <w:pStyle w:val="TextBody"/>
        <w:bidi w:val="0"/>
        <w:spacing w:before="180" w:after="283"/>
        <w:jc w:val="both"/>
        <w:rPr>
          <w:rFonts w:ascii="Times New Roman" w:hAnsi="Times New Roman"/>
          <w:sz w:val="20"/>
        </w:rPr>
      </w:pPr>
      <w:r>
        <w:rPr>
          <w:rFonts w:ascii="Arial" w:hAnsi="Arial"/>
          <w:color w:val="000000"/>
          <w:sz w:val="20"/>
        </w:rPr>
        <w:t>decisions, public policy positions, or corporate philanthropic initiatives. Damage to our reputation or our brands may occur from, among other things:</w:t>
      </w:r>
      <w:r>
        <w:rPr>
          <w:rFonts w:ascii="Times New Roman" w:hAnsi="Times New Roman"/>
          <w:color w:val="000000"/>
          <w:sz w:val="20"/>
        </w:rPr>
        <w:t xml:space="preserve">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The introduction of new features, products, services, or terms of service that customers, users, or partners do not like.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Public scrutiny of our decisions regarding user privacy, data practices, content, or development and deployment of AI.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Data security breaches, cybersecurity incidents, responsible AI failures, compliance failures, or actions of partners or individual employees. </w:t>
      </w:r>
    </w:p>
    <w:p>
      <w:pPr>
        <w:pStyle w:val="TextBody"/>
        <w:bidi w:val="0"/>
        <w:spacing w:before="180" w:after="283"/>
        <w:jc w:val="both"/>
        <w:rPr>
          <w:rFonts w:ascii="Arial" w:hAnsi="Arial"/>
          <w:color w:val="000000"/>
          <w:sz w:val="20"/>
        </w:rPr>
      </w:pPr>
      <w:r>
        <w:rPr>
          <w:rFonts w:ascii="Arial" w:hAnsi="Arial"/>
          <w:color w:val="000000"/>
          <w:sz w:val="20"/>
        </w:rPr>
        <w:t>Social media may increase the likelihood, speed, and magnitude of negative brand events. If our brands or reputation are damaged, it could adversely affect our business, results of operations, or ability to attract the most highly qualified employees.</w:t>
      </w:r>
    </w:p>
    <w:p>
      <w:pPr>
        <w:pStyle w:val="TextBody"/>
        <w:bidi w:val="0"/>
        <w:spacing w:before="180" w:after="283"/>
        <w:jc w:val="both"/>
        <w:rPr>
          <w:rFonts w:ascii="Times New Roman" w:hAnsi="Times New Roman"/>
          <w:sz w:val="20"/>
        </w:rPr>
      </w:pPr>
      <w:r>
        <w:rPr>
          <w:rFonts w:ascii="Arial" w:hAnsi="Arial"/>
          <w:b/>
          <w:color w:val="000000"/>
          <w:sz w:val="20"/>
        </w:rPr>
        <w:t>Adverse economic or market conditions could harm our business.</w:t>
      </w:r>
      <w:r>
        <w:rPr>
          <w:rFonts w:ascii="Times New Roman" w:hAnsi="Times New Roman"/>
          <w:color w:val="000000"/>
          <w:sz w:val="20"/>
        </w:rPr>
        <w:t xml:space="preserve"> </w:t>
      </w:r>
      <w:r>
        <w:rPr>
          <w:rFonts w:ascii="Arial" w:hAnsi="Arial"/>
          <w:color w:val="000000"/>
          <w:sz w:val="20"/>
        </w:rPr>
        <w:t>Worsening economic conditions, including inflation, recession, pandemic, or other changes in economic conditions, periods of economic uncertainty, evolution of customer demand, technology investment cycles, interest rates, foreign exchange rates, or the timing and mix of customer spending, may cause lower or delayed IT spending and adversely affect our results of operations. If demand for computing power, PCs, servers, and other computing devices declines, or consumer or business spending for those products declines, our results of operations could be adversely affected.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Challenging economic conditions also may impair the ability of our customers to pay for products and services they have purchased. As a result, allowances for doubtful accounts and write-offs of accounts receivable may increase.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consists of U.S. government securities. If global financial markets decline for long periods, or if there is a downgrade of the U.S. government credit rating due to an actual or threatened default on government debt, our investment portfolio could be adversely affected and we could determine that more of our investments have experienced a decline in fair value, requiring impairment charges that could adversely affect our financial condition and results of operations.</w:t>
      </w:r>
    </w:p>
    <w:p>
      <w:pPr>
        <w:pStyle w:val="TextBody"/>
        <w:bidi w:val="0"/>
        <w:spacing w:before="180" w:after="283"/>
        <w:jc w:val="both"/>
        <w:rPr>
          <w:rFonts w:ascii="Times New Roman" w:hAnsi="Times New Roman"/>
          <w:sz w:val="20"/>
        </w:rPr>
      </w:pPr>
      <w:r>
        <w:rPr>
          <w:rFonts w:ascii="Arial" w:hAnsi="Arial"/>
          <w:b/>
          <w:color w:val="000000"/>
          <w:sz w:val="20"/>
        </w:rPr>
        <w:t>Catastrophic events or geopolitical conditions could disrupt our business.</w:t>
      </w:r>
      <w:r>
        <w:rPr>
          <w:rFonts w:ascii="Times New Roman" w:hAnsi="Times New Roman"/>
          <w:color w:val="000000"/>
          <w:sz w:val="20"/>
        </w:rPr>
        <w:t xml:space="preserve"> </w:t>
      </w:r>
      <w:r>
        <w:rPr>
          <w:rFonts w:ascii="Arial" w:hAnsi="Arial"/>
          <w:color w:val="000000"/>
          <w:sz w:val="20"/>
        </w:rPr>
        <w:t>A disruption or failure of our systems, operations, or supply chain because of a major earthquake, weather event, cyberattack, terrorist attack, pandemic, or other catastrophic event could cause delays in completing sales, providing services, or performing other critical functions. As an example,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systems, or the infrastructure or systems they rely on, such as power grids, could harm our ability to conduct normal business operations or adversely affect our results of operations. Providing our customers with more services and solutions in the cloud puts a premium on the resilience of our systems and strength of our business continuity management plans and magnifies the potential negative consequences of prolonged service outages.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Abrupt political change, terrorist activity, and armed conflict, such as the conflicts in Ukraine and the Middle East, pose economic and other risks, which may negatively impact our ability to sell to and collect from customers, increase our operating costs, or otherwise disrupt our operations in markets both directly and indirectly impacted by such events. These conditions also may add uncertainty to the timing and budget for technology investment decisions by our customers and may cause supply chain disruptions.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could adversely affect our results of operations. Changes in geopolitical conditions also increase the security risks described elsewhere in these risk factors.</w:t>
      </w:r>
    </w:p>
    <w:p>
      <w:pPr>
        <w:pStyle w:val="TextBody"/>
        <w:bidi w:val="0"/>
        <w:spacing w:before="240" w:after="283"/>
        <w:jc w:val="center"/>
        <w:rPr>
          <w:rFonts w:ascii="Arial" w:hAnsi="Arial"/>
          <w:color w:val="000000"/>
          <w:sz w:val="16"/>
        </w:rPr>
      </w:pPr>
      <w:r>
        <w:rPr>
          <w:rFonts w:ascii="Arial" w:hAnsi="Arial"/>
          <w:color w:val="000000"/>
          <w:sz w:val="16"/>
        </w:rPr>
        <w:t>27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center"/>
        <w:rPr/>
      </w:pPr>
      <w:r>
        <w:rPr/>
        <w:t> </w:t>
      </w:r>
    </w:p>
    <w:p>
      <w:pPr>
        <w:pStyle w:val="TextBody"/>
        <w:bidi w:val="0"/>
        <w:spacing w:before="180" w:after="283"/>
        <w:jc w:val="both"/>
        <w:rPr>
          <w:rFonts w:ascii="Arial" w:hAnsi="Arial"/>
          <w:color w:val="000000"/>
          <w:sz w:val="20"/>
        </w:rPr>
      </w:pPr>
      <w:r>
        <w:rPr>
          <w:rFonts w:ascii="Arial" w:hAnsi="Arial"/>
          <w:color w:val="000000"/>
          <w:sz w:val="20"/>
        </w:rPr>
        <w:t>The occurrence of regional epidemics or a global pandemic could adversely affect our business, operations, financial condition, and results of operations. The extent to which global pandemics impact our business going forward will depend on factors such as the duration and scope of the pandemic; governmental, business, and individuals' actions in response to the pandemic; and the impact on economic activity, including the possibility of recession or financial market instability. Measures to contain a global pandemic may intensify other risks described in these Risk Factors.</w:t>
      </w:r>
    </w:p>
    <w:p>
      <w:pPr>
        <w:pStyle w:val="TextBody"/>
        <w:bidi w:val="0"/>
        <w:spacing w:before="180" w:after="283"/>
        <w:jc w:val="both"/>
        <w:rPr>
          <w:rFonts w:ascii="Arial" w:hAnsi="Arial"/>
          <w:color w:val="000000"/>
          <w:sz w:val="20"/>
        </w:rPr>
      </w:pPr>
      <w:r>
        <w:rPr>
          <w:rFonts w:ascii="Arial" w:hAnsi="Arial"/>
          <w:color w:val="000000"/>
          <w:sz w:val="20"/>
        </w:rPr>
        <w:t>The long-term effects of climate change on the global economy and the IT industry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pStyle w:val="TextBody"/>
        <w:bidi w:val="0"/>
        <w:spacing w:before="180" w:after="283"/>
        <w:jc w:val="both"/>
        <w:rPr>
          <w:rFonts w:ascii="Times New Roman" w:hAnsi="Times New Roman"/>
          <w:sz w:val="20"/>
        </w:rPr>
      </w:pPr>
      <w:r>
        <w:rPr>
          <w:rFonts w:ascii="Arial" w:hAnsi="Arial"/>
          <w:b/>
          <w:color w:val="000000"/>
          <w:sz w:val="20"/>
        </w:rPr>
        <w:t>Our global business exposes us to operational and economic risks.</w:t>
      </w:r>
      <w:r>
        <w:rPr>
          <w:rFonts w:ascii="Times New Roman" w:hAnsi="Times New Roman"/>
          <w:color w:val="000000"/>
          <w:sz w:val="20"/>
        </w:rPr>
        <w:t xml:space="preserve"> </w:t>
      </w:r>
      <w:r>
        <w:rPr>
          <w:rFonts w:ascii="Arial" w:hAnsi="Arial"/>
          <w:color w:val="000000"/>
          <w:sz w:val="20"/>
        </w:rPr>
        <w:t>Our customers, employees, and infrastructure are located throughout the world and a significant part of our revenue comes from international sales. The global nature of our business creates operational, economic, and geopolitical risks. Global, regional, and local economic developments, monetary policy, geopolitical tension, restrictions on international trade, such as tariffs and other controls on imports or exports, inflation, and recession, as well as political and military disputes, could adversely affect our results of operations. Non-compliance with sanctions as well as general ecosystem disruptions could result in reputational harm, operational delays, monetary fines, loss of revenue, increased costs, loss of export privileges, or criminal sanctions, which could adversely affect our business, financial condition, and results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the environment,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disagreements among governments on export controls and sanctions toward third countries, investment restrictions, or other developments that make it more difficult to operate and sell our products in foreign countries. Disruptions of these kinds in developed or emerging markets could negatively impact demand for our products and services, impair our ability to operate in certain regions, or increase operating costs. Although we hedge a portion of our international currency exposure, significant fluctuations in foreign exchange rates between the U.S. dollar and foreign currencies could adversely affect our results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color w:val="000000"/>
          <w:sz w:val="20"/>
        </w:rPr>
        <w:t>Our business depends on our ability to attract and retain talented employees.</w:t>
      </w:r>
      <w:r>
        <w:rPr>
          <w:rFonts w:ascii="Times New Roman" w:hAnsi="Times New Roman"/>
          <w:color w:val="000000"/>
          <w:sz w:val="20"/>
        </w:rPr>
        <w:t xml:space="preserve"> </w:t>
      </w:r>
      <w:r>
        <w:rPr>
          <w:rFonts w:ascii="Arial" w:hAnsi="Arial"/>
          <w:color w:val="000000"/>
          <w:sz w:val="20"/>
        </w:rPr>
        <w:t>Our business is based on successfully attracting, training, and retaining talented employees representing diverse backgrounds, experiences, and skill sets. The market for highly skilled workers and leaders in our industry is extremely competitive. Maintaining our brand and reputation, as well as an inclusive work environment that enables all our employees to thrive, are important to our ability to recruit and retain employees. We are also limited in our ability to recruit internationally by restrictive domestic immigration laws. Restraints on the flow of technical and professional talent, including those derived from changes to U.S. immigration policies or laws, may inhibit our ability to adequately staff our research and development efforts. If we are less successful in our recruiting efforts, or if we cannot retain highly skilled workers and key leaders, our ability to develop and deliver successful products and services could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 Our global workforce is predominantly non-unionized, although we do have some employees in the U.S. and internationally who are represented by unions or works councils. In the U.S., there has been a general increase in workers exercising their right to form or join a union. The unionization of significant employee populations could result in higher costs and other operational changes necessary to respond to changing conditions and to establish new relationships with worker representatives.</w:t>
      </w:r>
    </w:p>
    <w:p>
      <w:pPr>
        <w:pStyle w:val="TextBody"/>
        <w:bidi w:val="0"/>
        <w:spacing w:before="240" w:after="283"/>
        <w:jc w:val="center"/>
        <w:rPr>
          <w:rFonts w:ascii="Arial" w:hAnsi="Arial"/>
          <w:color w:val="000000"/>
          <w:sz w:val="16"/>
        </w:rPr>
      </w:pPr>
      <w:r>
        <w:rPr>
          <w:rFonts w:ascii="Arial" w:hAnsi="Arial"/>
          <w:color w:val="000000"/>
          <w:sz w:val="16"/>
        </w:rPr>
        <w:t>28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1B, 1C</w:t>
      </w:r>
    </w:p>
    <w:p>
      <w:pPr>
        <w:pStyle w:val="TextBody"/>
        <w:bidi w:val="0"/>
        <w:jc w:val="center"/>
        <w:rPr/>
      </w:pPr>
      <w:r>
        <w:rPr/>
        <w:t> </w:t>
      </w:r>
    </w:p>
    <w:p>
      <w:pPr>
        <w:pStyle w:val="TextBody"/>
        <w:bidi w:val="0"/>
        <w:jc w:val="center"/>
        <w:rPr>
          <w:rFonts w:ascii="Times New Roman" w:hAnsi="Times New Roman"/>
          <w:sz w:val="20"/>
        </w:rPr>
      </w:pPr>
      <w:bookmarkStart w:id="6" w:name="item_1b_unresolved_staff_comments"/>
      <w:bookmarkEnd w:id="6"/>
      <w:r>
        <w:rPr>
          <w:rFonts w:ascii="Arial" w:hAnsi="Arial"/>
          <w:b/>
          <w:color w:val="000000"/>
          <w:sz w:val="24"/>
        </w:rPr>
        <w:t>ITEM 1B. UNRESOLVED STAFF COMMENTS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have received no written comments regarding our periodic or current reports from the staff of the Securities and Exchange Commission that were issued 180 days or more preceding the end of our fiscal year 2026 that remain unresolved.</w:t>
      </w:r>
      <w:r>
        <w:rPr>
          <w:rFonts w:ascii="Times New Roman" w:hAnsi="Times New Roman"/>
          <w:color w:val="000000"/>
          <w:sz w:val="20"/>
        </w:rPr>
        <w:t xml:space="preserve"> </w:t>
      </w:r>
    </w:p>
    <w:p>
      <w:pPr>
        <w:pStyle w:val="TextBody"/>
        <w:bidi w:val="0"/>
        <w:spacing w:before="270" w:after="283"/>
        <w:jc w:val="center"/>
        <w:rPr>
          <w:rFonts w:ascii="Times New Roman" w:hAnsi="Times New Roman"/>
          <w:sz w:val="20"/>
        </w:rPr>
      </w:pPr>
      <w:bookmarkStart w:id="7" w:name="item_1c_cybersecurity"/>
      <w:bookmarkEnd w:id="7"/>
      <w:r>
        <w:rPr>
          <w:rFonts w:ascii="Arial" w:hAnsi="Arial"/>
          <w:b/>
          <w:color w:val="000000"/>
          <w:sz w:val="24"/>
        </w:rPr>
        <w:t>ITEM 1C. CYBERSECURITY</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u w:val="single"/>
        </w:rPr>
      </w:pPr>
      <w:r>
        <w:rPr>
          <w:rFonts w:ascii="Arial" w:hAnsi="Arial"/>
          <w:color w:val="000000"/>
          <w:sz w:val="20"/>
          <w:u w:val="single"/>
        </w:rPr>
        <w:t>RISK MANAGEMENT AND STRATEGY</w:t>
      </w:r>
    </w:p>
    <w:p>
      <w:pPr>
        <w:pStyle w:val="TextBody"/>
        <w:bidi w:val="0"/>
        <w:spacing w:before="180" w:after="283"/>
        <w:jc w:val="both"/>
        <w:rPr>
          <w:rFonts w:ascii="Arial" w:hAnsi="Arial"/>
          <w:color w:val="000000"/>
          <w:sz w:val="20"/>
        </w:rPr>
      </w:pPr>
      <w:r>
        <w:rPr>
          <w:rFonts w:ascii="Arial" w:hAnsi="Arial"/>
          <w:color w:val="000000"/>
          <w:sz w:val="20"/>
        </w:rPr>
        <w:t>Microsoft plays a central role in the world’s digital ecosystem. We have made it a top corporate priority to protect the computing environment used by our customers and employees and to support the resiliency of our cloud infrastructure and services, products, devices, and our internal corporate resources from determined adversaries. In response to the evolving cybersecurity threat landscape, we launched the Secure Future Initiative (“SFI”) in November 2023 and expanded the scope of SFI in May 2024. The SFI focuses our business strategy and efforts on continual improvement in cybersecurity protection.</w:t>
      </w:r>
    </w:p>
    <w:p>
      <w:pPr>
        <w:pStyle w:val="TextBody"/>
        <w:bidi w:val="0"/>
        <w:spacing w:before="180" w:after="283"/>
        <w:jc w:val="both"/>
        <w:rPr>
          <w:rFonts w:ascii="Times New Roman" w:hAnsi="Times New Roman"/>
          <w:sz w:val="20"/>
        </w:rPr>
      </w:pPr>
      <w:r>
        <w:rPr>
          <w:rFonts w:ascii="Arial" w:hAnsi="Arial"/>
          <w:color w:val="000000"/>
          <w:sz w:val="20"/>
        </w:rPr>
        <w:t>We operate a cybersecurity program and governance framework designed to protect our computing environments against cybersecurity threats, and we have controls, policies, and procedures to identify, manage, and mitigate cybersecurity threats. Annually, we assess our cybersecurity program’s alignment with applicable industry standards. We also undertake integrated</w:t>
      </w:r>
      <w:r>
        <w:rPr>
          <w:rFonts w:ascii="Times New Roman" w:hAnsi="Times New Roman"/>
          <w:color w:val="000000"/>
          <w:sz w:val="20"/>
        </w:rPr>
        <w:t xml:space="preserve"> </w:t>
      </w:r>
      <w:r>
        <w:rPr>
          <w:rFonts w:ascii="Arial" w:hAnsi="Arial"/>
          <w:color w:val="000000"/>
          <w:sz w:val="20"/>
        </w:rPr>
        <w:t>planning and preparedness activities to support business continuity and operational resiliency. We assess our program's effectiveness through a range of validation activities, which may include tabletop simulations, production environment tests, penetration and vulnerability tests, red team exercises, and other related activities. We conduct mandatory cybersecurity training, provide employees with tools to report suspected incidents and assess their own security posture, and conduct real-time simulated employee education exercises, such as phishing email campaigns designed to emulate real-world attacks. We also engage in robust cybersecurity assessments and remediation efforts for acquired companies.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computing environments, products, and services are reviewed by our internal audit teams as well as independent third-party assessors. We are committed to managing the most significant risks to our strategies and ambitions, including cybersecurity risks. The Enterprise Risk Management (“ERM”) organization supports management in this commitment by facilitating the semiannual risk assessment, which documents the priority and status of these risks and aligns them with our strategic mitigation efforts. ERM is structured using a framework based on the Committee of Sponsoring Organization guidelines that also aligns with the International Organization for Standardization 31000:2018 Risk Management Standard.</w:t>
      </w:r>
    </w:p>
    <w:p>
      <w:pPr>
        <w:pStyle w:val="TextBody"/>
        <w:bidi w:val="0"/>
        <w:spacing w:before="180" w:after="283"/>
        <w:jc w:val="both"/>
        <w:rPr>
          <w:rFonts w:ascii="Times New Roman" w:hAnsi="Times New Roman"/>
          <w:sz w:val="20"/>
        </w:rPr>
      </w:pPr>
      <w:r>
        <w:rPr>
          <w:rFonts w:ascii="Arial" w:hAnsi="Arial"/>
          <w:color w:val="000000"/>
          <w:sz w:val="20"/>
        </w:rPr>
        <w:t>We continuously monitor our computing environments, products, and services for vulnerabilities and signs of compromise, and we utilize our own security products, third-party security products, and leading artificial intelligence models to combat cybersecurity threats. We integrate security into our computing environments, products, and services through our Security Development Lifecycle (“SDL”). Our SDL introduces security and privacy considerations throughout all phases of our development process and through the adoption of zero-trust end-to-end architecture.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When appropriate, we utilize external service providers and tools to assess, test, or otherwise assist our program. We also leverage third parties by working with external researchers, operating bug bounty programs, and managing coordinated vulnerability disclosure programs with security organizations.</w:t>
      </w:r>
      <w:r>
        <w:rPr>
          <w:rFonts w:ascii="Times New Roman" w:hAnsi="Times New Roman"/>
          <w:color w:val="000000"/>
          <w:sz w:val="20"/>
        </w:rPr>
        <w:t xml:space="preserve"> </w:t>
      </w:r>
      <w:r>
        <w:rPr>
          <w:rFonts w:ascii="Arial" w:hAnsi="Arial"/>
          <w:color w:val="000000"/>
          <w:sz w:val="20"/>
        </w:rPr>
        <w:t>We maintain a systematic approach to assessing and controlling the cybersecurity risks presented by third-party service providers. We require third-party service providers to manage their cybersecurity risks in defined ways, undergo cybersecurity reviews, notify us of cyber events, and satisfy additional contractual requirements.</w:t>
      </w:r>
    </w:p>
    <w:p>
      <w:pPr>
        <w:pStyle w:val="TextBody"/>
        <w:bidi w:val="0"/>
        <w:spacing w:before="180" w:after="283"/>
        <w:jc w:val="both"/>
        <w:rPr>
          <w:rFonts w:ascii="Arial" w:hAnsi="Arial"/>
          <w:color w:val="000000"/>
          <w:sz w:val="20"/>
        </w:rPr>
      </w:pPr>
      <w:r>
        <w:rPr>
          <w:rFonts w:ascii="Arial" w:hAnsi="Arial"/>
          <w:color w:val="000000"/>
          <w:sz w:val="20"/>
        </w:rPr>
        <w:t>We seek to improve the entire cybersecurity ecosystem through multistakeholder diplomacy to set and uphold expectations for state behavior, advancement of government policy that strengthens cybersecurity and resiliency, disruption and deterrence of cybercrime, protection of national security interests, and disruption of digital threats to democracies. We also establish processes and innovate solutions for us and our customers to address the growing number and complexity of cybersecurity regulations.</w:t>
      </w:r>
    </w:p>
    <w:p>
      <w:pPr>
        <w:pStyle w:val="TextBody"/>
        <w:bidi w:val="0"/>
        <w:spacing w:before="240" w:after="283"/>
        <w:jc w:val="center"/>
        <w:rPr>
          <w:rFonts w:ascii="Arial" w:hAnsi="Arial"/>
          <w:color w:val="000000"/>
          <w:sz w:val="16"/>
        </w:rPr>
      </w:pPr>
      <w:r>
        <w:rPr>
          <w:rFonts w:ascii="Arial" w:hAnsi="Arial"/>
          <w:color w:val="000000"/>
          <w:sz w:val="16"/>
        </w:rPr>
        <w:t>29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1C</w:t>
      </w:r>
    </w:p>
    <w:p>
      <w:pPr>
        <w:pStyle w:val="TextBody"/>
        <w:bidi w:val="0"/>
        <w:jc w:val="center"/>
        <w:rPr/>
      </w:pPr>
      <w:r>
        <w:rPr/>
        <w:t> </w:t>
      </w:r>
    </w:p>
    <w:p>
      <w:pPr>
        <w:pStyle w:val="TextBody"/>
        <w:bidi w:val="0"/>
        <w:spacing w:before="180" w:after="283"/>
        <w:jc w:val="both"/>
        <w:rPr>
          <w:rFonts w:ascii="Arial" w:hAnsi="Arial"/>
          <w:color w:val="000000"/>
          <w:sz w:val="20"/>
        </w:rPr>
      </w:pPr>
      <w:r>
        <w:rPr>
          <w:rFonts w:ascii="Arial" w:hAnsi="Arial"/>
          <w:color w:val="000000"/>
          <w:sz w:val="20"/>
        </w:rPr>
        <w:t>When we experience a cybersecurity incident, we utilize our well-established incident response plans that operate both across the company and at the product and services level. Incidents are first triaged for severity, and then more deeply assessed to establish a plan of record and activate internal and external notification, disclosure, and communication plans, as applicable. Engineering and development resources are mobilized to resolve or remediate the incident. Following resolution, we conduct post incident reviews for incidents that meet established criteria to capture learnings and strengthen our processes.</w:t>
      </w:r>
    </w:p>
    <w:p>
      <w:pPr>
        <w:pStyle w:val="TextBody"/>
        <w:bidi w:val="0"/>
        <w:spacing w:before="180" w:after="283"/>
        <w:jc w:val="both"/>
        <w:rPr>
          <w:rFonts w:ascii="Times New Roman" w:hAnsi="Times New Roman"/>
          <w:sz w:val="20"/>
        </w:rPr>
      </w:pPr>
      <w:r>
        <w:rPr>
          <w:rFonts w:ascii="Arial" w:hAnsi="Arial"/>
          <w:color w:val="000000"/>
          <w:sz w:val="20"/>
        </w:rPr>
        <w:t>We describe the risks from cybersecurity threats, including previous cybersecurity incidents, in section “Risk Factors” (Part I, Item 1A of this Form 10-K). As of the date of this Form 10-K, we do not believe any risks from cybersecurity threats have materially affected or are reasonably likely to materially affect us, including our results of operations or financial condition.</w:t>
      </w:r>
      <w:r>
        <w:rPr>
          <w:rFonts w:ascii="Times New Roman" w:hAnsi="Times New Roman"/>
          <w:color w:val="000000"/>
          <w:sz w:val="20"/>
        </w:rPr>
        <w:t xml:space="preserve"> </w:t>
      </w:r>
      <w:r>
        <w:rPr>
          <w:rFonts w:ascii="Arial" w:hAnsi="Arial"/>
          <w:color w:val="000000"/>
          <w:sz w:val="20"/>
        </w:rPr>
        <w:t>However, the cybersecurity threat environment is increasingly challenging, and we, along with the entire digital ecosystem, are under constant and increasing threat. As discussed above, our business strategy is tied to the SFI and we are committed to continuously monitoring cybersecurity threats, enhancing the security of our products, investing in our cybersecurity infrastructure, and collaborating with peers, customers, service providers, regulators, and governments to advance our and the entire digital ecosystem’s cybersecurity defenses and resiliency.</w:t>
      </w:r>
    </w:p>
    <w:p>
      <w:pPr>
        <w:pStyle w:val="TextBody"/>
        <w:bidi w:val="0"/>
        <w:spacing w:before="270" w:after="283"/>
        <w:jc w:val="center"/>
        <w:rPr>
          <w:rFonts w:ascii="Arial" w:hAnsi="Arial"/>
          <w:color w:val="000000"/>
          <w:sz w:val="20"/>
          <w:u w:val="single"/>
        </w:rPr>
      </w:pPr>
      <w:r>
        <w:rPr>
          <w:rFonts w:ascii="Arial" w:hAnsi="Arial"/>
          <w:color w:val="000000"/>
          <w:sz w:val="20"/>
          <w:u w:val="single"/>
        </w:rPr>
        <w:t>GOVERNANCE</w:t>
      </w:r>
    </w:p>
    <w:p>
      <w:pPr>
        <w:pStyle w:val="TextBody"/>
        <w:bidi w:val="0"/>
        <w:spacing w:before="180" w:after="283"/>
        <w:jc w:val="both"/>
        <w:rPr>
          <w:rFonts w:ascii="Times New Roman" w:hAnsi="Times New Roman"/>
          <w:sz w:val="20"/>
        </w:rPr>
      </w:pPr>
      <w:r>
        <w:rPr>
          <w:rFonts w:ascii="Arial" w:hAnsi="Arial"/>
          <w:color w:val="000000"/>
          <w:sz w:val="20"/>
        </w:rPr>
        <w:t>Our Board of Directors oversees cybersecurity risk. Cybersecurity reviews by the Board are scheduled to occur at least quarterly, or more frequently as determined to be necessary or advisable. Presentations to the Board of Directors are made by senior management, including our Chief Information Security Officer (“CISO”), our EVP of Microsoft Security, our EVP of Cloud + AI, and the head of our Customer Security and Trust organization.</w:t>
      </w:r>
      <w:r>
        <w:rPr>
          <w:rFonts w:ascii="Times New Roman" w:hAnsi="Times New Roman"/>
          <w:color w:val="000000"/>
          <w:sz w:val="20"/>
        </w:rPr>
        <w:t xml:space="preserve"> </w:t>
      </w:r>
      <w:r>
        <w:rPr>
          <w:rFonts w:ascii="Arial" w:hAnsi="Arial"/>
          <w:color w:val="000000"/>
          <w:sz w:val="20"/>
        </w:rPr>
        <w:t>The presentations address topics such as cybersecurity threats, incidents, top risks and related remediation efforts, results from internal and third-party assessments, progress towards risk-mitigation goals, the functioning of our incident response program, regulatory developments, and digital diplomacy efforts.</w:t>
      </w:r>
      <w:r>
        <w:rPr>
          <w:rFonts w:ascii="Times New Roman" w:hAnsi="Times New Roman"/>
          <w:color w:val="000000"/>
          <w:sz w:val="20"/>
        </w:rPr>
        <w:t xml:space="preserve"> </w:t>
      </w:r>
      <w:r>
        <w:rPr>
          <w:rFonts w:ascii="Arial" w:hAnsi="Arial"/>
          <w:color w:val="000000"/>
          <w:sz w:val="20"/>
        </w:rPr>
        <w:t>In addition, we have an escalation process in place to inform senior management and the Board of significant issues. Cybersecurity issues are also considered during separate Board meeting discussions regarding important matters like ERM, audit issues, operational budgeting, business continuity planning, mergers and acquisitions, brand management, and other relevant matters.</w:t>
      </w:r>
    </w:p>
    <w:p>
      <w:pPr>
        <w:pStyle w:val="TextBody"/>
        <w:bidi w:val="0"/>
        <w:spacing w:before="180" w:after="283"/>
        <w:jc w:val="both"/>
        <w:rPr>
          <w:rFonts w:ascii="Times New Roman" w:hAnsi="Times New Roman"/>
          <w:sz w:val="20"/>
        </w:rPr>
      </w:pPr>
      <w:r>
        <w:rPr>
          <w:rFonts w:ascii="Arial" w:hAnsi="Arial"/>
          <w:color w:val="000000"/>
          <w:sz w:val="20"/>
        </w:rPr>
        <w:t>Our CISO leads the strategy, engineering, and operations of cybersecurity across the company, and reports to the EVP of Cloud + AI. Our CISO has extensive experience assessing and managing cybersecurity programs and cybersecurity risk.</w:t>
      </w:r>
      <w:r>
        <w:rPr>
          <w:rFonts w:ascii="Times New Roman" w:hAnsi="Times New Roman"/>
          <w:color w:val="000000"/>
          <w:sz w:val="20"/>
        </w:rPr>
        <w:t xml:space="preserve"> </w:t>
      </w:r>
      <w:r>
        <w:rPr>
          <w:rFonts w:ascii="Arial" w:hAnsi="Arial"/>
          <w:color w:val="000000"/>
          <w:sz w:val="20"/>
        </w:rPr>
        <w:t>Before joining Microsoft, our CISO served in a prior Chief Technology Officer role as well as in senior leadership, engineering, and operational roles within multiple organizations.</w:t>
      </w:r>
      <w:r>
        <w:rPr>
          <w:rFonts w:ascii="Times New Roman" w:hAnsi="Times New Roman"/>
          <w:color w:val="000000"/>
          <w:sz w:val="20"/>
        </w:rPr>
        <w:t xml:space="preserve"> </w:t>
      </w:r>
      <w:r>
        <w:rPr>
          <w:rFonts w:ascii="Arial" w:hAnsi="Arial"/>
          <w:color w:val="000000"/>
          <w:sz w:val="20"/>
        </w:rPr>
        <w:t>In addition to the Board’s oversight of cybersecurity risk, to support the CISO, we have established a Cybersecurity Governance Council (“CGC”) charged with overseeing initiatives that safeguard Microsoft’s computing environments, products, and services. The CGC is comprised of an executive-level team of Deputy CISOs with cybersecurity backgrounds and expertise relevant to their roles.</w:t>
      </w:r>
      <w:r>
        <w:rPr>
          <w:rFonts w:ascii="Times New Roman" w:hAnsi="Times New Roman"/>
          <w:color w:val="000000"/>
          <w:sz w:val="20"/>
        </w:rPr>
        <w:t xml:space="preserve"> </w:t>
      </w:r>
      <w:r>
        <w:rPr>
          <w:rFonts w:ascii="Arial" w:hAnsi="Arial"/>
          <w:color w:val="000000"/>
          <w:sz w:val="20"/>
        </w:rPr>
        <w:t>The CGC’s responsibilities include approving our enterprise security risk assessment process and results, determining the appropriate cybersecurity risk level and mitigations, reviewing the industry standard alignment, and supporting compliance with cybersecurity regulations. Our cybersecurity efforts are supported directly by Microsoft’s security and threat intelligence experts and our employees across the company, all of whom receive cybersecurity awareness training and education and are expected to support our efforts.</w:t>
      </w:r>
    </w:p>
    <w:p>
      <w:pPr>
        <w:pStyle w:val="TextBody"/>
        <w:bidi w:val="0"/>
        <w:spacing w:before="240" w:after="283"/>
        <w:jc w:val="center"/>
        <w:rPr>
          <w:rFonts w:ascii="Arial" w:hAnsi="Arial"/>
          <w:color w:val="000000"/>
          <w:sz w:val="16"/>
        </w:rPr>
      </w:pPr>
      <w:r>
        <w:rPr>
          <w:rFonts w:ascii="Arial" w:hAnsi="Arial"/>
          <w:color w:val="000000"/>
          <w:sz w:val="16"/>
        </w:rPr>
        <w:t>30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 3, 4</w:t>
      </w:r>
    </w:p>
    <w:p>
      <w:pPr>
        <w:pStyle w:val="TextBody"/>
        <w:bidi w:val="0"/>
        <w:jc w:val="center"/>
        <w:rPr/>
      </w:pPr>
      <w:r>
        <w:rPr/>
        <w:t> </w:t>
      </w:r>
    </w:p>
    <w:p>
      <w:pPr>
        <w:pStyle w:val="TextBody"/>
        <w:bidi w:val="0"/>
        <w:jc w:val="center"/>
        <w:rPr>
          <w:rFonts w:ascii="Times New Roman" w:hAnsi="Times New Roman"/>
          <w:sz w:val="20"/>
        </w:rPr>
      </w:pPr>
      <w:bookmarkStart w:id="8" w:name="item_2_properties"/>
      <w:bookmarkEnd w:id="8"/>
      <w:r>
        <w:rPr>
          <w:rFonts w:ascii="Arial" w:hAnsi="Arial"/>
          <w:b/>
          <w:color w:val="000000"/>
          <w:sz w:val="24"/>
        </w:rPr>
        <w:t>ITEM 2. PROPERTIES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corporate headquarters are located in Redmond, Washington. We have approximately 14 million square feet of space located in King County, Washington that is used for engineering, sales, marketing, and operations, among other general and administrative purposes. These facilities include approximately 12 million square feet of owned space situated on approximately 520 acres of land we own at our corporate headquarters, and approximately 2 million square feet of space we lease.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own and lease other facilities domestically and internationally, primarily for offices, datacenters, and research and development. The largest owned international properties include space in the following locations: China, India, Ireland, the Netherlands, and Sweden. The largest leased international properties include space in the following locations: Australia, Canada, China, France, Germany, India, Ireland, Japan, the Netherlands, and the United Kingdom.</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table below shows a summary of the square footage of our properties owned and leased domestically and internationally as of June 30, 2026:</w:t>
      </w:r>
    </w:p>
    <w:p>
      <w:pPr>
        <w:pStyle w:val="TextBody"/>
        <w:bidi w:val="0"/>
        <w:jc w:val="both"/>
        <w:rPr/>
      </w:pPr>
      <w:r>
        <w:rPr/>
        <w:t> </w:t>
      </w:r>
    </w:p>
    <w:tbl>
      <w:tblPr>
        <w:tblW w:w="4634" w:type="dxa"/>
        <w:jc w:val="left"/>
        <w:tblInd w:w="0" w:type="dxa"/>
        <w:tblLayout w:type="fixed"/>
        <w:tblCellMar>
          <w:top w:w="28" w:type="dxa"/>
          <w:left w:w="28" w:type="dxa"/>
          <w:bottom w:w="28" w:type="dxa"/>
          <w:right w:w="28" w:type="dxa"/>
        </w:tblCellMar>
      </w:tblPr>
      <w:tblGrid>
        <w:gridCol w:w="1431"/>
        <w:gridCol w:w="109"/>
        <w:gridCol w:w="157"/>
        <w:gridCol w:w="459"/>
        <w:gridCol w:w="146"/>
        <w:gridCol w:w="146"/>
        <w:gridCol w:w="204"/>
        <w:gridCol w:w="442"/>
        <w:gridCol w:w="146"/>
        <w:gridCol w:w="146"/>
        <w:gridCol w:w="146"/>
        <w:gridCol w:w="421"/>
        <w:gridCol w:w="681"/>
      </w:tblGrid>
      <w:tr>
        <w:trPr/>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953" w:type="dxa"/>
            <w:gridSpan w:val="1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(Square feet in millions)</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3"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b/>
                <w:color w:val="000000"/>
                <w:sz w:val="15"/>
              </w:rPr>
              <w:t>Location</w:t>
            </w:r>
            <w:r>
              <w:rPr>
                <w:rFonts w:ascii="Times New Roman" w:hAnsi="Times New Roman"/>
                <w:color w:val="000000"/>
                <w:sz w:val="15"/>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Owned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4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4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International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56"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43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Total</w:t>
            </w:r>
            <w:r>
              <w:rPr>
                <w:rFonts w:ascii="Times New Roman" w:hAnsi="Times New Roman"/>
                <w:color w:val="000000"/>
                <w:sz w:val="20"/>
              </w:rPr>
              <w:t xml:space="preserve">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2"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Times New Roman" w:hAnsi="Times New Roman"/>
          <w:sz w:val="20"/>
        </w:rPr>
      </w:pPr>
      <w:bookmarkStart w:id="9" w:name="item_3_legal_proceedings"/>
      <w:bookmarkEnd w:id="9"/>
      <w:r>
        <w:rPr>
          <w:rFonts w:ascii="Arial" w:hAnsi="Arial"/>
          <w:b/>
          <w:color w:val="000000"/>
          <w:sz w:val="24"/>
        </w:rPr>
        <w:t>ITEM 3. LEGAL PROCEEDINGS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Refer to Note 14 – Contingencies of the Notes to Financial Statements (Part II, Item 8 of this Form 10-K) for information regarding legal proceedings in which we are involved.</w:t>
      </w:r>
      <w:r>
        <w:rPr>
          <w:rFonts w:ascii="Times New Roman" w:hAnsi="Times New Roman"/>
          <w:color w:val="000000"/>
          <w:sz w:val="20"/>
        </w:rPr>
        <w:t xml:space="preserve"> </w:t>
      </w:r>
    </w:p>
    <w:p>
      <w:pPr>
        <w:pStyle w:val="TextBody"/>
        <w:bidi w:val="0"/>
        <w:spacing w:before="270" w:after="283"/>
        <w:jc w:val="center"/>
        <w:rPr>
          <w:rFonts w:ascii="Times New Roman" w:hAnsi="Times New Roman"/>
          <w:sz w:val="20"/>
        </w:rPr>
      </w:pPr>
      <w:bookmarkStart w:id="10" w:name="item_4_mine_safety_disclosures"/>
      <w:bookmarkEnd w:id="10"/>
      <w:r>
        <w:rPr>
          <w:rFonts w:ascii="Arial" w:hAnsi="Arial"/>
          <w:b/>
          <w:color w:val="000000"/>
          <w:sz w:val="24"/>
        </w:rPr>
        <w:t>ITEM 4. MINE SAFETY DISCLOSURES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Not applicable.</w:t>
      </w:r>
    </w:p>
    <w:p>
      <w:pPr>
        <w:pStyle w:val="TextBody"/>
        <w:bidi w:val="0"/>
        <w:spacing w:before="240" w:after="283"/>
        <w:jc w:val="center"/>
        <w:rPr>
          <w:rFonts w:ascii="Arial" w:hAnsi="Arial"/>
          <w:color w:val="000000"/>
          <w:sz w:val="16"/>
        </w:rPr>
      </w:pPr>
      <w:r>
        <w:rPr>
          <w:rFonts w:ascii="Arial" w:hAnsi="Arial"/>
          <w:color w:val="000000"/>
          <w:sz w:val="16"/>
        </w:rPr>
        <w:t>31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5</w:t>
      </w:r>
    </w:p>
    <w:p>
      <w:pPr>
        <w:pStyle w:val="TextBody"/>
        <w:bidi w:val="0"/>
        <w:jc w:val="center"/>
        <w:rPr/>
      </w:pPr>
      <w:r>
        <w:rPr/>
        <w:t> </w:t>
      </w:r>
    </w:p>
    <w:p>
      <w:pPr>
        <w:pStyle w:val="TextBody"/>
        <w:bidi w:val="0"/>
        <w:jc w:val="center"/>
        <w:rPr>
          <w:rFonts w:ascii="Arial" w:hAnsi="Arial"/>
          <w:b/>
          <w:color w:val="000000"/>
          <w:sz w:val="20"/>
        </w:rPr>
      </w:pPr>
      <w:bookmarkStart w:id="11" w:name="part_ii"/>
      <w:bookmarkEnd w:id="11"/>
      <w:r>
        <w:rPr>
          <w:rFonts w:ascii="Arial" w:hAnsi="Arial"/>
          <w:b/>
          <w:color w:val="000000"/>
          <w:sz w:val="20"/>
        </w:rPr>
        <w:t>PART II</w:t>
      </w:r>
    </w:p>
    <w:p>
      <w:pPr>
        <w:pStyle w:val="TextBody"/>
        <w:bidi w:val="0"/>
        <w:spacing w:before="180" w:after="283"/>
        <w:jc w:val="center"/>
        <w:rPr>
          <w:rFonts w:ascii="Arial" w:hAnsi="Arial"/>
          <w:b/>
          <w:color w:val="000000"/>
          <w:sz w:val="24"/>
        </w:rPr>
      </w:pPr>
      <w:bookmarkStart w:id="12" w:name="item5_market_for_registrants"/>
      <w:bookmarkEnd w:id="12"/>
      <w:r>
        <w:rPr>
          <w:rFonts w:ascii="Arial" w:hAnsi="Arial"/>
          <w:b/>
          <w:color w:val="000000"/>
          <w:sz w:val="24"/>
        </w:rPr>
        <w:t>ITEM 5. MARKET FOR REGISTRANT’S COMMON EQUITY, RELATED STOCKHOLDER MATTERS, AND ISSUER PURCHASES OF EQUITY SECURITIES</w:t>
      </w:r>
    </w:p>
    <w:p>
      <w:pPr>
        <w:pStyle w:val="TextBody"/>
        <w:bidi w:val="0"/>
        <w:spacing w:before="180" w:after="283"/>
        <w:jc w:val="center"/>
        <w:rPr>
          <w:rFonts w:ascii="Times New Roman" w:hAnsi="Times New Roman"/>
          <w:sz w:val="20"/>
        </w:rPr>
      </w:pPr>
      <w:r>
        <w:rPr>
          <w:rFonts w:ascii="Arial" w:hAnsi="Arial"/>
          <w:color w:val="000000"/>
          <w:sz w:val="20"/>
          <w:u w:val="single"/>
        </w:rPr>
        <w:t>MARKET AND STOCKHOLDERS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common stock is traded on the NASDAQ Stock Market under the symbol MSFT. On July 23, 2026, there were 74,199 registered holders of record of our common stock.</w:t>
      </w:r>
    </w:p>
    <w:p>
      <w:pPr>
        <w:pStyle w:val="TextBody"/>
        <w:bidi w:val="0"/>
        <w:spacing w:before="270" w:after="283"/>
        <w:jc w:val="center"/>
        <w:rPr>
          <w:rFonts w:ascii="Arial" w:hAnsi="Arial"/>
          <w:color w:val="000000"/>
          <w:sz w:val="20"/>
          <w:u w:val="single"/>
        </w:rPr>
      </w:pPr>
      <w:r>
        <w:rPr>
          <w:rFonts w:ascii="Arial" w:hAnsi="Arial"/>
          <w:color w:val="000000"/>
          <w:sz w:val="20"/>
          <w:u w:val="single"/>
        </w:rPr>
        <w:t>SHARE REPURCHASES AND DIVIDENDS</w:t>
      </w:r>
    </w:p>
    <w:p>
      <w:pPr>
        <w:pStyle w:val="TextBody"/>
        <w:bidi w:val="0"/>
        <w:spacing w:before="180" w:after="283"/>
        <w:jc w:val="both"/>
        <w:rPr>
          <w:rFonts w:ascii="Arial" w:hAnsi="Arial"/>
          <w:color w:val="000000"/>
          <w:sz w:val="20"/>
        </w:rPr>
      </w:pPr>
      <w:r>
        <w:rPr>
          <w:rFonts w:ascii="Arial" w:hAnsi="Arial"/>
          <w:color w:val="000000"/>
          <w:sz w:val="20"/>
        </w:rPr>
        <w:t>Following are our monthly share repurchases for the fourth quarter of fiscal year 2026:</w:t>
      </w:r>
    </w:p>
    <w:p>
      <w:pPr>
        <w:pStyle w:val="TextBody"/>
        <w:bidi w:val="0"/>
        <w:jc w:val="both"/>
        <w:rPr/>
      </w:pPr>
      <w:r>
        <w:rPr/>
        <w:t> </w:t>
      </w:r>
    </w:p>
    <w:tbl>
      <w:tblPr>
        <w:tblW w:w="9749" w:type="dxa"/>
        <w:jc w:val="left"/>
        <w:tblInd w:w="0" w:type="dxa"/>
        <w:tblLayout w:type="fixed"/>
        <w:tblCellMar>
          <w:top w:w="28" w:type="dxa"/>
          <w:left w:w="28" w:type="dxa"/>
          <w:bottom w:w="28" w:type="dxa"/>
          <w:right w:w="28" w:type="dxa"/>
        </w:tblCellMar>
      </w:tblPr>
      <w:tblGrid>
        <w:gridCol w:w="2946"/>
        <w:gridCol w:w="146"/>
        <w:gridCol w:w="146"/>
        <w:gridCol w:w="961"/>
        <w:gridCol w:w="146"/>
        <w:gridCol w:w="109"/>
        <w:gridCol w:w="131"/>
        <w:gridCol w:w="253"/>
        <w:gridCol w:w="831"/>
        <w:gridCol w:w="146"/>
        <w:gridCol w:w="146"/>
        <w:gridCol w:w="194"/>
        <w:gridCol w:w="1276"/>
        <w:gridCol w:w="146"/>
        <w:gridCol w:w="146"/>
        <w:gridCol w:w="385"/>
        <w:gridCol w:w="1265"/>
        <w:gridCol w:w="376"/>
      </w:tblGrid>
      <w:tr>
        <w:trPr/>
        <w:tc>
          <w:tcPr>
            <w:tcW w:w="29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1" w:type="dxa"/>
            <w:tcBorders/>
            <w:shd w:fill="FFFFFF" w:val="clear"/>
            <w:vAlign w:val="center"/>
          </w:tcPr>
          <w:p>
            <w:pPr>
              <w:pStyle w:val="TableContents"/>
              <w:bidi w:val="0"/>
              <w:spacing w:before="0" w:after="283"/>
              <w:jc w:val="left"/>
              <w:rPr>
                <w:sz w:val="4"/>
                <w:szCs w:val="4"/>
              </w:rPr>
            </w:pPr>
            <w:r>
              <w:rPr>
                <w:sz w:val="4"/>
                <w:szCs w:val="4"/>
              </w:rPr>
            </w:r>
          </w:p>
        </w:tc>
        <w:tc>
          <w:tcPr>
            <w:tcW w:w="253" w:type="dxa"/>
            <w:tcBorders/>
            <w:shd w:fill="FFFFFF" w:val="clear"/>
            <w:vAlign w:val="center"/>
          </w:tcPr>
          <w:p>
            <w:pPr>
              <w:pStyle w:val="TableContents"/>
              <w:bidi w:val="0"/>
              <w:spacing w:before="0" w:after="283"/>
              <w:jc w:val="left"/>
              <w:rPr>
                <w:sz w:val="4"/>
                <w:szCs w:val="4"/>
              </w:rPr>
            </w:pPr>
            <w:r>
              <w:rPr>
                <w:sz w:val="4"/>
                <w:szCs w:val="4"/>
              </w:rPr>
            </w:r>
          </w:p>
        </w:tc>
        <w:tc>
          <w:tcPr>
            <w:tcW w:w="8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4"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5" w:type="dxa"/>
            <w:tcBorders/>
            <w:shd w:fill="FFFFFF" w:val="clear"/>
            <w:vAlign w:val="center"/>
          </w:tcPr>
          <w:p>
            <w:pPr>
              <w:pStyle w:val="TableContents"/>
              <w:bidi w:val="0"/>
              <w:spacing w:before="0" w:after="283"/>
              <w:jc w:val="left"/>
              <w:rPr>
                <w:sz w:val="4"/>
                <w:szCs w:val="4"/>
              </w:rPr>
            </w:pPr>
            <w:r>
              <w:rPr>
                <w:sz w:val="4"/>
                <w:szCs w:val="4"/>
              </w:rPr>
            </w:r>
          </w:p>
        </w:tc>
        <w:tc>
          <w:tcPr>
            <w:tcW w:w="1265"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r>
      <w:tr>
        <w:trPr/>
        <w:tc>
          <w:tcPr>
            <w:tcW w:w="29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Period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Total Number</w:t>
            </w:r>
          </w:p>
          <w:p>
            <w:pPr>
              <w:pStyle w:val="TableContents"/>
              <w:bidi w:val="0"/>
              <w:jc w:val="right"/>
              <w:rPr>
                <w:rFonts w:ascii="Arial" w:hAnsi="Arial"/>
                <w:b/>
                <w:color w:val="000000"/>
                <w:sz w:val="15"/>
              </w:rPr>
            </w:pPr>
            <w:r>
              <w:rPr>
                <w:rFonts w:ascii="Arial" w:hAnsi="Arial"/>
                <w:b/>
                <w:color w:val="000000"/>
                <w:sz w:val="15"/>
              </w:rPr>
              <w:t>of Shares</w:t>
            </w:r>
          </w:p>
          <w:p>
            <w:pPr>
              <w:pStyle w:val="TableContents"/>
              <w:bidi w:val="0"/>
              <w:spacing w:before="0" w:after="283"/>
              <w:jc w:val="right"/>
              <w:rPr>
                <w:rFonts w:ascii="Arial" w:hAnsi="Arial"/>
                <w:b/>
                <w:color w:val="000000"/>
                <w:sz w:val="15"/>
              </w:rPr>
            </w:pPr>
            <w:r>
              <w:rPr>
                <w:rFonts w:ascii="Arial" w:hAnsi="Arial"/>
                <w:b/>
                <w:color w:val="000000"/>
                <w:sz w:val="15"/>
              </w:rPr>
              <w:t>Purchased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Average Price</w:t>
            </w:r>
          </w:p>
          <w:p>
            <w:pPr>
              <w:pStyle w:val="TableContents"/>
              <w:bidi w:val="0"/>
              <w:spacing w:before="0" w:after="283"/>
              <w:jc w:val="right"/>
              <w:rPr>
                <w:rFonts w:ascii="Arial" w:hAnsi="Arial"/>
                <w:b/>
                <w:color w:val="000000"/>
                <w:sz w:val="15"/>
              </w:rPr>
            </w:pPr>
            <w:r>
              <w:rPr>
                <w:rFonts w:ascii="Arial" w:hAnsi="Arial"/>
                <w:b/>
                <w:color w:val="000000"/>
                <w:sz w:val="15"/>
              </w:rPr>
              <w:t>Paid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Total Number of</w:t>
            </w:r>
          </w:p>
          <w:p>
            <w:pPr>
              <w:pStyle w:val="TableContents"/>
              <w:bidi w:val="0"/>
              <w:jc w:val="right"/>
              <w:rPr>
                <w:rFonts w:ascii="Arial" w:hAnsi="Arial"/>
                <w:b/>
                <w:color w:val="000000"/>
                <w:sz w:val="15"/>
              </w:rPr>
            </w:pPr>
            <w:r>
              <w:rPr>
                <w:rFonts w:ascii="Arial" w:hAnsi="Arial"/>
                <w:b/>
                <w:color w:val="000000"/>
                <w:sz w:val="15"/>
              </w:rPr>
              <w:t>Shares Purchased</w:t>
            </w:r>
          </w:p>
          <w:p>
            <w:pPr>
              <w:pStyle w:val="TableContents"/>
              <w:bidi w:val="0"/>
              <w:jc w:val="right"/>
              <w:rPr>
                <w:rFonts w:ascii="Arial" w:hAnsi="Arial"/>
                <w:b/>
                <w:color w:val="000000"/>
                <w:sz w:val="15"/>
              </w:rPr>
            </w:pPr>
            <w:r>
              <w:rPr>
                <w:rFonts w:ascii="Arial" w:hAnsi="Arial"/>
                <w:b/>
                <w:color w:val="000000"/>
                <w:sz w:val="15"/>
              </w:rPr>
              <w:t>as Part of Publicly</w:t>
            </w:r>
          </w:p>
          <w:p>
            <w:pPr>
              <w:pStyle w:val="TableContents"/>
              <w:bidi w:val="0"/>
              <w:jc w:val="right"/>
              <w:rPr>
                <w:rFonts w:ascii="Arial" w:hAnsi="Arial"/>
                <w:b/>
                <w:color w:val="000000"/>
                <w:sz w:val="15"/>
              </w:rPr>
            </w:pPr>
            <w:r>
              <w:rPr>
                <w:rFonts w:ascii="Arial" w:hAnsi="Arial"/>
                <w:b/>
                <w:color w:val="000000"/>
                <w:sz w:val="15"/>
              </w:rPr>
              <w:t>Announced Plans</w:t>
            </w:r>
          </w:p>
          <w:p>
            <w:pPr>
              <w:pStyle w:val="TableContents"/>
              <w:bidi w:val="0"/>
              <w:spacing w:before="0" w:after="283"/>
              <w:jc w:val="right"/>
              <w:rPr>
                <w:rFonts w:ascii="Arial" w:hAnsi="Arial"/>
                <w:b/>
                <w:color w:val="000000"/>
                <w:sz w:val="15"/>
              </w:rPr>
            </w:pPr>
            <w:r>
              <w:rPr>
                <w:rFonts w:ascii="Arial" w:hAnsi="Arial"/>
                <w:b/>
                <w:color w:val="000000"/>
                <w:sz w:val="15"/>
              </w:rPr>
              <w:t>or Programs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Approximate Dollar</w:t>
            </w:r>
          </w:p>
          <w:p>
            <w:pPr>
              <w:pStyle w:val="TableContents"/>
              <w:bidi w:val="0"/>
              <w:jc w:val="right"/>
              <w:rPr>
                <w:rFonts w:ascii="Arial" w:hAnsi="Arial"/>
                <w:b/>
                <w:color w:val="000000"/>
                <w:sz w:val="15"/>
              </w:rPr>
            </w:pPr>
            <w:r>
              <w:rPr>
                <w:rFonts w:ascii="Arial" w:hAnsi="Arial"/>
                <w:b/>
                <w:color w:val="000000"/>
                <w:sz w:val="15"/>
              </w:rPr>
              <w:t>Value of Shares That</w:t>
            </w:r>
          </w:p>
          <w:p>
            <w:pPr>
              <w:pStyle w:val="TableContents"/>
              <w:bidi w:val="0"/>
              <w:jc w:val="right"/>
              <w:rPr>
                <w:rFonts w:ascii="Arial" w:hAnsi="Arial"/>
                <w:b/>
                <w:color w:val="000000"/>
                <w:sz w:val="15"/>
              </w:rPr>
            </w:pPr>
            <w:r>
              <w:rPr>
                <w:rFonts w:ascii="Arial" w:hAnsi="Arial"/>
                <w:b/>
                <w:color w:val="000000"/>
                <w:sz w:val="15"/>
              </w:rPr>
              <w:t>May Yet Be</w:t>
            </w:r>
          </w:p>
          <w:p>
            <w:pPr>
              <w:pStyle w:val="TableContents"/>
              <w:bidi w:val="0"/>
              <w:jc w:val="right"/>
              <w:rPr>
                <w:rFonts w:ascii="Arial" w:hAnsi="Arial"/>
                <w:b/>
                <w:color w:val="000000"/>
                <w:sz w:val="15"/>
              </w:rPr>
            </w:pPr>
            <w:r>
              <w:rPr>
                <w:rFonts w:ascii="Arial" w:hAnsi="Arial"/>
                <w:b/>
                <w:color w:val="000000"/>
                <w:sz w:val="15"/>
              </w:rPr>
              <w:t>Purchased Under the</w:t>
            </w:r>
          </w:p>
          <w:p>
            <w:pPr>
              <w:pStyle w:val="TableContents"/>
              <w:bidi w:val="0"/>
              <w:spacing w:before="0" w:after="283"/>
              <w:jc w:val="right"/>
              <w:rPr>
                <w:rFonts w:ascii="Arial" w:hAnsi="Arial"/>
                <w:b/>
                <w:color w:val="000000"/>
                <w:sz w:val="15"/>
              </w:rPr>
            </w:pPr>
            <w:r>
              <w:rPr>
                <w:rFonts w:ascii="Arial" w:hAnsi="Arial"/>
                <w:b/>
                <w:color w:val="000000"/>
                <w:sz w:val="15"/>
              </w:rPr>
              <w:t>Plans or Programs</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73" w:type="dxa"/>
            <w:gridSpan w:val="17"/>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373" w:type="dxa"/>
            <w:gridSpan w:val="1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1" w:type="dxa"/>
            <w:gridSpan w:val="15"/>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34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94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April 1, 2026 – April 30, 2026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1,002,119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gridSpan w:val="2"/>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398.88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1,002,119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6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43,630</w:t>
            </w:r>
          </w:p>
        </w:tc>
        <w:tc>
          <w:tcPr>
            <w:tcW w:w="3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94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May 1, 2026 – May 31,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3,559,509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416.81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3,559,509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42,147</w:t>
            </w:r>
          </w:p>
        </w:tc>
        <w:tc>
          <w:tcPr>
            <w:tcW w:w="37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94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June 1, 2026 – June 30, 2026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3,828,061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gridSpan w:val="2"/>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396.19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3,828,061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40,630</w:t>
            </w:r>
          </w:p>
        </w:tc>
        <w:tc>
          <w:tcPr>
            <w:tcW w:w="37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8,389,689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8,389,689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4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Board of Directors declared the following dividends during the fourth quarter of fiscal year 2026:</w:t>
      </w:r>
      <w:r>
        <w:rPr>
          <w:rFonts w:ascii="Times New Roman" w:hAnsi="Times New Roman"/>
          <w:color w:val="000000"/>
          <w:sz w:val="20"/>
        </w:rPr>
        <w:t xml:space="preserve"> </w:t>
      </w:r>
    </w:p>
    <w:p>
      <w:pPr>
        <w:pStyle w:val="TextBody"/>
        <w:bidi w:val="0"/>
        <w:jc w:val="both"/>
        <w:rPr/>
      </w:pPr>
      <w:r>
        <w:rPr/>
        <w:t> </w:t>
      </w:r>
    </w:p>
    <w:tbl>
      <w:tblPr>
        <w:tblW w:w="9097" w:type="dxa"/>
        <w:jc w:val="left"/>
        <w:tblInd w:w="0" w:type="dxa"/>
        <w:tblLayout w:type="fixed"/>
        <w:tblCellMar>
          <w:top w:w="28" w:type="dxa"/>
          <w:left w:w="28" w:type="dxa"/>
          <w:bottom w:w="28" w:type="dxa"/>
          <w:right w:w="28" w:type="dxa"/>
        </w:tblCellMar>
      </w:tblPr>
      <w:tblGrid>
        <w:gridCol w:w="1626"/>
        <w:gridCol w:w="146"/>
        <w:gridCol w:w="146"/>
        <w:gridCol w:w="1576"/>
        <w:gridCol w:w="146"/>
        <w:gridCol w:w="146"/>
        <w:gridCol w:w="146"/>
        <w:gridCol w:w="1921"/>
        <w:gridCol w:w="146"/>
        <w:gridCol w:w="146"/>
        <w:gridCol w:w="211"/>
        <w:gridCol w:w="841"/>
        <w:gridCol w:w="146"/>
        <w:gridCol w:w="146"/>
        <w:gridCol w:w="211"/>
        <w:gridCol w:w="961"/>
        <w:gridCol w:w="436"/>
      </w:tblGrid>
      <w:tr>
        <w:trPr/>
        <w:tc>
          <w:tcPr>
            <w:tcW w:w="1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6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Declaration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Record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Payment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Dividend</w:t>
            </w:r>
          </w:p>
          <w:p>
            <w:pPr>
              <w:pStyle w:val="TableContents"/>
              <w:bidi w:val="0"/>
              <w:spacing w:before="0" w:after="283"/>
              <w:jc w:val="right"/>
              <w:rPr>
                <w:rFonts w:ascii="Arial" w:hAnsi="Arial"/>
                <w:b/>
                <w:color w:val="000000"/>
                <w:sz w:val="15"/>
              </w:rPr>
            </w:pPr>
            <w:r>
              <w:rPr>
                <w:rFonts w:ascii="Arial" w:hAnsi="Arial"/>
                <w:b/>
                <w:color w:val="000000"/>
                <w:sz w:val="15"/>
              </w:rPr>
              <w:t>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2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June 10, 2026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August 20, 2026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September 10, 2026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0.91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6,759</w:t>
            </w:r>
          </w:p>
        </w:tc>
        <w:tc>
          <w:tcPr>
            <w:tcW w:w="43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returned $10.2 billion to shareholders in the form of share repurchases and dividends in the fourth quarter of fiscal year 2026. Refer to Note 15 – Stockholders’ Equity of the Notes to Financial Statements (Part II, Item 8 of this Form 10-K) for further discussion regarding share repurchases and dividends.</w:t>
      </w:r>
    </w:p>
    <w:p>
      <w:pPr>
        <w:pStyle w:val="TextBody"/>
        <w:bidi w:val="0"/>
        <w:spacing w:before="240" w:after="283"/>
        <w:jc w:val="center"/>
        <w:rPr>
          <w:rFonts w:ascii="Arial" w:hAnsi="Arial"/>
          <w:color w:val="000000"/>
          <w:sz w:val="16"/>
        </w:rPr>
      </w:pPr>
      <w:r>
        <w:rPr>
          <w:rFonts w:ascii="Arial" w:hAnsi="Arial"/>
          <w:color w:val="000000"/>
          <w:sz w:val="16"/>
        </w:rPr>
        <w:t>32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6</w:t>
      </w:r>
    </w:p>
    <w:p>
      <w:pPr>
        <w:pStyle w:val="TextBody"/>
        <w:bidi w:val="0"/>
        <w:jc w:val="center"/>
        <w:rPr/>
      </w:pPr>
      <w:r>
        <w:rPr/>
        <w:t> </w:t>
      </w:r>
    </w:p>
    <w:p>
      <w:pPr>
        <w:pStyle w:val="TextBody"/>
        <w:bidi w:val="0"/>
        <w:jc w:val="center"/>
        <w:rPr>
          <w:rFonts w:ascii="Arial" w:hAnsi="Arial"/>
          <w:b/>
          <w:color w:val="000000"/>
          <w:sz w:val="24"/>
        </w:rPr>
      </w:pPr>
      <w:bookmarkStart w:id="13" w:name="item_6_reserved"/>
      <w:bookmarkEnd w:id="13"/>
      <w:r>
        <w:rPr>
          <w:rFonts w:ascii="Arial" w:hAnsi="Arial"/>
          <w:b/>
          <w:color w:val="000000"/>
          <w:sz w:val="24"/>
        </w:rPr>
        <w:t>ITEM 6. [RESERVED]</w:t>
      </w:r>
    </w:p>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33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7</w:t>
      </w:r>
    </w:p>
    <w:p>
      <w:pPr>
        <w:pStyle w:val="TextBody"/>
        <w:bidi w:val="0"/>
        <w:jc w:val="center"/>
        <w:rPr/>
      </w:pPr>
      <w:r>
        <w:rPr/>
        <w:t> </w:t>
      </w:r>
    </w:p>
    <w:p>
      <w:pPr>
        <w:pStyle w:val="TextBody"/>
        <w:bidi w:val="0"/>
        <w:jc w:val="center"/>
        <w:rPr>
          <w:rFonts w:ascii="Arial" w:hAnsi="Arial"/>
          <w:b/>
          <w:color w:val="000000"/>
          <w:sz w:val="24"/>
        </w:rPr>
      </w:pPr>
      <w:bookmarkStart w:id="14" w:name="item_7_managements_discussion_analysis_f"/>
      <w:bookmarkEnd w:id="14"/>
      <w:r>
        <w:rPr>
          <w:rFonts w:ascii="Arial" w:hAnsi="Arial"/>
          <w:b/>
          <w:color w:val="000000"/>
          <w:sz w:val="24"/>
        </w:rPr>
        <w:t>ITEM 7. MANAGEMENT’S DISCUSSION AND ANALYSIS OF FINANCIAL CONDITION AND RESULTS OF OPERATIONS</w:t>
      </w:r>
    </w:p>
    <w:p>
      <w:pPr>
        <w:pStyle w:val="TextBody"/>
        <w:bidi w:val="0"/>
        <w:spacing w:before="180" w:after="283"/>
        <w:jc w:val="both"/>
        <w:rPr>
          <w:rFonts w:ascii="Arial" w:hAnsi="Arial"/>
          <w:color w:val="000000"/>
          <w:sz w:val="20"/>
        </w:rPr>
      </w:pPr>
      <w:r>
        <w:rPr>
          <w:rFonts w:ascii="Arial" w:hAnsi="Arial"/>
          <w:color w:val="000000"/>
          <w:sz w:val="20"/>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consolidated financial statements and the accompanying Notes to Financial Statements (Part II, Item 8 of this Form 10-K). This section generally discusses the results of our operations for the year ended June 30, 2026 compared to the year ended June 30, 2025. For a discussion of the year ended June 30, 2025 compared to the year ended June 30, 2024, please refer to Part II, Item 7, “Management’s Discussion and Analysis of Financial Condition and Results of Operations” in our Annual Report on Form 10-K for the year ended June 30, 2025.</w:t>
      </w:r>
    </w:p>
    <w:p>
      <w:pPr>
        <w:pStyle w:val="TextBody"/>
        <w:bidi w:val="0"/>
        <w:spacing w:before="270" w:after="283"/>
        <w:jc w:val="center"/>
        <w:rPr>
          <w:rFonts w:ascii="Arial" w:hAnsi="Arial"/>
          <w:color w:val="000000"/>
          <w:sz w:val="20"/>
          <w:u w:val="single"/>
        </w:rPr>
      </w:pPr>
      <w:r>
        <w:rPr>
          <w:rFonts w:ascii="Arial" w:hAnsi="Arial"/>
          <w:color w:val="000000"/>
          <w:sz w:val="20"/>
          <w:u w:val="single"/>
        </w:rPr>
        <w:t>OVERVIEW</w:t>
      </w:r>
    </w:p>
    <w:p>
      <w:pPr>
        <w:pStyle w:val="TextBody"/>
        <w:bidi w:val="0"/>
        <w:spacing w:before="180" w:after="283"/>
        <w:jc w:val="both"/>
        <w:rPr>
          <w:rFonts w:ascii="Times New Roman" w:hAnsi="Times New Roman"/>
          <w:sz w:val="20"/>
        </w:rPr>
      </w:pPr>
      <w:r>
        <w:rPr>
          <w:rFonts w:ascii="Arial" w:hAnsi="Arial"/>
          <w:color w:val="000000"/>
          <w:sz w:val="20"/>
        </w:rPr>
        <w:t>Microsoft is a technology company committed to making digital technology and artificial intelligence (“AI”) available broadly and doing so responsibly, with a mission to empower every person and every organization on the planet to achieve more. We create platforms and applications, powered by AI, that deliver innovative solutions that meet the evolving needs of our customers.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generate revenue by offering a wide range of cloud-based solutions, content, and other services to people and businesses; licensing and supporting an array of software products; delivering relevant online advertising to a global audience; and designing and selling devices. Our most significant expenses are related to compensating employees; supporting and investing in our cloud-based services, including datacenter operations; designing, manufacturing, marketing, and selling our other products and services; and income taxes.</w:t>
      </w:r>
    </w:p>
    <w:p>
      <w:pPr>
        <w:pStyle w:val="TextBody"/>
        <w:bidi w:val="0"/>
        <w:spacing w:before="180" w:after="283"/>
        <w:jc w:val="both"/>
        <w:rPr>
          <w:rFonts w:ascii="Arial" w:hAnsi="Arial"/>
          <w:color w:val="000000"/>
          <w:sz w:val="20"/>
        </w:rPr>
      </w:pPr>
      <w:r>
        <w:rPr>
          <w:rFonts w:ascii="Arial" w:hAnsi="Arial"/>
          <w:color w:val="000000"/>
          <w:sz w:val="20"/>
        </w:rPr>
        <w:t>Highlights from fiscal year 2026 compared with fiscal year 2025 included:</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Cloud revenue increased 27% to $214.4 billion.</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Commercial remaining performance obligation increased 84% to $678 billion.</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Commercial cloud revenue increased 17%.</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Consumer cloud revenue increased 28%.</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revenue increased 11%.</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365 revenue increased 18%.</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Azure and other cloud services revenue increased 41%.</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Windows OEM and Devices revenue decreased slightly.</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XBOX content and services revenue decreased 5%.</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Search advertising (formerly Search and news advertising) revenue excluding traffic acquisition costs increased 12%.</w:t>
      </w:r>
    </w:p>
    <w:p>
      <w:pPr>
        <w:pStyle w:val="TextBody"/>
        <w:bidi w:val="0"/>
        <w:spacing w:before="270" w:after="283"/>
        <w:jc w:val="left"/>
        <w:rPr>
          <w:rFonts w:ascii="Arial" w:hAnsi="Arial"/>
          <w:b/>
          <w:color w:val="000000"/>
          <w:sz w:val="20"/>
        </w:rPr>
      </w:pPr>
      <w:r>
        <w:rPr>
          <w:rFonts w:ascii="Arial" w:hAnsi="Arial"/>
          <w:b/>
          <w:color w:val="000000"/>
          <w:sz w:val="20"/>
        </w:rPr>
        <w:t>Industry Trends and Opportunities</w:t>
      </w:r>
    </w:p>
    <w:p>
      <w:pPr>
        <w:pStyle w:val="TextBody"/>
        <w:bidi w:val="0"/>
        <w:spacing w:before="180" w:after="283"/>
        <w:jc w:val="both"/>
        <w:rPr>
          <w:rFonts w:ascii="Arial" w:hAnsi="Arial"/>
          <w:color w:val="000000"/>
          <w:sz w:val="20"/>
        </w:rPr>
      </w:pPr>
      <w:r>
        <w:rPr>
          <w:rFonts w:ascii="Arial" w:hAnsi="Arial"/>
          <w:color w:val="000000"/>
          <w:sz w:val="20"/>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pStyle w:val="TextBody"/>
        <w:bidi w:val="0"/>
        <w:spacing w:before="180" w:after="283"/>
        <w:jc w:val="both"/>
        <w:rPr>
          <w:rFonts w:ascii="Arial" w:hAnsi="Arial"/>
          <w:color w:val="000000"/>
          <w:sz w:val="20"/>
        </w:rPr>
      </w:pPr>
      <w:r>
        <w:rPr>
          <w:rFonts w:ascii="Arial" w:hAnsi="Arial"/>
          <w:color w:val="000000"/>
          <w:sz w:val="20"/>
        </w:rPr>
        <w:t>We have a long-term strategic partnership with OpenAI which was originally established in 2019. In October 2025 and April 2026, we extended this partnership and continue to build on our shared vision to advance artificial intelligence responsibly and make its benefits broadly accessible. Microsoft is a major investor in OpenAI and will continue to receive revenue-sharing payments. We hold rights to OpenAI’s intellectual property, including models and infrastructure, for integration into our products.</w:t>
      </w:r>
    </w:p>
    <w:p>
      <w:pPr>
        <w:pStyle w:val="TextBody"/>
        <w:bidi w:val="0"/>
        <w:spacing w:before="240" w:after="283"/>
        <w:jc w:val="center"/>
        <w:rPr>
          <w:rFonts w:ascii="Arial" w:hAnsi="Arial"/>
          <w:color w:val="000000"/>
          <w:sz w:val="16"/>
        </w:rPr>
      </w:pPr>
      <w:r>
        <w:rPr>
          <w:rFonts w:ascii="Arial" w:hAnsi="Arial"/>
          <w:color w:val="000000"/>
          <w:sz w:val="16"/>
        </w:rPr>
        <w:t>34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7</w:t>
      </w:r>
    </w:p>
    <w:p>
      <w:pPr>
        <w:pStyle w:val="TextBody"/>
        <w:bidi w:val="0"/>
        <w:jc w:val="center"/>
        <w:rPr/>
      </w:pPr>
      <w:r>
        <w:rPr/>
        <w:t> </w:t>
      </w:r>
    </w:p>
    <w:p>
      <w:pPr>
        <w:pStyle w:val="TextBody"/>
        <w:bidi w:val="0"/>
        <w:spacing w:before="270" w:after="283"/>
        <w:jc w:val="left"/>
        <w:rPr>
          <w:rFonts w:ascii="Arial" w:hAnsi="Arial"/>
          <w:b/>
          <w:color w:val="000000"/>
          <w:sz w:val="20"/>
        </w:rPr>
      </w:pPr>
      <w:r>
        <w:rPr>
          <w:rFonts w:ascii="Arial" w:hAnsi="Arial"/>
          <w:b/>
          <w:color w:val="000000"/>
          <w:sz w:val="20"/>
        </w:rPr>
        <w:t>Economic Conditions, Challenges, and Risks</w:t>
      </w:r>
    </w:p>
    <w:p>
      <w:pPr>
        <w:pStyle w:val="TextBody"/>
        <w:bidi w:val="0"/>
        <w:spacing w:before="180" w:after="283"/>
        <w:jc w:val="both"/>
        <w:rPr>
          <w:rFonts w:ascii="Times New Roman" w:hAnsi="Times New Roman"/>
          <w:sz w:val="20"/>
        </w:rPr>
      </w:pPr>
      <w:r>
        <w:rPr>
          <w:rFonts w:ascii="Arial" w:hAnsi="Arial"/>
          <w:color w:val="000000"/>
          <w:sz w:val="20"/>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influencing how users access services in the cloud and, in some cases, the user’s choice of which suite of cloud-based services to use. Aggregate demand for our software, services, and devices is also correlated to global macroeconomic and geopolitical factors, which remain dynamic. We must continue to evolve and adapt over an extended time in pace with this changing environment.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investments we are making in cloud and AI infrastructure and devices will continue to increase our operating costs and may decrease our operating margins. We continue to identify and evaluate opportunities to expand our datacenter locations and increase our server capacity to meet the evolving needs of our customers, particularly given the growing demand for AI services. Our datacenters depend on the availability of permitted and buildable land, predictable energy, networking supplies, and servers, including graphics processing units and other components. Our devices are primarily manufactured by third-party contract manufacturers. For the majority of our products, we have the ability to use other manufacturers if a current vendor becomes unavailable or unable to meet our requirements. However, some of our products contain certain components for which there are very few qualified suppliers. Extended or unforeseen disruptions, or limited availability of components from these suppliers could impact our ability to operate our datacenters and manufacture devices on time to meet consumer demand.</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w:t>
      </w:r>
    </w:p>
    <w:p>
      <w:pPr>
        <w:pStyle w:val="TextBody"/>
        <w:bidi w:val="0"/>
        <w:spacing w:before="180" w:after="283"/>
        <w:jc w:val="both"/>
        <w:rPr>
          <w:rFonts w:ascii="Arial" w:hAnsi="Arial"/>
          <w:color w:val="000000"/>
          <w:sz w:val="20"/>
        </w:rPr>
      </w:pPr>
      <w:r>
        <w:rPr>
          <w:rFonts w:ascii="Arial" w:hAnsi="Arial"/>
          <w:color w:val="000000"/>
          <w:sz w:val="20"/>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increased reported revenue and did not have a material impact on reported expenses from our international operations in fiscal year 2026.</w:t>
      </w:r>
    </w:p>
    <w:p>
      <w:pPr>
        <w:pStyle w:val="TextBody"/>
        <w:bidi w:val="0"/>
        <w:spacing w:before="180" w:after="283"/>
        <w:jc w:val="both"/>
        <w:rPr>
          <w:rFonts w:ascii="Arial" w:hAnsi="Arial"/>
          <w:color w:val="000000"/>
          <w:sz w:val="20"/>
        </w:rPr>
      </w:pPr>
      <w:r>
        <w:rPr>
          <w:rFonts w:ascii="Arial" w:hAnsi="Arial"/>
          <w:color w:val="000000"/>
          <w:sz w:val="20"/>
        </w:rPr>
        <w:t>Further, global, regional, and local economic developments and changes in global trade policies such as restrictions on international trade, including tariffs and other controls on imports or exports, could result in increased supply chain challenges, cost volatility, and consumer and economic uncertainty which may adversely affect our results of operations.</w:t>
      </w:r>
    </w:p>
    <w:p>
      <w:pPr>
        <w:pStyle w:val="TextBody"/>
        <w:bidi w:val="0"/>
        <w:spacing w:before="180" w:after="283"/>
        <w:jc w:val="both"/>
        <w:rPr>
          <w:rFonts w:ascii="Arial" w:hAnsi="Arial"/>
          <w:color w:val="000000"/>
          <w:sz w:val="20"/>
        </w:rPr>
      </w:pPr>
      <w:r>
        <w:rPr>
          <w:rFonts w:ascii="Arial" w:hAnsi="Arial"/>
          <w:color w:val="000000"/>
          <w:sz w:val="20"/>
        </w:rPr>
        <w:t>Refer to Risk Factors (Part I, Item 1A of this Form 10-K) for a discussion of these factors and other risks.</w:t>
      </w:r>
    </w:p>
    <w:p>
      <w:pPr>
        <w:pStyle w:val="TextBody"/>
        <w:bidi w:val="0"/>
        <w:spacing w:before="270" w:after="283"/>
        <w:jc w:val="left"/>
        <w:rPr>
          <w:rFonts w:ascii="Arial" w:hAnsi="Arial"/>
          <w:b/>
          <w:color w:val="000000"/>
          <w:sz w:val="20"/>
        </w:rPr>
      </w:pPr>
      <w:r>
        <w:rPr>
          <w:rFonts w:ascii="Arial" w:hAnsi="Arial"/>
          <w:b/>
          <w:color w:val="000000"/>
          <w:sz w:val="20"/>
        </w:rPr>
        <w:t>Seasonality</w:t>
      </w:r>
    </w:p>
    <w:p>
      <w:pPr>
        <w:pStyle w:val="TextBody"/>
        <w:bidi w:val="0"/>
        <w:spacing w:before="180" w:after="283"/>
        <w:jc w:val="both"/>
        <w:rPr>
          <w:rFonts w:ascii="Times New Roman" w:hAnsi="Times New Roman"/>
          <w:sz w:val="20"/>
        </w:rPr>
      </w:pPr>
      <w:r>
        <w:rPr>
          <w:rFonts w:ascii="Arial" w:hAnsi="Arial"/>
          <w:color w:val="000000"/>
          <w:sz w:val="20"/>
        </w:rPr>
        <w:t>Our revenue fluctuates quarterly and is generally higher in the fourth quarter of our fiscal year. Fourth quarter revenue is driven by a higher volume of multi-year contracts executed during the period.</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Reportable Segments</w:t>
      </w:r>
    </w:p>
    <w:p>
      <w:pPr>
        <w:pStyle w:val="TextBody"/>
        <w:bidi w:val="0"/>
        <w:spacing w:before="180" w:after="283"/>
        <w:jc w:val="both"/>
        <w:rPr>
          <w:rFonts w:ascii="Arial" w:hAnsi="Arial"/>
          <w:color w:val="000000"/>
          <w:sz w:val="20"/>
        </w:rPr>
      </w:pPr>
      <w:r>
        <w:rPr>
          <w:rFonts w:ascii="Arial" w:hAnsi="Arial"/>
          <w:color w:val="000000"/>
          <w:sz w:val="20"/>
        </w:rPr>
        <w:t>We report our financial performance based on the following three segments: Productivity and Business Processes, Intelligent Cloud, and More Personal Computing. The segment amounts included in MD&amp;A are presented on a basis consistent with our internal management reporting.</w:t>
      </w:r>
    </w:p>
    <w:p>
      <w:pPr>
        <w:pStyle w:val="TextBody"/>
        <w:bidi w:val="0"/>
        <w:spacing w:before="180" w:after="283"/>
        <w:jc w:val="both"/>
        <w:rPr>
          <w:rFonts w:ascii="Times New Roman" w:hAnsi="Times New Roman"/>
          <w:sz w:val="20"/>
        </w:rPr>
      </w:pPr>
      <w:r>
        <w:rPr>
          <w:rFonts w:ascii="Arial" w:hAnsi="Arial"/>
          <w:color w:val="000000"/>
          <w:sz w:val="20"/>
        </w:rPr>
        <w:t>Additional information on our reportable segments is contained in Note 18 – Segment Information and Geographic Data of the Notes to Financial Statements (Part II, Item 8 of this Form 10-K).</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35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7</w:t>
      </w:r>
    </w:p>
    <w:p>
      <w:pPr>
        <w:pStyle w:val="TextBody"/>
        <w:bidi w:val="0"/>
        <w:jc w:val="center"/>
        <w:rPr/>
      </w:pPr>
      <w:r>
        <w:rPr/>
        <w:t> </w:t>
      </w:r>
    </w:p>
    <w:p>
      <w:pPr>
        <w:pStyle w:val="TextBody"/>
        <w:bidi w:val="0"/>
        <w:spacing w:before="270" w:after="283"/>
        <w:jc w:val="left"/>
        <w:rPr>
          <w:rFonts w:ascii="Arial" w:hAnsi="Arial"/>
          <w:b/>
          <w:color w:val="000000"/>
          <w:sz w:val="20"/>
        </w:rPr>
      </w:pPr>
      <w:r>
        <w:rPr>
          <w:rFonts w:ascii="Arial" w:hAnsi="Arial"/>
          <w:b/>
          <w:color w:val="000000"/>
          <w:sz w:val="20"/>
        </w:rPr>
        <w:t>Metrics</w:t>
      </w:r>
    </w:p>
    <w:p>
      <w:pPr>
        <w:pStyle w:val="TextBody"/>
        <w:bidi w:val="0"/>
        <w:spacing w:before="180" w:after="283"/>
        <w:jc w:val="both"/>
        <w:rPr>
          <w:rFonts w:ascii="Arial" w:hAnsi="Arial"/>
          <w:color w:val="000000"/>
          <w:sz w:val="20"/>
        </w:rPr>
      </w:pPr>
      <w:r>
        <w:rPr>
          <w:rFonts w:ascii="Arial" w:hAnsi="Arial"/>
          <w:color w:val="000000"/>
          <w:sz w:val="20"/>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II, Item 8 of this Form 10-K). Financial metrics are calculated based on financial results prepared in accordance with accounting principles generally accepted in the United States of America (“GAAP”), and growth comparisons relate to the corresponding period of last fiscal year.</w:t>
      </w:r>
    </w:p>
    <w:p>
      <w:pPr>
        <w:pStyle w:val="TextBody"/>
        <w:bidi w:val="0"/>
        <w:spacing w:before="180" w:after="283"/>
        <w:jc w:val="both"/>
        <w:rPr>
          <w:rFonts w:ascii="Arial" w:hAnsi="Arial"/>
          <w:color w:val="000000"/>
          <w:sz w:val="20"/>
        </w:rPr>
      </w:pPr>
      <w:r>
        <w:rPr>
          <w:rFonts w:ascii="Arial" w:hAnsi="Arial"/>
          <w:color w:val="000000"/>
          <w:sz w:val="20"/>
        </w:rPr>
        <w:t>In the first quarter of fiscal year 2026, we made updates to our metrics to align with how we manage and monitor certain businesses. As part of these updates, Microsoft 365 Consumer subscribers was removed as a metric.</w:t>
      </w:r>
    </w:p>
    <w:p>
      <w:pPr>
        <w:pStyle w:val="TextBody"/>
        <w:bidi w:val="0"/>
        <w:spacing w:before="270" w:after="283"/>
        <w:jc w:val="left"/>
        <w:rPr>
          <w:rFonts w:ascii="Arial" w:hAnsi="Arial"/>
          <w:b/>
          <w:i/>
          <w:color w:val="000000"/>
          <w:sz w:val="20"/>
        </w:rPr>
      </w:pPr>
      <w:r>
        <w:rPr>
          <w:rFonts w:ascii="Arial" w:hAnsi="Arial"/>
          <w:b/>
          <w:i/>
          <w:color w:val="000000"/>
          <w:sz w:val="20"/>
        </w:rPr>
        <w:t>Commercial</w:t>
      </w:r>
    </w:p>
    <w:p>
      <w:pPr>
        <w:pStyle w:val="TextBody"/>
        <w:bidi w:val="0"/>
        <w:spacing w:before="180" w:after="283"/>
        <w:jc w:val="both"/>
        <w:rPr>
          <w:rFonts w:ascii="Arial" w:hAnsi="Arial"/>
          <w:color w:val="000000"/>
          <w:sz w:val="20"/>
        </w:rPr>
      </w:pPr>
      <w:r>
        <w:rPr>
          <w:rFonts w:ascii="Arial" w:hAnsi="Arial"/>
          <w:color w:val="000000"/>
          <w:sz w:val="20"/>
        </w:rPr>
        <w:t>Our commercial business primarily consists of Server products and cloud services, Microsoft 365 Commercial products and cloud services, the commercial portion of LinkedIn, Dynamics products and cloud services, and Enterprise and partner services. Our commercial metrics allow management and investors to assess the overall health of our commercial business and include leading indicators of future performance.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56"/>
        <w:gridCol w:w="146"/>
        <w:gridCol w:w="7503"/>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3"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556"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sz w:val="20"/>
              </w:rPr>
            </w:pPr>
            <w:r>
              <w:rPr>
                <w:rFonts w:ascii="Arial" w:hAnsi="Arial"/>
                <w:color w:val="000000"/>
                <w:sz w:val="20"/>
              </w:rPr>
              <w:t>Commercial remaining performance obligation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Commercial portion of revenue allocated to remaining performance obligations, which includes unearned revenue and amounts that will be invoiced and recognized as revenue in future periods</w:t>
            </w:r>
          </w:p>
        </w:tc>
      </w:tr>
      <w:tr>
        <w:trPr/>
        <w:tc>
          <w:tcPr>
            <w:tcW w:w="2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3"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556"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Cloud revenue and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Microsoft 365 Commercial cloud, Azure and other cloud services, the commercial portion of LinkedIn, and Dynamics 365</w:t>
            </w:r>
          </w:p>
        </w:tc>
      </w:tr>
      <w:tr>
        <w:trPr/>
        <w:tc>
          <w:tcPr>
            <w:tcW w:w="2556"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03"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r>
      <w:tr>
        <w:trPr/>
        <w:tc>
          <w:tcPr>
            <w:tcW w:w="2556"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Cloud gross margin percentage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Gross margin percentage for our Microsoft Cloud business</w:t>
            </w:r>
            <w:r>
              <w:rPr>
                <w:rFonts w:ascii="Times New Roman" w:hAnsi="Times New Roman"/>
                <w:color w:val="000000"/>
                <w:sz w:val="20"/>
              </w:rPr>
              <w:t xml:space="preserve"> </w:t>
            </w:r>
          </w:p>
        </w:tc>
      </w:tr>
    </w:tbl>
    <w:p>
      <w:pPr>
        <w:pStyle w:val="TextBody"/>
        <w:bidi w:val="0"/>
        <w:jc w:val="both"/>
        <w:rPr/>
      </w:pPr>
      <w:r>
        <w:rPr/>
        <w:t> </w:t>
      </w:r>
    </w:p>
    <w:p>
      <w:pPr>
        <w:pStyle w:val="TextBody"/>
        <w:bidi w:val="0"/>
        <w:spacing w:before="90" w:after="283"/>
        <w:jc w:val="left"/>
        <w:rPr>
          <w:rFonts w:ascii="Arial" w:hAnsi="Arial"/>
          <w:b/>
          <w:i/>
          <w:color w:val="000000"/>
          <w:sz w:val="20"/>
        </w:rPr>
      </w:pPr>
      <w:r>
        <w:rPr>
          <w:rFonts w:ascii="Arial" w:hAnsi="Arial"/>
          <w:b/>
          <w:i/>
          <w:color w:val="000000"/>
          <w:sz w:val="20"/>
        </w:rPr>
        <w:t>Productivity and Business Processes and Intelligent Cloud</w:t>
      </w:r>
    </w:p>
    <w:p>
      <w:pPr>
        <w:pStyle w:val="TextBody"/>
        <w:bidi w:val="0"/>
        <w:spacing w:before="180" w:after="283"/>
        <w:jc w:val="both"/>
        <w:rPr>
          <w:rFonts w:ascii="Arial" w:hAnsi="Arial"/>
          <w:color w:val="000000"/>
          <w:sz w:val="20"/>
        </w:rPr>
      </w:pPr>
      <w:r>
        <w:rPr>
          <w:rFonts w:ascii="Arial" w:hAnsi="Arial"/>
          <w:color w:val="000000"/>
          <w:sz w:val="20"/>
        </w:rPr>
        <w:t>Metrics related to our Productivity and Business Processes and Intelligent Cloud segments assess the health of our core businesses within these segments. The metrics primarily reflect growth across our cloud services.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8"/>
        <w:gridCol w:w="146"/>
        <w:gridCol w:w="7961"/>
      </w:tblGrid>
      <w:tr>
        <w:trPr/>
        <w:tc>
          <w:tcPr>
            <w:tcW w:w="2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1"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365 Commercial cloud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Microsoft 365 Commercial subscriptions, comprising Microsoft 365 Commercial, Enterprise Mobility + Security, the cloud portion of Windows Commercial, the per-user portion of Power BI, Exchange, SharePoint, Microsoft Teams, Microsoft 365 Security and Compliance, and Microsoft 365 Copilot</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365 Commercial seat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The number of Microsoft 365 Commercial seats at end of period where seats are paid users covered by a Microsoft 365 Commercial subscription</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365 Consumer cloud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Microsoft 365 Consumer subscriptions and other consumer services</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LinkedIn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LinkedIn, including Talent Solutions, Marketing Solutions, Premium Subscriptions, and Sales Solutions</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Dynamics 365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Dynamics 365, including a set of intelligent, cloud-based applications across ERP, CRM, Power Apps, and Power Automate</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1"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0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Azure and other cloud services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Revenue from Azure and other cloud services, including cloud and AI consumption-based services, GitHub cloud services, Health and Life Sciences cloud services (formerly Nuance Healthcare cloud services), virtual desktop offerings, and other cloud services</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36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7</w:t>
      </w:r>
    </w:p>
    <w:p>
      <w:pPr>
        <w:pStyle w:val="TextBody"/>
        <w:bidi w:val="0"/>
        <w:jc w:val="center"/>
        <w:rPr/>
      </w:pPr>
      <w:r>
        <w:rPr/>
        <w:t> </w:t>
      </w:r>
    </w:p>
    <w:p>
      <w:pPr>
        <w:pStyle w:val="TextBody"/>
        <w:bidi w:val="0"/>
        <w:spacing w:before="90" w:after="283"/>
        <w:jc w:val="left"/>
        <w:rPr>
          <w:rFonts w:ascii="Arial" w:hAnsi="Arial"/>
          <w:b/>
          <w:i/>
          <w:color w:val="000000"/>
          <w:sz w:val="20"/>
        </w:rPr>
      </w:pPr>
      <w:r>
        <w:rPr>
          <w:rFonts w:ascii="Arial" w:hAnsi="Arial"/>
          <w:b/>
          <w:i/>
          <w:color w:val="000000"/>
          <w:sz w:val="20"/>
        </w:rPr>
        <w:t>More Personal Computing</w:t>
      </w:r>
    </w:p>
    <w:p>
      <w:pPr>
        <w:pStyle w:val="TextBody"/>
        <w:bidi w:val="0"/>
        <w:spacing w:before="180" w:after="283"/>
        <w:jc w:val="both"/>
        <w:rPr>
          <w:rFonts w:ascii="Arial" w:hAnsi="Arial"/>
          <w:color w:val="000000"/>
          <w:sz w:val="20"/>
        </w:rPr>
      </w:pPr>
      <w:r>
        <w:rPr>
          <w:rFonts w:ascii="Arial" w:hAnsi="Arial"/>
          <w:color w:val="000000"/>
          <w:sz w:val="20"/>
        </w:rPr>
        <w:t>Metrics related to our More Personal Computing segment assess the performance of our key consumer businesses.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35"/>
        <w:gridCol w:w="146"/>
        <w:gridCol w:w="7824"/>
      </w:tblGrid>
      <w:tr>
        <w:trPr/>
        <w:tc>
          <w:tcPr>
            <w:tcW w:w="2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24"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235"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Windows OEM and Devices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4"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sales of Windows Pro and non-Pro licenses sold through the OEM channel and sales of first-party Devices, including Surface and PC accessories</w:t>
            </w:r>
          </w:p>
        </w:tc>
      </w:tr>
      <w:tr>
        <w:trPr/>
        <w:tc>
          <w:tcPr>
            <w:tcW w:w="2235"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4"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235"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sz w:val="20"/>
              </w:rPr>
            </w:pPr>
            <w:r>
              <w:rPr>
                <w:rFonts w:ascii="Arial" w:hAnsi="Arial"/>
                <w:color w:val="000000"/>
                <w:sz w:val="20"/>
              </w:rPr>
              <w:t>XBOX content and services revenue growth</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4"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XBOX content and services, comprising first- and third-party content (including games and in-game content), XBOX Game Pass and other subscriptions, XBOX Cloud Gaming, advertising, and other cloud services</w:t>
            </w:r>
          </w:p>
        </w:tc>
      </w:tr>
      <w:tr>
        <w:trPr/>
        <w:tc>
          <w:tcPr>
            <w:tcW w:w="2235"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4"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235"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Search advertising revenue (ex TAC)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4"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Revenue from search advertising excluding traffic acquisition costs (“TAC”) paid to Bing Ads network publishers and content partners</w:t>
            </w:r>
          </w:p>
        </w:tc>
      </w:tr>
    </w:tbl>
    <w:p>
      <w:pPr>
        <w:pStyle w:val="TextBody"/>
        <w:bidi w:val="0"/>
        <w:jc w:val="both"/>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SUMMARY RESULTS OF OPERATIONS</w:t>
      </w:r>
    </w:p>
    <w:p>
      <w:pPr>
        <w:pStyle w:val="TextBody"/>
        <w:bidi w:val="0"/>
        <w:jc w:val="left"/>
        <w:rPr/>
      </w:pPr>
      <w:r>
        <w:rPr/>
        <w:t> </w:t>
      </w:r>
    </w:p>
    <w:tbl>
      <w:tblPr>
        <w:tblW w:w="8662" w:type="dxa"/>
        <w:jc w:val="left"/>
        <w:tblInd w:w="0" w:type="dxa"/>
        <w:tblLayout w:type="fixed"/>
        <w:tblCellMar>
          <w:top w:w="28" w:type="dxa"/>
          <w:left w:w="28" w:type="dxa"/>
          <w:bottom w:w="28" w:type="dxa"/>
          <w:right w:w="28" w:type="dxa"/>
        </w:tblCellMar>
      </w:tblPr>
      <w:tblGrid>
        <w:gridCol w:w="4536"/>
        <w:gridCol w:w="146"/>
        <w:gridCol w:w="211"/>
        <w:gridCol w:w="796"/>
        <w:gridCol w:w="146"/>
        <w:gridCol w:w="146"/>
        <w:gridCol w:w="211"/>
        <w:gridCol w:w="796"/>
        <w:gridCol w:w="146"/>
        <w:gridCol w:w="146"/>
        <w:gridCol w:w="298"/>
        <w:gridCol w:w="648"/>
        <w:gridCol w:w="436"/>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45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percentages and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Arial" w:hAnsi="Arial"/>
                <w:b/>
                <w:color w:val="000000"/>
                <w:sz w:val="15"/>
              </w:rPr>
              <w:t>Percentage</w:t>
              <w:br/>
              <w:t>Change</w:t>
            </w:r>
            <w:r>
              <w:rPr>
                <w:rFonts w:ascii="Times New Roman" w:hAnsi="Times New Roman"/>
                <w:color w:val="000000"/>
                <w:sz w:val="15"/>
              </w:rPr>
              <w:t xml:space="preserve">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5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331,839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281,724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5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Gross margin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225,465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193,893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5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155,237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128,528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5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133,749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101,832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5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Diluted earnings per share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17.95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5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45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Adjusted net income (non-GAAP)</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128,786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105,452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45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Adjusted diluted earnings per share (non-GAAP)</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45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Adjusted net income and adjusted diluted earnings per share (“EPS”) are non-GAAP financial measures. These non-GAAP financial measures exclude net gains and losses from investments in OpenAI. Refer to the Non-GAAP Financial Measures section below for a reconciliation of our financial results reported in accordance with GAAP to non-GAAP financial results.</w:t>
      </w:r>
    </w:p>
    <w:p>
      <w:pPr>
        <w:pStyle w:val="TextBody"/>
        <w:bidi w:val="0"/>
        <w:spacing w:before="270" w:after="283"/>
        <w:jc w:val="left"/>
        <w:rPr>
          <w:rFonts w:ascii="Arial" w:hAnsi="Arial"/>
          <w:b/>
          <w:i/>
          <w:color w:val="000000"/>
          <w:sz w:val="20"/>
        </w:rPr>
      </w:pPr>
      <w:r>
        <w:rPr>
          <w:rFonts w:ascii="Arial" w:hAnsi="Arial"/>
          <w:b/>
          <w:i/>
          <w:color w:val="000000"/>
          <w:sz w:val="20"/>
        </w:rPr>
        <w:t>Fiscal Year 2026 Compared with Fiscal Year 2025</w:t>
      </w:r>
    </w:p>
    <w:p>
      <w:pPr>
        <w:pStyle w:val="TextBody"/>
        <w:bidi w:val="0"/>
        <w:spacing w:before="180" w:after="283"/>
        <w:jc w:val="both"/>
        <w:rPr>
          <w:rFonts w:ascii="Arial" w:hAnsi="Arial"/>
          <w:color w:val="000000"/>
          <w:sz w:val="20"/>
        </w:rPr>
      </w:pPr>
      <w:r>
        <w:rPr>
          <w:rFonts w:ascii="Arial" w:hAnsi="Arial"/>
          <w:color w:val="000000"/>
          <w:sz w:val="20"/>
        </w:rPr>
        <w:t>Revenue increased $50.1 billion or 18% driven by growth in Microsoft Cloud. Intelligent Cloud revenue increased driven by Azure. Productivity and Business Processes revenue increased driven by Microsoft 365 Commercial cloud. More Personal Computing revenue decreased driven by XBOX (formerly Gaming), offset in part by growth in Search advertising.</w:t>
      </w:r>
    </w:p>
    <w:p>
      <w:pPr>
        <w:pStyle w:val="TextBody"/>
        <w:bidi w:val="0"/>
        <w:spacing w:before="180" w:after="283"/>
        <w:jc w:val="both"/>
        <w:rPr>
          <w:rFonts w:ascii="Arial" w:hAnsi="Arial"/>
          <w:color w:val="000000"/>
          <w:sz w:val="20"/>
        </w:rPr>
      </w:pPr>
      <w:r>
        <w:rPr>
          <w:rFonts w:ascii="Arial" w:hAnsi="Arial"/>
          <w:color w:val="000000"/>
          <w:sz w:val="20"/>
        </w:rPr>
        <w:t>Cost of revenue increased $18.5 billion or 21% driven by growth in Microsoft Cloud.</w:t>
      </w:r>
    </w:p>
    <w:p>
      <w:pPr>
        <w:pStyle w:val="TextBody"/>
        <w:bidi w:val="0"/>
        <w:spacing w:before="180" w:after="283"/>
        <w:jc w:val="both"/>
        <w:rPr>
          <w:rFonts w:ascii="Times New Roman" w:hAnsi="Times New Roman"/>
          <w:sz w:val="20"/>
        </w:rPr>
      </w:pPr>
      <w:r>
        <w:rPr>
          <w:rFonts w:ascii="Arial" w:hAnsi="Arial"/>
          <w:color w:val="000000"/>
          <w:sz w:val="20"/>
        </w:rPr>
        <w:t>Gross margin increased $31.6 billion or 16% with growth across each of our segments.</w:t>
      </w:r>
      <w:r>
        <w:rPr>
          <w:rFonts w:ascii="Times New Roman" w:hAnsi="Times New Roman"/>
          <w:color w:val="000000"/>
          <w:sz w:val="20"/>
        </w:rPr>
        <w:t xml:space="preserve">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percentage decreased slightly driven by continued investments in AI infrastructure and growing AI product usage, offset in part by efficiency gains across the Microsoft Cloud.</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Cloud gross margin percentage decreased to 66% driven by continued investments in AI infrastructure and growing AI product usage, offset in part by efficiency gains in Azure and Microsoft 365 Commercial cloud.</w:t>
      </w:r>
    </w:p>
    <w:p>
      <w:pPr>
        <w:pStyle w:val="TextBody"/>
        <w:bidi w:val="0"/>
        <w:spacing w:before="180" w:after="283"/>
        <w:jc w:val="both"/>
        <w:rPr>
          <w:rFonts w:ascii="Arial" w:hAnsi="Arial"/>
          <w:color w:val="000000"/>
          <w:sz w:val="20"/>
        </w:rPr>
      </w:pPr>
      <w:r>
        <w:rPr>
          <w:rFonts w:ascii="Arial" w:hAnsi="Arial"/>
          <w:color w:val="000000"/>
          <w:sz w:val="20"/>
        </w:rPr>
        <w:t>Operating expenses increased $4.9 billion or 7% driven by continued investments in research and development compute capacity, AI talent, and data to support product development that benefits the entire portfolio, impairment and other related expenses in our XBOX business, investments in commercial sales, and higher Copilot advertising expenses.</w:t>
      </w:r>
    </w:p>
    <w:p>
      <w:pPr>
        <w:pStyle w:val="TextBody"/>
        <w:bidi w:val="0"/>
        <w:spacing w:before="180" w:after="283"/>
        <w:jc w:val="both"/>
        <w:rPr>
          <w:rFonts w:ascii="Arial" w:hAnsi="Arial"/>
          <w:color w:val="000000"/>
          <w:sz w:val="20"/>
        </w:rPr>
      </w:pPr>
      <w:r>
        <w:rPr>
          <w:rFonts w:ascii="Arial" w:hAnsi="Arial"/>
          <w:color w:val="000000"/>
          <w:sz w:val="20"/>
        </w:rPr>
        <w:t>Operating income increased $26.7 billion or 21% driven by growth in Productivity and Business Processes and Intelligent Cloud.</w:t>
      </w:r>
    </w:p>
    <w:p>
      <w:pPr>
        <w:pStyle w:val="TextBody"/>
        <w:bidi w:val="0"/>
        <w:spacing w:before="180" w:after="283"/>
        <w:jc w:val="both"/>
        <w:rPr>
          <w:rFonts w:ascii="Arial" w:hAnsi="Arial"/>
          <w:color w:val="000000"/>
          <w:sz w:val="20"/>
        </w:rPr>
      </w:pPr>
      <w:r>
        <w:rPr>
          <w:rFonts w:ascii="Arial" w:hAnsi="Arial"/>
          <w:color w:val="000000"/>
          <w:sz w:val="20"/>
        </w:rPr>
        <w:t>Revenue and operating income both included a favorable foreign currency impact of 2%.</w:t>
      </w:r>
    </w:p>
    <w:p>
      <w:pPr>
        <w:pStyle w:val="TextBody"/>
        <w:bidi w:val="0"/>
        <w:spacing w:before="240" w:after="283"/>
        <w:jc w:val="center"/>
        <w:rPr>
          <w:rFonts w:ascii="Arial" w:hAnsi="Arial"/>
          <w:color w:val="000000"/>
          <w:sz w:val="16"/>
        </w:rPr>
      </w:pPr>
      <w:r>
        <w:rPr>
          <w:rFonts w:ascii="Arial" w:hAnsi="Arial"/>
          <w:color w:val="000000"/>
          <w:sz w:val="16"/>
        </w:rPr>
        <w:t>37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7</w:t>
      </w:r>
    </w:p>
    <w:p>
      <w:pPr>
        <w:pStyle w:val="TextBody"/>
        <w:bidi w:val="0"/>
        <w:jc w:val="center"/>
        <w:rPr/>
      </w:pPr>
      <w:r>
        <w:rPr/>
        <w:t> </w:t>
      </w:r>
    </w:p>
    <w:p>
      <w:pPr>
        <w:pStyle w:val="TextBody"/>
        <w:bidi w:val="0"/>
        <w:spacing w:before="180" w:after="283"/>
        <w:jc w:val="both"/>
        <w:rPr>
          <w:rFonts w:ascii="Arial" w:hAnsi="Arial"/>
          <w:color w:val="000000"/>
          <w:sz w:val="20"/>
        </w:rPr>
      </w:pPr>
      <w:r>
        <w:rPr>
          <w:rFonts w:ascii="Arial" w:hAnsi="Arial"/>
          <w:color w:val="000000"/>
          <w:sz w:val="20"/>
        </w:rPr>
        <w:t>Current year net income and diluted EPS were positively impacted by net gains from investments in OpenAI, which resulted in an increase in net income and diluted EPS of $5.0 billion and $0.67, respectively. Prior year net income and diluted EPS were negatively impacted by net losses from investments in OpenAI, which resulted in a decrease in net income and diluted EPS of $3.6 billion and $0.49, respectively.</w:t>
      </w:r>
    </w:p>
    <w:p>
      <w:pPr>
        <w:pStyle w:val="TextBody"/>
        <w:bidi w:val="0"/>
        <w:spacing w:before="270" w:after="283"/>
        <w:jc w:val="center"/>
        <w:rPr>
          <w:rFonts w:ascii="Arial" w:hAnsi="Arial"/>
          <w:color w:val="000000"/>
          <w:sz w:val="20"/>
          <w:u w:val="single"/>
        </w:rPr>
      </w:pPr>
      <w:r>
        <w:rPr>
          <w:rFonts w:ascii="Arial" w:hAnsi="Arial"/>
          <w:color w:val="000000"/>
          <w:sz w:val="20"/>
          <w:u w:val="single"/>
        </w:rPr>
        <w:t>SEGMENT RESULTS OF OPERATIONS</w:t>
      </w:r>
    </w:p>
    <w:p>
      <w:pPr>
        <w:pStyle w:val="TextBody"/>
        <w:bidi w:val="0"/>
        <w:jc w:val="left"/>
        <w:rPr/>
      </w:pPr>
      <w:r>
        <w:rPr/>
        <w:t> </w:t>
      </w:r>
    </w:p>
    <w:tbl>
      <w:tblPr>
        <w:tblW w:w="7312" w:type="dxa"/>
        <w:jc w:val="left"/>
        <w:tblInd w:w="0" w:type="dxa"/>
        <w:tblLayout w:type="fixed"/>
        <w:tblCellMar>
          <w:top w:w="28" w:type="dxa"/>
          <w:left w:w="28" w:type="dxa"/>
          <w:bottom w:w="28" w:type="dxa"/>
          <w:right w:w="28" w:type="dxa"/>
        </w:tblCellMar>
      </w:tblPr>
      <w:tblGrid>
        <w:gridCol w:w="2896"/>
        <w:gridCol w:w="146"/>
        <w:gridCol w:w="256"/>
        <w:gridCol w:w="796"/>
        <w:gridCol w:w="146"/>
        <w:gridCol w:w="146"/>
        <w:gridCol w:w="211"/>
        <w:gridCol w:w="796"/>
        <w:gridCol w:w="146"/>
        <w:gridCol w:w="146"/>
        <w:gridCol w:w="280"/>
        <w:gridCol w:w="666"/>
        <w:gridCol w:w="68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8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Arial" w:hAnsi="Arial"/>
                <w:b/>
                <w:color w:val="000000"/>
                <w:sz w:val="15"/>
              </w:rPr>
              <w:t>Percentage</w:t>
              <w:br/>
              <w:t>Change</w:t>
            </w:r>
            <w:r>
              <w:rPr>
                <w:rFonts w:ascii="Times New Roman" w:hAnsi="Times New Roman"/>
                <w:color w:val="000000"/>
                <w:sz w:val="15"/>
              </w:rPr>
              <w:t xml:space="preserve"> </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Productivity and Business Processes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w:t>
            </w:r>
            <w:r>
              <w:rPr>
                <w:rFonts w:ascii="Times New Roman" w:hAnsi="Times New Roman"/>
                <w:color w:val="000000"/>
                <w:sz w:val="20"/>
              </w:rPr>
              <w:t xml:space="preserve">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139,996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120,810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25,017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8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31,100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28,615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9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83,879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69,773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4"/>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Intelligent Cloud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137,791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106,265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57,876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40,171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22,943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21,505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56,972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44,589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More Personal Computing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54,052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23,481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25,238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16,185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15,245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14,386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14,166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331,839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281,724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106,374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87,831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70,228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65,365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155,237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128,528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cMar>
              <w:top w:w="0" w:type="dxa"/>
              <w:left w:w="0" w:type="dxa"/>
              <w:bottom w:w="0" w:type="dxa"/>
              <w:right w:w="0" w:type="dxa"/>
            </w:tcMar>
            <w:vAlign w:val="center"/>
          </w:tcPr>
          <w:p>
            <w:pPr>
              <w:pStyle w:val="TableContents"/>
              <w:bidi w:val="0"/>
              <w:spacing w:before="0" w:after="283"/>
              <w:jc w:val="right"/>
              <w:rPr/>
            </w:pPr>
            <w:r>
              <w:rPr/>
              <w:t> </w:t>
            </w:r>
          </w:p>
        </w:tc>
        <w:tc>
          <w:tcPr>
            <w:tcW w:w="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left"/>
        <w:rPr>
          <w:rFonts w:ascii="Arial" w:hAnsi="Arial"/>
          <w:b/>
          <w:color w:val="000000"/>
          <w:sz w:val="20"/>
        </w:rPr>
      </w:pPr>
      <w:r>
        <w:rPr>
          <w:rFonts w:ascii="Arial" w:hAnsi="Arial"/>
          <w:b/>
          <w:color w:val="000000"/>
          <w:sz w:val="20"/>
        </w:rPr>
        <w:t>Reportable Segments</w:t>
      </w:r>
    </w:p>
    <w:p>
      <w:pPr>
        <w:pStyle w:val="TextBody"/>
        <w:bidi w:val="0"/>
        <w:spacing w:before="180" w:after="283"/>
        <w:jc w:val="left"/>
        <w:rPr>
          <w:rFonts w:ascii="Times New Roman" w:hAnsi="Times New Roman"/>
          <w:sz w:val="20"/>
        </w:rPr>
      </w:pPr>
      <w:r>
        <w:rPr>
          <w:rFonts w:ascii="Arial" w:hAnsi="Arial"/>
          <w:b/>
          <w:i/>
          <w:color w:val="000000"/>
          <w:sz w:val="20"/>
        </w:rPr>
        <w:t>Fiscal Year 2026 Compared with Fiscal Year 2025</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i/>
          <w:color w:val="000000"/>
          <w:sz w:val="20"/>
        </w:rPr>
        <w:t>Productivity and Business Processes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Revenue increased $19.2 billion or 16%.</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Commercial products and cloud services revenue increased $14.2 billion or 16%. Microsoft 365 Commercial cloud revenue grew 17% with growth in revenue per user driven by Microsoft 365 Copilot and Microsoft 365 E5. Microsoft 365 Commercial seats grew 6% driven by small and medium businesses and frontline worker offerings. Microsoft 365 Commercial products revenue grew 13% driven by growth in the Windows Commercial on-premises components of Microsoft 365 suite sales, as well as an increase in Office 2024 transactional purchasing.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Consumer products and cloud services revenue increased $1.8 billion or 24%. Microsoft 365 Consumer cloud revenue grew 28% driven by growth in revenue per user and Microsoft 365 Consumer subscriber growth of 7%.</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revenue increased $2.0 billion or 11% with growth across all lines of business.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products and cloud services revenue increased $1.2 billion or 15% driven by growth in Dynamics 365. Dynamics 365 revenue grew 18% with growth across all workloads.</w:t>
      </w:r>
    </w:p>
    <w:p>
      <w:pPr>
        <w:pStyle w:val="TextBody"/>
        <w:bidi w:val="0"/>
        <w:spacing w:before="240" w:after="283"/>
        <w:jc w:val="center"/>
        <w:rPr>
          <w:rFonts w:ascii="Arial" w:hAnsi="Arial"/>
          <w:color w:val="000000"/>
          <w:sz w:val="16"/>
        </w:rPr>
      </w:pPr>
      <w:r>
        <w:rPr>
          <w:rFonts w:ascii="Arial" w:hAnsi="Arial"/>
          <w:color w:val="000000"/>
          <w:sz w:val="16"/>
        </w:rPr>
        <w:t>38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7</w:t>
      </w:r>
    </w:p>
    <w:p>
      <w:pPr>
        <w:pStyle w:val="TextBody"/>
        <w:bidi w:val="0"/>
        <w:jc w:val="center"/>
        <w:rPr/>
      </w:pPr>
      <w:r>
        <w:rPr/>
        <w:t> </w:t>
      </w:r>
    </w:p>
    <w:p>
      <w:pPr>
        <w:pStyle w:val="TextBody"/>
        <w:bidi w:val="0"/>
        <w:spacing w:before="180" w:after="283"/>
        <w:jc w:val="both"/>
        <w:rPr>
          <w:rFonts w:ascii="Arial" w:hAnsi="Arial"/>
          <w:color w:val="000000"/>
          <w:sz w:val="20"/>
        </w:rPr>
      </w:pPr>
      <w:r>
        <w:rPr>
          <w:rFonts w:ascii="Arial" w:hAnsi="Arial"/>
          <w:color w:val="000000"/>
          <w:sz w:val="20"/>
        </w:rPr>
        <w:t>Operating income increased $14.1 billion or 20%.</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Cost of revenue increased $2.6 billion or 12% driven by investments in AI infrastructure to support Microsoft 365 Copilot seat and usage growth.</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$16.6 billion or 17% driven by growth in Microsoft 365 Commercial cloud. Gross margin percentage increased slightly primarily driven by efficiency gains in Microsoft 365 Commercial cloud, offset in part by continued investments in AI infrastructure and growing AI product usage.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$2.5 billion or 9% driven by continued investments in research and development compute capacity, AI talent, and data to support product development that benefits the entire portfolio, as well as investments in commercial sales and higher Copilot advertising expenses.</w:t>
      </w:r>
    </w:p>
    <w:p>
      <w:pPr>
        <w:pStyle w:val="TextBody"/>
        <w:bidi w:val="0"/>
        <w:spacing w:before="180" w:after="283"/>
        <w:jc w:val="both"/>
        <w:rPr>
          <w:rFonts w:ascii="Arial" w:hAnsi="Arial"/>
          <w:color w:val="000000"/>
          <w:sz w:val="20"/>
        </w:rPr>
      </w:pPr>
      <w:r>
        <w:rPr>
          <w:rFonts w:ascii="Arial" w:hAnsi="Arial"/>
          <w:color w:val="000000"/>
          <w:sz w:val="20"/>
        </w:rPr>
        <w:t>Revenue, gross margin, and operating income included a favorable foreign currency impact of 2%, 3%, and 3%, respectively.</w:t>
      </w:r>
    </w:p>
    <w:p>
      <w:pPr>
        <w:pStyle w:val="TextBody"/>
        <w:bidi w:val="0"/>
        <w:spacing w:before="270" w:after="283"/>
        <w:jc w:val="left"/>
        <w:rPr>
          <w:rFonts w:ascii="Times New Roman" w:hAnsi="Times New Roman"/>
          <w:sz w:val="20"/>
        </w:rPr>
      </w:pPr>
      <w:r>
        <w:rPr>
          <w:rFonts w:ascii="Arial" w:hAnsi="Arial"/>
          <w:i/>
          <w:color w:val="000000"/>
          <w:sz w:val="20"/>
        </w:rPr>
        <w:t>Intelligent Cloud</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Revenue increased $31.5 billion or 30%.</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Server products and cloud services revenue increased $31.0 billion or 31% driven by Azure and other cloud services. Azure and other cloud services revenue grew 41% driven by demand for services across the platform with continued growth across all workloads. Server products revenue increased 1% primarily driven by higher purchases of licenses running in multi-cloud environments, offset in part by continued customer shift to cloud.</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Enterprise and partner services revenue increased $500 million or 6% driven by growth in Enterprise Support Services.</w:t>
      </w:r>
    </w:p>
    <w:p>
      <w:pPr>
        <w:pStyle w:val="TextBody"/>
        <w:bidi w:val="0"/>
        <w:spacing w:before="180" w:after="283"/>
        <w:jc w:val="both"/>
        <w:rPr>
          <w:rFonts w:ascii="Arial" w:hAnsi="Arial"/>
          <w:color w:val="000000"/>
          <w:sz w:val="20"/>
        </w:rPr>
      </w:pPr>
      <w:r>
        <w:rPr>
          <w:rFonts w:ascii="Arial" w:hAnsi="Arial"/>
          <w:color w:val="000000"/>
          <w:sz w:val="20"/>
        </w:rPr>
        <w:t>Operating income increased $12.4 billion or 28%.</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Cost of revenue increased $17.7 billion or 44% driven by investments in AI infrastructure to support growing customer demand.</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$13.8 billion or 21% driven by growth in Azure. Gross margin percentage decreased driven by the continued investments in AI infrastructure as well as sales mix shift to Azure, offset in part by efficiency gains in Azure.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$1.4 billion or 7% driven by continued investments in research and development compute capacity, AI talent, and data to support product development that benefits the entire portfolio.</w:t>
      </w:r>
    </w:p>
    <w:p>
      <w:pPr>
        <w:pStyle w:val="TextBody"/>
        <w:bidi w:val="0"/>
        <w:spacing w:before="180" w:after="283"/>
        <w:jc w:val="both"/>
        <w:rPr>
          <w:rFonts w:ascii="Arial" w:hAnsi="Arial"/>
          <w:color w:val="000000"/>
          <w:sz w:val="20"/>
        </w:rPr>
      </w:pPr>
      <w:r>
        <w:rPr>
          <w:rFonts w:ascii="Arial" w:hAnsi="Arial"/>
          <w:color w:val="000000"/>
          <w:sz w:val="20"/>
        </w:rPr>
        <w:t>Cost of revenue included an unfavorable foreign currency impact of 2%.</w:t>
      </w:r>
    </w:p>
    <w:p>
      <w:pPr>
        <w:pStyle w:val="TextBody"/>
        <w:bidi w:val="0"/>
        <w:spacing w:before="270" w:after="283"/>
        <w:jc w:val="left"/>
        <w:rPr>
          <w:rFonts w:ascii="Times New Roman" w:hAnsi="Times New Roman"/>
          <w:sz w:val="20"/>
        </w:rPr>
      </w:pPr>
      <w:r>
        <w:rPr>
          <w:rFonts w:ascii="Arial" w:hAnsi="Arial"/>
          <w:i/>
          <w:color w:val="000000"/>
          <w:sz w:val="20"/>
        </w:rPr>
        <w:t>More Personal Computing</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Revenue decreased $597 million or 1%.</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Windows and Devices revenue decreased $230 million or 1%. Windows OEM and Devices revenue decreased slightly driven by a decline in Devices, offset in part by Windows OEM growth of 5% with inventory levels that remained elevated.</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XBOX revenue decreased $1.7 billion or 7% driven by declines in XBOX content and services and XBOX hardware. XBOX content and services revenue decreased 5% on a prior year comparable that benefited from strong first-party content performance, offset in part by growth in XBOX Game Pass. XBOX hardware revenue decreased 29% driven by lower volume of consoles sold.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Search advertising revenue increased $1.3 billion or 9%. Search advertising revenue excluding traffic acquisition costs increased 12% driven by higher search volume and revenue per search, as well as benefit from third-party partnerships.</w:t>
      </w:r>
    </w:p>
    <w:p>
      <w:pPr>
        <w:pStyle w:val="TextBody"/>
        <w:bidi w:val="0"/>
        <w:spacing w:before="240" w:after="283"/>
        <w:jc w:val="center"/>
        <w:rPr>
          <w:rFonts w:ascii="Arial" w:hAnsi="Arial"/>
          <w:color w:val="000000"/>
          <w:sz w:val="16"/>
        </w:rPr>
      </w:pPr>
      <w:r>
        <w:rPr>
          <w:rFonts w:ascii="Arial" w:hAnsi="Arial"/>
          <w:color w:val="000000"/>
          <w:sz w:val="16"/>
        </w:rPr>
        <w:t>39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7</w:t>
      </w:r>
    </w:p>
    <w:p>
      <w:pPr>
        <w:pStyle w:val="TextBody"/>
        <w:bidi w:val="0"/>
        <w:jc w:val="center"/>
        <w:rPr/>
      </w:pPr>
      <w:r>
        <w:rPr/>
        <w:t> </w:t>
      </w:r>
    </w:p>
    <w:p>
      <w:pPr>
        <w:pStyle w:val="TextBody"/>
        <w:bidi w:val="0"/>
        <w:spacing w:before="180" w:after="283"/>
        <w:jc w:val="both"/>
        <w:rPr>
          <w:rFonts w:ascii="Arial" w:hAnsi="Arial"/>
          <w:color w:val="000000"/>
          <w:sz w:val="20"/>
        </w:rPr>
      </w:pPr>
      <w:r>
        <w:rPr>
          <w:rFonts w:ascii="Arial" w:hAnsi="Arial"/>
          <w:color w:val="000000"/>
          <w:sz w:val="20"/>
        </w:rPr>
        <w:t>Operating income increased $220 million or 2%.</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Cost of revenue decreased $1.8 billion or 7% driven by lower hardware sales.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$1.2 billion or 4% driven by growth in Search advertising and Windows OEM. Gross margin percentage increased driven by sales mix shift to higher margin businesses.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$940 million or 6% driven by impairment and other related expenses in our XBOX business and continued investments in research and development compute capacity, AI talent, and data to support product development that benefits the entire portfolio.</w:t>
      </w:r>
    </w:p>
    <w:p>
      <w:pPr>
        <w:pStyle w:val="TextBody"/>
        <w:bidi w:val="0"/>
        <w:spacing w:before="180" w:after="283"/>
        <w:jc w:val="both"/>
        <w:rPr>
          <w:rFonts w:ascii="Arial" w:hAnsi="Arial"/>
          <w:color w:val="000000"/>
          <w:sz w:val="20"/>
        </w:rPr>
      </w:pPr>
      <w:r>
        <w:rPr>
          <w:rFonts w:ascii="Arial" w:hAnsi="Arial"/>
          <w:color w:val="000000"/>
          <w:sz w:val="20"/>
        </w:rPr>
        <w:t>Operating income included a favorable foreign currency impact of 2%.</w:t>
      </w:r>
    </w:p>
    <w:p>
      <w:pPr>
        <w:pStyle w:val="TextBody"/>
        <w:bidi w:val="0"/>
        <w:spacing w:before="270" w:after="283"/>
        <w:jc w:val="center"/>
        <w:rPr>
          <w:rFonts w:ascii="Arial" w:hAnsi="Arial"/>
          <w:color w:val="000000"/>
          <w:sz w:val="20"/>
          <w:u w:val="single"/>
        </w:rPr>
      </w:pPr>
      <w:r>
        <w:rPr>
          <w:rFonts w:ascii="Arial" w:hAnsi="Arial"/>
          <w:color w:val="000000"/>
          <w:sz w:val="20"/>
          <w:u w:val="single"/>
        </w:rPr>
        <w:t>OPERATING EXPENSES</w:t>
      </w:r>
    </w:p>
    <w:p>
      <w:pPr>
        <w:pStyle w:val="TextBody"/>
        <w:bidi w:val="0"/>
        <w:spacing w:before="180" w:after="283"/>
        <w:jc w:val="left"/>
        <w:rPr>
          <w:rFonts w:ascii="Arial" w:hAnsi="Arial"/>
          <w:b/>
          <w:color w:val="000000"/>
          <w:sz w:val="20"/>
        </w:rPr>
      </w:pPr>
      <w:r>
        <w:rPr>
          <w:rFonts w:ascii="Arial" w:hAnsi="Arial"/>
          <w:b/>
          <w:color w:val="000000"/>
          <w:sz w:val="20"/>
        </w:rPr>
        <w:t>Research and Development</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736"/>
        <w:gridCol w:w="146"/>
        <w:gridCol w:w="211"/>
        <w:gridCol w:w="691"/>
        <w:gridCol w:w="146"/>
        <w:gridCol w:w="146"/>
        <w:gridCol w:w="211"/>
        <w:gridCol w:w="691"/>
        <w:gridCol w:w="146"/>
        <w:gridCol w:w="146"/>
        <w:gridCol w:w="264"/>
        <w:gridCol w:w="682"/>
        <w:gridCol w:w="436"/>
      </w:tblGrid>
      <w:tr>
        <w:trPr/>
        <w:tc>
          <w:tcPr>
            <w:tcW w:w="2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7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Percentage</w:t>
              <w:br/>
              <w:t>Change</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1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902" w:type="dxa"/>
            <w:gridSpan w:val="2"/>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902" w:type="dxa"/>
            <w:gridSpan w:val="2"/>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946" w:type="dxa"/>
            <w:gridSpan w:val="2"/>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436" w:type="dxa"/>
            <w:tcBorders>
              <w:top w:val="single" w:sz="4" w:space="0" w:color="000000"/>
            </w:tcBorders>
            <w:tcMar>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Research and development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35,562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32,488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As a percent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Research and development expenses include payroll, stock-based compensation expense, employee benefits, and other headcount-related expenses associated with product development. Research and development expenses also include technology development costs, including AI training and other infrastructure costs, third-party development and programming costs, and the depreciation and amortization of assets used to conduct research and development.</w:t>
      </w:r>
    </w:p>
    <w:p>
      <w:pPr>
        <w:pStyle w:val="TextBody"/>
        <w:bidi w:val="0"/>
        <w:spacing w:before="270" w:after="283"/>
        <w:jc w:val="left"/>
        <w:rPr>
          <w:rFonts w:ascii="Arial" w:hAnsi="Arial"/>
          <w:b/>
          <w:i/>
          <w:color w:val="000000"/>
          <w:sz w:val="20"/>
        </w:rPr>
      </w:pPr>
      <w:r>
        <w:rPr>
          <w:rFonts w:ascii="Arial" w:hAnsi="Arial"/>
          <w:b/>
          <w:i/>
          <w:color w:val="000000"/>
          <w:sz w:val="20"/>
        </w:rPr>
        <w:t>Fiscal Year 2026 Compared with Fiscal Year 2025</w:t>
      </w:r>
    </w:p>
    <w:p>
      <w:pPr>
        <w:pStyle w:val="TextBody"/>
        <w:bidi w:val="0"/>
        <w:spacing w:before="180" w:after="283"/>
        <w:jc w:val="both"/>
        <w:rPr>
          <w:rFonts w:ascii="Arial" w:hAnsi="Arial"/>
          <w:color w:val="000000"/>
          <w:sz w:val="20"/>
        </w:rPr>
      </w:pPr>
      <w:r>
        <w:rPr>
          <w:rFonts w:ascii="Arial" w:hAnsi="Arial"/>
          <w:color w:val="000000"/>
          <w:sz w:val="20"/>
        </w:rPr>
        <w:t>Research and development expenses increased $3.1 billion or 9% driven by continued investments in compute capacity, AI talent, and data to support product development that benefits the entire portfolio, as well as impairment and other related expenses in our XBOX business.</w:t>
      </w:r>
    </w:p>
    <w:p>
      <w:pPr>
        <w:pStyle w:val="TextBody"/>
        <w:bidi w:val="0"/>
        <w:spacing w:before="270" w:after="283"/>
        <w:jc w:val="left"/>
        <w:rPr>
          <w:rFonts w:ascii="Arial" w:hAnsi="Arial"/>
          <w:b/>
          <w:color w:val="000000"/>
          <w:sz w:val="20"/>
        </w:rPr>
      </w:pPr>
      <w:r>
        <w:rPr>
          <w:rFonts w:ascii="Arial" w:hAnsi="Arial"/>
          <w:b/>
          <w:color w:val="000000"/>
          <w:sz w:val="20"/>
        </w:rPr>
        <w:t>Sales and Marketing</w:t>
      </w:r>
    </w:p>
    <w:p>
      <w:pPr>
        <w:pStyle w:val="TextBody"/>
        <w:bidi w:val="0"/>
        <w:jc w:val="left"/>
        <w:rPr/>
      </w:pPr>
      <w:r>
        <w:rPr/>
        <w:t> </w:t>
      </w:r>
    </w:p>
    <w:tbl>
      <w:tblPr>
        <w:tblW w:w="6437" w:type="dxa"/>
        <w:jc w:val="left"/>
        <w:tblInd w:w="0" w:type="dxa"/>
        <w:tblLayout w:type="fixed"/>
        <w:tblCellMar>
          <w:top w:w="28" w:type="dxa"/>
          <w:left w:w="28" w:type="dxa"/>
          <w:bottom w:w="28" w:type="dxa"/>
          <w:right w:w="28" w:type="dxa"/>
        </w:tblCellMar>
      </w:tblPr>
      <w:tblGrid>
        <w:gridCol w:w="2521"/>
        <w:gridCol w:w="146"/>
        <w:gridCol w:w="211"/>
        <w:gridCol w:w="691"/>
        <w:gridCol w:w="146"/>
        <w:gridCol w:w="146"/>
        <w:gridCol w:w="211"/>
        <w:gridCol w:w="691"/>
        <w:gridCol w:w="146"/>
        <w:gridCol w:w="146"/>
        <w:gridCol w:w="264"/>
        <w:gridCol w:w="682"/>
        <w:gridCol w:w="43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Percentage</w:t>
              <w:br/>
              <w:t>Change</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5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Sales and marketing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26,710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25,654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As a percent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Sales and marketing expenses include payroll, stock-based compensation expense, employee benefits, and other headcount-related expenses associated with sales and marketing personnel, and the costs of advertising, promotions, trade shows, seminars, and other programs.</w:t>
      </w:r>
    </w:p>
    <w:p>
      <w:pPr>
        <w:pStyle w:val="TextBody"/>
        <w:bidi w:val="0"/>
        <w:spacing w:before="270" w:after="283"/>
        <w:jc w:val="left"/>
        <w:rPr>
          <w:rFonts w:ascii="Arial" w:hAnsi="Arial"/>
          <w:b/>
          <w:i/>
          <w:color w:val="000000"/>
          <w:sz w:val="20"/>
        </w:rPr>
      </w:pPr>
      <w:r>
        <w:rPr>
          <w:rFonts w:ascii="Arial" w:hAnsi="Arial"/>
          <w:b/>
          <w:i/>
          <w:color w:val="000000"/>
          <w:sz w:val="20"/>
        </w:rPr>
        <w:t>Fiscal Year 2026 Compared with Fiscal Year 2025</w:t>
      </w:r>
    </w:p>
    <w:p>
      <w:pPr>
        <w:pStyle w:val="TextBody"/>
        <w:bidi w:val="0"/>
        <w:spacing w:before="180" w:after="283"/>
        <w:jc w:val="both"/>
        <w:rPr>
          <w:rFonts w:ascii="Times New Roman" w:hAnsi="Times New Roman"/>
          <w:sz w:val="20"/>
        </w:rPr>
      </w:pPr>
      <w:r>
        <w:rPr>
          <w:rFonts w:ascii="Arial" w:hAnsi="Arial"/>
          <w:color w:val="000000"/>
          <w:sz w:val="20"/>
        </w:rPr>
        <w:t>Sales and marketing expenses increased $1.1 billion or 4% driven by investments in commercial sales and higher Copilot advertising expenses.</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General and Administrative</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2691"/>
        <w:gridCol w:w="146"/>
        <w:gridCol w:w="211"/>
        <w:gridCol w:w="586"/>
        <w:gridCol w:w="146"/>
        <w:gridCol w:w="146"/>
        <w:gridCol w:w="211"/>
        <w:gridCol w:w="586"/>
        <w:gridCol w:w="146"/>
        <w:gridCol w:w="146"/>
        <w:gridCol w:w="264"/>
        <w:gridCol w:w="682"/>
        <w:gridCol w:w="436"/>
      </w:tblGrid>
      <w:tr>
        <w:trPr/>
        <w:tc>
          <w:tcPr>
            <w:tcW w:w="2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69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Arial" w:hAnsi="Arial"/>
                <w:b/>
                <w:color w:val="000000"/>
                <w:sz w:val="15"/>
              </w:rPr>
              <w:t>Percentage</w:t>
              <w:br/>
              <w:t>Change</w:t>
            </w:r>
            <w:r>
              <w:rPr>
                <w:rFonts w:ascii="Times New Roman" w:hAnsi="Times New Roman"/>
                <w:color w:val="000000"/>
                <w:sz w:val="15"/>
              </w:rPr>
              <w:t xml:space="preserve">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6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General and administrative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7,956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69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As a percent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General and administrative expenses include payroll, employee benefits, stock-based compensation expense, and other headcount-related expenses associated with finance, legal, facilities, certain human resources and other administrative personnel, certain taxes, and legal and other administrative fees.</w:t>
      </w:r>
    </w:p>
    <w:p>
      <w:pPr>
        <w:pStyle w:val="TextBody"/>
        <w:bidi w:val="0"/>
        <w:spacing w:before="240" w:after="283"/>
        <w:jc w:val="center"/>
        <w:rPr>
          <w:rFonts w:ascii="Arial" w:hAnsi="Arial"/>
          <w:color w:val="000000"/>
          <w:sz w:val="16"/>
        </w:rPr>
      </w:pPr>
      <w:r>
        <w:rPr>
          <w:rFonts w:ascii="Arial" w:hAnsi="Arial"/>
          <w:color w:val="000000"/>
          <w:sz w:val="16"/>
        </w:rPr>
        <w:t>40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7</w:t>
      </w:r>
    </w:p>
    <w:p>
      <w:pPr>
        <w:pStyle w:val="TextBody"/>
        <w:bidi w:val="0"/>
        <w:jc w:val="center"/>
        <w:rPr/>
      </w:pPr>
      <w:r>
        <w:rPr/>
        <w:t> </w:t>
      </w:r>
    </w:p>
    <w:p>
      <w:pPr>
        <w:pStyle w:val="TextBody"/>
        <w:bidi w:val="0"/>
        <w:spacing w:before="270" w:after="283"/>
        <w:jc w:val="left"/>
        <w:rPr>
          <w:rFonts w:ascii="Arial" w:hAnsi="Arial"/>
          <w:b/>
          <w:i/>
          <w:color w:val="000000"/>
          <w:sz w:val="20"/>
        </w:rPr>
      </w:pPr>
      <w:r>
        <w:rPr>
          <w:rFonts w:ascii="Arial" w:hAnsi="Arial"/>
          <w:b/>
          <w:i/>
          <w:color w:val="000000"/>
          <w:sz w:val="20"/>
        </w:rPr>
        <w:t>Fiscal Year 2026 Compared with Fiscal Year 2025</w:t>
      </w:r>
    </w:p>
    <w:p>
      <w:pPr>
        <w:pStyle w:val="TextBody"/>
        <w:bidi w:val="0"/>
        <w:spacing w:before="180" w:after="283"/>
        <w:jc w:val="both"/>
        <w:rPr>
          <w:rFonts w:ascii="Arial" w:hAnsi="Arial"/>
          <w:color w:val="000000"/>
          <w:sz w:val="20"/>
        </w:rPr>
      </w:pPr>
      <w:r>
        <w:rPr>
          <w:rFonts w:ascii="Arial" w:hAnsi="Arial"/>
          <w:color w:val="000000"/>
          <w:sz w:val="20"/>
        </w:rPr>
        <w:t>General and administrative expenses increased $733 million or 10% driven by higher legal expenses and gains on divestitures in the prior period.</w:t>
      </w:r>
    </w:p>
    <w:p>
      <w:pPr>
        <w:pStyle w:val="TextBody"/>
        <w:bidi w:val="0"/>
        <w:spacing w:before="270" w:after="283"/>
        <w:jc w:val="center"/>
        <w:rPr>
          <w:rFonts w:ascii="Times New Roman" w:hAnsi="Times New Roman"/>
          <w:sz w:val="20"/>
        </w:rPr>
      </w:pPr>
      <w:r>
        <w:rPr>
          <w:rFonts w:ascii="Arial" w:hAnsi="Arial"/>
          <w:color w:val="000000"/>
          <w:sz w:val="20"/>
          <w:u w:val="single"/>
        </w:rPr>
        <w:t>OTHER INCOME (EXPENSE), NET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components of other income (expense), net were as follows:</w:t>
      </w:r>
      <w:r>
        <w:rPr>
          <w:rFonts w:ascii="Times New Roman" w:hAnsi="Times New Roman"/>
          <w:color w:val="000000"/>
          <w:sz w:val="20"/>
        </w:rPr>
        <w:t xml:space="preserve"> </w:t>
      </w:r>
    </w:p>
    <w:p>
      <w:pPr>
        <w:pStyle w:val="TextBody"/>
        <w:bidi w:val="0"/>
        <w:jc w:val="left"/>
        <w:rPr/>
      </w:pPr>
      <w:r>
        <w:rPr/>
        <w:t> </w:t>
      </w:r>
    </w:p>
    <w:tbl>
      <w:tblPr>
        <w:tblW w:w="8079" w:type="dxa"/>
        <w:jc w:val="left"/>
        <w:tblInd w:w="0" w:type="dxa"/>
        <w:tblLayout w:type="fixed"/>
        <w:tblCellMar>
          <w:top w:w="28" w:type="dxa"/>
          <w:left w:w="28" w:type="dxa"/>
          <w:bottom w:w="28" w:type="dxa"/>
          <w:right w:w="28" w:type="dxa"/>
        </w:tblCellMar>
      </w:tblPr>
      <w:tblGrid>
        <w:gridCol w:w="5181"/>
        <w:gridCol w:w="146"/>
        <w:gridCol w:w="211"/>
        <w:gridCol w:w="691"/>
        <w:gridCol w:w="166"/>
        <w:gridCol w:w="146"/>
        <w:gridCol w:w="211"/>
        <w:gridCol w:w="646"/>
        <w:gridCol w:w="681"/>
      </w:tblGrid>
      <w:tr>
        <w:trPr/>
        <w:tc>
          <w:tcPr>
            <w:tcW w:w="5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1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8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and dividends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expense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(3,051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(2,385</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recognized gains (losses) on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4,385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r>
      <w:tr>
        <w:trPr/>
        <w:tc>
          <w:tcPr>
            <w:tcW w:w="51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on derivatives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1,867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on foreign currency remeasurements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4,722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(4,725</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2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2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1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10,697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(4,901</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r>
      <w:tr>
        <w:trPr/>
        <w:tc>
          <w:tcPr>
            <w:tcW w:w="5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We use derivative instruments to manage risks related to foreign currencies, interest rates, equity prices, and credit; to enhance investment returns; and to facilitate portfolio diversification. Gains and losses from changes in fair values of derivatives that are not designated as hedging instruments are primarily recognized in other income (expense), net.</w:t>
      </w:r>
    </w:p>
    <w:p>
      <w:pPr>
        <w:pStyle w:val="TextBody"/>
        <w:bidi w:val="0"/>
        <w:spacing w:before="180" w:after="283"/>
        <w:jc w:val="both"/>
        <w:rPr>
          <w:rFonts w:ascii="Arial" w:hAnsi="Arial"/>
          <w:color w:val="000000"/>
          <w:sz w:val="20"/>
        </w:rPr>
      </w:pPr>
      <w:r>
        <w:rPr>
          <w:rFonts w:ascii="Arial" w:hAnsi="Arial"/>
          <w:color w:val="000000"/>
          <w:sz w:val="20"/>
        </w:rPr>
        <w:t>Other income (expense), net included $6.5 billion of net gains and $4.8 billion of net losses for fiscal years 2026 and 2025, respectively, from investments in OpenAI, primarily net recognized gains (losses) on our equity method investment reflected in Other, net. The net gains recorded for fiscal year 2026 primarily relate to the dilution gain from the OpenAI Recapitalization.</w:t>
      </w:r>
    </w:p>
    <w:p>
      <w:pPr>
        <w:pStyle w:val="TextBody"/>
        <w:bidi w:val="0"/>
        <w:spacing w:before="270" w:after="283"/>
        <w:jc w:val="left"/>
        <w:rPr>
          <w:rFonts w:ascii="Arial" w:hAnsi="Arial"/>
          <w:b/>
          <w:i/>
          <w:color w:val="000000"/>
          <w:sz w:val="20"/>
        </w:rPr>
      </w:pPr>
      <w:r>
        <w:rPr>
          <w:rFonts w:ascii="Arial" w:hAnsi="Arial"/>
          <w:b/>
          <w:i/>
          <w:color w:val="000000"/>
          <w:sz w:val="20"/>
        </w:rPr>
        <w:t>Fiscal Year 2026 Compared with Fiscal Year 2025</w:t>
      </w:r>
    </w:p>
    <w:p>
      <w:pPr>
        <w:pStyle w:val="TextBody"/>
        <w:bidi w:val="0"/>
        <w:spacing w:before="180" w:after="283"/>
        <w:jc w:val="both"/>
        <w:rPr>
          <w:rFonts w:ascii="Arial" w:hAnsi="Arial"/>
          <w:color w:val="000000"/>
          <w:sz w:val="20"/>
        </w:rPr>
      </w:pPr>
      <w:r>
        <w:rPr>
          <w:rFonts w:ascii="Arial" w:hAnsi="Arial"/>
          <w:color w:val="000000"/>
          <w:sz w:val="20"/>
        </w:rPr>
        <w:t>Interest and dividends income increased primarily due to higher portfolio balances and higher yields on debt securities. Interest expense increased primarily due to higher finance lease interest expense, offset in part by higher capitalization of debt interest expense. Net recognized gains on investments increased primarily due to higher gains on equity securities and lower impairments in the current period. Net gains on derivatives increased primarily due to gains on equity derivatives in the current period as compared to losses in the prior period. Other, net primarily reflects net recognized gains on equity method investments, including OpenAI.</w:t>
      </w:r>
    </w:p>
    <w:p>
      <w:pPr>
        <w:pStyle w:val="TextBody"/>
        <w:bidi w:val="0"/>
        <w:spacing w:before="270" w:after="283"/>
        <w:jc w:val="center"/>
        <w:rPr>
          <w:rFonts w:ascii="Times New Roman" w:hAnsi="Times New Roman"/>
          <w:sz w:val="20"/>
        </w:rPr>
      </w:pPr>
      <w:r>
        <w:rPr>
          <w:rFonts w:ascii="Arial" w:hAnsi="Arial"/>
          <w:color w:val="000000"/>
          <w:sz w:val="20"/>
          <w:u w:val="single"/>
        </w:rPr>
        <w:t>INCOME TAXES</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r>
        <w:rPr>
          <w:rFonts w:ascii="Arial" w:hAnsi="Arial"/>
          <w:b/>
          <w:color w:val="000000"/>
          <w:sz w:val="20"/>
        </w:rPr>
        <w:t>Effective Tax Rate</w:t>
      </w:r>
    </w:p>
    <w:p>
      <w:pPr>
        <w:pStyle w:val="TextBody"/>
        <w:bidi w:val="0"/>
        <w:spacing w:before="180" w:after="283"/>
        <w:jc w:val="both"/>
        <w:rPr>
          <w:rFonts w:ascii="Arial" w:hAnsi="Arial"/>
          <w:color w:val="000000"/>
          <w:sz w:val="20"/>
        </w:rPr>
      </w:pPr>
      <w:r>
        <w:rPr>
          <w:rFonts w:ascii="Arial" w:hAnsi="Arial"/>
          <w:color w:val="000000"/>
          <w:sz w:val="20"/>
        </w:rPr>
        <w:t>Our effective tax rate for fiscal years 2026 and 2025 was 19% and 18%, respectively. The increase in our effective tax rate was primarily due to changes in the mix of our earnings and tax expenses between the U.S. and foreign countries.</w:t>
      </w:r>
    </w:p>
    <w:p>
      <w:pPr>
        <w:pStyle w:val="TextBody"/>
        <w:bidi w:val="0"/>
        <w:spacing w:before="180" w:after="283"/>
        <w:jc w:val="both"/>
        <w:rPr>
          <w:rFonts w:ascii="Arial" w:hAnsi="Arial"/>
          <w:color w:val="000000"/>
          <w:sz w:val="20"/>
        </w:rPr>
      </w:pPr>
      <w:r>
        <w:rPr>
          <w:rFonts w:ascii="Arial" w:hAnsi="Arial"/>
          <w:color w:val="000000"/>
          <w:sz w:val="20"/>
        </w:rPr>
        <w:t>Our effective tax rate was lower than the U.S. federal statutory rate, primarily due to earnings taxed at lower rates in foreign jurisdictions resulting from producing and distributing our products and services through our foreign regional operations center in Ireland.</w:t>
      </w:r>
    </w:p>
    <w:p>
      <w:pPr>
        <w:pStyle w:val="TextBody"/>
        <w:bidi w:val="0"/>
        <w:spacing w:before="180" w:after="283"/>
        <w:jc w:val="both"/>
        <w:rPr>
          <w:rFonts w:ascii="Arial" w:hAnsi="Arial"/>
          <w:color w:val="000000"/>
          <w:sz w:val="20"/>
        </w:rPr>
      </w:pPr>
      <w:r>
        <w:rPr>
          <w:rFonts w:ascii="Arial" w:hAnsi="Arial"/>
          <w:color w:val="000000"/>
          <w:sz w:val="20"/>
        </w:rPr>
        <w:t>The mix of income before income taxes between the U.S. and foreign countries impacted our effective tax rate as a result of the geographic distribution of, and customer demand for, our products and services. In fiscal year 2026, our U.S. income before income taxes was $103.6 billion and our foreign income before income taxes was $62.3 billion. In fiscal year 2025, our U.S. income before income taxes was $69.2 billion and our foreign income before income taxes was $54.4 billion.</w:t>
      </w:r>
    </w:p>
    <w:p>
      <w:pPr>
        <w:pStyle w:val="TextBody"/>
        <w:bidi w:val="0"/>
        <w:spacing w:before="240" w:after="283"/>
        <w:jc w:val="center"/>
        <w:rPr>
          <w:rFonts w:ascii="Arial" w:hAnsi="Arial"/>
          <w:color w:val="000000"/>
          <w:sz w:val="16"/>
        </w:rPr>
      </w:pPr>
      <w:r>
        <w:rPr>
          <w:rFonts w:ascii="Arial" w:hAnsi="Arial"/>
          <w:color w:val="000000"/>
          <w:sz w:val="16"/>
        </w:rPr>
        <w:t>41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7</w:t>
      </w:r>
    </w:p>
    <w:p>
      <w:pPr>
        <w:pStyle w:val="TextBody"/>
        <w:bidi w:val="0"/>
        <w:jc w:val="center"/>
        <w:rPr/>
      </w:pPr>
      <w:r>
        <w:rPr/>
        <w:t> </w:t>
      </w:r>
    </w:p>
    <w:p>
      <w:pPr>
        <w:pStyle w:val="TextBody"/>
        <w:bidi w:val="0"/>
        <w:spacing w:before="270" w:after="283"/>
        <w:jc w:val="left"/>
        <w:rPr>
          <w:rFonts w:ascii="Arial" w:hAnsi="Arial"/>
          <w:b/>
          <w:color w:val="000000"/>
          <w:sz w:val="20"/>
        </w:rPr>
      </w:pPr>
      <w:r>
        <w:rPr>
          <w:rFonts w:ascii="Arial" w:hAnsi="Arial"/>
          <w:b/>
          <w:color w:val="000000"/>
          <w:sz w:val="20"/>
        </w:rPr>
        <w:t>Uncertain Tax Positions</w:t>
      </w:r>
    </w:p>
    <w:p>
      <w:pPr>
        <w:pStyle w:val="TextBody"/>
        <w:bidi w:val="0"/>
        <w:spacing w:before="180" w:after="283"/>
        <w:jc w:val="both"/>
        <w:rPr>
          <w:rFonts w:ascii="Times New Roman" w:hAnsi="Times New Roman"/>
          <w:sz w:val="20"/>
        </w:rPr>
      </w:pPr>
      <w:r>
        <w:rPr>
          <w:rFonts w:ascii="Arial" w:hAnsi="Arial"/>
          <w:color w:val="000000"/>
          <w:sz w:val="20"/>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 billion plus penalties and interest. As of June 30, 2026, we believe our allowances for income tax contingencies are adequate. We disagree with the proposed adjustments and will vigorously contest the NOPAs through the IRS’s administrative appeals office and, if necessary, judicial proceedings.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are subject to income tax in many jurisdictions outside the U.S., some of which are currently under audit by local tax authorities. The resolution of these audits is not expected to be material to our consolidated financial statements. Our operations in Ireland remain subject to examination for tax years 2021 and thereafter.</w:t>
      </w:r>
    </w:p>
    <w:p>
      <w:pPr>
        <w:pStyle w:val="TextBody"/>
        <w:bidi w:val="0"/>
        <w:spacing w:before="270" w:after="283"/>
        <w:jc w:val="center"/>
        <w:rPr>
          <w:rFonts w:ascii="Arial" w:hAnsi="Arial"/>
          <w:color w:val="000000"/>
          <w:sz w:val="20"/>
          <w:u w:val="single"/>
        </w:rPr>
      </w:pPr>
      <w:r>
        <w:rPr>
          <w:rFonts w:ascii="Arial" w:hAnsi="Arial"/>
          <w:color w:val="000000"/>
          <w:sz w:val="20"/>
          <w:u w:val="single"/>
        </w:rPr>
        <w:t>NON-GAAP FINANCIAL MEASURES</w:t>
      </w:r>
    </w:p>
    <w:p>
      <w:pPr>
        <w:pStyle w:val="TextBody"/>
        <w:bidi w:val="0"/>
        <w:spacing w:before="180" w:after="283"/>
        <w:jc w:val="both"/>
        <w:rPr>
          <w:rFonts w:ascii="Arial" w:hAnsi="Arial"/>
          <w:color w:val="000000"/>
          <w:sz w:val="20"/>
        </w:rPr>
      </w:pPr>
      <w:r>
        <w:rPr>
          <w:rFonts w:ascii="Arial" w:hAnsi="Arial"/>
          <w:color w:val="000000"/>
          <w:sz w:val="20"/>
        </w:rPr>
        <w:t>Adjusted other income (expense), net, adjusted net income, and adjusted diluted EPS are non-GAAP financial measures which exclude net (gains) losses from investments in OpenAI. We believe these non-GAAP measures aid investors by providing additional insight into our financial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pStyle w:val="TextBody"/>
        <w:bidi w:val="0"/>
        <w:spacing w:before="180" w:after="283"/>
        <w:jc w:val="both"/>
        <w:rPr>
          <w:rFonts w:ascii="Arial" w:hAnsi="Arial"/>
          <w:color w:val="000000"/>
          <w:sz w:val="20"/>
        </w:rPr>
      </w:pPr>
      <w:r>
        <w:rPr>
          <w:rFonts w:ascii="Arial" w:hAnsi="Arial"/>
          <w:color w:val="000000"/>
          <w:sz w:val="20"/>
        </w:rPr>
        <w:t>The following table reconciles our financial results reported in accordance with GAAP to non-GAAP financial results: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48"/>
        <w:gridCol w:w="146"/>
        <w:gridCol w:w="211"/>
        <w:gridCol w:w="796"/>
        <w:gridCol w:w="166"/>
        <w:gridCol w:w="146"/>
        <w:gridCol w:w="211"/>
        <w:gridCol w:w="796"/>
        <w:gridCol w:w="166"/>
        <w:gridCol w:w="146"/>
        <w:gridCol w:w="211"/>
        <w:gridCol w:w="691"/>
        <w:gridCol w:w="166"/>
        <w:gridCol w:w="146"/>
        <w:gridCol w:w="1172"/>
        <w:gridCol w:w="146"/>
        <w:gridCol w:w="146"/>
        <w:gridCol w:w="1172"/>
        <w:gridCol w:w="139"/>
        <w:gridCol w:w="484"/>
      </w:tblGrid>
      <w:tr>
        <w:trPr/>
        <w:tc>
          <w:tcPr>
            <w:tcW w:w="2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2948" w:type="dxa"/>
            <w:tcBorders/>
            <w:tcMar>
              <w:top w:w="0" w:type="dxa"/>
              <w:left w:w="0" w:type="dxa"/>
              <w:bottom w:w="0" w:type="dxa"/>
              <w:right w:w="0" w:type="dxa"/>
            </w:tcMar>
            <w:vAlign w:val="center"/>
          </w:tcPr>
          <w:p>
            <w:pPr>
              <w:pStyle w:val="TableContents"/>
              <w:bidi w:val="0"/>
              <w:spacing w:before="0" w:after="283"/>
              <w:ind w:left="0" w:right="0" w:firstLine="245"/>
              <w:jc w:val="both"/>
              <w:rPr>
                <w:rFonts w:ascii="Times New Roman" w:hAnsi="Times New Roman"/>
                <w:sz w:val="20"/>
              </w:rPr>
            </w:pPr>
            <w:r>
              <w:rPr>
                <w:rFonts w:ascii="Arial" w:hAnsi="Arial"/>
                <w:b/>
                <w:color w:val="000000"/>
                <w:sz w:val="15"/>
              </w:rPr>
              <w:t>(In millions, except percentages</w:t>
            </w:r>
            <w:r>
              <w:rPr>
                <w:rFonts w:ascii="Times New Roman" w:hAnsi="Times New Roman"/>
                <w:color w:val="000000"/>
                <w:sz w:val="20"/>
              </w:rPr>
              <w:t xml:space="preserve"> </w:t>
            </w:r>
            <w:r>
              <w:rPr>
                <w:rFonts w:ascii="Arial" w:hAnsi="Arial"/>
                <w:b/>
                <w:color w:val="000000"/>
                <w:sz w:val="15"/>
              </w:rPr>
              <w:t>and per share amounts)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Percentage</w:t>
              <w:br/>
              <w:t>Change 2026 Versus 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Percentage</w:t>
              <w:br/>
              <w:t>Change 2025 Versus 2024</w:t>
            </w:r>
          </w:p>
        </w:tc>
        <w:tc>
          <w:tcPr>
            <w:tcW w:w="62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0"/>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721" w:type="dxa"/>
            <w:gridSpan w:val="1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94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income (expense),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10,697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w:t>
            </w:r>
          </w:p>
        </w:tc>
        <w:tc>
          <w:tcPr>
            <w:tcW w:w="623" w:type="dxa"/>
            <w:gridSpan w:val="2"/>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9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from investments in OpenAI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(6,530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w:t>
            </w:r>
          </w:p>
        </w:tc>
        <w:tc>
          <w:tcPr>
            <w:tcW w:w="62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4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gridSpan w:val="2"/>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2948"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Adjusted other income (expense), net (non-GAAP)</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4,167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3,120%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623" w:type="dxa"/>
            <w:gridSpan w:val="2"/>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9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133,749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101,832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88,136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623"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94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Net (gains) losses from investments in OpenAI, net of tax of </w:t>
            </w:r>
            <w:r>
              <w:rPr>
                <w:rFonts w:ascii="Arial" w:hAnsi="Arial"/>
                <w:b/>
                <w:color w:val="000000"/>
                <w:sz w:val="20"/>
              </w:rPr>
              <w:t>$1,567</w:t>
            </w: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$(1,143), and $(356)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(4,963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w:t>
            </w:r>
          </w:p>
        </w:tc>
        <w:tc>
          <w:tcPr>
            <w:tcW w:w="623" w:type="dxa"/>
            <w:gridSpan w:val="2"/>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2948"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Adjusted net income (non-GAAP)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128,786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105,452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89,262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62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94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Diluted earnings per share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17.95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623" w:type="dxa"/>
            <w:gridSpan w:val="2"/>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29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from investments in OpenAI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(0.67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w:t>
            </w:r>
          </w:p>
        </w:tc>
        <w:tc>
          <w:tcPr>
            <w:tcW w:w="623"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94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2948"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Adjusted diluted earnings per share (non-GAAP)</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17.28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623" w:type="dxa"/>
            <w:gridSpan w:val="2"/>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left"/>
              <w:rPr/>
            </w:pPr>
            <w:r>
              <w:rPr/>
              <w:t> </w:t>
            </w:r>
          </w:p>
        </w:tc>
        <w:tc>
          <w:tcPr>
            <w:tcW w:w="62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LIQUIDITY AND CAPITAL RESOURCES</w:t>
      </w:r>
    </w:p>
    <w:p>
      <w:pPr>
        <w:pStyle w:val="TextBody"/>
        <w:bidi w:val="0"/>
        <w:spacing w:before="180" w:after="283"/>
        <w:jc w:val="both"/>
        <w:rPr>
          <w:rFonts w:ascii="Times New Roman" w:hAnsi="Times New Roman"/>
          <w:sz w:val="20"/>
        </w:rPr>
      </w:pPr>
      <w:r>
        <w:rPr>
          <w:rFonts w:ascii="Arial" w:hAnsi="Arial"/>
          <w:color w:val="000000"/>
          <w:sz w:val="20"/>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and material capital expenditures, for at least the next 12 months and thereafter for the foreseeable future.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42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7</w:t>
      </w:r>
    </w:p>
    <w:p>
      <w:pPr>
        <w:pStyle w:val="TextBody"/>
        <w:bidi w:val="0"/>
        <w:jc w:val="center"/>
        <w:rPr/>
      </w:pPr>
      <w:r>
        <w:rPr/>
        <w:t> </w:t>
      </w:r>
    </w:p>
    <w:p>
      <w:pPr>
        <w:pStyle w:val="TextBody"/>
        <w:bidi w:val="0"/>
        <w:spacing w:before="270" w:after="283"/>
        <w:jc w:val="left"/>
        <w:rPr>
          <w:rFonts w:ascii="Times New Roman" w:hAnsi="Times New Roman"/>
          <w:sz w:val="20"/>
        </w:rPr>
      </w:pPr>
      <w:r>
        <w:rPr>
          <w:rFonts w:ascii="Arial" w:hAnsi="Arial"/>
          <w:b/>
          <w:color w:val="000000"/>
          <w:sz w:val="20"/>
        </w:rPr>
        <w:t>Cash, Cash Equivalents, and Investments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Cash, cash equivalents, and short-term investments totaled $76.8 billion and $94.6 billion as of June 30, 2026 and 2025, respectively. Equity and other investments were $36.3 billion and $15.4 billion as of June 30, 2026 and 2025,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Valuation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Cash Flows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Cash from operations increased $46.8 billion to $182.9 billion for fiscal year 2026, primarily due to an increase in cash received from customers and a decrease in cash used to pay income taxes, offset in part by an increase in cash paid to suppliers. Cash used in financing increased $847 million to $52.5 billion for fiscal year 2026, primarily due to a $6.0 billion decrease in cash used for repayments of debt, offset in part by a $3.9 billion increase in common stock repurchases and a $2.4 billion increase in dividends paid. Cash used in investing increased $66.9 billion to $139.5 billion for fiscal year 2026, primarily due to a $51.4 billion increase in additions to property and equipment and a $22.2 billion increase in cash used in other investing primarily to facilitate the purchase of components, offset in part by a $4.2 billion decrease in cash used in the acquisition of companies, net of cash acquired and divestitures, and purchases of intangible and other assets and a $2.4 billion decrease in cash used in net investment purchases, sales, and maturities.</w:t>
      </w:r>
    </w:p>
    <w:p>
      <w:pPr>
        <w:pStyle w:val="TextBody"/>
        <w:bidi w:val="0"/>
        <w:spacing w:before="270" w:after="283"/>
        <w:jc w:val="left"/>
        <w:rPr>
          <w:rFonts w:ascii="Arial" w:hAnsi="Arial"/>
          <w:b/>
          <w:color w:val="000000"/>
          <w:sz w:val="20"/>
        </w:rPr>
      </w:pPr>
      <w:r>
        <w:rPr>
          <w:rFonts w:ascii="Arial" w:hAnsi="Arial"/>
          <w:b/>
          <w:color w:val="000000"/>
          <w:sz w:val="20"/>
        </w:rPr>
        <w:t>Debt Proceeds</w:t>
      </w:r>
    </w:p>
    <w:p>
      <w:pPr>
        <w:pStyle w:val="TextBody"/>
        <w:bidi w:val="0"/>
        <w:spacing w:before="180" w:after="283"/>
        <w:jc w:val="both"/>
        <w:rPr>
          <w:rFonts w:ascii="Arial" w:hAnsi="Arial"/>
          <w:color w:val="000000"/>
          <w:sz w:val="20"/>
        </w:rPr>
      </w:pPr>
      <w:r>
        <w:rPr>
          <w:rFonts w:ascii="Arial" w:hAnsi="Arial"/>
          <w:color w:val="000000"/>
          <w:sz w:val="20"/>
        </w:rPr>
        <w:t>We issue debt to take advantage of favorable pricing and liquidity in the debt markets, reflecting our credit rating. The proceeds of these issuances were or will be used for general corporate purposes, which may include, among other things, funding for working capital, capital expenditures, repurchases of capital stock, acquisitions, and repayment of existing debt. Refer to Note 10 – Debt of the Notes to Financial Statements (Part II, Item 8 of this Form 10-K).</w:t>
      </w:r>
    </w:p>
    <w:p>
      <w:pPr>
        <w:pStyle w:val="TextBody"/>
        <w:bidi w:val="0"/>
        <w:spacing w:before="240" w:after="283"/>
        <w:jc w:val="center"/>
        <w:rPr>
          <w:rFonts w:ascii="Arial" w:hAnsi="Arial"/>
          <w:color w:val="000000"/>
          <w:sz w:val="16"/>
        </w:rPr>
      </w:pPr>
      <w:r>
        <w:rPr>
          <w:rFonts w:ascii="Arial" w:hAnsi="Arial"/>
          <w:color w:val="000000"/>
          <w:sz w:val="16"/>
        </w:rPr>
        <w:t>43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7</w:t>
      </w:r>
    </w:p>
    <w:p>
      <w:pPr>
        <w:pStyle w:val="TextBody"/>
        <w:bidi w:val="0"/>
        <w:jc w:val="center"/>
        <w:rPr/>
      </w:pPr>
      <w:r>
        <w:rPr/>
        <w:t> </w:t>
      </w:r>
    </w:p>
    <w:p>
      <w:pPr>
        <w:pStyle w:val="TextBody"/>
        <w:bidi w:val="0"/>
        <w:spacing w:before="270" w:after="283"/>
        <w:jc w:val="left"/>
        <w:rPr>
          <w:rFonts w:ascii="Times New Roman" w:hAnsi="Times New Roman"/>
          <w:sz w:val="20"/>
        </w:rPr>
      </w:pPr>
      <w:r>
        <w:rPr>
          <w:rFonts w:ascii="Arial" w:hAnsi="Arial"/>
          <w:b/>
          <w:color w:val="000000"/>
          <w:sz w:val="20"/>
        </w:rPr>
        <w:t>Unearned Revenue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Unearned revenue comprises mainly unearned revenue related to volume licensing programs, which may include cloud services and Software Assurance (“SA”).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 Refer to Note 1 – Accounting Policies of the Notes to Financial Statements (Part II, Item 8 of this Form 10-K).</w:t>
      </w:r>
    </w:p>
    <w:p>
      <w:pPr>
        <w:pStyle w:val="TextBody"/>
        <w:bidi w:val="0"/>
        <w:spacing w:before="180" w:after="283"/>
        <w:jc w:val="both"/>
        <w:rPr>
          <w:rFonts w:ascii="Arial" w:hAnsi="Arial"/>
          <w:color w:val="000000"/>
          <w:sz w:val="20"/>
        </w:rPr>
      </w:pPr>
      <w:r>
        <w:rPr>
          <w:rFonts w:ascii="Arial" w:hAnsi="Arial"/>
          <w:color w:val="000000"/>
          <w:sz w:val="20"/>
        </w:rPr>
        <w:t>The following table outlines the expected future recognition of unearned revenue as of June 30, 2026:</w:t>
      </w:r>
    </w:p>
    <w:p>
      <w:pPr>
        <w:pStyle w:val="TextBody"/>
        <w:bidi w:val="0"/>
        <w:jc w:val="both"/>
        <w:rPr/>
      </w:pPr>
      <w:r>
        <w:rPr/>
        <w:t> </w:t>
      </w:r>
    </w:p>
    <w:tbl>
      <w:tblPr>
        <w:tblW w:w="3813" w:type="dxa"/>
        <w:jc w:val="left"/>
        <w:tblInd w:w="0" w:type="dxa"/>
        <w:tblLayout w:type="fixed"/>
        <w:tblCellMar>
          <w:top w:w="28" w:type="dxa"/>
          <w:left w:w="28" w:type="dxa"/>
          <w:bottom w:w="28" w:type="dxa"/>
          <w:right w:w="28" w:type="dxa"/>
        </w:tblCellMar>
      </w:tblPr>
      <w:tblGrid>
        <w:gridCol w:w="2121"/>
        <w:gridCol w:w="109"/>
        <w:gridCol w:w="211"/>
        <w:gridCol w:w="691"/>
        <w:gridCol w:w="681"/>
      </w:tblGrid>
      <w:tr>
        <w:trPr/>
        <w:tc>
          <w:tcPr>
            <w:tcW w:w="2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1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Three Months Ending</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1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September 30, 2026</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28,589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1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December 31,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22,556</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1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March 31, 2027</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15,457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1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June 30, 2027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6,363</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1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Thereafter</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2,747</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32"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12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75,712</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 Refer to Note 12 – Unearned Revenue of the Notes to Financial Statements (Part II, Item 8 of this Form 10-K).</w:t>
      </w:r>
    </w:p>
    <w:p>
      <w:pPr>
        <w:pStyle w:val="TextBody"/>
        <w:bidi w:val="0"/>
        <w:spacing w:before="270" w:after="283"/>
        <w:jc w:val="left"/>
        <w:rPr>
          <w:rFonts w:ascii="Arial" w:hAnsi="Arial"/>
          <w:b/>
          <w:color w:val="000000"/>
          <w:sz w:val="20"/>
        </w:rPr>
      </w:pPr>
      <w:r>
        <w:rPr>
          <w:rFonts w:ascii="Arial" w:hAnsi="Arial"/>
          <w:b/>
          <w:color w:val="000000"/>
          <w:sz w:val="20"/>
        </w:rPr>
        <w:t>Material Cash Requirements and Other Obligations</w:t>
      </w:r>
    </w:p>
    <w:p>
      <w:pPr>
        <w:pStyle w:val="TextBody"/>
        <w:bidi w:val="0"/>
        <w:spacing w:before="180" w:after="283"/>
        <w:jc w:val="left"/>
        <w:rPr>
          <w:rFonts w:ascii="Arial" w:hAnsi="Arial"/>
          <w:b/>
          <w:i/>
          <w:color w:val="000000"/>
          <w:sz w:val="20"/>
        </w:rPr>
      </w:pPr>
      <w:r>
        <w:rPr>
          <w:rFonts w:ascii="Arial" w:hAnsi="Arial"/>
          <w:b/>
          <w:i/>
          <w:color w:val="000000"/>
          <w:sz w:val="20"/>
        </w:rPr>
        <w:t>Contractual Obligations</w:t>
      </w:r>
    </w:p>
    <w:p>
      <w:pPr>
        <w:pStyle w:val="TextBody"/>
        <w:bidi w:val="0"/>
        <w:spacing w:before="180" w:after="283"/>
        <w:jc w:val="both"/>
        <w:rPr>
          <w:rFonts w:ascii="Arial" w:hAnsi="Arial"/>
          <w:color w:val="000000"/>
          <w:sz w:val="20"/>
        </w:rPr>
      </w:pPr>
      <w:r>
        <w:rPr>
          <w:rFonts w:ascii="Arial" w:hAnsi="Arial"/>
          <w:color w:val="000000"/>
          <w:sz w:val="20"/>
        </w:rPr>
        <w:t>The following table summarizes the payments due by fiscal year for our outstanding contractual obligations as of June 30, 2026:</w:t>
      </w:r>
    </w:p>
    <w:tbl>
      <w:tblPr>
        <w:tblW w:w="10205" w:type="dxa"/>
        <w:jc w:val="left"/>
        <w:tblInd w:w="0" w:type="dxa"/>
        <w:tblLayout w:type="fixed"/>
        <w:tblCellMar>
          <w:top w:w="28" w:type="dxa"/>
          <w:left w:w="28" w:type="dxa"/>
          <w:bottom w:w="28" w:type="dxa"/>
          <w:right w:w="28" w:type="dxa"/>
        </w:tblCellMar>
      </w:tblPr>
      <w:tblGrid>
        <w:gridCol w:w="3503"/>
        <w:gridCol w:w="326"/>
        <w:gridCol w:w="451"/>
        <w:gridCol w:w="1036"/>
        <w:gridCol w:w="326"/>
        <w:gridCol w:w="326"/>
        <w:gridCol w:w="451"/>
        <w:gridCol w:w="1036"/>
        <w:gridCol w:w="326"/>
        <w:gridCol w:w="326"/>
        <w:gridCol w:w="451"/>
        <w:gridCol w:w="1036"/>
        <w:gridCol w:w="611"/>
      </w:tblGrid>
      <w:tr>
        <w:trPr/>
        <w:tc>
          <w:tcPr>
            <w:tcW w:w="350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03" w:type="dxa"/>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15"/>
              </w:rPr>
            </w:pPr>
            <w:r>
              <w:rPr>
                <w:rFonts w:ascii="Arial" w:hAnsi="Arial"/>
                <w:b/>
                <w:color w:val="000000"/>
                <w:sz w:val="15"/>
              </w:rPr>
              <w:t>(In millions)</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2027</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Thereafter</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r>
          </w:p>
        </w:tc>
        <w:tc>
          <w:tcPr>
            <w:tcW w:w="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3503"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Arial" w:hAnsi="Arial"/>
                <w:color w:val="000000"/>
                <w:sz w:val="20"/>
              </w:rPr>
              <w:t>Long-term debt:</w:t>
            </w:r>
            <w:r>
              <w:rPr>
                <w:rFonts w:ascii="Times New Roman" w:hAnsi="Times New Roman"/>
                <w:color w:val="000000"/>
                <w:sz w:val="20"/>
              </w:rPr>
              <w:t> </w:t>
            </w:r>
            <w:r>
              <w:rPr>
                <w:rFonts w:ascii="Arial" w:hAnsi="Arial"/>
                <w:color w:val="000000"/>
                <w:sz w:val="13"/>
              </w:rPr>
              <w:t>(a)</w:t>
            </w:r>
          </w:p>
        </w:tc>
        <w:tc>
          <w:tcPr>
            <w:tcW w:w="3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r>
      <w:tr>
        <w:trPr/>
        <w:tc>
          <w:tcPr>
            <w:tcW w:w="3503" w:type="dxa"/>
            <w:tcBorders/>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Principal payments</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9,250</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36,886</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46,136</w:t>
            </w:r>
          </w:p>
        </w:tc>
        <w:tc>
          <w:tcPr>
            <w:tcW w:w="611" w:type="dxa"/>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r>
      <w:tr>
        <w:trPr/>
        <w:tc>
          <w:tcPr>
            <w:tcW w:w="3503"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Interest payments</w:t>
            </w:r>
          </w:p>
        </w:tc>
        <w:tc>
          <w:tcPr>
            <w:tcW w:w="3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1,405</w:t>
            </w:r>
          </w:p>
        </w:tc>
        <w:tc>
          <w:tcPr>
            <w:tcW w:w="3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24,148</w:t>
            </w:r>
          </w:p>
        </w:tc>
        <w:tc>
          <w:tcPr>
            <w:tcW w:w="3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25,553</w:t>
            </w:r>
          </w:p>
        </w:tc>
        <w:tc>
          <w:tcPr>
            <w:tcW w:w="61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50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Arial" w:hAnsi="Arial"/>
                <w:color w:val="000000"/>
                <w:sz w:val="20"/>
              </w:rPr>
              <w:t>Construction commitments</w:t>
            </w:r>
            <w:r>
              <w:rPr>
                <w:rFonts w:ascii="Times New Roman" w:hAnsi="Times New Roman"/>
                <w:color w:val="000000"/>
                <w:sz w:val="20"/>
              </w:rPr>
              <w:t> </w:t>
            </w:r>
            <w:r>
              <w:rPr>
                <w:rFonts w:ascii="Arial" w:hAnsi="Arial"/>
                <w:color w:val="000000"/>
                <w:sz w:val="13"/>
              </w:rPr>
              <w:t>(b)</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29,848</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4,718</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34,566</w:t>
            </w:r>
          </w:p>
        </w:tc>
        <w:tc>
          <w:tcPr>
            <w:tcW w:w="61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503"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Arial" w:hAnsi="Arial"/>
                <w:color w:val="000000"/>
                <w:sz w:val="20"/>
              </w:rPr>
              <w:t>Operating and finance leases, including imputed interest</w:t>
            </w:r>
            <w:r>
              <w:rPr>
                <w:rFonts w:ascii="Times New Roman" w:hAnsi="Times New Roman"/>
                <w:color w:val="000000"/>
                <w:sz w:val="20"/>
              </w:rPr>
              <w:t> </w:t>
            </w:r>
            <w:r>
              <w:rPr>
                <w:rFonts w:ascii="Arial" w:hAnsi="Arial"/>
                <w:color w:val="000000"/>
                <w:sz w:val="13"/>
              </w:rPr>
              <w:t>(c)</w:t>
            </w:r>
          </w:p>
        </w:tc>
        <w:tc>
          <w:tcPr>
            <w:tcW w:w="3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32,411</w:t>
            </w:r>
          </w:p>
        </w:tc>
        <w:tc>
          <w:tcPr>
            <w:tcW w:w="3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411,095</w:t>
            </w:r>
          </w:p>
        </w:tc>
        <w:tc>
          <w:tcPr>
            <w:tcW w:w="3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443,506</w:t>
            </w:r>
          </w:p>
        </w:tc>
        <w:tc>
          <w:tcPr>
            <w:tcW w:w="61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50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Arial" w:hAnsi="Arial"/>
                <w:color w:val="000000"/>
                <w:sz w:val="20"/>
              </w:rPr>
              <w:t>Purchase commitments</w:t>
            </w:r>
            <w:r>
              <w:rPr>
                <w:rFonts w:ascii="Times New Roman" w:hAnsi="Times New Roman"/>
                <w:color w:val="000000"/>
                <w:sz w:val="20"/>
              </w:rPr>
              <w:t> </w:t>
            </w:r>
            <w:r>
              <w:rPr>
                <w:rFonts w:ascii="Arial" w:hAnsi="Arial"/>
                <w:color w:val="000000"/>
                <w:sz w:val="13"/>
              </w:rPr>
              <w:t>(d)</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169,008</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25,052</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194,060</w:t>
            </w:r>
          </w:p>
        </w:tc>
        <w:tc>
          <w:tcPr>
            <w:tcW w:w="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4"/>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16"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r>
      <w:tr>
        <w:trPr/>
        <w:tc>
          <w:tcPr>
            <w:tcW w:w="3503"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Total</w:t>
            </w:r>
          </w:p>
        </w:tc>
        <w:tc>
          <w:tcPr>
            <w:tcW w:w="32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5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b/>
                <w:color w:val="000000"/>
                <w:sz w:val="20"/>
              </w:rPr>
            </w:pPr>
            <w:r>
              <w:rPr>
                <w:rFonts w:ascii="Arial" w:hAnsi="Arial"/>
                <w:b/>
                <w:color w:val="000000"/>
                <w:sz w:val="20"/>
              </w:rPr>
              <w:t>$</w:t>
            </w:r>
          </w:p>
        </w:tc>
        <w:tc>
          <w:tcPr>
            <w:tcW w:w="103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241,922</w:t>
            </w:r>
          </w:p>
        </w:tc>
        <w:tc>
          <w:tcPr>
            <w:tcW w:w="32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2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5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b/>
                <w:color w:val="000000"/>
                <w:sz w:val="20"/>
              </w:rPr>
            </w:pPr>
            <w:r>
              <w:rPr>
                <w:rFonts w:ascii="Arial" w:hAnsi="Arial"/>
                <w:b/>
                <w:color w:val="000000"/>
                <w:sz w:val="20"/>
              </w:rPr>
              <w:t>$</w:t>
            </w:r>
          </w:p>
        </w:tc>
        <w:tc>
          <w:tcPr>
            <w:tcW w:w="103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501,899</w:t>
            </w:r>
          </w:p>
        </w:tc>
        <w:tc>
          <w:tcPr>
            <w:tcW w:w="32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2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5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b/>
                <w:color w:val="000000"/>
                <w:sz w:val="20"/>
              </w:rPr>
            </w:pPr>
            <w:r>
              <w:rPr>
                <w:rFonts w:ascii="Arial" w:hAnsi="Arial"/>
                <w:b/>
                <w:color w:val="000000"/>
                <w:sz w:val="20"/>
              </w:rPr>
              <w:t>$</w:t>
            </w:r>
          </w:p>
        </w:tc>
        <w:tc>
          <w:tcPr>
            <w:tcW w:w="103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743,821</w:t>
            </w:r>
          </w:p>
        </w:tc>
        <w:tc>
          <w:tcPr>
            <w:tcW w:w="61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3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spacing w:before="0" w:after="0"/>
        <w:jc w:val="both"/>
        <w:rPr>
          <w:rFonts w:ascii="Arial" w:hAnsi="Arial"/>
          <w:i/>
          <w:color w:val="000000"/>
          <w:sz w:val="20"/>
        </w:rPr>
      </w:pPr>
      <w:r>
        <w:rPr>
          <w:rFonts w:ascii="Arial" w:hAnsi="Arial"/>
          <w:i/>
          <w:color w:val="000000"/>
          <w:sz w:val="20"/>
        </w:rPr>
        <w:t>Refer to Note 10 – Debt of the Notes to Financial Statements (Part II, Item 8 of this Form 10-K).</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spacing w:before="0" w:after="0"/>
        <w:jc w:val="both"/>
        <w:rPr>
          <w:rFonts w:ascii="Arial" w:hAnsi="Arial"/>
          <w:i/>
          <w:color w:val="000000"/>
          <w:sz w:val="20"/>
        </w:rPr>
      </w:pPr>
      <w:r>
        <w:rPr>
          <w:rFonts w:ascii="Arial" w:hAnsi="Arial"/>
          <w:i/>
          <w:color w:val="000000"/>
          <w:sz w:val="20"/>
        </w:rPr>
        <w:t>Refer to Note 6 – Property and Equipment of the Notes to Financial Statements (Part II, Item 8 of this Form 10-K).</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spacing w:before="0" w:after="0"/>
        <w:jc w:val="both"/>
        <w:rPr>
          <w:rFonts w:ascii="Arial" w:hAnsi="Arial"/>
          <w:i/>
          <w:color w:val="000000"/>
          <w:sz w:val="20"/>
        </w:rPr>
      </w:pPr>
      <w:r>
        <w:rPr>
          <w:rFonts w:ascii="Arial" w:hAnsi="Arial"/>
          <w:i/>
          <w:color w:val="000000"/>
          <w:sz w:val="20"/>
        </w:rPr>
        <w:t>Refer to Note 13 – Leases of the Notes to Financial Statements (Part II, Item 8 of this Form 10-K).</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rFonts w:ascii="Arial" w:hAnsi="Arial"/>
          <w:i/>
          <w:color w:val="000000"/>
          <w:sz w:val="20"/>
        </w:rPr>
      </w:pPr>
      <w:r>
        <w:rPr>
          <w:rFonts w:ascii="Arial" w:hAnsi="Arial"/>
          <w:i/>
          <w:color w:val="000000"/>
          <w:sz w:val="20"/>
        </w:rPr>
        <w:t>Purchase commitments primarily relate to datacenters and include open purchase orders and take-or-pay contracts that are not presented as construction commitments above.</w:t>
      </w:r>
    </w:p>
    <w:p>
      <w:pPr>
        <w:pStyle w:val="TextBody"/>
        <w:bidi w:val="0"/>
        <w:spacing w:before="270" w:after="283"/>
        <w:jc w:val="left"/>
        <w:rPr>
          <w:rFonts w:ascii="Times New Roman" w:hAnsi="Times New Roman"/>
          <w:sz w:val="20"/>
        </w:rPr>
      </w:pPr>
      <w:r>
        <w:rPr>
          <w:rFonts w:ascii="Arial" w:hAnsi="Arial"/>
          <w:b/>
          <w:i/>
          <w:color w:val="000000"/>
          <w:sz w:val="20"/>
        </w:rPr>
        <w:t>Share Repurchases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During fiscal years 2026 and 2025, we repurchased 36 million shares and 31 million shares of our common stock for $16.7 billion and $13.0 billion, respectively, through our share repurchase program. All repurchases were made using cash resources. As of June 30, 2026, $40.6 billion remained of our $60 billion share repurchase program. Refer to Note 15 – Stockholders’ Equity of the Notes to Financial Statements (Part II, Item 8 of this Form 10-K).</w:t>
      </w:r>
    </w:p>
    <w:p>
      <w:pPr>
        <w:pStyle w:val="TextBody"/>
        <w:bidi w:val="0"/>
        <w:spacing w:before="240" w:after="283"/>
        <w:jc w:val="center"/>
        <w:rPr>
          <w:rFonts w:ascii="Arial" w:hAnsi="Arial"/>
          <w:color w:val="000000"/>
          <w:sz w:val="16"/>
        </w:rPr>
      </w:pPr>
      <w:r>
        <w:rPr>
          <w:rFonts w:ascii="Arial" w:hAnsi="Arial"/>
          <w:color w:val="000000"/>
          <w:sz w:val="16"/>
        </w:rPr>
        <w:t>44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7</w:t>
      </w:r>
    </w:p>
    <w:p>
      <w:pPr>
        <w:pStyle w:val="TextBody"/>
        <w:bidi w:val="0"/>
        <w:jc w:val="center"/>
        <w:rPr/>
      </w:pPr>
      <w:r>
        <w:rPr/>
        <w:t> </w:t>
      </w:r>
    </w:p>
    <w:p>
      <w:pPr>
        <w:pStyle w:val="TextBody"/>
        <w:bidi w:val="0"/>
        <w:spacing w:before="270" w:after="283"/>
        <w:jc w:val="left"/>
        <w:rPr>
          <w:rFonts w:ascii="Times New Roman" w:hAnsi="Times New Roman"/>
          <w:sz w:val="20"/>
        </w:rPr>
      </w:pPr>
      <w:r>
        <w:rPr>
          <w:rFonts w:ascii="Arial" w:hAnsi="Arial"/>
          <w:b/>
          <w:i/>
          <w:color w:val="000000"/>
          <w:sz w:val="20"/>
        </w:rPr>
        <w:t>Dividends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During fiscal years 2026 and 2025, our Board of Directors declared dividends totaling $27.0 billion and $24.7 billion, respectively. We intend to continue returning capital to shareholders in the form of dividends, subject to declaration by our Board of Directors. Refer to Note 15 – Stockholders’ Equity of the Notes to Financial Statements (Part II, Item 8 of this Form 10-K).</w:t>
      </w:r>
    </w:p>
    <w:p>
      <w:pPr>
        <w:pStyle w:val="TextBody"/>
        <w:bidi w:val="0"/>
        <w:spacing w:before="270" w:after="283"/>
        <w:jc w:val="left"/>
        <w:rPr>
          <w:rFonts w:ascii="Times New Roman" w:hAnsi="Times New Roman"/>
          <w:sz w:val="20"/>
        </w:rPr>
      </w:pPr>
      <w:r>
        <w:rPr>
          <w:rFonts w:ascii="Arial" w:hAnsi="Arial"/>
          <w:b/>
          <w:i/>
          <w:color w:val="000000"/>
          <w:sz w:val="20"/>
        </w:rPr>
        <w:t>Other Planned Uses of Capital</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will continue to invest in sales, marketing, product support infrastructure, and existing and advanced areas of technology, as well as acquisitions that align with our business strategy. Additions to property and equipment will continue, including new facilities, datacenters, and computer systems for research and development, sales and marketing, support, and administrative staff. We will continue to invest in capital expenditures to support growth in our cloud offerings and our investments in AI training and other infrastructure. We have operating and finance leases for datacenters and related infrastructure, servers and network equipment, corporate offices, and research and development facilities. We have not engaged in any related party transactions or arrangements with unconsolidated entities or other persons that are reasonably likely to materially affect liquidity or the availability of capital resources.</w:t>
      </w:r>
      <w:r>
        <w:rPr>
          <w:rFonts w:ascii="Times New Roman" w:hAnsi="Times New Roman"/>
          <w:color w:val="000000"/>
          <w:sz w:val="20"/>
        </w:rPr>
        <w:t xml:space="preserve"> </w:t>
      </w:r>
    </w:p>
    <w:p>
      <w:pPr>
        <w:pStyle w:val="TextBody"/>
        <w:bidi w:val="0"/>
        <w:spacing w:before="270" w:after="283"/>
        <w:jc w:val="center"/>
        <w:rPr>
          <w:rFonts w:ascii="Arial" w:hAnsi="Arial"/>
          <w:color w:val="000000"/>
          <w:sz w:val="20"/>
          <w:u w:val="single"/>
        </w:rPr>
      </w:pPr>
      <w:r>
        <w:rPr>
          <w:rFonts w:ascii="Arial" w:hAnsi="Arial"/>
          <w:color w:val="000000"/>
          <w:sz w:val="20"/>
          <w:u w:val="single"/>
        </w:rPr>
        <w:t>RECENT ACCOUNTING GUIDANCE</w:t>
      </w:r>
    </w:p>
    <w:p>
      <w:pPr>
        <w:pStyle w:val="TextBody"/>
        <w:bidi w:val="0"/>
        <w:spacing w:before="180" w:after="283"/>
        <w:jc w:val="both"/>
        <w:rPr>
          <w:rFonts w:ascii="Arial" w:hAnsi="Arial"/>
          <w:color w:val="000000"/>
          <w:sz w:val="20"/>
        </w:rPr>
      </w:pPr>
      <w:r>
        <w:rPr>
          <w:rFonts w:ascii="Arial" w:hAnsi="Arial"/>
          <w:color w:val="000000"/>
          <w:sz w:val="20"/>
        </w:rPr>
        <w:t>Refer to Note 1 – Accounting Policies of the Notes to Financial Statements (Part II, Item 8 of this Form 10-K).</w:t>
      </w:r>
    </w:p>
    <w:p>
      <w:pPr>
        <w:pStyle w:val="TextBody"/>
        <w:bidi w:val="0"/>
        <w:spacing w:before="270" w:after="283"/>
        <w:jc w:val="center"/>
        <w:rPr>
          <w:rFonts w:ascii="Times New Roman" w:hAnsi="Times New Roman"/>
          <w:sz w:val="20"/>
        </w:rPr>
      </w:pPr>
      <w:r>
        <w:rPr>
          <w:rFonts w:ascii="Arial" w:hAnsi="Arial"/>
          <w:color w:val="000000"/>
          <w:sz w:val="20"/>
          <w:u w:val="single"/>
        </w:rPr>
        <w:t>CRITICAL ACCOUNTING ESTIMATES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Critical accounting estimates are those estimates that involve a significant level of estimation uncertainty and could have a material impact on our financial condition or results of operations. We have critical accounting estimates in the areas of revenue recognition, measurement and impairment of investment securities, goodwill, research and development costs, legal and other contingencies, and income taxes.</w:t>
      </w:r>
    </w:p>
    <w:p>
      <w:pPr>
        <w:pStyle w:val="TextBody"/>
        <w:bidi w:val="0"/>
        <w:spacing w:before="270" w:after="283"/>
        <w:jc w:val="left"/>
        <w:rPr>
          <w:rFonts w:ascii="Times New Roman" w:hAnsi="Times New Roman"/>
          <w:sz w:val="20"/>
        </w:rPr>
      </w:pPr>
      <w:r>
        <w:rPr>
          <w:rFonts w:ascii="Arial" w:hAnsi="Arial"/>
          <w:b/>
          <w:color w:val="000000"/>
          <w:sz w:val="20"/>
        </w:rPr>
        <w:t>Revenue Recognition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Due to the various benefits from and the nature of our SA program, judgment is required to assess the pattern of delivery, including the exercise pattern of certain benefits across our portfolio of customers.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45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7</w:t>
      </w:r>
    </w:p>
    <w:p>
      <w:pPr>
        <w:pStyle w:val="TextBody"/>
        <w:bidi w:val="0"/>
        <w:jc w:val="center"/>
        <w:rPr/>
      </w:pPr>
      <w:r>
        <w:rPr/>
        <w:t> </w:t>
      </w:r>
    </w:p>
    <w:p>
      <w:pPr>
        <w:pStyle w:val="TextBody"/>
        <w:bidi w:val="0"/>
        <w:spacing w:before="180" w:after="283"/>
        <w:jc w:val="both"/>
        <w:rPr>
          <w:rFonts w:ascii="Times New Roman" w:hAnsi="Times New Roman"/>
          <w:sz w:val="20"/>
        </w:rPr>
      </w:pPr>
      <w:r>
        <w:rPr>
          <w:rFonts w:ascii="Arial" w:hAnsi="Arial"/>
          <w:color w:val="000000"/>
          <w:sz w:val="20"/>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Remaining performance obligations represent the revenue we expect to recognize for our products and services for which control has not yet been transferred to customers. We estimate total consideration to be received at the outset of the agreement and throughout the term of the agreement. Estimating the total consideration and revenue that will be allocated to remaining performance obligation can involve significant judgments, including identifying and assessing variable consideration and potential renegotiation of commitments. We consider factors such as the nature of the terms and duration of the contract across our portfolio of contracts.</w:t>
      </w:r>
    </w:p>
    <w:p>
      <w:pPr>
        <w:pStyle w:val="TextBody"/>
        <w:bidi w:val="0"/>
        <w:spacing w:before="270" w:after="283"/>
        <w:jc w:val="left"/>
        <w:rPr>
          <w:rFonts w:ascii="Times New Roman" w:hAnsi="Times New Roman"/>
          <w:sz w:val="20"/>
        </w:rPr>
      </w:pPr>
      <w:r>
        <w:rPr>
          <w:rFonts w:ascii="Arial" w:hAnsi="Arial"/>
          <w:b/>
          <w:color w:val="000000"/>
          <w:sz w:val="20"/>
        </w:rPr>
        <w:t>Measurement and Impairment of Investment Securities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Investments purchased by Microsoft are typically accounted for as available-for-sale debt securities, equity investments with readily determinable fair values, or equity investments without readily determinable fair values measured using either the equity method when required or at cost less impairments, if any, with adjustments for observable changes in price (referred to as the measurement alternative). Equity method investments may be recorded on a lag of up to three months when sufficient financial information is not available in a timely manner. For equity method investments recorded on a lag, we recognize the impact of intervening events that have a material impact on our consolidated financial statements in the period in which they occurred.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For equity investments accounted for under the measurement alternative, we evaluate whether observable changes in price have occurred in orderly transactions for identical or similar investments of the same issuer. This determination requires judgment in evaluating whether transactions are orderly and whether the securities are comparable, including consideration of the rights and preferences of the securities, investor composition, and other relevant facts and circumstances. 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Goodwill</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46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7</w:t>
      </w:r>
    </w:p>
    <w:p>
      <w:pPr>
        <w:pStyle w:val="TextBody"/>
        <w:bidi w:val="0"/>
        <w:jc w:val="center"/>
        <w:rPr/>
      </w:pPr>
      <w:r>
        <w:rPr/>
        <w:t> </w:t>
      </w:r>
    </w:p>
    <w:p>
      <w:pPr>
        <w:pStyle w:val="TextBody"/>
        <w:bidi w:val="0"/>
        <w:spacing w:before="180" w:after="283"/>
        <w:jc w:val="both"/>
        <w:rPr>
          <w:rFonts w:ascii="Times New Roman" w:hAnsi="Times New Roman"/>
          <w:sz w:val="20"/>
        </w:rPr>
      </w:pPr>
      <w:r>
        <w:rPr>
          <w:rFonts w:ascii="Arial" w:hAnsi="Arial"/>
          <w:color w:val="000000"/>
          <w:sz w:val="20"/>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the period over which cash flows are expected to be generated, and determination of our weighted average cost of capital.</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Research and Development Costs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Costs incurred internally in researching and developing a software product to be marketed or sold to external users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Legal and Other Contingencies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pStyle w:val="TextBody"/>
        <w:bidi w:val="0"/>
        <w:spacing w:before="270" w:after="283"/>
        <w:jc w:val="left"/>
        <w:rPr>
          <w:rFonts w:ascii="Times New Roman" w:hAnsi="Times New Roman"/>
          <w:sz w:val="20"/>
        </w:rPr>
      </w:pPr>
      <w:r>
        <w:rPr>
          <w:rFonts w:ascii="Arial" w:hAnsi="Arial"/>
          <w:b/>
          <w:color w:val="000000"/>
          <w:sz w:val="20"/>
        </w:rPr>
        <w:t>Income Taxes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47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7</w:t>
      </w:r>
    </w:p>
    <w:p>
      <w:pPr>
        <w:pStyle w:val="TextBody"/>
        <w:bidi w:val="0"/>
        <w:jc w:val="center"/>
        <w:rPr/>
      </w:pPr>
      <w:r>
        <w:rPr/>
        <w:t> </w:t>
      </w:r>
    </w:p>
    <w:p>
      <w:pPr>
        <w:pStyle w:val="TextBody"/>
        <w:bidi w:val="0"/>
        <w:jc w:val="both"/>
        <w:rPr>
          <w:rFonts w:ascii="Times New Roman" w:hAnsi="Times New Roman"/>
          <w:sz w:val="20"/>
        </w:rPr>
      </w:pPr>
      <w:r>
        <w:rPr>
          <w:rFonts w:ascii="Arial" w:hAnsi="Arial"/>
          <w:b/>
          <w:color w:val="000000"/>
          <w:sz w:val="20"/>
        </w:rPr>
        <w:t>STATEMENT OF MANAGEMENT’S RESPONSIBILITY FOR FINANCIAL STATEMENTS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Management is responsible for the preparation of the consolidated financial statements and related information that are presented in this report. The consolidated financial statements, which include amounts based on management’s estimates and judgments, have been prepared in conformity with accounting principles generally accepted in the United States of America.</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designs and maintains accounting and internal control systems to provide reasonable assurance at reasonable cost that assets are safeguarded against loss from unauthorized use or disposition, and that the financial records are reliable for preparing consolidated financial statements and maintaining accountability for assets. These systems are augmented by written policies, an organizational structure providing division of responsibilities, careful selection and training of qualified personnel, and a program of internal audits.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Company engaged Deloitte &amp; Touche LLP, an independent registered public accounting firm, to audit and render an opinion on the consolidated financial statements and internal control over financial reporting in accordance with the standards of the Public Company Accounting Oversight Board (United States).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Board of Directors, through its Audit Committee, consisting solely of independent directors of the Company, meets periodically with management, internal auditors, and our independent registered public accounting firm to ensure that each is meeting its responsibilities and to discuss matters concerning internal controls and financial reporting. Deloitte &amp; Touche LLP and the internal auditors each have full and free access to the Audit Committee.</w:t>
      </w:r>
      <w:r>
        <w:rPr>
          <w:rFonts w:ascii="Times New Roman" w:hAnsi="Times New Roman"/>
          <w:color w:val="000000"/>
          <w:sz w:val="20"/>
        </w:rPr>
        <w:t xml:space="preserve"> </w:t>
      </w:r>
    </w:p>
    <w:p>
      <w:pPr>
        <w:pStyle w:val="TextBody"/>
        <w:bidi w:val="0"/>
        <w:jc w:val="both"/>
        <w:rPr/>
      </w:pPr>
      <w:r>
        <w:rPr/>
        <w:t> </w:t>
      </w:r>
    </w:p>
    <w:tbl>
      <w:tblPr>
        <w:tblW w:w="4906" w:type="dxa"/>
        <w:jc w:val="left"/>
        <w:tblInd w:w="0" w:type="dxa"/>
        <w:tblLayout w:type="fixed"/>
        <w:tblCellMar>
          <w:top w:w="28" w:type="dxa"/>
          <w:left w:w="28" w:type="dxa"/>
          <w:bottom w:w="28" w:type="dxa"/>
          <w:right w:w="28" w:type="dxa"/>
        </w:tblCellMar>
      </w:tblPr>
      <w:tblGrid>
        <w:gridCol w:w="4906"/>
      </w:tblGrid>
      <w:tr>
        <w:trPr/>
        <w:tc>
          <w:tcPr>
            <w:tcW w:w="4906" w:type="dxa"/>
            <w:tcBorders/>
            <w:vAlign w:val="center"/>
          </w:tcPr>
          <w:p>
            <w:pPr>
              <w:pStyle w:val="TableContents"/>
              <w:bidi w:val="0"/>
              <w:spacing w:before="0" w:after="283"/>
              <w:jc w:val="left"/>
              <w:rPr>
                <w:sz w:val="4"/>
                <w:szCs w:val="4"/>
              </w:rPr>
            </w:pPr>
            <w:r>
              <w:rPr>
                <w:sz w:val="4"/>
                <w:szCs w:val="4"/>
              </w:rPr>
            </w:r>
          </w:p>
        </w:tc>
      </w:tr>
      <w:tr>
        <w:trPr/>
        <w:tc>
          <w:tcPr>
            <w:tcW w:w="490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Satya Nadella</w:t>
            </w:r>
          </w:p>
        </w:tc>
      </w:tr>
      <w:tr>
        <w:trPr/>
        <w:tc>
          <w:tcPr>
            <w:tcW w:w="490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Chief Executive Officer</w:t>
            </w:r>
          </w:p>
        </w:tc>
      </w:tr>
      <w:tr>
        <w:trPr/>
        <w:tc>
          <w:tcPr>
            <w:tcW w:w="490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Amy E. Hood</w:t>
            </w:r>
          </w:p>
        </w:tc>
      </w:tr>
      <w:tr>
        <w:trPr/>
        <w:tc>
          <w:tcPr>
            <w:tcW w:w="490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Executive Vice President and Chief Financial Officer</w:t>
            </w:r>
          </w:p>
        </w:tc>
      </w:tr>
      <w:tr>
        <w:trPr/>
        <w:tc>
          <w:tcPr>
            <w:tcW w:w="490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Alice L. Jolla</w:t>
            </w:r>
          </w:p>
        </w:tc>
      </w:tr>
      <w:tr>
        <w:trPr/>
        <w:tc>
          <w:tcPr>
            <w:tcW w:w="490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Corporate Vice President and Chief Accounting Officer</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48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7A</w:t>
      </w:r>
    </w:p>
    <w:p>
      <w:pPr>
        <w:pStyle w:val="TextBody"/>
        <w:bidi w:val="0"/>
        <w:jc w:val="center"/>
        <w:rPr/>
      </w:pPr>
      <w:r>
        <w:rPr/>
        <w:t> </w:t>
      </w:r>
    </w:p>
    <w:p>
      <w:pPr>
        <w:pStyle w:val="TextBody"/>
        <w:bidi w:val="0"/>
        <w:jc w:val="center"/>
        <w:rPr>
          <w:rFonts w:ascii="Arial" w:hAnsi="Arial"/>
          <w:b/>
          <w:color w:val="000000"/>
          <w:sz w:val="24"/>
        </w:rPr>
      </w:pPr>
      <w:bookmarkStart w:id="15" w:name="item_7a_quantitative_qualitative_disclos"/>
      <w:bookmarkEnd w:id="15"/>
      <w:r>
        <w:rPr>
          <w:rFonts w:ascii="Arial" w:hAnsi="Arial"/>
          <w:b/>
          <w:color w:val="000000"/>
          <w:sz w:val="24"/>
        </w:rPr>
        <w:t>ITEM 7A. QUANTITATIVE AND QUALITATIVE DISCLOSURES ABOUT MARKET RISK</w:t>
      </w:r>
    </w:p>
    <w:p>
      <w:pPr>
        <w:pStyle w:val="TextBody"/>
        <w:bidi w:val="0"/>
        <w:spacing w:before="180" w:after="283"/>
        <w:jc w:val="center"/>
        <w:rPr>
          <w:rFonts w:ascii="Times New Roman" w:hAnsi="Times New Roman"/>
          <w:sz w:val="20"/>
        </w:rPr>
      </w:pPr>
      <w:r>
        <w:rPr>
          <w:rFonts w:ascii="Arial" w:hAnsi="Arial"/>
          <w:color w:val="000000"/>
          <w:sz w:val="20"/>
          <w:u w:val="single"/>
        </w:rPr>
        <w:t>RISKS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are exposed to economic risk from foreign exchange rates, interest rates, credit risk, and equity prices. We use derivatives instruments to manage these risks, however, they may still impact our consolidated financial statements.</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Foreign Currencies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Interest Rate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Securities held in our fixed-income portfolio are subject to different interest rate risks based on their maturities. We manage the average maturity of the fixed-income portfolio to achieve economic returns that correlate to certain global fixed-income indices.</w:t>
      </w:r>
      <w:r>
        <w:rPr>
          <w:rFonts w:ascii="Times New Roman" w:hAnsi="Times New Roman"/>
          <w:color w:val="000000"/>
          <w:sz w:val="20"/>
        </w:rPr>
        <w:t xml:space="preserve"> </w:t>
      </w:r>
    </w:p>
    <w:p>
      <w:pPr>
        <w:pStyle w:val="TextBody"/>
        <w:bidi w:val="0"/>
        <w:spacing w:before="270" w:after="283"/>
        <w:jc w:val="both"/>
        <w:rPr>
          <w:rFonts w:ascii="Arial" w:hAnsi="Arial"/>
          <w:b/>
          <w:color w:val="000000"/>
          <w:sz w:val="20"/>
        </w:rPr>
      </w:pPr>
      <w:r>
        <w:rPr>
          <w:rFonts w:ascii="Arial" w:hAnsi="Arial"/>
          <w:b/>
          <w:color w:val="000000"/>
          <w:sz w:val="20"/>
        </w:rPr>
        <w:t>Credit</w:t>
      </w:r>
    </w:p>
    <w:p>
      <w:pPr>
        <w:pStyle w:val="TextBody"/>
        <w:bidi w:val="0"/>
        <w:spacing w:before="180" w:after="283"/>
        <w:jc w:val="both"/>
        <w:rPr>
          <w:rFonts w:ascii="Times New Roman" w:hAnsi="Times New Roman"/>
          <w:sz w:val="20"/>
        </w:rPr>
      </w:pPr>
      <w:r>
        <w:rPr>
          <w:rFonts w:ascii="Arial" w:hAnsi="Arial"/>
          <w:color w:val="000000"/>
          <w:sz w:val="20"/>
        </w:rPr>
        <w:t>Our fixed-income portfolio is diversified and consists primarily of investment-grade securities. We manage credit exposures relative to broad-based indices to facilitate portfolio diversification.</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Equity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Securities held in our equity investments portfolio are subject to price risk.</w:t>
      </w:r>
      <w:r>
        <w:rPr>
          <w:rFonts w:ascii="Times New Roman" w:hAnsi="Times New Roman"/>
          <w:color w:val="000000"/>
          <w:sz w:val="20"/>
        </w:rPr>
        <w:t xml:space="preserve"> </w:t>
      </w:r>
    </w:p>
    <w:p>
      <w:pPr>
        <w:pStyle w:val="TextBody"/>
        <w:bidi w:val="0"/>
        <w:spacing w:before="270" w:after="283"/>
        <w:jc w:val="center"/>
        <w:rPr>
          <w:rFonts w:ascii="Arial" w:hAnsi="Arial"/>
          <w:color w:val="000000"/>
          <w:sz w:val="20"/>
          <w:u w:val="single"/>
        </w:rPr>
      </w:pPr>
      <w:r>
        <w:rPr>
          <w:rFonts w:ascii="Arial" w:hAnsi="Arial"/>
          <w:color w:val="000000"/>
          <w:sz w:val="20"/>
          <w:u w:val="single"/>
        </w:rPr>
        <w:t>SENSITIVITY ANALYSIS</w:t>
      </w:r>
    </w:p>
    <w:p>
      <w:pPr>
        <w:pStyle w:val="TextBody"/>
        <w:bidi w:val="0"/>
        <w:spacing w:before="180" w:after="283"/>
        <w:jc w:val="both"/>
        <w:rPr>
          <w:rFonts w:ascii="Times New Roman" w:hAnsi="Times New Roman"/>
          <w:sz w:val="20"/>
        </w:rPr>
      </w:pPr>
      <w:r>
        <w:rPr>
          <w:rFonts w:ascii="Arial" w:hAnsi="Arial"/>
          <w:color w:val="000000"/>
          <w:sz w:val="20"/>
        </w:rPr>
        <w:t>The following table sets forth the potential loss in future earnings or fair values, including associated derivatives, resulting from hypothetical changes in relevant market rates or prices: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4"/>
        <w:gridCol w:w="146"/>
        <w:gridCol w:w="4211"/>
        <w:gridCol w:w="146"/>
        <w:gridCol w:w="211"/>
        <w:gridCol w:w="751"/>
        <w:gridCol w:w="166"/>
        <w:gridCol w:w="146"/>
        <w:gridCol w:w="146"/>
        <w:gridCol w:w="971"/>
        <w:gridCol w:w="437"/>
      </w:tblGrid>
      <w:tr>
        <w:trPr/>
        <w:tc>
          <w:tcPr>
            <w:tcW w:w="2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Risk Categories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Hypothetical Change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Impact</w:t>
            </w:r>
          </w:p>
        </w:tc>
        <w:tc>
          <w:tcPr>
            <w:tcW w:w="43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7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currency –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 decrease in foreign exchange rates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(13,653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w:t>
            </w:r>
          </w:p>
        </w:tc>
        <w:tc>
          <w:tcPr>
            <w:tcW w:w="43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87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currency –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 decrease in foreign exchange rates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437"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87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rate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 basis point increase in U.S. treasury interest rates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43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874"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Credit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 basis point increase in credit spreads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437"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87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 decrease in equity market prices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(2,654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w:t>
            </w:r>
          </w:p>
        </w:tc>
        <w:tc>
          <w:tcPr>
            <w:tcW w:w="4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49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jc w:val="center"/>
        <w:rPr>
          <w:rFonts w:ascii="Times New Roman" w:hAnsi="Times New Roman"/>
          <w:sz w:val="20"/>
        </w:rPr>
      </w:pPr>
      <w:bookmarkStart w:id="16" w:name="item_8_financial_statements_and_supplem"/>
      <w:bookmarkEnd w:id="16"/>
      <w:r>
        <w:rPr>
          <w:rFonts w:ascii="Arial" w:hAnsi="Arial"/>
          <w:b/>
          <w:color w:val="000000"/>
          <w:sz w:val="24"/>
        </w:rPr>
        <w:t>ITEM 8. FINANCIAL STATEMENTS AND SUPPLEMENTARY DATA</w:t>
      </w:r>
      <w:r>
        <w:rPr>
          <w:rFonts w:ascii="Times New Roman" w:hAnsi="Times New Roman"/>
          <w:color w:val="000000"/>
          <w:sz w:val="20"/>
        </w:rPr>
        <w:t xml:space="preserve"> </w:t>
      </w:r>
    </w:p>
    <w:p>
      <w:pPr>
        <w:pStyle w:val="TextBody"/>
        <w:bidi w:val="0"/>
        <w:spacing w:before="180" w:after="283"/>
        <w:jc w:val="center"/>
        <w:rPr>
          <w:rFonts w:ascii="Arial" w:hAnsi="Arial"/>
          <w:b/>
          <w:color w:val="000000"/>
          <w:sz w:val="20"/>
        </w:rPr>
      </w:pPr>
      <w:bookmarkStart w:id="17" w:name="income_statements"/>
      <w:bookmarkEnd w:id="17"/>
      <w:r>
        <w:rPr>
          <w:rFonts w:ascii="Arial" w:hAnsi="Arial"/>
          <w:b/>
          <w:color w:val="000000"/>
          <w:sz w:val="20"/>
        </w:rPr>
        <w:t>INCOME STATEMENTS</w:t>
      </w:r>
    </w:p>
    <w:p>
      <w:pPr>
        <w:pStyle w:val="TextBody"/>
        <w:bidi w:val="0"/>
        <w:jc w:val="left"/>
        <w:rPr/>
      </w:pPr>
      <w:r>
        <w:rPr/>
        <w:t> </w:t>
      </w:r>
    </w:p>
    <w:tbl>
      <w:tblPr>
        <w:tblW w:w="8378" w:type="dxa"/>
        <w:jc w:val="left"/>
        <w:tblInd w:w="0" w:type="dxa"/>
        <w:tblLayout w:type="fixed"/>
        <w:tblCellMar>
          <w:top w:w="28" w:type="dxa"/>
          <w:left w:w="28" w:type="dxa"/>
          <w:bottom w:w="28" w:type="dxa"/>
          <w:right w:w="28" w:type="dxa"/>
        </w:tblCellMar>
      </w:tblPr>
      <w:tblGrid>
        <w:gridCol w:w="3696"/>
        <w:gridCol w:w="146"/>
        <w:gridCol w:w="211"/>
        <w:gridCol w:w="796"/>
        <w:gridCol w:w="146"/>
        <w:gridCol w:w="146"/>
        <w:gridCol w:w="211"/>
        <w:gridCol w:w="796"/>
        <w:gridCol w:w="166"/>
        <w:gridCol w:w="146"/>
        <w:gridCol w:w="211"/>
        <w:gridCol w:w="796"/>
        <w:gridCol w:w="911"/>
      </w:tblGrid>
      <w:tr>
        <w:trPr/>
        <w:tc>
          <w:tcPr>
            <w:tcW w:w="36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911" w:type="dxa"/>
            <w:tcBorders/>
            <w:shd w:fill="FFFFFF" w:val="clear"/>
            <w:vAlign w:val="center"/>
          </w:tcPr>
          <w:p>
            <w:pPr>
              <w:pStyle w:val="TableContents"/>
              <w:bidi w:val="0"/>
              <w:spacing w:before="0" w:after="283"/>
              <w:jc w:val="left"/>
              <w:rPr>
                <w:sz w:val="4"/>
                <w:szCs w:val="4"/>
              </w:rPr>
            </w:pPr>
            <w:r>
              <w:rPr>
                <w:sz w:val="4"/>
                <w:szCs w:val="4"/>
              </w:rPr>
            </w:r>
          </w:p>
        </w:tc>
      </w:tr>
      <w:tr>
        <w:trPr/>
        <w:tc>
          <w:tcPr>
            <w:tcW w:w="36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06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69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Product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64,696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63,946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64,773</w:t>
            </w:r>
          </w:p>
        </w:tc>
        <w:tc>
          <w:tcPr>
            <w:tcW w:w="91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69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Service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267,143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217,778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180,349</w:t>
            </w:r>
          </w:p>
        </w:tc>
        <w:tc>
          <w:tcPr>
            <w:tcW w:w="9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4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3696"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Total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331,839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281,724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245,122</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4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9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Product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12,098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13,501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15,272</w:t>
            </w:r>
          </w:p>
        </w:tc>
        <w:tc>
          <w:tcPr>
            <w:tcW w:w="91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69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Service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94,276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74,330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58,842</w:t>
            </w:r>
          </w:p>
        </w:tc>
        <w:tc>
          <w:tcPr>
            <w:tcW w:w="9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4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3696"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Total cost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106,374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87,831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74,114</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4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369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Gross margin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225,465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193,893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171,008</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Research and development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35,562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32,488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29,510</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Sales and marketing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26,710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25,654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24,456</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General and administrative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7,956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7,609</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4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155,237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128,528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109,433</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Other income (expense), net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10,697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(1,646</w:t>
            </w:r>
          </w:p>
        </w:tc>
        <w:tc>
          <w:tcPr>
            <w:tcW w:w="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4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4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Income before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165,934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123,627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107,787</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Provision for income taxes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32,185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21,795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19,651</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4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133,749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101,832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88,136</w:t>
            </w:r>
          </w:p>
        </w:tc>
        <w:tc>
          <w:tcPr>
            <w:tcW w:w="9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06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Earnings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69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Basic</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11.86</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69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Diluted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17.95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11.80</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Weighted average shares outstanding: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69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Basic</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7,429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7,431</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69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Diluted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7,453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7,469</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Refer to accompanying notes.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50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jc w:val="center"/>
        <w:rPr>
          <w:rFonts w:ascii="Arial" w:hAnsi="Arial"/>
          <w:b/>
          <w:color w:val="000000"/>
          <w:sz w:val="20"/>
        </w:rPr>
      </w:pPr>
      <w:bookmarkStart w:id="18" w:name="comprehensive_income_statements"/>
      <w:bookmarkEnd w:id="18"/>
      <w:r>
        <w:rPr>
          <w:rFonts w:ascii="Arial" w:hAnsi="Arial"/>
          <w:b/>
          <w:color w:val="000000"/>
          <w:sz w:val="20"/>
        </w:rPr>
        <w:t>COMPREHENSIVE INCOME STATEMENTS</w:t>
      </w:r>
    </w:p>
    <w:p>
      <w:pPr>
        <w:pStyle w:val="TextBody"/>
        <w:bidi w:val="0"/>
        <w:jc w:val="both"/>
        <w:rPr/>
      </w:pPr>
      <w:r>
        <w:rPr/>
        <w:t> </w:t>
      </w:r>
    </w:p>
    <w:tbl>
      <w:tblPr>
        <w:tblW w:w="9072" w:type="dxa"/>
        <w:jc w:val="left"/>
        <w:tblInd w:w="0" w:type="dxa"/>
        <w:tblLayout w:type="fixed"/>
        <w:tblCellMar>
          <w:top w:w="28" w:type="dxa"/>
          <w:left w:w="28" w:type="dxa"/>
          <w:bottom w:w="28" w:type="dxa"/>
          <w:right w:w="28" w:type="dxa"/>
        </w:tblCellMar>
      </w:tblPr>
      <w:tblGrid>
        <w:gridCol w:w="4461"/>
        <w:gridCol w:w="146"/>
        <w:gridCol w:w="211"/>
        <w:gridCol w:w="796"/>
        <w:gridCol w:w="166"/>
        <w:gridCol w:w="146"/>
        <w:gridCol w:w="211"/>
        <w:gridCol w:w="796"/>
        <w:gridCol w:w="166"/>
        <w:gridCol w:w="146"/>
        <w:gridCol w:w="211"/>
        <w:gridCol w:w="691"/>
        <w:gridCol w:w="925"/>
      </w:tblGrid>
      <w:tr>
        <w:trPr/>
        <w:tc>
          <w:tcPr>
            <w:tcW w:w="44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44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7"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9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973"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4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133,749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101,832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88,136</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comprehensive income (loss), net of tax: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46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Net change related to derivatives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Net change related to 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46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Translation adjustments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1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734"/>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ind w:left="0" w:right="0" w:firstLine="734"/>
              <w:jc w:val="left"/>
              <w:rPr>
                <w:rFonts w:ascii="Times New Roman" w:hAnsi="Times New Roman"/>
                <w:sz w:val="20"/>
              </w:rPr>
            </w:pPr>
            <w:r>
              <w:rPr>
                <w:rFonts w:ascii="Arial" w:hAnsi="Arial"/>
                <w:color w:val="000000"/>
                <w:sz w:val="20"/>
              </w:rPr>
              <w:t>Other comprehensive income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753</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1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4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Comprehensive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133,812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104,075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88,889</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Refer to accompanying notes.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51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jc w:val="center"/>
        <w:rPr>
          <w:rFonts w:ascii="Times New Roman" w:hAnsi="Times New Roman"/>
          <w:sz w:val="20"/>
        </w:rPr>
      </w:pPr>
      <w:bookmarkStart w:id="19" w:name="balance_sheets"/>
      <w:bookmarkEnd w:id="19"/>
      <w:r>
        <w:rPr>
          <w:rFonts w:ascii="Arial" w:hAnsi="Arial"/>
          <w:b/>
          <w:color w:val="000000"/>
          <w:sz w:val="20"/>
        </w:rPr>
        <w:t>BALANCE</w:t>
      </w:r>
      <w:r>
        <w:rPr>
          <w:rFonts w:ascii="Times New Roman" w:hAnsi="Times New Roman"/>
          <w:color w:val="000000"/>
          <w:sz w:val="20"/>
        </w:rPr>
        <w:t xml:space="preserve"> </w:t>
      </w:r>
      <w:r>
        <w:rPr>
          <w:rFonts w:ascii="Arial" w:hAnsi="Arial"/>
          <w:b/>
          <w:color w:val="000000"/>
          <w:sz w:val="20"/>
        </w:rPr>
        <w:t>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32"/>
        <w:gridCol w:w="146"/>
        <w:gridCol w:w="211"/>
        <w:gridCol w:w="796"/>
        <w:gridCol w:w="166"/>
        <w:gridCol w:w="146"/>
        <w:gridCol w:w="211"/>
        <w:gridCol w:w="796"/>
        <w:gridCol w:w="1401"/>
      </w:tblGrid>
      <w:tr>
        <w:trPr/>
        <w:tc>
          <w:tcPr>
            <w:tcW w:w="63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01" w:type="dxa"/>
            <w:tcBorders/>
            <w:shd w:fill="FFFFFF" w:val="clear"/>
            <w:vAlign w:val="center"/>
          </w:tcPr>
          <w:p>
            <w:pPr>
              <w:pStyle w:val="TableContents"/>
              <w:bidi w:val="0"/>
              <w:spacing w:before="0" w:after="283"/>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4" w:type="dxa"/>
            <w:gridSpan w:val="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55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Current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Cash and cash equivalents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20,935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30,242</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Short-term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55,908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64,323</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Total cash, cash equivalents, and short-term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76,843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94,565</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 xml:space="preserve">Accounts receivable, net of allowance for doubtful accounts of </w:t>
            </w:r>
            <w:r>
              <w:rPr>
                <w:rFonts w:ascii="Arial" w:hAnsi="Arial"/>
                <w:b/>
                <w:color w:val="000000"/>
                <w:sz w:val="20"/>
              </w:rPr>
              <w:t>$1,040</w:t>
            </w:r>
            <w:r>
              <w:rPr>
                <w:rFonts w:ascii="Times New Roman" w:hAnsi="Times New Roman"/>
                <w:color w:val="000000"/>
                <w:sz w:val="20"/>
              </w:rPr>
              <w:t> </w:t>
            </w:r>
            <w:r>
              <w:rPr>
                <w:rFonts w:ascii="Arial" w:hAnsi="Arial"/>
                <w:color w:val="000000"/>
                <w:sz w:val="20"/>
              </w:rPr>
              <w:t>and $944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80,876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69,905</w:t>
            </w:r>
          </w:p>
        </w:tc>
        <w:tc>
          <w:tcPr>
            <w:tcW w:w="140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Inventories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1,397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938</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48,594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25,723</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5"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Total current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207,710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191,131</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Property and equipment, net of accumulated depreciation of </w:t>
            </w:r>
            <w:r>
              <w:rPr>
                <w:rFonts w:ascii="Arial" w:hAnsi="Arial"/>
                <w:b/>
                <w:color w:val="000000"/>
                <w:sz w:val="20"/>
              </w:rPr>
              <w:t>$118,691</w:t>
            </w:r>
            <w:r>
              <w:rPr>
                <w:rFonts w:ascii="Times New Roman" w:hAnsi="Times New Roman"/>
                <w:color w:val="000000"/>
                <w:sz w:val="20"/>
              </w:rPr>
              <w:t xml:space="preserve"> </w:t>
            </w:r>
            <w:r>
              <w:rPr>
                <w:rFonts w:ascii="Arial" w:hAnsi="Arial"/>
                <w:color w:val="000000"/>
                <w:sz w:val="20"/>
              </w:rPr>
              <w:t>and $93,653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313,076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204,966</w:t>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right-of-use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24,177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24,823</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and other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36,348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15,405</w:t>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Goodwill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119,651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119,509</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Intangible assets,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18,609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22,604</w:t>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38,805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40,565</w:t>
            </w:r>
          </w:p>
        </w:tc>
        <w:tc>
          <w:tcPr>
            <w:tcW w:w="14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5"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1210"/>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1210"/>
              <w:jc w:val="left"/>
              <w:rPr>
                <w:rFonts w:ascii="Arial" w:hAnsi="Arial"/>
                <w:color w:val="000000"/>
                <w:sz w:val="20"/>
              </w:rPr>
            </w:pPr>
            <w:r>
              <w:rPr>
                <w:rFonts w:ascii="Arial" w:hAnsi="Arial"/>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758,376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619,003</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Liabilities and stockholders’ equity</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Accounts payable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42,416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27,724</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Current portion of long-term debt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9,227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2,999</w:t>
            </w:r>
          </w:p>
        </w:tc>
        <w:tc>
          <w:tcPr>
            <w:tcW w:w="140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Accrued compensation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14,945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13,709</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Short-term income taxes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2,534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7,211</w:t>
            </w:r>
          </w:p>
        </w:tc>
        <w:tc>
          <w:tcPr>
            <w:tcW w:w="140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Short-term unearned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72,965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64,555</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26,738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25,020</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5"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Total current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168,825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141,218</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Long-term debt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31,067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40,152</w:t>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Long-term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28,647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25,986</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Long-term unearned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2,747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2,710</w:t>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Deferred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3,054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2,835</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16,532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17,437</w:t>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65,117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45,186</w:t>
            </w:r>
          </w:p>
        </w:tc>
        <w:tc>
          <w:tcPr>
            <w:tcW w:w="14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5"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315,989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275,524</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5"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Commitments and contingencies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 xml:space="preserve">Common stock and paid-in capital – shares authorized 24,000; outstanding </w:t>
            </w:r>
            <w:r>
              <w:rPr>
                <w:rFonts w:ascii="Arial" w:hAnsi="Arial"/>
                <w:b/>
                <w:color w:val="000000"/>
                <w:sz w:val="20"/>
              </w:rPr>
              <w:t>7,427</w:t>
            </w:r>
            <w:r>
              <w:rPr>
                <w:rFonts w:ascii="Times New Roman" w:hAnsi="Times New Roman"/>
                <w:color w:val="000000"/>
                <w:sz w:val="20"/>
              </w:rPr>
              <w:t> </w:t>
            </w:r>
            <w:r>
              <w:rPr>
                <w:rFonts w:ascii="Arial" w:hAnsi="Arial"/>
                <w:color w:val="000000"/>
                <w:sz w:val="20"/>
              </w:rPr>
              <w:t>and 7,434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117,406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109,095</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Retained earnings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328,265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237,731</w:t>
            </w:r>
          </w:p>
        </w:tc>
        <w:tc>
          <w:tcPr>
            <w:tcW w:w="140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Accumulated other comprehensive loss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(3,284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(3,347</w:t>
            </w:r>
          </w:p>
        </w:tc>
        <w:tc>
          <w:tcPr>
            <w:tcW w:w="140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485"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5"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Total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442,387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343,479</w:t>
            </w:r>
          </w:p>
        </w:tc>
        <w:tc>
          <w:tcPr>
            <w:tcW w:w="1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5"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5"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1210"/>
              <w:jc w:val="left"/>
              <w:rPr/>
            </w:pPr>
            <w:r>
              <w:rPr/>
              <w:t> </w:t>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1210"/>
              <w:jc w:val="left"/>
              <w:rPr>
                <w:rFonts w:ascii="Arial" w:hAnsi="Arial"/>
                <w:color w:val="000000"/>
                <w:sz w:val="20"/>
              </w:rPr>
            </w:pPr>
            <w:r>
              <w:rPr>
                <w:rFonts w:ascii="Arial" w:hAnsi="Arial"/>
                <w:color w:val="000000"/>
                <w:sz w:val="20"/>
              </w:rPr>
              <w:t>Total liabilities and stockholders’ equity</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758,376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619,003</w:t>
            </w:r>
          </w:p>
        </w:tc>
        <w:tc>
          <w:tcPr>
            <w:tcW w:w="14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Refer to accompanying notes.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52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jc w:val="center"/>
        <w:rPr>
          <w:rFonts w:ascii="Arial" w:hAnsi="Arial"/>
          <w:b/>
          <w:color w:val="000000"/>
          <w:sz w:val="20"/>
        </w:rPr>
      </w:pPr>
      <w:bookmarkStart w:id="20" w:name="cash_flows_statements"/>
      <w:bookmarkEnd w:id="20"/>
      <w:r>
        <w:rPr>
          <w:rFonts w:ascii="Arial" w:hAnsi="Arial"/>
          <w:b/>
          <w:color w:val="000000"/>
          <w:sz w:val="20"/>
        </w:rPr>
        <w:t>CASH FLOWS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79"/>
        <w:gridCol w:w="146"/>
        <w:gridCol w:w="211"/>
        <w:gridCol w:w="856"/>
        <w:gridCol w:w="166"/>
        <w:gridCol w:w="146"/>
        <w:gridCol w:w="211"/>
        <w:gridCol w:w="796"/>
        <w:gridCol w:w="184"/>
        <w:gridCol w:w="146"/>
        <w:gridCol w:w="211"/>
        <w:gridCol w:w="796"/>
        <w:gridCol w:w="1157"/>
      </w:tblGrid>
      <w:tr>
        <w:trPr/>
        <w:tc>
          <w:tcPr>
            <w:tcW w:w="517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157" w:type="dxa"/>
            <w:tcBorders/>
            <w:shd w:fill="FFFFFF" w:val="clear"/>
            <w:vAlign w:val="center"/>
          </w:tcPr>
          <w:p>
            <w:pPr>
              <w:pStyle w:val="TableContents"/>
              <w:bidi w:val="0"/>
              <w:spacing w:before="0" w:after="283"/>
              <w:jc w:val="left"/>
              <w:rPr>
                <w:sz w:val="4"/>
                <w:szCs w:val="4"/>
              </w:rPr>
            </w:pPr>
            <w:r>
              <w:rPr>
                <w:sz w:val="4"/>
                <w:szCs w:val="4"/>
              </w:rPr>
            </w:r>
          </w:p>
        </w:tc>
      </w:tr>
      <w:tr>
        <w:trPr/>
        <w:tc>
          <w:tcPr>
            <w:tcW w:w="517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8"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33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Operations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133,749</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101,832</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88,136</w:t>
            </w:r>
          </w:p>
        </w:tc>
        <w:tc>
          <w:tcPr>
            <w:tcW w:w="1157"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Adjustments to reconcile net income to net cash from operations: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Depreciation, amortization, and other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38,534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29,433</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20,958</w:t>
            </w:r>
          </w:p>
        </w:tc>
        <w:tc>
          <w:tcPr>
            <w:tcW w:w="1157"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Stock-based compensation expense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12,405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11,974</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10,734</w:t>
            </w:r>
          </w:p>
        </w:tc>
        <w:tc>
          <w:tcPr>
            <w:tcW w:w="1157"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Net recognized losses (gains) on investments and derivatives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(11,047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5,329</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1,634</w:t>
            </w:r>
          </w:p>
        </w:tc>
        <w:tc>
          <w:tcPr>
            <w:tcW w:w="1157"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Deferred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14,189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(7,056</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(4,738</w:t>
            </w:r>
          </w:p>
        </w:tc>
        <w:tc>
          <w:tcPr>
            <w:tcW w:w="1157"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Changes in operating assets and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Accounts receivable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(12,737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(10,581</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(7,191</w:t>
            </w:r>
          </w:p>
        </w:tc>
        <w:tc>
          <w:tcPr>
            <w:tcW w:w="1157"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Inventories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1,284</w:t>
            </w:r>
          </w:p>
        </w:tc>
        <w:tc>
          <w:tcPr>
            <w:tcW w:w="1157"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 current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(2,627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(3,044</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(1,648</w:t>
            </w:r>
          </w:p>
        </w:tc>
        <w:tc>
          <w:tcPr>
            <w:tcW w:w="1157"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 long-term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(3,964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(2,950</w:t>
            </w:r>
          </w:p>
        </w:tc>
        <w:tc>
          <w:tcPr>
            <w:tcW w:w="1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(6,817</w:t>
            </w:r>
          </w:p>
        </w:tc>
        <w:tc>
          <w:tcPr>
            <w:tcW w:w="1157"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Accounts payable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5,268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3,545</w:t>
            </w:r>
          </w:p>
        </w:tc>
        <w:tc>
          <w:tcPr>
            <w:tcW w:w="1157"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Unearned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9,361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5,438</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5,348</w:t>
            </w:r>
          </w:p>
        </w:tc>
        <w:tc>
          <w:tcPr>
            <w:tcW w:w="1157"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(1,875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1,687</w:t>
            </w:r>
          </w:p>
        </w:tc>
        <w:tc>
          <w:tcPr>
            <w:tcW w:w="1157"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6,847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5,922</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4,867</w:t>
            </w:r>
          </w:p>
        </w:tc>
        <w:tc>
          <w:tcPr>
            <w:tcW w:w="1157"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 long-term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(4,707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(975</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749</w:t>
            </w:r>
          </w:p>
        </w:tc>
        <w:tc>
          <w:tcPr>
            <w:tcW w:w="1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Net cash from operations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182,935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136,162</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118,548</w:t>
            </w:r>
          </w:p>
        </w:tc>
        <w:tc>
          <w:tcPr>
            <w:tcW w:w="1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Financing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Proceeds from issuance (repayments) of debt, maturities of 90 days or less,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(5,746</w:t>
            </w:r>
          </w:p>
        </w:tc>
        <w:tc>
          <w:tcPr>
            <w:tcW w:w="1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5,250</w:t>
            </w:r>
          </w:p>
        </w:tc>
        <w:tc>
          <w:tcPr>
            <w:tcW w:w="1157"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Proceeds from issuance of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24,395</w:t>
            </w:r>
          </w:p>
        </w:tc>
        <w:tc>
          <w:tcPr>
            <w:tcW w:w="115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Repayments of debt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(3,000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(3,216</w:t>
            </w:r>
          </w:p>
        </w:tc>
        <w:tc>
          <w:tcPr>
            <w:tcW w:w="1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(29,070</w:t>
            </w:r>
          </w:p>
        </w:tc>
        <w:tc>
          <w:tcPr>
            <w:tcW w:w="115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issued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2,009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2,056</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2,002</w:t>
            </w:r>
          </w:p>
        </w:tc>
        <w:tc>
          <w:tcPr>
            <w:tcW w:w="115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repurchased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(22,271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(18,420</w:t>
            </w:r>
          </w:p>
        </w:tc>
        <w:tc>
          <w:tcPr>
            <w:tcW w:w="1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(17,254</w:t>
            </w:r>
          </w:p>
        </w:tc>
        <w:tc>
          <w:tcPr>
            <w:tcW w:w="115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cash dividends paid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(26,445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(24,082</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(21,771</w:t>
            </w:r>
          </w:p>
        </w:tc>
        <w:tc>
          <w:tcPr>
            <w:tcW w:w="115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(2,839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(2,291</w:t>
            </w:r>
          </w:p>
        </w:tc>
        <w:tc>
          <w:tcPr>
            <w:tcW w:w="1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(1,309</w:t>
            </w:r>
          </w:p>
        </w:tc>
        <w:tc>
          <w:tcPr>
            <w:tcW w:w="115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39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Net cash used in financing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(52,546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(51,699</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(37,757</w:t>
            </w:r>
          </w:p>
        </w:tc>
        <w:tc>
          <w:tcPr>
            <w:tcW w:w="115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39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Investing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Additions to property and equipment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(115,948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(64,551</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(44,477</w:t>
            </w:r>
          </w:p>
        </w:tc>
        <w:tc>
          <w:tcPr>
            <w:tcW w:w="115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Acquisition of companies, net of cash acquired and divestitures, and purchases of intangible and other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(1,743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(5,978</w:t>
            </w:r>
          </w:p>
        </w:tc>
        <w:tc>
          <w:tcPr>
            <w:tcW w:w="1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(69,132</w:t>
            </w:r>
          </w:p>
        </w:tc>
        <w:tc>
          <w:tcPr>
            <w:tcW w:w="115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Purchases of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(58,351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(29,775</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(17,732</w:t>
            </w:r>
          </w:p>
        </w:tc>
        <w:tc>
          <w:tcPr>
            <w:tcW w:w="115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Maturities of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34,605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16,079</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24,775</w:t>
            </w:r>
          </w:p>
        </w:tc>
        <w:tc>
          <w:tcPr>
            <w:tcW w:w="1157"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Sales of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21,798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9,309</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10,894</w:t>
            </w:r>
          </w:p>
        </w:tc>
        <w:tc>
          <w:tcPr>
            <w:tcW w:w="115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(19,861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2,317</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(1,298</w:t>
            </w:r>
          </w:p>
        </w:tc>
        <w:tc>
          <w:tcPr>
            <w:tcW w:w="115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39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Net cash used in investing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(139,500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(72,599</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(96,970</w:t>
            </w:r>
          </w:p>
        </w:tc>
        <w:tc>
          <w:tcPr>
            <w:tcW w:w="115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39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Effect of foreign exchange rates on cash and cash equivalents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115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39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change in cash and cash equivalents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(9,307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11,927</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(16,389</w:t>
            </w:r>
          </w:p>
        </w:tc>
        <w:tc>
          <w:tcPr>
            <w:tcW w:w="115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and cash equivalents, beginning of period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30,242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18,315</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34,704</w:t>
            </w:r>
          </w:p>
        </w:tc>
        <w:tc>
          <w:tcPr>
            <w:tcW w:w="1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and cash equivalents,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20,935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30,242</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18,315</w:t>
            </w:r>
          </w:p>
        </w:tc>
        <w:tc>
          <w:tcPr>
            <w:tcW w:w="11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Refer to accompanying notes.</w:t>
      </w:r>
    </w:p>
    <w:p>
      <w:pPr>
        <w:pStyle w:val="TextBody"/>
        <w:bidi w:val="0"/>
        <w:spacing w:before="240" w:after="283"/>
        <w:jc w:val="center"/>
        <w:rPr>
          <w:rFonts w:ascii="Arial" w:hAnsi="Arial"/>
          <w:color w:val="000000"/>
          <w:sz w:val="16"/>
        </w:rPr>
      </w:pPr>
      <w:r>
        <w:rPr>
          <w:rFonts w:ascii="Arial" w:hAnsi="Arial"/>
          <w:color w:val="000000"/>
          <w:sz w:val="16"/>
        </w:rPr>
        <w:t>53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jc w:val="center"/>
        <w:rPr>
          <w:rFonts w:ascii="Arial" w:hAnsi="Arial"/>
          <w:b/>
          <w:color w:val="000000"/>
          <w:sz w:val="20"/>
        </w:rPr>
      </w:pPr>
      <w:bookmarkStart w:id="21" w:name="stockholders_equity_statements"/>
      <w:bookmarkEnd w:id="21"/>
      <w:r>
        <w:rPr>
          <w:rFonts w:ascii="Arial" w:hAnsi="Arial"/>
          <w:b/>
          <w:color w:val="000000"/>
          <w:sz w:val="20"/>
        </w:rPr>
        <w:t>STOCKHOLDERS’ EQUITY STATEMENTS</w:t>
      </w:r>
    </w:p>
    <w:p>
      <w:pPr>
        <w:pStyle w:val="TextBody"/>
        <w:bidi w:val="0"/>
        <w:jc w:val="both"/>
        <w:rPr/>
      </w:pPr>
      <w:r>
        <w:rPr/>
        <w:t> </w:t>
      </w:r>
    </w:p>
    <w:tbl>
      <w:tblPr>
        <w:tblW w:w="8693" w:type="dxa"/>
        <w:jc w:val="left"/>
        <w:tblInd w:w="0" w:type="dxa"/>
        <w:tblLayout w:type="fixed"/>
        <w:tblCellMar>
          <w:top w:w="28" w:type="dxa"/>
          <w:left w:w="28" w:type="dxa"/>
          <w:bottom w:w="28" w:type="dxa"/>
          <w:right w:w="28" w:type="dxa"/>
        </w:tblCellMar>
      </w:tblPr>
      <w:tblGrid>
        <w:gridCol w:w="4176"/>
        <w:gridCol w:w="146"/>
        <w:gridCol w:w="211"/>
        <w:gridCol w:w="796"/>
        <w:gridCol w:w="166"/>
        <w:gridCol w:w="146"/>
        <w:gridCol w:w="211"/>
        <w:gridCol w:w="796"/>
        <w:gridCol w:w="211"/>
        <w:gridCol w:w="146"/>
        <w:gridCol w:w="211"/>
        <w:gridCol w:w="796"/>
        <w:gridCol w:w="681"/>
      </w:tblGrid>
      <w:tr>
        <w:trPr/>
        <w:tc>
          <w:tcPr>
            <w:tcW w:w="41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41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2"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01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83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Common stock and paid-in capital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109,095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100,923</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93,718</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issued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2,009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2,056</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repurchased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(6,105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(5,856</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(5,712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Stock-based compensation expense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12,405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11,974</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10,734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2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2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117,406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109,095</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100,923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2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Retained earnings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237,731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173,144</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118,848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133,749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101,832</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88,136</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cash dividends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(27,034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(24,677</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(22,293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repurchased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(16,181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(12,568</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(11,547</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32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2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328,265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237,731</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173,144</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2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Accumulated other comprehensive loss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(3,347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(5,590</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Other comprehensive income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2,243</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753</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2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2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(3,284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(3,347</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32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2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Total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442,387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343,479</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268,477</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dividends declared per common share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Refer to accompanying notes.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54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jc w:val="center"/>
        <w:rPr>
          <w:rFonts w:ascii="Times New Roman" w:hAnsi="Times New Roman"/>
          <w:sz w:val="20"/>
        </w:rPr>
      </w:pPr>
      <w:bookmarkStart w:id="22" w:name="notes_to_financial_statements"/>
      <w:bookmarkEnd w:id="22"/>
      <w:r>
        <w:rPr>
          <w:rFonts w:ascii="Arial" w:hAnsi="Arial"/>
          <w:b/>
          <w:color w:val="000000"/>
          <w:sz w:val="20"/>
        </w:rPr>
        <w:t>NOTES TO FINANCIAL STATEMENTS</w:t>
      </w:r>
      <w:r>
        <w:rPr>
          <w:rFonts w:ascii="Times New Roman" w:hAnsi="Times New Roman"/>
          <w:color w:val="000000"/>
          <w:sz w:val="20"/>
        </w:rPr>
        <w:t xml:space="preserve"> </w:t>
      </w:r>
    </w:p>
    <w:p>
      <w:pPr>
        <w:pStyle w:val="TextBody"/>
        <w:bidi w:val="0"/>
        <w:spacing w:before="180" w:after="283"/>
        <w:jc w:val="center"/>
        <w:rPr>
          <w:rFonts w:ascii="Arial" w:hAnsi="Arial"/>
          <w:color w:val="000000"/>
          <w:sz w:val="20"/>
          <w:u w:val="single"/>
        </w:rPr>
      </w:pPr>
      <w:r>
        <w:rPr>
          <w:rFonts w:ascii="Arial" w:hAnsi="Arial"/>
          <w:color w:val="000000"/>
          <w:sz w:val="20"/>
          <w:u w:val="single"/>
        </w:rPr>
        <w:t>NOTE 1 — ACCOUNTING POLICIES</w:t>
      </w:r>
    </w:p>
    <w:p>
      <w:pPr>
        <w:pStyle w:val="TextBody"/>
        <w:bidi w:val="0"/>
        <w:spacing w:before="180" w:after="283"/>
        <w:jc w:val="left"/>
        <w:rPr>
          <w:rFonts w:ascii="Times New Roman" w:hAnsi="Times New Roman"/>
          <w:sz w:val="20"/>
        </w:rPr>
      </w:pPr>
      <w:r>
        <w:rPr>
          <w:rFonts w:ascii="Arial" w:hAnsi="Arial"/>
          <w:b/>
          <w:color w:val="000000"/>
          <w:sz w:val="20"/>
        </w:rPr>
        <w:t>Accounting Principles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consolidated financial statements and accompanying notes are prepared in accordance with accounting principles generally accepted in the United States of America.</w:t>
      </w:r>
    </w:p>
    <w:p>
      <w:pPr>
        <w:pStyle w:val="TextBody"/>
        <w:bidi w:val="0"/>
        <w:spacing w:before="270" w:after="283"/>
        <w:jc w:val="left"/>
        <w:rPr>
          <w:rFonts w:ascii="Times New Roman" w:hAnsi="Times New Roman"/>
          <w:sz w:val="20"/>
        </w:rPr>
      </w:pPr>
      <w:r>
        <w:rPr>
          <w:rFonts w:ascii="Arial" w:hAnsi="Arial"/>
          <w:b/>
          <w:color w:val="000000"/>
          <w:sz w:val="20"/>
        </w:rPr>
        <w:t>Principles of Consolidation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consolidated financial statements include the accounts of Microsoft Corporation and its subsidiaries. Intercompany transactions and balances have been eliminated.</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Recast of Certain Prior Period Information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have recast certain prior period amounts on our consolidated cash flows statements to conform to the current period presentation. The recast of these prior period amounts had no impact on our consolidated balance sheets, consolidated income statements, or net cash from (used in) operations, investing, or financing on our consolidated cash flows statements.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Estimates and Assumptions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the fair value of and/or potential impairment of goodwill and intangible assets for our reporting units; product life cycles; useful lives of our tangible and intangible assets; allowances for doubtful accounts; stock-based compensation forfeiture rates; when technological feasibility is achieved for our products; the potential outcome of uncertain tax positions that have been recognized in our consolidated financial statements or tax returns; and determining the timing and amount of measurement adjustments or impairments for investments. Actual results and outcomes may differ from management’s estimates and assumptions due to risks and uncertainties.</w:t>
      </w:r>
    </w:p>
    <w:p>
      <w:pPr>
        <w:pStyle w:val="TextBody"/>
        <w:bidi w:val="0"/>
        <w:spacing w:before="270" w:after="283"/>
        <w:jc w:val="left"/>
        <w:rPr>
          <w:rFonts w:ascii="Times New Roman" w:hAnsi="Times New Roman"/>
          <w:sz w:val="20"/>
        </w:rPr>
      </w:pPr>
      <w:r>
        <w:rPr>
          <w:rFonts w:ascii="Arial" w:hAnsi="Arial"/>
          <w:b/>
          <w:color w:val="000000"/>
          <w:sz w:val="20"/>
        </w:rPr>
        <w:t>Foreign Currencies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Assets and liabilities recorded in foreign currencies are translated at the exchange rate on the balance sheet date. Revenue and expenses are translated at average rates of exchange prevailing during the year. Translation adjustments resulting from this process are recorded to other comprehensive income.</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Revenue</w:t>
      </w:r>
    </w:p>
    <w:p>
      <w:pPr>
        <w:pStyle w:val="TextBody"/>
        <w:bidi w:val="0"/>
        <w:spacing w:before="180" w:after="283"/>
        <w:jc w:val="left"/>
        <w:rPr>
          <w:rFonts w:ascii="Times New Roman" w:hAnsi="Times New Roman"/>
          <w:sz w:val="20"/>
        </w:rPr>
      </w:pPr>
      <w:r>
        <w:rPr>
          <w:rFonts w:ascii="Arial" w:hAnsi="Arial"/>
          <w:b/>
          <w:i/>
          <w:color w:val="000000"/>
          <w:sz w:val="20"/>
        </w:rPr>
        <w:t>Product Revenue and Service and Other Revenue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Product revenue includes sales from operating systems, server applications, business solution applications, software development tools, desktop and server management tools, video games, and hardware such as PCs, tablets, gaming and entertainment consoles, other intelligent devices, and related accessories.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Service and other revenue includes sales from cloud-based solutions that provide customers with AI, software, services, platforms, and content such as Azure, Office 365, Enterprise Mobility and Security, LinkedIn, Dynamics 365, and XBOX; solution support; and consulting services. Service and other revenue also includes sales from online advertising.</w:t>
      </w:r>
    </w:p>
    <w:p>
      <w:pPr>
        <w:pStyle w:val="TextBody"/>
        <w:bidi w:val="0"/>
        <w:spacing w:before="240" w:after="283"/>
        <w:jc w:val="center"/>
        <w:rPr>
          <w:rFonts w:ascii="Arial" w:hAnsi="Arial"/>
          <w:color w:val="000000"/>
          <w:sz w:val="16"/>
        </w:rPr>
      </w:pPr>
      <w:r>
        <w:rPr>
          <w:rFonts w:ascii="Arial" w:hAnsi="Arial"/>
          <w:color w:val="000000"/>
          <w:sz w:val="16"/>
        </w:rPr>
        <w:t>55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270" w:after="283"/>
        <w:jc w:val="left"/>
        <w:rPr>
          <w:rFonts w:ascii="Arial" w:hAnsi="Arial"/>
          <w:b/>
          <w:i/>
          <w:color w:val="000000"/>
          <w:sz w:val="20"/>
        </w:rPr>
      </w:pPr>
      <w:r>
        <w:rPr>
          <w:rFonts w:ascii="Arial" w:hAnsi="Arial"/>
          <w:b/>
          <w:i/>
          <w:color w:val="000000"/>
          <w:sz w:val="20"/>
        </w:rPr>
        <w:t>Revenue Recognition</w:t>
      </w:r>
    </w:p>
    <w:p>
      <w:pPr>
        <w:pStyle w:val="TextBody"/>
        <w:bidi w:val="0"/>
        <w:spacing w:before="180" w:after="283"/>
        <w:jc w:val="both"/>
        <w:rPr>
          <w:rFonts w:ascii="Times New Roman" w:hAnsi="Times New Roman"/>
          <w:sz w:val="20"/>
        </w:rPr>
      </w:pPr>
      <w:r>
        <w:rPr>
          <w:rFonts w:ascii="Arial" w:hAnsi="Arial"/>
          <w:color w:val="000000"/>
          <w:sz w:val="20"/>
        </w:rPr>
        <w:t>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returns and any taxes collected from customers, which are subsequently remitted to governmental authorities.</w:t>
      </w:r>
      <w:r>
        <w:rPr>
          <w:rFonts w:ascii="Times New Roman" w:hAnsi="Times New Roman"/>
          <w:color w:val="000000"/>
          <w:sz w:val="20"/>
        </w:rPr>
        <w:t xml:space="preserve"> </w:t>
      </w:r>
    </w:p>
    <w:p>
      <w:pPr>
        <w:pStyle w:val="TextBody"/>
        <w:bidi w:val="0"/>
        <w:spacing w:before="270" w:after="283"/>
        <w:jc w:val="left"/>
        <w:rPr>
          <w:rFonts w:ascii="Arial" w:hAnsi="Arial"/>
          <w:i/>
          <w:color w:val="000000"/>
          <w:sz w:val="20"/>
        </w:rPr>
      </w:pPr>
      <w:r>
        <w:rPr>
          <w:rFonts w:ascii="Arial" w:hAnsi="Arial"/>
          <w:i/>
          <w:color w:val="000000"/>
          <w:sz w:val="20"/>
        </w:rPr>
        <w:t>Nature of Products and Services</w:t>
      </w:r>
    </w:p>
    <w:p>
      <w:pPr>
        <w:pStyle w:val="TextBody"/>
        <w:bidi w:val="0"/>
        <w:spacing w:before="180" w:after="283"/>
        <w:jc w:val="both"/>
        <w:rPr>
          <w:rFonts w:ascii="Arial" w:hAnsi="Arial"/>
          <w:color w:val="000000"/>
          <w:sz w:val="20"/>
        </w:rPr>
      </w:pPr>
      <w:r>
        <w:rPr>
          <w:rFonts w:ascii="Arial" w:hAnsi="Arial"/>
          <w:color w:val="000000"/>
          <w:sz w:val="20"/>
        </w:rPr>
        <w:t>Licenses for on-premises software provide the customer with a right to use the software as it exists when made available to the customer. Customers may purchase perpetual licenses or subscribe to licenses, which provide customers with the same functionality and differ mainly in the duration over which the customer benefits from the software. Revenue from distinct on-premises licenses is recognized upfront at the point in time when the software is made available to the customer. In cases where we allocate revenue to software updates, primarily because the updates are provided at no additional charge, revenue is recognized as the updates are provided, which is generally ratably over the estimated life of the related device or license.</w:t>
      </w:r>
    </w:p>
    <w:p>
      <w:pPr>
        <w:pStyle w:val="TextBody"/>
        <w:bidi w:val="0"/>
        <w:spacing w:before="180" w:after="283"/>
        <w:jc w:val="both"/>
        <w:rPr>
          <w:rFonts w:ascii="Times New Roman" w:hAnsi="Times New Roman"/>
          <w:sz w:val="20"/>
        </w:rPr>
      </w:pPr>
      <w:r>
        <w:rPr>
          <w:rFonts w:ascii="Arial" w:hAnsi="Arial"/>
          <w:color w:val="000000"/>
          <w:sz w:val="20"/>
        </w:rPr>
        <w:t>Cloud services, which include software-as-a-service, infrastructure-as-a-service, and platform-as-a-service, are provided on either a subscription or consumption basis. Revenue related to cloud services provided on a subscription basis is recognized ratably over the contract period. Revenue related to cloud services provided on a consumption basis, such as the amount of storage used in a period, is recognized based on the customer utilization of such resources. When cloud services require a significant level of integration and interdependency with software and the individual components are not considered distinct, all revenue is recognized over the period in which the cloud services are provided.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Certain volume licensing programs, including Enterprise Agreements, include on-premises licenses combined with Software Assurance (“SA”). SA conveys rights to new software and upgrades released over the contract period and provides support, tools, and training to help customers deploy and use products more efficiently. On-premises licenses are considered distinct performance obligations when sold with SA. Revenue allocated to SA is generally recognized ratably over the contract period as customers simultaneously consume and receive benefits, given that SA comprises distinct performance obligations that are satisfied over time.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Revenue from search advertising is recognized when the advertisement appears in the search results or when the action necessary to earn the revenue has been completed. Revenue from consulting services is recognized as services are provided.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hardware is generally highly dependent on, and interrelated with, the underlying operating system and cannot function without the operating system. In these cases, the hardware and software license are accounted for as a single performance obligation and revenue is recognized at the point in time when ownership is transferred to resellers or directly to end customers through retail stores and online marketplaces.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Refer to Note 18 – Segment Information and Geographic Data for further information, including revenue by significant product and service offering.</w:t>
      </w:r>
    </w:p>
    <w:p>
      <w:pPr>
        <w:pStyle w:val="TextBody"/>
        <w:bidi w:val="0"/>
        <w:spacing w:before="270" w:after="283"/>
        <w:jc w:val="left"/>
        <w:rPr>
          <w:rFonts w:ascii="Arial" w:hAnsi="Arial"/>
          <w:i/>
          <w:color w:val="000000"/>
          <w:sz w:val="20"/>
        </w:rPr>
      </w:pPr>
      <w:r>
        <w:rPr>
          <w:rFonts w:ascii="Arial" w:hAnsi="Arial"/>
          <w:i/>
          <w:color w:val="000000"/>
          <w:sz w:val="20"/>
        </w:rPr>
        <w:t>Significant Judgments</w:t>
      </w:r>
    </w:p>
    <w:p>
      <w:pPr>
        <w:pStyle w:val="TextBody"/>
        <w:bidi w:val="0"/>
        <w:spacing w:before="180" w:after="283"/>
        <w:jc w:val="both"/>
        <w:rPr>
          <w:rFonts w:ascii="Arial" w:hAnsi="Arial"/>
          <w:color w:val="000000"/>
          <w:sz w:val="20"/>
        </w:rPr>
      </w:pPr>
      <w:r>
        <w:rPr>
          <w:rFonts w:ascii="Arial" w:hAnsi="Arial"/>
          <w:color w:val="000000"/>
          <w:sz w:val="20"/>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pStyle w:val="TextBody"/>
        <w:bidi w:val="0"/>
        <w:spacing w:before="240" w:after="283"/>
        <w:jc w:val="center"/>
        <w:rPr>
          <w:rFonts w:ascii="Arial" w:hAnsi="Arial"/>
          <w:color w:val="000000"/>
          <w:sz w:val="16"/>
        </w:rPr>
      </w:pPr>
      <w:r>
        <w:rPr>
          <w:rFonts w:ascii="Arial" w:hAnsi="Arial"/>
          <w:color w:val="000000"/>
          <w:sz w:val="16"/>
        </w:rPr>
        <w:t>56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180" w:after="283"/>
        <w:jc w:val="both"/>
        <w:rPr>
          <w:rFonts w:ascii="Times New Roman" w:hAnsi="Times New Roman"/>
          <w:sz w:val="20"/>
        </w:rPr>
      </w:pPr>
      <w:r>
        <w:rPr>
          <w:rFonts w:ascii="Arial" w:hAnsi="Arial"/>
          <w:color w:val="000000"/>
          <w:sz w:val="20"/>
        </w:rPr>
        <w:t>Judgment is required to determine the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Due to the various benefits from and the nature of our SA program, judgment is required to assess the pattern of delivery, including the exercise pattern of certain benefits across our portfolio of customers.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pStyle w:val="TextBody"/>
        <w:bidi w:val="0"/>
        <w:spacing w:before="180" w:after="283"/>
        <w:jc w:val="both"/>
        <w:rPr>
          <w:rFonts w:ascii="Times New Roman" w:hAnsi="Times New Roman"/>
          <w:sz w:val="20"/>
        </w:rPr>
      </w:pPr>
      <w:r>
        <w:rPr>
          <w:rFonts w:ascii="Arial" w:hAnsi="Arial"/>
          <w:color w:val="000000"/>
          <w:sz w:val="20"/>
        </w:rPr>
        <w:t>Estimating revenue that will be allocated to remaining performance obligations can involve significant judgments, including identifying and assessing variable consideration and potential renegotiation of commitments. We consider factors such as the nature of the terms and duration of the contract across our portfolio of contracts.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i/>
          <w:color w:val="000000"/>
          <w:sz w:val="20"/>
        </w:rPr>
        <w:t>Contract Balances and Other Receivables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Timing of revenue recognition may differ from the timing of invoicing to customers. We record a receivable when revenue is recognized prior to invoicing, or unearned revenue when revenue is recognized subsequent to invoicing. For multi-year agreements, we generally invoice customers annually at the beginning of each annual coverage period. We record a receivable related to revenue recognized for multi-year on-premises licenses as we have an unconditional right to invoice and receive payment in the future related to those licenses.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Unearned revenue comprises mainly unearned revenue related to volume licensing programs, which may include cloud services and SA. Unearned revenue is generally invoiced annually at the beginning of each contract period for multi-year agreements and recognized ratably over the coverage period. Unearned revenue also includes payments for LinkedIn subscriptions, Office 365 subscriptions, consulting services to be performed in the future, XBOX subscriptions, Windows post-delivery support, Dynamics business solutions, and other offerings for which we have been paid in advance and earn the revenue when we transfer control of the product or service.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Refer to Note 12 – Unearned Revenue for further information, including unearned revenue by segment and changes in unearned revenue during the period.</w:t>
      </w:r>
    </w:p>
    <w:p>
      <w:pPr>
        <w:pStyle w:val="TextBody"/>
        <w:bidi w:val="0"/>
        <w:spacing w:before="180" w:after="283"/>
        <w:jc w:val="both"/>
        <w:rPr>
          <w:rFonts w:ascii="Times New Roman" w:hAnsi="Times New Roman"/>
          <w:sz w:val="20"/>
        </w:rPr>
      </w:pPr>
      <w:r>
        <w:rPr>
          <w:rFonts w:ascii="Arial" w:hAnsi="Arial"/>
          <w:color w:val="000000"/>
          <w:sz w:val="20"/>
        </w:rPr>
        <w:t>Payment terms and conditions vary by contract type, although terms generally include a requirement of payment within 30 to 60 days.</w:t>
      </w:r>
      <w:r>
        <w:rPr>
          <w:rFonts w:ascii="Times New Roman" w:hAnsi="Times New Roman"/>
          <w:color w:val="000000"/>
          <w:sz w:val="20"/>
        </w:rPr>
        <w:t xml:space="preserve"> </w:t>
      </w:r>
      <w:r>
        <w:rPr>
          <w:rFonts w:ascii="Arial" w:hAnsi="Arial"/>
          <w:color w:val="000000"/>
          <w:sz w:val="20"/>
        </w:rPr>
        <w:t>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receive financing from our customers or to provide customers with financing. Examples include invoicing at the beginning of a subscription term with revenue recognized ratably over the contract period, and multi-year on-premises licenses that are invoiced annually with revenue recognized upfront.</w:t>
      </w:r>
    </w:p>
    <w:p>
      <w:pPr>
        <w:pStyle w:val="TextBody"/>
        <w:bidi w:val="0"/>
        <w:spacing w:before="180" w:after="283"/>
        <w:jc w:val="both"/>
        <w:rPr>
          <w:rFonts w:ascii="Times New Roman" w:hAnsi="Times New Roman"/>
          <w:sz w:val="20"/>
        </w:rPr>
      </w:pPr>
      <w:r>
        <w:rPr>
          <w:rFonts w:ascii="Arial" w:hAnsi="Arial"/>
          <w:color w:val="000000"/>
          <w:sz w:val="20"/>
        </w:rPr>
        <w:t>As of June 30, 2026 and 2025, long-term accounts receivable, net of allowance for doubtful accounts, was $5.5</w:t>
      </w:r>
      <w:r>
        <w:rPr>
          <w:rFonts w:ascii="Times New Roman" w:hAnsi="Times New Roman"/>
          <w:color w:val="000000"/>
          <w:sz w:val="20"/>
        </w:rPr>
        <w:t xml:space="preserve"> </w:t>
      </w:r>
      <w:r>
        <w:rPr>
          <w:rFonts w:ascii="Arial" w:hAnsi="Arial"/>
          <w:color w:val="000000"/>
          <w:sz w:val="20"/>
        </w:rPr>
        <w:t>billion and $5.2</w:t>
      </w:r>
      <w:r>
        <w:rPr>
          <w:rFonts w:ascii="Times New Roman" w:hAnsi="Times New Roman"/>
          <w:color w:val="000000"/>
          <w:sz w:val="20"/>
        </w:rPr>
        <w:t xml:space="preserve"> </w:t>
      </w:r>
      <w:r>
        <w:rPr>
          <w:rFonts w:ascii="Arial" w:hAnsi="Arial"/>
          <w:color w:val="000000"/>
          <w:sz w:val="20"/>
        </w:rPr>
        <w:t>billion, respectively, and is included in other long-term assets in our consolidated balance sheets.</w:t>
      </w:r>
    </w:p>
    <w:p>
      <w:pPr>
        <w:pStyle w:val="TextBody"/>
        <w:bidi w:val="0"/>
        <w:spacing w:before="180" w:after="283"/>
        <w:jc w:val="both"/>
        <w:rPr>
          <w:rFonts w:ascii="Times New Roman" w:hAnsi="Times New Roman"/>
          <w:sz w:val="20"/>
        </w:rPr>
      </w:pPr>
      <w:r>
        <w:rPr>
          <w:rFonts w:ascii="Arial" w:hAnsi="Arial"/>
          <w:color w:val="000000"/>
          <w:sz w:val="20"/>
        </w:rPr>
        <w:t>As of June 30, 2026 and 2025, the current portion of other receivables related to activities to facilitate the purchase of server components was $27.8</w:t>
      </w:r>
      <w:r>
        <w:rPr>
          <w:rFonts w:ascii="Times New Roman" w:hAnsi="Times New Roman"/>
          <w:color w:val="000000"/>
          <w:sz w:val="20"/>
        </w:rPr>
        <w:t xml:space="preserve"> </w:t>
      </w:r>
      <w:r>
        <w:rPr>
          <w:rFonts w:ascii="Arial" w:hAnsi="Arial"/>
          <w:color w:val="000000"/>
          <w:sz w:val="20"/>
        </w:rPr>
        <w:t>billion and $8.2</w:t>
      </w:r>
      <w:r>
        <w:rPr>
          <w:rFonts w:ascii="Times New Roman" w:hAnsi="Times New Roman"/>
          <w:color w:val="000000"/>
          <w:sz w:val="20"/>
        </w:rPr>
        <w:t xml:space="preserve"> </w:t>
      </w:r>
      <w:r>
        <w:rPr>
          <w:rFonts w:ascii="Arial" w:hAnsi="Arial"/>
          <w:color w:val="000000"/>
          <w:sz w:val="20"/>
        </w:rPr>
        <w:t>billion, respectively, and are included in other current assets in our consolidated balance sheets. Additionally, as of June 30, 2026, restricted investments pursuant to a supplier agreement were $11.3</w:t>
      </w:r>
      <w:r>
        <w:rPr>
          <w:rFonts w:ascii="Times New Roman" w:hAnsi="Times New Roman"/>
          <w:color w:val="000000"/>
          <w:sz w:val="20"/>
        </w:rPr>
        <w:t xml:space="preserve"> </w:t>
      </w:r>
      <w:r>
        <w:rPr>
          <w:rFonts w:ascii="Arial" w:hAnsi="Arial"/>
          <w:color w:val="000000"/>
          <w:sz w:val="20"/>
        </w:rPr>
        <w:t>billion, with $3.8</w:t>
      </w:r>
      <w:r>
        <w:rPr>
          <w:rFonts w:ascii="Times New Roman" w:hAnsi="Times New Roman"/>
          <w:color w:val="000000"/>
          <w:sz w:val="20"/>
        </w:rPr>
        <w:t xml:space="preserve"> </w:t>
      </w:r>
      <w:r>
        <w:rPr>
          <w:rFonts w:ascii="Arial" w:hAnsi="Arial"/>
          <w:color w:val="000000"/>
          <w:sz w:val="20"/>
        </w:rPr>
        <w:t>billion included in short-term investments and $7.5</w:t>
      </w:r>
      <w:r>
        <w:rPr>
          <w:rFonts w:ascii="Times New Roman" w:hAnsi="Times New Roman"/>
          <w:color w:val="000000"/>
          <w:sz w:val="20"/>
        </w:rPr>
        <w:t xml:space="preserve"> </w:t>
      </w:r>
      <w:r>
        <w:rPr>
          <w:rFonts w:ascii="Arial" w:hAnsi="Arial"/>
          <w:color w:val="000000"/>
          <w:sz w:val="20"/>
        </w:rPr>
        <w:t>billion included in equity and other investments in our consolidated balance sheet.</w:t>
      </w:r>
    </w:p>
    <w:p>
      <w:pPr>
        <w:pStyle w:val="TextBody"/>
        <w:bidi w:val="0"/>
        <w:spacing w:before="240" w:after="283"/>
        <w:jc w:val="center"/>
        <w:rPr>
          <w:rFonts w:ascii="Arial" w:hAnsi="Arial"/>
          <w:color w:val="000000"/>
          <w:sz w:val="16"/>
        </w:rPr>
      </w:pPr>
      <w:r>
        <w:rPr>
          <w:rFonts w:ascii="Arial" w:hAnsi="Arial"/>
          <w:color w:val="000000"/>
          <w:sz w:val="16"/>
        </w:rPr>
        <w:t>57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180" w:after="283"/>
        <w:jc w:val="both"/>
        <w:rPr>
          <w:rFonts w:ascii="Times New Roman" w:hAnsi="Times New Roman"/>
          <w:sz w:val="20"/>
        </w:rPr>
      </w:pPr>
      <w:r>
        <w:rPr>
          <w:rFonts w:ascii="Arial" w:hAnsi="Arial"/>
          <w:color w:val="000000"/>
          <w:sz w:val="20"/>
        </w:rPr>
        <w:t>We record financing receivables when we offer certain customers the option to acquire our software products and services offerings through a financing program in a limited number of countries. As of June 30, 2026 and 2025, our financing receivables, net were $3.7</w:t>
      </w:r>
      <w:r>
        <w:rPr>
          <w:rFonts w:ascii="Times New Roman" w:hAnsi="Times New Roman"/>
          <w:color w:val="000000"/>
          <w:sz w:val="20"/>
        </w:rPr>
        <w:t xml:space="preserve"> </w:t>
      </w:r>
      <w:r>
        <w:rPr>
          <w:rFonts w:ascii="Arial" w:hAnsi="Arial"/>
          <w:color w:val="000000"/>
          <w:sz w:val="20"/>
        </w:rPr>
        <w:t>billion and $4.3</w:t>
      </w:r>
      <w:r>
        <w:rPr>
          <w:rFonts w:ascii="Times New Roman" w:hAnsi="Times New Roman"/>
          <w:color w:val="000000"/>
          <w:sz w:val="20"/>
        </w:rPr>
        <w:t xml:space="preserve"> </w:t>
      </w:r>
      <w:r>
        <w:rPr>
          <w:rFonts w:ascii="Arial" w:hAnsi="Arial"/>
          <w:color w:val="000000"/>
          <w:sz w:val="20"/>
        </w:rPr>
        <w:t>billion, respectively, for short-term and long-term financing receivables, which are included in other current assets and other long-term assets in our consolidated balance sheets.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record an allowance for doubtful accounts which reflects our best estimate of credit losses inherent in the accounts receivable and financing receivable balances. We determine the allowance based on known troubled accounts, historical experience, and other currently available evidence.</w:t>
      </w:r>
    </w:p>
    <w:p>
      <w:pPr>
        <w:pStyle w:val="TextBody"/>
        <w:bidi w:val="0"/>
        <w:spacing w:before="270" w:after="283"/>
        <w:jc w:val="left"/>
        <w:rPr>
          <w:rFonts w:ascii="Arial" w:hAnsi="Arial"/>
          <w:b/>
          <w:i/>
          <w:color w:val="000000"/>
          <w:sz w:val="20"/>
        </w:rPr>
      </w:pPr>
      <w:r>
        <w:rPr>
          <w:rFonts w:ascii="Arial" w:hAnsi="Arial"/>
          <w:b/>
          <w:i/>
          <w:color w:val="000000"/>
          <w:sz w:val="20"/>
        </w:rPr>
        <w:t>Assets Recognized from Costs to Obtain a Contract with a Customer</w:t>
      </w:r>
    </w:p>
    <w:p>
      <w:pPr>
        <w:pStyle w:val="TextBody"/>
        <w:bidi w:val="0"/>
        <w:spacing w:before="180" w:after="283"/>
        <w:jc w:val="both"/>
        <w:rPr>
          <w:rFonts w:ascii="Times New Roman" w:hAnsi="Times New Roman"/>
          <w:sz w:val="20"/>
        </w:rPr>
      </w:pPr>
      <w:r>
        <w:rPr>
          <w:rFonts w:ascii="Arial" w:hAnsi="Arial"/>
          <w:color w:val="000000"/>
          <w:sz w:val="20"/>
        </w:rPr>
        <w:t>We recognize an asset for the incremental costs of obtaining a contract with a customer if we expect the benefit of those costs to be longer than one year. We have determined that certain sales incentive programs meet the requirements to be capitalized. Total capitalized costs to obtain a contract were immaterial during the periods presented and are included in other current and long-term assets in our consolidated balance sheets.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apply a practical expedient to expense costs as incurred for costs to obtain a contract with a customer when the amortization period would have been one year or less. These costs include our internal sales organization compensation program and certain partner sales incentive programs as we have determined annual compensation is commensurate with annual sales activities.</w:t>
      </w:r>
    </w:p>
    <w:p>
      <w:pPr>
        <w:pStyle w:val="TextBody"/>
        <w:bidi w:val="0"/>
        <w:spacing w:before="270" w:after="283"/>
        <w:jc w:val="left"/>
        <w:rPr>
          <w:rFonts w:ascii="Times New Roman" w:hAnsi="Times New Roman"/>
          <w:sz w:val="20"/>
        </w:rPr>
      </w:pPr>
      <w:r>
        <w:rPr>
          <w:rFonts w:ascii="Arial" w:hAnsi="Arial"/>
          <w:b/>
          <w:color w:val="000000"/>
          <w:sz w:val="20"/>
        </w:rPr>
        <w:t>Cost of Revenue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Cost of revenue includes: costs incurred to support and maintain cloud-based and other online products and services, including datacenter costs and royalties; operating costs related to product support service centers and product distribution centers; manufacturing and distribution costs for products sold and programs licensed; traffic acquisition costs to drive traffic to our websites and to acquire online advertising space; and costs associated with the delivery of consulting services.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Research and Development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Research and development expenses include payroll, stock-based compensation expense, employee benefits, and other headcount-related expenses associated with product development. Research and development expenses also include technology development costs, including AI training and other infrastructure costs, third-party development and programming costs, and the depreciation and amortization of assets used to conduct research and development. Such costs related to software development are included in research and development expense until the point that technological feasibility is reached, which for our software products is generally shortly before the products are released to production. Once technological feasibility is reached, such costs are capitalized and amortized to cost of revenue over the estimated lives of the products.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Sales and Marketing</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Sales and marketing expenses include payroll, stock-based compensation expense, employee benefits, and other headcount-related expenses associated with sales and marketing personnel, and the costs of advertising, promotions, trade shows, seminars, and other programs. Advertising costs are expensed as incurred. Advertising expense was $2.7</w:t>
      </w:r>
      <w:r>
        <w:rPr>
          <w:rFonts w:ascii="Times New Roman" w:hAnsi="Times New Roman"/>
          <w:color w:val="000000"/>
          <w:sz w:val="20"/>
        </w:rPr>
        <w:t xml:space="preserve"> </w:t>
      </w:r>
      <w:r>
        <w:rPr>
          <w:rFonts w:ascii="Arial" w:hAnsi="Arial"/>
          <w:color w:val="000000"/>
          <w:sz w:val="20"/>
        </w:rPr>
        <w:t>billion, $2.1</w:t>
      </w:r>
      <w:r>
        <w:rPr>
          <w:rFonts w:ascii="Times New Roman" w:hAnsi="Times New Roman"/>
          <w:color w:val="000000"/>
          <w:sz w:val="20"/>
        </w:rPr>
        <w:t xml:space="preserve"> </w:t>
      </w:r>
      <w:r>
        <w:rPr>
          <w:rFonts w:ascii="Arial" w:hAnsi="Arial"/>
          <w:color w:val="000000"/>
          <w:sz w:val="20"/>
        </w:rPr>
        <w:t>billion, and $1.7</w:t>
      </w:r>
      <w:r>
        <w:rPr>
          <w:rFonts w:ascii="Times New Roman" w:hAnsi="Times New Roman"/>
          <w:color w:val="000000"/>
          <w:sz w:val="20"/>
        </w:rPr>
        <w:t xml:space="preserve"> </w:t>
      </w:r>
      <w:r>
        <w:rPr>
          <w:rFonts w:ascii="Arial" w:hAnsi="Arial"/>
          <w:color w:val="000000"/>
          <w:sz w:val="20"/>
        </w:rPr>
        <w:t>billion in fiscal years 2026, 2025, and 2024, respectively.</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Stock-Based Compensation</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Compensation cost for stock awards, which include restricted stock units (“RSUs”) and performance stock units (“PSUs”), is measured at the fair value on the grant date and recognized as expense, net of estimated forfeitures, over the related service or performance period. The fair value of stock awards is based on the quoted price of our common stock on the grant date less the present value of expected dividends not received during the vesting period. We measure the fair value of PSUs using a Monte Carlo valuation model. Compensation cost for RSUs is recognized using the straight-line method and for PSUs is recognized using the accelerated method.</w:t>
      </w:r>
    </w:p>
    <w:p>
      <w:pPr>
        <w:pStyle w:val="TextBody"/>
        <w:bidi w:val="0"/>
        <w:spacing w:before="180" w:after="283"/>
        <w:jc w:val="both"/>
        <w:rPr>
          <w:rFonts w:ascii="Arial" w:hAnsi="Arial"/>
          <w:color w:val="000000"/>
          <w:sz w:val="20"/>
        </w:rPr>
      </w:pPr>
      <w:r>
        <w:rPr>
          <w:rFonts w:ascii="Arial" w:hAnsi="Arial"/>
          <w:color w:val="000000"/>
          <w:sz w:val="20"/>
        </w:rPr>
        <w:t>Compensation expense for the employee stock purchase plan (“ESPP”) is measured as the discount the employee is entitled to upon purchase and is recognized in the period of purchase.</w:t>
      </w:r>
    </w:p>
    <w:p>
      <w:pPr>
        <w:pStyle w:val="TextBody"/>
        <w:bidi w:val="0"/>
        <w:spacing w:before="240" w:after="283"/>
        <w:jc w:val="center"/>
        <w:rPr>
          <w:rFonts w:ascii="Arial" w:hAnsi="Arial"/>
          <w:color w:val="000000"/>
          <w:sz w:val="16"/>
        </w:rPr>
      </w:pPr>
      <w:r>
        <w:rPr>
          <w:rFonts w:ascii="Arial" w:hAnsi="Arial"/>
          <w:color w:val="000000"/>
          <w:sz w:val="16"/>
        </w:rPr>
        <w:t>58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270" w:after="283"/>
        <w:jc w:val="left"/>
        <w:rPr>
          <w:rFonts w:ascii="Times New Roman" w:hAnsi="Times New Roman"/>
          <w:sz w:val="20"/>
        </w:rPr>
      </w:pPr>
      <w:r>
        <w:rPr>
          <w:rFonts w:ascii="Arial" w:hAnsi="Arial"/>
          <w:b/>
          <w:color w:val="000000"/>
          <w:sz w:val="20"/>
        </w:rPr>
        <w:t>Income Taxes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Income tax expense includes U.S. and international income taxes, and interest and penalties on uncertain tax positions. Certain income and expenses are not reported in tax returns and financial statements in the same year. The tax effect of such temporary differences is reported as deferred income taxes. We are subject to global intangible low-taxed income (“GILTI”) in the U.S. and have elected to include GILTI in the measurement of deferred income taxes. Deferred tax assets are reported net of a valuation allowance when it is more likely than not that a tax benefit will not be realized. All deferred income taxes are classified as long-term in our consolidated balance sheets.</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Financial Instruments</w:t>
      </w:r>
    </w:p>
    <w:p>
      <w:pPr>
        <w:pStyle w:val="TextBody"/>
        <w:bidi w:val="0"/>
        <w:spacing w:before="180" w:after="283"/>
        <w:jc w:val="left"/>
        <w:rPr>
          <w:rFonts w:ascii="Arial" w:hAnsi="Arial"/>
          <w:b/>
          <w:i/>
          <w:color w:val="000000"/>
          <w:sz w:val="20"/>
        </w:rPr>
      </w:pPr>
      <w:r>
        <w:rPr>
          <w:rFonts w:ascii="Arial" w:hAnsi="Arial"/>
          <w:b/>
          <w:i/>
          <w:color w:val="000000"/>
          <w:sz w:val="20"/>
        </w:rPr>
        <w:t>Investments</w:t>
      </w:r>
    </w:p>
    <w:p>
      <w:pPr>
        <w:pStyle w:val="TextBody"/>
        <w:bidi w:val="0"/>
        <w:spacing w:before="180" w:after="283"/>
        <w:jc w:val="both"/>
        <w:rPr>
          <w:rFonts w:ascii="Times New Roman" w:hAnsi="Times New Roman"/>
          <w:sz w:val="20"/>
        </w:rPr>
      </w:pPr>
      <w:r>
        <w:rPr>
          <w:rFonts w:ascii="Arial" w:hAnsi="Arial"/>
          <w:color w:val="000000"/>
          <w:sz w:val="20"/>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pStyle w:val="TextBody"/>
        <w:bidi w:val="0"/>
        <w:spacing w:before="180" w:after="283"/>
        <w:jc w:val="both"/>
        <w:rPr>
          <w:rFonts w:ascii="Times New Roman" w:hAnsi="Times New Roman"/>
          <w:sz w:val="20"/>
        </w:rPr>
      </w:pPr>
      <w:r>
        <w:rPr>
          <w:rFonts w:ascii="Arial" w:hAnsi="Arial"/>
          <w:color w:val="000000"/>
          <w:sz w:val="20"/>
        </w:rPr>
        <w:t>Equity investments with readily determinable fair values are generally measured at fair value. Equity investments that are not recorded at fair value are measured using the equity method of accounting when required or measured at cost less impairments, if any, with adjustments for observable changes in price (referred to as the measurement alternative). Identifying observable changes in price requires judgment in evaluating whether transactions are orderly and whether the securities are comparable, including consideration of the rights and preferences of the securities, the composition of the investor group, and other relevant facts and circumstances. For equity investments not recorded at fair value, we perform a qualitative assessment on a periodic basis and recognize an impairment if there are sufficient indicators that the fair value of the investment is less than carrying value. Changes in fair value are recorded in other income (expense), net. Equity method investments may be recorded on a lag of up to three months when sufficient financial information is not available in a timely manner. For equity method investments recorded on a lag, we recognize the impact of intervening events that have a material impact on our consolidated financial statements in the period in which they occurred.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Investments that are considered variable interest entities (“VIEs”) are evaluated to determine whether we are the primary beneficiary of the VIE, in which case we would be required to consolidate the entity. We evaluate whether we have (1) the power to direct the activities that most significantly impact the VIE’s economic performance, and (2) the obligation to absorb losses or the right to receive benefits from the VIE that could potentially be significant to the VIE. We have determined we are not the primary beneficiary of any of our VIE investments. Therefore, our VIE investments are not consolidated and the majority are accounted for under the equity method of accounting or the measurement alternative.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59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180" w:after="283"/>
        <w:jc w:val="both"/>
        <w:rPr>
          <w:rFonts w:ascii="Times New Roman" w:hAnsi="Times New Roman"/>
          <w:sz w:val="20"/>
        </w:rPr>
      </w:pPr>
      <w:r>
        <w:rPr>
          <w:rFonts w:ascii="Arial" w:hAnsi="Arial"/>
          <w:color w:val="000000"/>
          <w:sz w:val="20"/>
        </w:rPr>
        <w:t xml:space="preserve">We have a long-term strategic partnership with OpenAI. In October 2025, we signed a new definitive agreement with OpenAI that extends this partnership. We have an investment accounted for under the equity method that represents an approximate 25% interest on an as-converted basis. As an equity method investee, OpenAI is a related party as defined in Accounting Standards Codification Topic 850, </w:t>
      </w:r>
      <w:r>
        <w:rPr>
          <w:rFonts w:ascii="Arial" w:hAnsi="Arial"/>
          <w:i/>
          <w:color w:val="000000"/>
          <w:sz w:val="20"/>
        </w:rPr>
        <w:t>Related Party Disclosures</w:t>
      </w:r>
      <w:r>
        <w:rPr>
          <w:rFonts w:ascii="Times New Roman" w:hAnsi="Times New Roman"/>
          <w:color w:val="000000"/>
          <w:sz w:val="20"/>
        </w:rPr>
        <w:t xml:space="preserve"> </w:t>
      </w:r>
      <w:r>
        <w:rPr>
          <w:rFonts w:ascii="Arial" w:hAnsi="Arial"/>
          <w:color w:val="000000"/>
          <w:sz w:val="20"/>
        </w:rPr>
        <w:t>(“ASC 850”). In accordance with ASC 850, we are disclosing revenue and accounts receivable balances from transactions with OpenAI. For fiscal year 2026, we recorded revenue from commercial arrangements with OpenAI, inclusive of revenue-sharing payments, of $24.1</w:t>
      </w:r>
      <w:r>
        <w:rPr>
          <w:rFonts w:ascii="Times New Roman" w:hAnsi="Times New Roman"/>
          <w:color w:val="000000"/>
          <w:sz w:val="20"/>
        </w:rPr>
        <w:t xml:space="preserve"> </w:t>
      </w:r>
      <w:r>
        <w:rPr>
          <w:rFonts w:ascii="Arial" w:hAnsi="Arial"/>
          <w:color w:val="000000"/>
          <w:sz w:val="20"/>
        </w:rPr>
        <w:t>billion, and accounts receivable from OpenAI as of June 30, 2026 was $6.0</w:t>
      </w:r>
      <w:r>
        <w:rPr>
          <w:rFonts w:ascii="Times New Roman" w:hAnsi="Times New Roman"/>
          <w:color w:val="000000"/>
          <w:sz w:val="20"/>
        </w:rPr>
        <w:t xml:space="preserve"> </w:t>
      </w:r>
      <w:r>
        <w:rPr>
          <w:rFonts w:ascii="Arial" w:hAnsi="Arial"/>
          <w:color w:val="000000"/>
          <w:sz w:val="20"/>
        </w:rPr>
        <w:t>billion. We have made total funding commitments of $13.0</w:t>
      </w:r>
      <w:r>
        <w:rPr>
          <w:rFonts w:ascii="Times New Roman" w:hAnsi="Times New Roman"/>
          <w:color w:val="000000"/>
          <w:sz w:val="20"/>
        </w:rPr>
        <w:t xml:space="preserve"> </w:t>
      </w:r>
      <w:r>
        <w:rPr>
          <w:rFonts w:ascii="Arial" w:hAnsi="Arial"/>
          <w:color w:val="000000"/>
          <w:sz w:val="20"/>
        </w:rPr>
        <w:t>billion related to our investment, of which $11.9</w:t>
      </w:r>
      <w:r>
        <w:rPr>
          <w:rFonts w:ascii="Times New Roman" w:hAnsi="Times New Roman"/>
          <w:color w:val="000000"/>
          <w:sz w:val="20"/>
        </w:rPr>
        <w:t xml:space="preserve"> </w:t>
      </w:r>
      <w:r>
        <w:rPr>
          <w:rFonts w:ascii="Arial" w:hAnsi="Arial"/>
          <w:color w:val="000000"/>
          <w:sz w:val="20"/>
        </w:rPr>
        <w:t>billion has been funded as of June 30, 2026. We calculate our equity method income or loss using the hypothetical liquidation at book value (“HLBV”) method because our liquidation rights and priorities differ from our underlying ownership interest. Under the HLBV method, we recognize income or loss based on the change in the amount we would receive if the net assets of the investee were distributed at book value. In October 2025, OpenAI formed a public benefit corporation and completed a recapitalization (“OpenAI Recapitalization”). During fiscal year 2026, our proportionate ownership of OpenAI decreased due to the OpenAI Recapitalization and other funding activity, and we recorded dilution gains in other income (expense), net. Refer to Note 3 – Other Income (Expense), Net for additional information.</w:t>
      </w:r>
      <w:r>
        <w:rPr>
          <w:rFonts w:ascii="Times New Roman" w:hAnsi="Times New Roman"/>
          <w:color w:val="000000"/>
          <w:sz w:val="20"/>
        </w:rPr>
        <w:t xml:space="preserve"> </w:t>
      </w:r>
    </w:p>
    <w:p>
      <w:pPr>
        <w:pStyle w:val="TextBody"/>
        <w:bidi w:val="0"/>
        <w:spacing w:before="270" w:after="283"/>
        <w:jc w:val="left"/>
        <w:rPr>
          <w:rFonts w:ascii="Arial" w:hAnsi="Arial"/>
          <w:b/>
          <w:i/>
          <w:color w:val="000000"/>
          <w:sz w:val="20"/>
        </w:rPr>
      </w:pPr>
      <w:r>
        <w:rPr>
          <w:rFonts w:ascii="Arial" w:hAnsi="Arial"/>
          <w:b/>
          <w:i/>
          <w:color w:val="000000"/>
          <w:sz w:val="20"/>
        </w:rPr>
        <w:t>Derivatives</w:t>
      </w:r>
    </w:p>
    <w:p>
      <w:pPr>
        <w:pStyle w:val="TextBody"/>
        <w:bidi w:val="0"/>
        <w:spacing w:before="180" w:after="283"/>
        <w:jc w:val="both"/>
        <w:rPr>
          <w:rFonts w:ascii="Times New Roman" w:hAnsi="Times New Roman"/>
          <w:sz w:val="20"/>
        </w:rPr>
      </w:pPr>
      <w:r>
        <w:rPr>
          <w:rFonts w:ascii="Arial" w:hAnsi="Arial"/>
          <w:color w:val="000000"/>
          <w:sz w:val="20"/>
        </w:rPr>
        <w:t>Derivative instruments are recognized as either assets or liabilities and measured at fair value. The accounting for changes in the fair value of a derivative depends on the intended use of the derivative and the resulting designation.</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pStyle w:val="TextBody"/>
        <w:bidi w:val="0"/>
        <w:spacing w:before="180" w:after="283"/>
        <w:jc w:val="both"/>
        <w:rPr>
          <w:rFonts w:ascii="Times New Roman" w:hAnsi="Times New Roman"/>
          <w:sz w:val="20"/>
        </w:rPr>
      </w:pPr>
      <w:r>
        <w:rPr>
          <w:rFonts w:ascii="Arial" w:hAnsi="Arial"/>
          <w:color w:val="000000"/>
          <w:sz w:val="20"/>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For derivative instruments that are not designated as hedges, gains and losses from changes in fair values are primarily recognized in other income (expense), net.</w:t>
      </w:r>
    </w:p>
    <w:p>
      <w:pPr>
        <w:pStyle w:val="TextBody"/>
        <w:bidi w:val="0"/>
        <w:spacing w:before="270" w:after="283"/>
        <w:jc w:val="left"/>
        <w:rPr>
          <w:rFonts w:ascii="Arial" w:hAnsi="Arial"/>
          <w:b/>
          <w:color w:val="000000"/>
          <w:sz w:val="20"/>
        </w:rPr>
      </w:pPr>
      <w:r>
        <w:rPr>
          <w:rFonts w:ascii="Arial" w:hAnsi="Arial"/>
          <w:b/>
          <w:color w:val="000000"/>
          <w:sz w:val="20"/>
        </w:rPr>
        <w:t>Fair Value Measurements</w:t>
      </w:r>
    </w:p>
    <w:p>
      <w:pPr>
        <w:pStyle w:val="TextBody"/>
        <w:bidi w:val="0"/>
        <w:spacing w:before="180" w:after="283"/>
        <w:jc w:val="both"/>
        <w:rPr>
          <w:rFonts w:ascii="Times New Roman" w:hAnsi="Times New Roman"/>
          <w:sz w:val="20"/>
        </w:rPr>
      </w:pPr>
      <w:r>
        <w:rPr>
          <w:rFonts w:ascii="Arial" w:hAnsi="Arial"/>
          <w:color w:val="000000"/>
          <w:sz w:val="20"/>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r>
        <w:rPr>
          <w:rFonts w:ascii="Times New Roman" w:hAnsi="Times New Roman"/>
          <w:color w:val="000000"/>
          <w:sz w:val="20"/>
        </w:rPr>
        <w:t xml:space="preserve"> </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i/>
          <w:color w:val="000000"/>
          <w:sz w:val="20"/>
        </w:rPr>
        <w:t>Level 1</w:t>
      </w:r>
      <w:r>
        <w:rPr>
          <w:color w:val="000000"/>
        </w:rPr>
        <w:t xml:space="preserve"> – </w:t>
      </w:r>
      <w:r>
        <w:rPr>
          <w:rFonts w:ascii="Arial" w:hAnsi="Arial"/>
          <w:color w:val="000000"/>
          <w:sz w:val="20"/>
        </w:rPr>
        <w:t xml:space="preserve">inputs are based upon unadjusted quoted prices for identical instruments in active markets. Our Level 1 investments include U.S. government securities, common and preferred stock, and mutual funds. Our Level 1 derivative assets and liabilities include those actively traded on exchanges. </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i/>
          <w:color w:val="000000"/>
          <w:sz w:val="20"/>
        </w:rPr>
        <w:t>Level 2</w:t>
      </w:r>
      <w:r>
        <w:rPr>
          <w:color w:val="000000"/>
        </w:rPr>
        <w:t xml:space="preserve"> – </w:t>
      </w:r>
      <w:r>
        <w:rPr>
          <w:rFonts w:ascii="Arial" w:hAnsi="Arial"/>
          <w:color w:val="000000"/>
          <w:sz w:val="20"/>
        </w:rPr>
        <w:t>inputs are based upon quoted prices for similar instruments in active markets, quoted prices for identical or similar 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cleared swap contracts and over-the-counter forward, option, and swap contracts.</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i/>
          <w:color w:val="000000"/>
          <w:sz w:val="20"/>
        </w:rPr>
        <w:t>Level 3</w:t>
      </w:r>
      <w:r>
        <w:rPr>
          <w:color w:val="000000"/>
        </w:rPr>
        <w:t xml:space="preserve"> – </w:t>
      </w:r>
      <w:r>
        <w:rPr>
          <w:rFonts w:ascii="Arial" w:hAnsi="Arial"/>
          <w:color w:val="000000"/>
          <w:sz w:val="20"/>
        </w:rPr>
        <w:t xml:space="preserve">inputs are generally unobservable and typically reflect management’s estimates of assumptions that market 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 </w:t>
      </w:r>
    </w:p>
    <w:p>
      <w:pPr>
        <w:pStyle w:val="TextBody"/>
        <w:bidi w:val="0"/>
        <w:spacing w:before="240" w:after="283"/>
        <w:jc w:val="center"/>
        <w:rPr>
          <w:rFonts w:ascii="Arial" w:hAnsi="Arial"/>
          <w:color w:val="000000"/>
          <w:sz w:val="16"/>
        </w:rPr>
      </w:pPr>
      <w:r>
        <w:rPr>
          <w:rFonts w:ascii="Arial" w:hAnsi="Arial"/>
          <w:color w:val="000000"/>
          <w:sz w:val="16"/>
        </w:rPr>
        <w:t>60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180" w:after="283"/>
        <w:jc w:val="both"/>
        <w:rPr>
          <w:rFonts w:ascii="Times New Roman" w:hAnsi="Times New Roman"/>
          <w:sz w:val="20"/>
        </w:rPr>
      </w:pPr>
      <w:r>
        <w:rPr>
          <w:rFonts w:ascii="Arial" w:hAnsi="Arial"/>
          <w:color w:val="000000"/>
          <w:sz w:val="20"/>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other current financial assets and current financial liabilities have fair values that approximate their carrying values.</w:t>
      </w:r>
    </w:p>
    <w:p>
      <w:pPr>
        <w:pStyle w:val="TextBody"/>
        <w:bidi w:val="0"/>
        <w:spacing w:before="270" w:after="283"/>
        <w:jc w:val="left"/>
        <w:rPr>
          <w:rFonts w:ascii="Times New Roman" w:hAnsi="Times New Roman"/>
          <w:sz w:val="20"/>
        </w:rPr>
      </w:pPr>
      <w:r>
        <w:rPr>
          <w:rFonts w:ascii="Arial" w:hAnsi="Arial"/>
          <w:b/>
          <w:color w:val="000000"/>
          <w:sz w:val="20"/>
        </w:rPr>
        <w:t>Property and Equipment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Property and equipment is stated at cost less accumulated depreciation and depreciated using the straight-line method over the shorter of the estimated useful life of the asset or the lease term. The estimated useful lives of our property and equipment are generally as follows: software developed or acquired for internal use, three years; servers and network equipment, two</w:t>
      </w:r>
      <w:r>
        <w:rPr>
          <w:rFonts w:ascii="Times New Roman" w:hAnsi="Times New Roman"/>
          <w:color w:val="000000"/>
          <w:sz w:val="20"/>
        </w:rPr>
        <w:t xml:space="preserve"> </w:t>
      </w:r>
      <w:r>
        <w:rPr>
          <w:rFonts w:ascii="Arial" w:hAnsi="Arial"/>
          <w:color w:val="000000"/>
          <w:sz w:val="20"/>
        </w:rPr>
        <w:t>to six years; buildings and improvements, five</w:t>
      </w:r>
      <w:r>
        <w:rPr>
          <w:rFonts w:ascii="Times New Roman" w:hAnsi="Times New Roman"/>
          <w:color w:val="000000"/>
          <w:sz w:val="20"/>
        </w:rPr>
        <w:t xml:space="preserve"> </w:t>
      </w:r>
      <w:r>
        <w:rPr>
          <w:rFonts w:ascii="Arial" w:hAnsi="Arial"/>
          <w:color w:val="000000"/>
          <w:sz w:val="20"/>
        </w:rPr>
        <w:t>to 15 years; leasehold improvements, three</w:t>
      </w:r>
      <w:r>
        <w:rPr>
          <w:rFonts w:ascii="Times New Roman" w:hAnsi="Times New Roman"/>
          <w:color w:val="000000"/>
          <w:sz w:val="20"/>
        </w:rPr>
        <w:t xml:space="preserve"> </w:t>
      </w:r>
      <w:r>
        <w:rPr>
          <w:rFonts w:ascii="Arial" w:hAnsi="Arial"/>
          <w:color w:val="000000"/>
          <w:sz w:val="20"/>
        </w:rPr>
        <w:t>to 15 years; and furniture and equipment, one</w:t>
      </w:r>
      <w:r>
        <w:rPr>
          <w:rFonts w:ascii="Times New Roman" w:hAnsi="Times New Roman"/>
          <w:color w:val="000000"/>
          <w:sz w:val="20"/>
        </w:rPr>
        <w:t xml:space="preserve"> </w:t>
      </w:r>
      <w:r>
        <w:rPr>
          <w:rFonts w:ascii="Arial" w:hAnsi="Arial"/>
          <w:color w:val="000000"/>
          <w:sz w:val="20"/>
        </w:rPr>
        <w:t>to 10 years. Land is not depreciated.</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Leases</w:t>
      </w:r>
    </w:p>
    <w:p>
      <w:pPr>
        <w:pStyle w:val="TextBody"/>
        <w:bidi w:val="0"/>
        <w:spacing w:before="180" w:after="283"/>
        <w:jc w:val="both"/>
        <w:rPr>
          <w:rFonts w:ascii="Times New Roman" w:hAnsi="Times New Roman"/>
          <w:sz w:val="20"/>
        </w:rPr>
      </w:pPr>
      <w:r>
        <w:rPr>
          <w:rFonts w:ascii="Arial" w:hAnsi="Arial"/>
          <w:color w:val="000000"/>
          <w:sz w:val="20"/>
        </w:rPr>
        <w:t>We determine if an arrangement is a lease at inception. Operating leases are included in operating lease right-of-use (“ROU”) assets, other current liabilities, and operating lease liabilities in our consolidated balance sheets. Finance leases are included in property and equipment, other current liabilities, and other long-term liabilities in our consolidated balance sheets.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commencement date.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Goodwill</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Goodwill is tested for impairment at the reporting unit level (operating segment or one level below an operating segment) on an annual basis (May 1) and between annual tests if an event occurs or circumstances change that would more likely than not reduce the fair value of a reporting unit below its carrying value.</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Intangible Assets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intangible assets are subject to amortization and are amortized over the estimated useful life in proportion to the economic benefits received. We evaluate the recoverability of intangible assets periodically by taking into account events or circumstances that may warrant revised estimates of useful lives or that indicate the asset may be impaired.</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Recent Accounting Guidance</w:t>
      </w:r>
    </w:p>
    <w:p>
      <w:pPr>
        <w:pStyle w:val="TextBody"/>
        <w:bidi w:val="0"/>
        <w:spacing w:before="180" w:after="283"/>
        <w:jc w:val="left"/>
        <w:rPr>
          <w:rFonts w:ascii="Arial" w:hAnsi="Arial"/>
          <w:b/>
          <w:i/>
          <w:color w:val="000000"/>
          <w:sz w:val="20"/>
        </w:rPr>
      </w:pPr>
      <w:r>
        <w:rPr>
          <w:rFonts w:ascii="Arial" w:hAnsi="Arial"/>
          <w:b/>
          <w:i/>
          <w:color w:val="000000"/>
          <w:sz w:val="20"/>
        </w:rPr>
        <w:t>Recently Adopted Accounting Guidance</w:t>
      </w:r>
    </w:p>
    <w:p>
      <w:pPr>
        <w:pStyle w:val="TextBody"/>
        <w:bidi w:val="0"/>
        <w:spacing w:before="180" w:after="283"/>
        <w:jc w:val="left"/>
        <w:rPr>
          <w:rFonts w:ascii="Arial" w:hAnsi="Arial"/>
          <w:i/>
          <w:color w:val="000000"/>
          <w:sz w:val="20"/>
        </w:rPr>
      </w:pPr>
      <w:r>
        <w:rPr>
          <w:rFonts w:ascii="Arial" w:hAnsi="Arial"/>
          <w:i/>
          <w:color w:val="000000"/>
          <w:sz w:val="20"/>
        </w:rPr>
        <w:t>Income Taxes – Improvements to Income Tax Disclosures</w:t>
      </w:r>
    </w:p>
    <w:p>
      <w:pPr>
        <w:pStyle w:val="TextBody"/>
        <w:bidi w:val="0"/>
        <w:spacing w:before="180" w:after="283"/>
        <w:jc w:val="both"/>
        <w:rPr>
          <w:rFonts w:ascii="Arial" w:hAnsi="Arial"/>
          <w:color w:val="000000"/>
          <w:sz w:val="20"/>
        </w:rPr>
      </w:pPr>
      <w:r>
        <w:rPr>
          <w:rFonts w:ascii="Arial" w:hAnsi="Arial"/>
          <w:color w:val="000000"/>
          <w:sz w:val="20"/>
        </w:rPr>
        <w:t>In December 2023, the Financial Accounting Standards Board (“FASB”) issued a new standard to improve income tax disclosures. The guidance requires additional disclosure of disaggregated income taxes paid and prescribes standardized categories for the components of the effective tax rate reconciliation. We adopted the standard prospectively beginning with our annual reporting for fiscal year 2026. The adoption resulted in incremental income tax disclosures. Refer to Note 11 – Income Taxes.</w:t>
      </w:r>
    </w:p>
    <w:p>
      <w:pPr>
        <w:pStyle w:val="TextBody"/>
        <w:bidi w:val="0"/>
        <w:spacing w:before="240" w:after="283"/>
        <w:jc w:val="center"/>
        <w:rPr>
          <w:rFonts w:ascii="Arial" w:hAnsi="Arial"/>
          <w:color w:val="000000"/>
          <w:sz w:val="16"/>
        </w:rPr>
      </w:pPr>
      <w:r>
        <w:rPr>
          <w:rFonts w:ascii="Arial" w:hAnsi="Arial"/>
          <w:color w:val="000000"/>
          <w:sz w:val="16"/>
        </w:rPr>
        <w:t>61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270" w:after="283"/>
        <w:jc w:val="left"/>
        <w:rPr>
          <w:rFonts w:ascii="Arial" w:hAnsi="Arial"/>
          <w:b/>
          <w:i/>
          <w:color w:val="000000"/>
          <w:sz w:val="20"/>
        </w:rPr>
      </w:pPr>
      <w:r>
        <w:rPr>
          <w:rFonts w:ascii="Arial" w:hAnsi="Arial"/>
          <w:b/>
          <w:i/>
          <w:color w:val="000000"/>
          <w:sz w:val="20"/>
        </w:rPr>
        <w:t>Recent Accounting Guidance Not Yet Adopted</w:t>
      </w:r>
    </w:p>
    <w:p>
      <w:pPr>
        <w:pStyle w:val="TextBody"/>
        <w:bidi w:val="0"/>
        <w:spacing w:before="180" w:after="283"/>
        <w:jc w:val="left"/>
        <w:rPr>
          <w:rFonts w:ascii="Arial" w:hAnsi="Arial"/>
          <w:i/>
          <w:color w:val="000000"/>
          <w:sz w:val="20"/>
        </w:rPr>
      </w:pPr>
      <w:r>
        <w:rPr>
          <w:rFonts w:ascii="Arial" w:hAnsi="Arial"/>
          <w:i/>
          <w:color w:val="000000"/>
          <w:sz w:val="20"/>
        </w:rPr>
        <w:t>Income Statement – Disaggregation of Income Statement Expenses</w:t>
      </w:r>
    </w:p>
    <w:p>
      <w:pPr>
        <w:pStyle w:val="TextBody"/>
        <w:bidi w:val="0"/>
        <w:spacing w:before="180" w:after="283"/>
        <w:jc w:val="both"/>
        <w:rPr>
          <w:rFonts w:ascii="Arial" w:hAnsi="Arial"/>
          <w:color w:val="000000"/>
          <w:sz w:val="20"/>
        </w:rPr>
      </w:pPr>
      <w:r>
        <w:rPr>
          <w:rFonts w:ascii="Arial" w:hAnsi="Arial"/>
          <w:color w:val="000000"/>
          <w:sz w:val="20"/>
        </w:rPr>
        <w:t>In November 2024, the FASB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us beginning with our annual reporting for fiscal year 2028 and interim periods thereafter, with early adoption permitted. We are currently evaluating the impact of this standard on our disclosures.</w:t>
      </w:r>
    </w:p>
    <w:p>
      <w:pPr>
        <w:pStyle w:val="TextBody"/>
        <w:bidi w:val="0"/>
        <w:spacing w:before="270" w:after="283"/>
        <w:jc w:val="center"/>
        <w:rPr>
          <w:rFonts w:ascii="Arial" w:hAnsi="Arial"/>
          <w:color w:val="000000"/>
          <w:sz w:val="20"/>
          <w:u w:val="single"/>
        </w:rPr>
      </w:pPr>
      <w:r>
        <w:rPr>
          <w:rFonts w:ascii="Arial" w:hAnsi="Arial"/>
          <w:color w:val="000000"/>
          <w:sz w:val="20"/>
          <w:u w:val="single"/>
        </w:rPr>
        <w:t>NOTE 2 — EARNINGS PER SHARE</w:t>
      </w:r>
    </w:p>
    <w:p>
      <w:pPr>
        <w:pStyle w:val="TextBody"/>
        <w:bidi w:val="0"/>
        <w:spacing w:before="180" w:after="283"/>
        <w:jc w:val="both"/>
        <w:rPr>
          <w:rFonts w:ascii="Times New Roman" w:hAnsi="Times New Roman"/>
          <w:sz w:val="20"/>
        </w:rPr>
      </w:pPr>
      <w:r>
        <w:rPr>
          <w:rFonts w:ascii="Arial" w:hAnsi="Arial"/>
          <w:color w:val="000000"/>
          <w:sz w:val="20"/>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components of basic and diluted EPS were as follows:</w:t>
      </w:r>
      <w:r>
        <w:rPr>
          <w:rFonts w:ascii="Times New Roman" w:hAnsi="Times New Roman"/>
          <w:color w:val="000000"/>
          <w:sz w:val="20"/>
        </w:rPr>
        <w:t xml:space="preserve"> </w:t>
      </w:r>
    </w:p>
    <w:p>
      <w:pPr>
        <w:pStyle w:val="TextBody"/>
        <w:bidi w:val="0"/>
        <w:jc w:val="left"/>
        <w:rPr/>
      </w:pPr>
      <w:r>
        <w:rPr/>
        <w:t> </w:t>
      </w:r>
    </w:p>
    <w:tbl>
      <w:tblPr>
        <w:tblW w:w="9608" w:type="dxa"/>
        <w:jc w:val="left"/>
        <w:tblInd w:w="0" w:type="dxa"/>
        <w:tblLayout w:type="fixed"/>
        <w:tblCellMar>
          <w:top w:w="28" w:type="dxa"/>
          <w:left w:w="28" w:type="dxa"/>
          <w:bottom w:w="28" w:type="dxa"/>
          <w:right w:w="28" w:type="dxa"/>
        </w:tblCellMar>
      </w:tblPr>
      <w:tblGrid>
        <w:gridCol w:w="5526"/>
        <w:gridCol w:w="146"/>
        <w:gridCol w:w="211"/>
        <w:gridCol w:w="796"/>
        <w:gridCol w:w="146"/>
        <w:gridCol w:w="146"/>
        <w:gridCol w:w="211"/>
        <w:gridCol w:w="796"/>
        <w:gridCol w:w="146"/>
        <w:gridCol w:w="146"/>
        <w:gridCol w:w="211"/>
        <w:gridCol w:w="691"/>
        <w:gridCol w:w="436"/>
      </w:tblGrid>
      <w:tr>
        <w:trPr/>
        <w:tc>
          <w:tcPr>
            <w:tcW w:w="5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5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2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5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 available for common shareholders (A)</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133,749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101,832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88,136</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52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552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52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Weighted average outstanding shares of common stock (B)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7,429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7,431</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5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Dilutive effect of stock-based awards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4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52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and common stock equivalents (C)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7,453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7,469</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Earnings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5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Basic (A/B)</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11.86</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52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Diluted (A/C)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17.95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11.80</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Anti-dilutive stock-based awards excluded from the calculations of diluted EPS were immaterial during the periods presented.</w:t>
      </w:r>
    </w:p>
    <w:p>
      <w:pPr>
        <w:pStyle w:val="TextBody"/>
        <w:bidi w:val="0"/>
        <w:spacing w:before="270" w:after="283"/>
        <w:jc w:val="center"/>
        <w:rPr>
          <w:rFonts w:ascii="Arial" w:hAnsi="Arial"/>
          <w:color w:val="000000"/>
          <w:sz w:val="20"/>
          <w:u w:val="single"/>
        </w:rPr>
      </w:pPr>
      <w:r>
        <w:rPr>
          <w:rFonts w:ascii="Arial" w:hAnsi="Arial"/>
          <w:color w:val="000000"/>
          <w:sz w:val="20"/>
          <w:u w:val="single"/>
        </w:rPr>
        <w:t>NOTE 3 — OTHER INCOME (EXPENSE), NET</w:t>
      </w:r>
    </w:p>
    <w:p>
      <w:pPr>
        <w:pStyle w:val="TextBody"/>
        <w:bidi w:val="0"/>
        <w:spacing w:before="180" w:after="283"/>
        <w:jc w:val="both"/>
        <w:rPr>
          <w:rFonts w:ascii="Times New Roman" w:hAnsi="Times New Roman"/>
          <w:sz w:val="20"/>
        </w:rPr>
      </w:pPr>
      <w:r>
        <w:rPr>
          <w:rFonts w:ascii="Arial" w:hAnsi="Arial"/>
          <w:color w:val="000000"/>
          <w:sz w:val="20"/>
        </w:rPr>
        <w:t>The components of other income (expense), net were as follows:</w:t>
      </w:r>
      <w:r>
        <w:rPr>
          <w:rFonts w:ascii="Times New Roman" w:hAnsi="Times New Roman"/>
          <w:color w:val="000000"/>
          <w:sz w:val="20"/>
        </w:rPr>
        <w:t xml:space="preserve"> </w:t>
      </w:r>
    </w:p>
    <w:p>
      <w:pPr>
        <w:pStyle w:val="TextBody"/>
        <w:bidi w:val="0"/>
        <w:jc w:val="both"/>
        <w:rPr/>
      </w:pPr>
      <w:r>
        <w:rPr/>
        <w:t> </w:t>
      </w:r>
    </w:p>
    <w:tbl>
      <w:tblPr>
        <w:tblW w:w="9256" w:type="dxa"/>
        <w:jc w:val="left"/>
        <w:tblInd w:w="0" w:type="dxa"/>
        <w:tblLayout w:type="fixed"/>
        <w:tblCellMar>
          <w:top w:w="28" w:type="dxa"/>
          <w:left w:w="28" w:type="dxa"/>
          <w:bottom w:w="28" w:type="dxa"/>
          <w:right w:w="28" w:type="dxa"/>
        </w:tblCellMar>
      </w:tblPr>
      <w:tblGrid>
        <w:gridCol w:w="5181"/>
        <w:gridCol w:w="109"/>
        <w:gridCol w:w="211"/>
        <w:gridCol w:w="691"/>
        <w:gridCol w:w="166"/>
        <w:gridCol w:w="146"/>
        <w:gridCol w:w="211"/>
        <w:gridCol w:w="646"/>
        <w:gridCol w:w="211"/>
        <w:gridCol w:w="146"/>
        <w:gridCol w:w="211"/>
        <w:gridCol w:w="646"/>
        <w:gridCol w:w="681"/>
      </w:tblGrid>
      <w:tr>
        <w:trPr/>
        <w:tc>
          <w:tcPr>
            <w:tcW w:w="51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51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5"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7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214"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684" w:type="dxa"/>
            <w:gridSpan w:val="4"/>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5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and dividends income</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2,647</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expense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(3,051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(2,385</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(2,935</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recognized gains (losses) on investments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4,385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on derivatives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1,867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on foreign currency remeasurements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4,722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(4,725</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(1,319</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9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192"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1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10,697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(4,901</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(1,646</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Other income (expense), net included $6.5</w:t>
      </w:r>
      <w:r>
        <w:rPr>
          <w:rFonts w:ascii="Times New Roman" w:hAnsi="Times New Roman"/>
          <w:color w:val="000000"/>
          <w:sz w:val="20"/>
        </w:rPr>
        <w:t xml:space="preserve"> </w:t>
      </w:r>
      <w:r>
        <w:rPr>
          <w:rFonts w:ascii="Arial" w:hAnsi="Arial"/>
          <w:color w:val="000000"/>
          <w:sz w:val="20"/>
        </w:rPr>
        <w:t>billion of net gains, $4.8</w:t>
      </w:r>
      <w:r>
        <w:rPr>
          <w:rFonts w:ascii="Times New Roman" w:hAnsi="Times New Roman"/>
          <w:color w:val="000000"/>
          <w:sz w:val="20"/>
        </w:rPr>
        <w:t xml:space="preserve"> </w:t>
      </w:r>
      <w:r>
        <w:rPr>
          <w:rFonts w:ascii="Arial" w:hAnsi="Arial"/>
          <w:color w:val="000000"/>
          <w:sz w:val="20"/>
        </w:rPr>
        <w:t>billion of net losses, and $1.5</w:t>
      </w:r>
      <w:r>
        <w:rPr>
          <w:rFonts w:ascii="Times New Roman" w:hAnsi="Times New Roman"/>
          <w:color w:val="000000"/>
          <w:sz w:val="20"/>
        </w:rPr>
        <w:t xml:space="preserve"> </w:t>
      </w:r>
      <w:r>
        <w:rPr>
          <w:rFonts w:ascii="Arial" w:hAnsi="Arial"/>
          <w:color w:val="000000"/>
          <w:sz w:val="20"/>
        </w:rPr>
        <w:t>billion of net losses for fiscal years 2026, 2025, and 2024, respectively, from investments in OpenAI, primarily net recognized gains (losses) on our equity method investment reflected in Other, net. The net gains recorded for fiscal year 2026 primarily relate to the dilution gain from the OpenAI Recapitalization.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62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270" w:after="283"/>
        <w:jc w:val="left"/>
        <w:rPr>
          <w:rFonts w:ascii="Times New Roman" w:hAnsi="Times New Roman"/>
          <w:sz w:val="20"/>
        </w:rPr>
      </w:pPr>
      <w:r>
        <w:rPr>
          <w:rFonts w:ascii="Arial" w:hAnsi="Arial"/>
          <w:b/>
          <w:color w:val="000000"/>
          <w:sz w:val="20"/>
        </w:rPr>
        <w:t>Net Recognized Gains (Losses) on Investments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Net recognized gains (losses) on debt investments were as follows:</w:t>
      </w:r>
      <w:r>
        <w:rPr>
          <w:rFonts w:ascii="Times New Roman" w:hAnsi="Times New Roman"/>
          <w:color w:val="000000"/>
          <w:sz w:val="20"/>
        </w:rPr>
        <w:t xml:space="preserve"> </w:t>
      </w:r>
    </w:p>
    <w:p>
      <w:pPr>
        <w:pStyle w:val="TextBody"/>
        <w:bidi w:val="0"/>
        <w:jc w:val="both"/>
        <w:rPr/>
      </w:pPr>
      <w:r>
        <w:rPr/>
        <w:t> </w:t>
      </w:r>
    </w:p>
    <w:tbl>
      <w:tblPr>
        <w:tblW w:w="8633" w:type="dxa"/>
        <w:jc w:val="left"/>
        <w:tblInd w:w="0" w:type="dxa"/>
        <w:tblLayout w:type="fixed"/>
        <w:tblCellMar>
          <w:top w:w="28" w:type="dxa"/>
          <w:left w:w="28" w:type="dxa"/>
          <w:bottom w:w="28" w:type="dxa"/>
          <w:right w:w="28" w:type="dxa"/>
        </w:tblCellMar>
      </w:tblPr>
      <w:tblGrid>
        <w:gridCol w:w="5376"/>
        <w:gridCol w:w="146"/>
        <w:gridCol w:w="211"/>
        <w:gridCol w:w="421"/>
        <w:gridCol w:w="166"/>
        <w:gridCol w:w="146"/>
        <w:gridCol w:w="211"/>
        <w:gridCol w:w="376"/>
        <w:gridCol w:w="166"/>
        <w:gridCol w:w="146"/>
        <w:gridCol w:w="211"/>
        <w:gridCol w:w="376"/>
        <w:gridCol w:w="681"/>
      </w:tblGrid>
      <w:tr>
        <w:trPr/>
        <w:tc>
          <w:tcPr>
            <w:tcW w:w="53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53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2"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1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3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Realized gains from sales of available-for-sale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Realized losses from sales of available-for-sale securities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r>
      <w:tr>
        <w:trPr/>
        <w:tc>
          <w:tcPr>
            <w:tcW w:w="53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Impairments and allowance for credit losses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15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r>
      <w:tr>
        <w:trPr/>
        <w:tc>
          <w:tcPr>
            <w:tcW w:w="5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Net recognized gains (losses) on equity investments were as follows:</w:t>
      </w:r>
    </w:p>
    <w:p>
      <w:pPr>
        <w:pStyle w:val="TextBody"/>
        <w:bidi w:val="0"/>
        <w:jc w:val="both"/>
        <w:rPr/>
      </w:pPr>
      <w:r>
        <w:rPr/>
        <w:t> </w:t>
      </w:r>
    </w:p>
    <w:tbl>
      <w:tblPr>
        <w:tblW w:w="7988" w:type="dxa"/>
        <w:jc w:val="left"/>
        <w:tblInd w:w="0" w:type="dxa"/>
        <w:tblLayout w:type="fixed"/>
        <w:tblCellMar>
          <w:top w:w="28" w:type="dxa"/>
          <w:left w:w="28" w:type="dxa"/>
          <w:bottom w:w="28" w:type="dxa"/>
          <w:right w:w="28" w:type="dxa"/>
        </w:tblCellMar>
      </w:tblPr>
      <w:tblGrid>
        <w:gridCol w:w="4311"/>
        <w:gridCol w:w="146"/>
        <w:gridCol w:w="211"/>
        <w:gridCol w:w="586"/>
        <w:gridCol w:w="166"/>
        <w:gridCol w:w="146"/>
        <w:gridCol w:w="211"/>
        <w:gridCol w:w="481"/>
        <w:gridCol w:w="211"/>
        <w:gridCol w:w="146"/>
        <w:gridCol w:w="211"/>
        <w:gridCol w:w="481"/>
        <w:gridCol w:w="681"/>
      </w:tblGrid>
      <w:tr>
        <w:trPr/>
        <w:tc>
          <w:tcPr>
            <w:tcW w:w="43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43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7"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51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3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realized gains on investments sold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31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unrealized gains on investments still held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4,391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3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Impairments of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(951</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r>
      <w:tr>
        <w:trPr/>
        <w:tc>
          <w:tcPr>
            <w:tcW w:w="525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5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3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4,364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r>
      <w:tr>
        <w:trPr/>
        <w:tc>
          <w:tcPr>
            <w:tcW w:w="4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63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4 — INVESTMENTS</w:t>
      </w:r>
    </w:p>
    <w:p>
      <w:pPr>
        <w:pStyle w:val="TextBody"/>
        <w:bidi w:val="0"/>
        <w:spacing w:before="180" w:after="283"/>
        <w:jc w:val="left"/>
        <w:rPr>
          <w:rFonts w:ascii="Arial" w:hAnsi="Arial"/>
          <w:b/>
          <w:color w:val="000000"/>
          <w:sz w:val="20"/>
        </w:rPr>
      </w:pPr>
      <w:r>
        <w:rPr>
          <w:rFonts w:ascii="Arial" w:hAnsi="Arial"/>
          <w:b/>
          <w:color w:val="000000"/>
          <w:sz w:val="20"/>
        </w:rPr>
        <w:t>Investment Components</w:t>
      </w:r>
    </w:p>
    <w:p>
      <w:pPr>
        <w:pStyle w:val="TextBody"/>
        <w:bidi w:val="0"/>
        <w:spacing w:before="180" w:after="283"/>
        <w:jc w:val="both"/>
        <w:rPr>
          <w:rFonts w:ascii="Times New Roman" w:hAnsi="Times New Roman"/>
          <w:sz w:val="20"/>
        </w:rPr>
      </w:pPr>
      <w:r>
        <w:rPr>
          <w:rFonts w:ascii="Arial" w:hAnsi="Arial"/>
          <w:color w:val="000000"/>
          <w:sz w:val="20"/>
        </w:rPr>
        <w:t>The components of investments were as follows:</w:t>
      </w:r>
      <w:r>
        <w:rPr>
          <w:rFonts w:ascii="Times New Roman" w:hAnsi="Times New Roman"/>
          <w:color w:val="000000"/>
          <w:sz w:val="20"/>
        </w:rPr>
        <w:t xml:space="preserve"> </w:t>
      </w:r>
    </w:p>
    <w:p>
      <w:pPr>
        <w:pStyle w:val="TextBody"/>
        <w:bidi w:val="0"/>
        <w:jc w:val="left"/>
        <w:rPr/>
      </w:pPr>
      <w:r>
        <w:rPr/>
        <w:t> </w:t>
      </w:r>
    </w:p>
    <w:tbl>
      <w:tblPr>
        <w:tblW w:w="11818" w:type="dxa"/>
        <w:jc w:val="left"/>
        <w:tblInd w:w="0" w:type="dxa"/>
        <w:tblLayout w:type="fixed"/>
        <w:tblCellMar>
          <w:top w:w="28" w:type="dxa"/>
          <w:left w:w="28" w:type="dxa"/>
          <w:bottom w:w="28" w:type="dxa"/>
          <w:right w:w="28" w:type="dxa"/>
        </w:tblCellMar>
      </w:tblPr>
      <w:tblGrid>
        <w:gridCol w:w="1586"/>
        <w:gridCol w:w="146"/>
        <w:gridCol w:w="146"/>
        <w:gridCol w:w="556"/>
        <w:gridCol w:w="146"/>
        <w:gridCol w:w="146"/>
        <w:gridCol w:w="211"/>
        <w:gridCol w:w="676"/>
        <w:gridCol w:w="146"/>
        <w:gridCol w:w="146"/>
        <w:gridCol w:w="295"/>
        <w:gridCol w:w="591"/>
        <w:gridCol w:w="146"/>
        <w:gridCol w:w="146"/>
        <w:gridCol w:w="222"/>
        <w:gridCol w:w="664"/>
        <w:gridCol w:w="166"/>
        <w:gridCol w:w="146"/>
        <w:gridCol w:w="211"/>
        <w:gridCol w:w="781"/>
        <w:gridCol w:w="146"/>
        <w:gridCol w:w="146"/>
        <w:gridCol w:w="232"/>
        <w:gridCol w:w="744"/>
        <w:gridCol w:w="146"/>
        <w:gridCol w:w="146"/>
        <w:gridCol w:w="239"/>
        <w:gridCol w:w="767"/>
        <w:gridCol w:w="146"/>
        <w:gridCol w:w="146"/>
        <w:gridCol w:w="239"/>
        <w:gridCol w:w="767"/>
        <w:gridCol w:w="681"/>
      </w:tblGrid>
      <w:tr>
        <w:trPr/>
        <w:tc>
          <w:tcPr>
            <w:tcW w:w="1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Fair Value</w:t>
            </w:r>
          </w:p>
          <w:p>
            <w:pPr>
              <w:pStyle w:val="TableContents"/>
              <w:bidi w:val="0"/>
              <w:spacing w:before="0" w:after="283"/>
              <w:jc w:val="center"/>
              <w:rPr>
                <w:rFonts w:ascii="Arial" w:hAnsi="Arial"/>
                <w:b/>
                <w:color w:val="000000"/>
                <w:sz w:val="15"/>
              </w:rPr>
            </w:pPr>
            <w:r>
              <w:rPr>
                <w:rFonts w:ascii="Arial" w:hAnsi="Arial"/>
                <w:b/>
                <w:color w:val="000000"/>
                <w:sz w:val="15"/>
              </w:rPr>
              <w:t>Level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spacing w:before="0" w:after="283"/>
              <w:jc w:val="right"/>
              <w:rPr>
                <w:rFonts w:ascii="Arial" w:hAnsi="Arial"/>
                <w:b/>
                <w:color w:val="000000"/>
                <w:sz w:val="15"/>
              </w:rPr>
            </w:pPr>
            <w:r>
              <w:rPr>
                <w:rFonts w:ascii="Arial" w:hAnsi="Arial"/>
                <w:b/>
                <w:color w:val="000000"/>
                <w:sz w:val="15"/>
              </w:rPr>
              <w:t>Cost Basis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Gains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Recorded</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Cash</w:t>
            </w:r>
          </w:p>
          <w:p>
            <w:pPr>
              <w:pStyle w:val="TableContents"/>
              <w:bidi w:val="0"/>
              <w:jc w:val="right"/>
              <w:rPr>
                <w:rFonts w:ascii="Arial" w:hAnsi="Arial"/>
                <w:b/>
                <w:color w:val="000000"/>
                <w:sz w:val="15"/>
              </w:rPr>
            </w:pPr>
            <w:r>
              <w:rPr>
                <w:rFonts w:ascii="Arial" w:hAnsi="Arial"/>
                <w:b/>
                <w:color w:val="000000"/>
                <w:sz w:val="15"/>
              </w:rPr>
              <w:t>and Cash</w:t>
            </w:r>
          </w:p>
          <w:p>
            <w:pPr>
              <w:pStyle w:val="TableContents"/>
              <w:bidi w:val="0"/>
              <w:spacing w:before="0" w:after="283"/>
              <w:jc w:val="right"/>
              <w:rPr>
                <w:rFonts w:ascii="Arial" w:hAnsi="Arial"/>
                <w:b/>
                <w:color w:val="000000"/>
                <w:sz w:val="15"/>
              </w:rPr>
            </w:pPr>
            <w:r>
              <w:rPr>
                <w:rFonts w:ascii="Arial" w:hAnsi="Arial"/>
                <w:b/>
                <w:color w:val="000000"/>
                <w:sz w:val="15"/>
              </w:rPr>
              <w:t>Equivalents</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Short-term</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Equity and</w:t>
              <w:br/>
              <w:t>Other</w:t>
              <w:br/>
              <w:t>Investments</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Changes in Fair Value Recorded in Other Comprehensive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Commercial paper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2,987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2,987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2,373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614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Certificates of deposit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1,745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1,745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1,701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U.S. government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49,714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(1,154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48,562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399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40,675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7,488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U.S. agency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3,133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3,133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1,787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1,346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Foreign government bonds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221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Mortgage- and asset-backed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1,813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1,795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1,795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Corporate notes and bonds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10,682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(71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10,660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10,660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Corporate notes and bonds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1,618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1,738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1,620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Municipal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152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147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147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Municipal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18"/>
              </w:rPr>
            </w:pPr>
            <w:r>
              <w:rPr>
                <w:rFonts w:ascii="Arial" w:hAnsi="Arial"/>
                <w:color w:val="000000"/>
                <w:sz w:val="18"/>
              </w:rPr>
              <w:t>Total debt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72,170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188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(1,274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71,084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6,260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55,716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9,108</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Changes in Fair Value Recorded in Net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Equity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4,289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1,616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2,673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Equity 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Other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24,567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24,567</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18"/>
              </w:rPr>
            </w:pPr>
            <w:r>
              <w:rPr>
                <w:rFonts w:ascii="Arial" w:hAnsi="Arial"/>
                <w:color w:val="000000"/>
                <w:sz w:val="18"/>
              </w:rPr>
              <w:t>Total equity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28,856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1,616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27,240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Cash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13,059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4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13,059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18"/>
              </w:rPr>
            </w:pPr>
            <w:r>
              <w:rPr>
                <w:rFonts w:ascii="Arial" w:hAnsi="Arial"/>
                <w:color w:val="000000"/>
                <w:sz w:val="18"/>
              </w:rPr>
              <w:t>Derivatives, net</w:t>
            </w:r>
            <w:r>
              <w:rPr>
                <w:rFonts w:ascii="Times New Roman" w:hAnsi="Times New Roman"/>
                <w:color w:val="000000"/>
                <w:sz w:val="18"/>
              </w:rPr>
              <w:t> </w:t>
            </w:r>
            <w:r>
              <w:rPr>
                <w:rFonts w:ascii="Arial" w:hAnsi="Arial"/>
                <w:color w:val="000000"/>
                <w:sz w:val="12"/>
              </w:rPr>
              <w:t>(a)</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18"/>
              </w:rPr>
            </w:pPr>
            <w:r>
              <w:rPr>
                <w:rFonts w:ascii="Arial" w:hAnsi="Arial"/>
                <w:color w:val="000000"/>
                <w:sz w:val="18"/>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113,191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4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20,935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55,908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36,348</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64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jc w:val="left"/>
        <w:rPr/>
      </w:pPr>
      <w:r>
        <w:rPr/>
        <w:t> </w:t>
      </w:r>
    </w:p>
    <w:tbl>
      <w:tblPr>
        <w:tblW w:w="11818" w:type="dxa"/>
        <w:jc w:val="left"/>
        <w:tblInd w:w="0" w:type="dxa"/>
        <w:tblLayout w:type="fixed"/>
        <w:tblCellMar>
          <w:top w:w="28" w:type="dxa"/>
          <w:left w:w="28" w:type="dxa"/>
          <w:bottom w:w="28" w:type="dxa"/>
          <w:right w:w="28" w:type="dxa"/>
        </w:tblCellMar>
      </w:tblPr>
      <w:tblGrid>
        <w:gridCol w:w="1586"/>
        <w:gridCol w:w="146"/>
        <w:gridCol w:w="146"/>
        <w:gridCol w:w="556"/>
        <w:gridCol w:w="146"/>
        <w:gridCol w:w="146"/>
        <w:gridCol w:w="211"/>
        <w:gridCol w:w="676"/>
        <w:gridCol w:w="146"/>
        <w:gridCol w:w="146"/>
        <w:gridCol w:w="295"/>
        <w:gridCol w:w="591"/>
        <w:gridCol w:w="146"/>
        <w:gridCol w:w="146"/>
        <w:gridCol w:w="222"/>
        <w:gridCol w:w="664"/>
        <w:gridCol w:w="166"/>
        <w:gridCol w:w="146"/>
        <w:gridCol w:w="211"/>
        <w:gridCol w:w="781"/>
        <w:gridCol w:w="146"/>
        <w:gridCol w:w="146"/>
        <w:gridCol w:w="232"/>
        <w:gridCol w:w="744"/>
        <w:gridCol w:w="146"/>
        <w:gridCol w:w="146"/>
        <w:gridCol w:w="239"/>
        <w:gridCol w:w="767"/>
        <w:gridCol w:w="146"/>
        <w:gridCol w:w="146"/>
        <w:gridCol w:w="239"/>
        <w:gridCol w:w="767"/>
        <w:gridCol w:w="681"/>
      </w:tblGrid>
      <w:tr>
        <w:trPr/>
        <w:tc>
          <w:tcPr>
            <w:tcW w:w="1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Fair Value</w:t>
            </w:r>
          </w:p>
          <w:p>
            <w:pPr>
              <w:pStyle w:val="TableContents"/>
              <w:bidi w:val="0"/>
              <w:spacing w:before="0" w:after="283"/>
              <w:jc w:val="center"/>
              <w:rPr>
                <w:rFonts w:ascii="Arial" w:hAnsi="Arial"/>
                <w:b/>
                <w:color w:val="000000"/>
                <w:sz w:val="15"/>
              </w:rPr>
            </w:pPr>
            <w:r>
              <w:rPr>
                <w:rFonts w:ascii="Arial" w:hAnsi="Arial"/>
                <w:b/>
                <w:color w:val="000000"/>
                <w:sz w:val="15"/>
              </w:rPr>
              <w:t>Level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spacing w:before="0" w:after="283"/>
              <w:jc w:val="right"/>
              <w:rPr>
                <w:rFonts w:ascii="Arial" w:hAnsi="Arial"/>
                <w:b/>
                <w:color w:val="000000"/>
                <w:sz w:val="15"/>
              </w:rPr>
            </w:pPr>
            <w:r>
              <w:rPr>
                <w:rFonts w:ascii="Arial" w:hAnsi="Arial"/>
                <w:b/>
                <w:color w:val="000000"/>
                <w:sz w:val="15"/>
              </w:rPr>
              <w:t>Cost Basis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Gains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Recorded</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Cash</w:t>
            </w:r>
          </w:p>
          <w:p>
            <w:pPr>
              <w:pStyle w:val="TableContents"/>
              <w:bidi w:val="0"/>
              <w:jc w:val="right"/>
              <w:rPr>
                <w:rFonts w:ascii="Arial" w:hAnsi="Arial"/>
                <w:b/>
                <w:color w:val="000000"/>
                <w:sz w:val="15"/>
              </w:rPr>
            </w:pPr>
            <w:r>
              <w:rPr>
                <w:rFonts w:ascii="Arial" w:hAnsi="Arial"/>
                <w:b/>
                <w:color w:val="000000"/>
                <w:sz w:val="15"/>
              </w:rPr>
              <w:t>and Cash</w:t>
            </w:r>
          </w:p>
          <w:p>
            <w:pPr>
              <w:pStyle w:val="TableContents"/>
              <w:bidi w:val="0"/>
              <w:spacing w:before="0" w:after="283"/>
              <w:jc w:val="right"/>
              <w:rPr>
                <w:rFonts w:ascii="Arial" w:hAnsi="Arial"/>
                <w:b/>
                <w:color w:val="000000"/>
                <w:sz w:val="15"/>
              </w:rPr>
            </w:pPr>
            <w:r>
              <w:rPr>
                <w:rFonts w:ascii="Arial" w:hAnsi="Arial"/>
                <w:b/>
                <w:color w:val="000000"/>
                <w:sz w:val="15"/>
              </w:rPr>
              <w:t>Equivalents</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Short-term</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Equity and</w:t>
              <w:br/>
              <w:t>Other</w:t>
              <w:br/>
              <w:t>Investments</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Changes in Fair Value Recorded in Other Comprehensive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Commercial paper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10,880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10,880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Certificates of deposit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U.S. government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52,878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51,487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46,745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U.S. agency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Foreign government bonds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Mortgage- and asset-backed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Corporate notes and bonds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10,763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10,786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10,786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Corporate notes and bonds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Municipal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Municipal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18"/>
              </w:rPr>
            </w:pPr>
            <w:r>
              <w:rPr>
                <w:rFonts w:ascii="Arial" w:hAnsi="Arial"/>
                <w:color w:val="000000"/>
                <w:sz w:val="18"/>
              </w:rPr>
              <w:t>Total debt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85,589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84,259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17,486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64,313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Changes in Fair Value Recorded in Net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Equity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Level 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Equity 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Other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9,141</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18"/>
              </w:rPr>
            </w:pPr>
            <w:r>
              <w:rPr>
                <w:rFonts w:ascii="Arial" w:hAnsi="Arial"/>
                <w:color w:val="000000"/>
                <w:sz w:val="18"/>
              </w:rPr>
              <w:t>Total equity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13,718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12,673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18"/>
              </w:rPr>
            </w:pPr>
            <w:r>
              <w:rPr>
                <w:rFonts w:ascii="Arial" w:hAnsi="Arial"/>
                <w:color w:val="000000"/>
                <w:sz w:val="18"/>
              </w:rPr>
              <w:t>Cash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5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18"/>
              </w:rPr>
            </w:pPr>
            <w:r>
              <w:rPr>
                <w:rFonts w:ascii="Arial" w:hAnsi="Arial"/>
                <w:color w:val="000000"/>
                <w:sz w:val="18"/>
              </w:rPr>
              <w:t>Derivatives, net</w:t>
            </w:r>
            <w:r>
              <w:rPr>
                <w:rFonts w:ascii="Times New Roman" w:hAnsi="Times New Roman"/>
                <w:color w:val="000000"/>
                <w:sz w:val="18"/>
              </w:rPr>
              <w:t> </w:t>
            </w:r>
            <w:r>
              <w:rPr>
                <w:rFonts w:ascii="Arial" w:hAnsi="Arial"/>
                <w:color w:val="000000"/>
                <w:sz w:val="12"/>
              </w:rPr>
              <w:t>(a)</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58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18"/>
              </w:rPr>
            </w:pPr>
            <w:r>
              <w:rPr>
                <w:rFonts w:ascii="Arial" w:hAnsi="Arial"/>
                <w:color w:val="000000"/>
                <w:sz w:val="18"/>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109,970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64,323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15,405</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i/>
          <w:color w:val="000000"/>
          <w:sz w:val="20"/>
        </w:rPr>
      </w:pPr>
      <w:r>
        <w:rPr>
          <w:rFonts w:ascii="Arial" w:hAnsi="Arial"/>
          <w:i/>
          <w:color w:val="000000"/>
          <w:sz w:val="20"/>
        </w:rPr>
        <w:t>Refer to Note 5 – Derivatives for further information on the fair value of our derivative instruments.</w:t>
      </w:r>
    </w:p>
    <w:p>
      <w:pPr>
        <w:pStyle w:val="TextBody"/>
        <w:bidi w:val="0"/>
        <w:spacing w:before="180" w:after="283"/>
        <w:jc w:val="both"/>
        <w:rPr>
          <w:rFonts w:ascii="Times New Roman" w:hAnsi="Times New Roman"/>
          <w:sz w:val="20"/>
        </w:rPr>
      </w:pPr>
      <w:r>
        <w:rPr>
          <w:rFonts w:ascii="Arial" w:hAnsi="Arial"/>
          <w:color w:val="000000"/>
          <w:sz w:val="20"/>
        </w:rPr>
        <w:t>Equity investments presented as “Other” in the tables above include investments without readily determinable fair values measured at cost with adjustments for observable changes in price or impairments, measured using the equity method, or measured at fair value using net asset value as a practical expedient which are not categorized in the fair value hierarchy. As of June 30, 2026 and 2025, equity investments without readily determinable fair values measured at cost with adjustments for observable changes in price or impairments were $12.4</w:t>
      </w:r>
      <w:r>
        <w:rPr>
          <w:rFonts w:ascii="Times New Roman" w:hAnsi="Times New Roman"/>
          <w:color w:val="000000"/>
          <w:sz w:val="20"/>
        </w:rPr>
        <w:t xml:space="preserve"> </w:t>
      </w:r>
      <w:r>
        <w:rPr>
          <w:rFonts w:ascii="Arial" w:hAnsi="Arial"/>
          <w:color w:val="000000"/>
          <w:sz w:val="20"/>
        </w:rPr>
        <w:t>billion and $2.9</w:t>
      </w:r>
      <w:r>
        <w:rPr>
          <w:rFonts w:ascii="Times New Roman" w:hAnsi="Times New Roman"/>
          <w:color w:val="000000"/>
          <w:sz w:val="20"/>
        </w:rPr>
        <w:t xml:space="preserve"> </w:t>
      </w:r>
      <w:r>
        <w:rPr>
          <w:rFonts w:ascii="Arial" w:hAnsi="Arial"/>
          <w:color w:val="000000"/>
          <w:sz w:val="20"/>
        </w:rPr>
        <w:t>billion, respectively, and equity investments measured using the equity method were $12.0</w:t>
      </w:r>
      <w:r>
        <w:rPr>
          <w:rFonts w:ascii="Times New Roman" w:hAnsi="Times New Roman"/>
          <w:color w:val="000000"/>
          <w:sz w:val="20"/>
        </w:rPr>
        <w:t xml:space="preserve"> </w:t>
      </w:r>
      <w:r>
        <w:rPr>
          <w:rFonts w:ascii="Arial" w:hAnsi="Arial"/>
          <w:color w:val="000000"/>
          <w:sz w:val="20"/>
        </w:rPr>
        <w:t>billion and $6.0</w:t>
      </w:r>
      <w:r>
        <w:rPr>
          <w:rFonts w:ascii="Times New Roman" w:hAnsi="Times New Roman"/>
          <w:color w:val="000000"/>
          <w:sz w:val="20"/>
        </w:rPr>
        <w:t xml:space="preserve"> </w:t>
      </w:r>
      <w:r>
        <w:rPr>
          <w:rFonts w:ascii="Arial" w:hAnsi="Arial"/>
          <w:color w:val="000000"/>
          <w:sz w:val="20"/>
        </w:rPr>
        <w:t>billion, respectively.</w:t>
      </w:r>
    </w:p>
    <w:p>
      <w:pPr>
        <w:pStyle w:val="TextBody"/>
        <w:bidi w:val="0"/>
        <w:spacing w:before="240" w:after="283"/>
        <w:jc w:val="center"/>
        <w:rPr>
          <w:rFonts w:ascii="Arial" w:hAnsi="Arial"/>
          <w:color w:val="000000"/>
          <w:sz w:val="16"/>
        </w:rPr>
      </w:pPr>
      <w:r>
        <w:rPr>
          <w:rFonts w:ascii="Arial" w:hAnsi="Arial"/>
          <w:color w:val="000000"/>
          <w:sz w:val="16"/>
        </w:rPr>
        <w:t>65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270" w:after="283"/>
        <w:jc w:val="left"/>
        <w:rPr>
          <w:rFonts w:ascii="Times New Roman" w:hAnsi="Times New Roman"/>
          <w:sz w:val="20"/>
        </w:rPr>
      </w:pPr>
      <w:r>
        <w:rPr>
          <w:rFonts w:ascii="Arial" w:hAnsi="Arial"/>
          <w:b/>
          <w:color w:val="000000"/>
          <w:sz w:val="20"/>
        </w:rPr>
        <w:t>Unrealized Losses on Debt Investments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Debt investments with continuous unrealized losses for less than 12 months and 12 months or greater and their related fair values were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03"/>
        <w:gridCol w:w="146"/>
        <w:gridCol w:w="211"/>
        <w:gridCol w:w="691"/>
        <w:gridCol w:w="146"/>
        <w:gridCol w:w="146"/>
        <w:gridCol w:w="211"/>
        <w:gridCol w:w="886"/>
        <w:gridCol w:w="166"/>
        <w:gridCol w:w="146"/>
        <w:gridCol w:w="211"/>
        <w:gridCol w:w="691"/>
        <w:gridCol w:w="146"/>
        <w:gridCol w:w="146"/>
        <w:gridCol w:w="218"/>
        <w:gridCol w:w="668"/>
        <w:gridCol w:w="166"/>
        <w:gridCol w:w="146"/>
        <w:gridCol w:w="211"/>
        <w:gridCol w:w="691"/>
        <w:gridCol w:w="146"/>
        <w:gridCol w:w="146"/>
        <w:gridCol w:w="218"/>
        <w:gridCol w:w="668"/>
        <w:gridCol w:w="681"/>
      </w:tblGrid>
      <w:tr>
        <w:trPr/>
        <w:tc>
          <w:tcPr>
            <w:tcW w:w="23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668"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668"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2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Less than 12 Months</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12 Months or Greater</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vMerge w:val="restart"/>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Unrealized</w:t>
              <w:br/>
              <w:t>Losses</w:t>
            </w:r>
          </w:p>
        </w:tc>
        <w:tc>
          <w:tcPr>
            <w:tcW w:w="681"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5"/>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5"/>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vMerge w:val="continue"/>
            <w:tcBorders/>
            <w:tcMar>
              <w:top w:w="0" w:type="dxa"/>
              <w:left w:w="0" w:type="dxa"/>
              <w:bottom w:w="0" w:type="dxa"/>
              <w:right w:w="0" w:type="dxa"/>
            </w:tcMar>
            <w:vAlign w:val="center"/>
          </w:tcPr>
          <w:p>
            <w:pPr>
              <w:pStyle w:val="Normal"/>
              <w:bidi w:val="0"/>
              <w:jc w:val="left"/>
              <w:rPr/>
            </w:pPr>
            <w:r>
              <w:rPr/>
            </w:r>
          </w:p>
        </w:tc>
        <w:tc>
          <w:tcPr>
            <w:tcW w:w="681" w:type="dxa"/>
            <w:vMerge w:val="continue"/>
            <w:tcBorders/>
            <w:tcMar>
              <w:top w:w="0" w:type="dxa"/>
              <w:left w:w="0" w:type="dxa"/>
              <w:bottom w:w="0" w:type="dxa"/>
              <w:right w:w="0" w:type="dxa"/>
            </w:tcMar>
            <w:vAlign w:val="center"/>
          </w:tcPr>
          <w:p>
            <w:pPr>
              <w:pStyle w:val="Normal"/>
              <w:bidi w:val="0"/>
              <w:jc w:val="left"/>
              <w:rPr/>
            </w:pPr>
            <w:r>
              <w:rPr/>
            </w:r>
          </w:p>
        </w:tc>
      </w:tr>
      <w:tr>
        <w:trPr/>
        <w:tc>
          <w:tcPr>
            <w:tcW w:w="2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0"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869"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vMerge w:val="continue"/>
            <w:tcBorders/>
            <w:tcMar>
              <w:top w:w="0" w:type="dxa"/>
              <w:left w:w="0" w:type="dxa"/>
              <w:bottom w:w="0" w:type="dxa"/>
              <w:right w:w="0" w:type="dxa"/>
            </w:tcMar>
            <w:vAlign w:val="center"/>
          </w:tcPr>
          <w:p>
            <w:pPr>
              <w:pStyle w:val="Normal"/>
              <w:bidi w:val="0"/>
              <w:jc w:val="left"/>
              <w:rPr/>
            </w:pPr>
            <w:r>
              <w:rPr/>
            </w:r>
          </w:p>
        </w:tc>
        <w:tc>
          <w:tcPr>
            <w:tcW w:w="681" w:type="dxa"/>
            <w:vMerge w:val="continue"/>
            <w:tcBorders/>
            <w:tcMar>
              <w:top w:w="0" w:type="dxa"/>
              <w:left w:w="0" w:type="dxa"/>
              <w:bottom w:w="0" w:type="dxa"/>
              <w:right w:w="0" w:type="dxa"/>
            </w:tcMar>
            <w:vAlign w:val="center"/>
          </w:tcPr>
          <w:p>
            <w:pPr>
              <w:pStyle w:val="Normal"/>
              <w:bidi w:val="0"/>
              <w:jc w:val="left"/>
              <w:rPr/>
            </w:pPr>
            <w:r>
              <w:rPr/>
            </w:r>
          </w:p>
        </w:tc>
      </w:tr>
      <w:tr>
        <w:trPr/>
        <w:tc>
          <w:tcPr>
            <w:tcW w:w="230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Fair Value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vMerge w:val="continue"/>
            <w:tcBorders/>
            <w:tcMar>
              <w:top w:w="0" w:type="dxa"/>
              <w:left w:w="0" w:type="dxa"/>
              <w:bottom w:w="0" w:type="dxa"/>
              <w:right w:w="0" w:type="dxa"/>
            </w:tcMar>
            <w:vAlign w:val="center"/>
          </w:tcPr>
          <w:p>
            <w:pPr>
              <w:pStyle w:val="Normal"/>
              <w:bidi w:val="0"/>
              <w:jc w:val="left"/>
              <w:rPr/>
            </w:pPr>
            <w:r>
              <w:rPr/>
            </w:r>
          </w:p>
        </w:tc>
        <w:tc>
          <w:tcPr>
            <w:tcW w:w="681" w:type="dxa"/>
            <w:vMerge w:val="continue"/>
            <w:tcBorders/>
            <w:tcMar>
              <w:top w:w="0" w:type="dxa"/>
              <w:left w:w="0" w:type="dxa"/>
              <w:bottom w:w="0" w:type="dxa"/>
              <w:right w:w="0" w:type="dxa"/>
            </w:tcMar>
            <w:vAlign w:val="center"/>
          </w:tcPr>
          <w:p>
            <w:pPr>
              <w:pStyle w:val="Normal"/>
              <w:bidi w:val="0"/>
              <w:jc w:val="left"/>
              <w:rPr/>
            </w:pPr>
            <w:r>
              <w:rPr/>
            </w:r>
          </w:p>
        </w:tc>
      </w:tr>
      <w:tr>
        <w:trPr/>
        <w:tc>
          <w:tcPr>
            <w:tcW w:w="9524" w:type="dxa"/>
            <w:gridSpan w:val="2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0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0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0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13"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0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government and agency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19,100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22,042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41,142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r>
      <w:tr>
        <w:trPr/>
        <w:tc>
          <w:tcPr>
            <w:tcW w:w="2303"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government bonds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r>
      <w:tr>
        <w:trPr/>
        <w:tc>
          <w:tcPr>
            <w:tcW w:w="230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Mortgage- and asset-backed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1,034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r>
      <w:tr>
        <w:trPr/>
        <w:tc>
          <w:tcPr>
            <w:tcW w:w="2303"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5,066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5,975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r>
      <w:tr>
        <w:trPr/>
        <w:tc>
          <w:tcPr>
            <w:tcW w:w="230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2303"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303"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25,145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(1,137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48,377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(1,274</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2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91"/>
        <w:gridCol w:w="146"/>
        <w:gridCol w:w="211"/>
        <w:gridCol w:w="628"/>
        <w:gridCol w:w="146"/>
        <w:gridCol w:w="146"/>
        <w:gridCol w:w="211"/>
        <w:gridCol w:w="886"/>
        <w:gridCol w:w="166"/>
        <w:gridCol w:w="146"/>
        <w:gridCol w:w="211"/>
        <w:gridCol w:w="716"/>
        <w:gridCol w:w="146"/>
        <w:gridCol w:w="146"/>
        <w:gridCol w:w="211"/>
        <w:gridCol w:w="886"/>
        <w:gridCol w:w="166"/>
        <w:gridCol w:w="146"/>
        <w:gridCol w:w="211"/>
        <w:gridCol w:w="716"/>
        <w:gridCol w:w="146"/>
        <w:gridCol w:w="146"/>
        <w:gridCol w:w="211"/>
        <w:gridCol w:w="886"/>
        <w:gridCol w:w="684"/>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8"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Less than 12 Months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12 Months or Greater</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restart"/>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Unrealized</w:t>
              <w:br/>
              <w:t>Losses</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8"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8"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8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government and agency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34,608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37,177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(1,462</w:t>
            </w:r>
          </w:p>
        </w:tc>
        <w:tc>
          <w:tcPr>
            <w:tcW w:w="68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189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government bonds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68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18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Mortgage- and asset-backed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68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189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68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18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68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8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38,176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42,736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(1,625</w:t>
            </w:r>
          </w:p>
        </w:tc>
        <w:tc>
          <w:tcPr>
            <w:tcW w:w="6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Unrealized losses from fixed-income securities are primarily attributable to changes in interest rates. Management does not believe any remaining unrealized losses represent impairments based on our evaluation of available evidence.</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Debt Investment Maturities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following table outlines maturities of our debt investments as of June 30, 2026:</w:t>
      </w:r>
      <w:r>
        <w:rPr>
          <w:rFonts w:ascii="Times New Roman" w:hAnsi="Times New Roman"/>
          <w:color w:val="000000"/>
          <w:sz w:val="20"/>
        </w:rPr>
        <w:t xml:space="preserve"> </w:t>
      </w:r>
    </w:p>
    <w:p>
      <w:pPr>
        <w:pStyle w:val="TextBody"/>
        <w:bidi w:val="0"/>
        <w:jc w:val="left"/>
        <w:rPr/>
      </w:pPr>
      <w:r>
        <w:rPr/>
        <w:t> </w:t>
      </w:r>
    </w:p>
    <w:tbl>
      <w:tblPr>
        <w:tblW w:w="6514" w:type="dxa"/>
        <w:jc w:val="left"/>
        <w:tblInd w:w="0" w:type="dxa"/>
        <w:tblLayout w:type="fixed"/>
        <w:tblCellMar>
          <w:top w:w="28" w:type="dxa"/>
          <w:left w:w="28" w:type="dxa"/>
          <w:bottom w:w="28" w:type="dxa"/>
          <w:right w:w="28" w:type="dxa"/>
        </w:tblCellMar>
      </w:tblPr>
      <w:tblGrid>
        <w:gridCol w:w="3591"/>
        <w:gridCol w:w="146"/>
        <w:gridCol w:w="211"/>
        <w:gridCol w:w="691"/>
        <w:gridCol w:w="146"/>
        <w:gridCol w:w="146"/>
        <w:gridCol w:w="211"/>
        <w:gridCol w:w="691"/>
        <w:gridCol w:w="681"/>
      </w:tblGrid>
      <w:tr>
        <w:trPr/>
        <w:tc>
          <w:tcPr>
            <w:tcW w:w="35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spacing w:before="0" w:after="283"/>
              <w:jc w:val="right"/>
              <w:rPr>
                <w:rFonts w:ascii="Arial" w:hAnsi="Arial"/>
                <w:b/>
                <w:color w:val="000000"/>
                <w:sz w:val="15"/>
              </w:rPr>
            </w:pPr>
            <w:r>
              <w:rPr>
                <w:rFonts w:ascii="Arial" w:hAnsi="Arial"/>
                <w:b/>
                <w:color w:val="000000"/>
                <w:sz w:val="15"/>
              </w:rPr>
              <w:t>Cost Basis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Estimated</w:t>
            </w:r>
          </w:p>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3" w:type="dxa"/>
            <w:gridSpan w:val="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9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5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Due in one year or less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28,764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28,697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Due after one year through five years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38,376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37,395</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5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Due after five years through 10 years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3,493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3,586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Due after 10 years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1,537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1,406</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3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59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72,170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71,084</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Times New Roman" w:hAnsi="Times New Roman"/>
          <w:sz w:val="20"/>
        </w:rPr>
      </w:pPr>
      <w:r>
        <w:rPr>
          <w:rFonts w:ascii="Arial" w:hAnsi="Arial"/>
          <w:color w:val="000000"/>
          <w:sz w:val="20"/>
          <w:u w:val="single"/>
        </w:rPr>
        <w:t>NOTE 5 — DERIVATIVES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66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270" w:after="283"/>
        <w:jc w:val="both"/>
        <w:rPr>
          <w:rFonts w:ascii="Times New Roman" w:hAnsi="Times New Roman"/>
          <w:sz w:val="20"/>
        </w:rPr>
      </w:pPr>
      <w:r>
        <w:rPr>
          <w:rFonts w:ascii="Arial" w:hAnsi="Arial"/>
          <w:b/>
          <w:color w:val="000000"/>
          <w:sz w:val="20"/>
        </w:rPr>
        <w:t>Foreign Currencies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Certain forecasted transactions, assets, and liabilities are exposed to foreign currency risk. We monitor our foreign currency exposures daily to maximize the economic effectiveness of our foreign currency hedge positions.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Foreign currency risks related to certain Euro-denominated debt are hedged using foreign exchange forward contracts that are designated as cash flow hedging instruments.</w:t>
      </w:r>
    </w:p>
    <w:p>
      <w:pPr>
        <w:pStyle w:val="TextBody"/>
        <w:bidi w:val="0"/>
        <w:spacing w:before="180" w:after="283"/>
        <w:jc w:val="both"/>
        <w:rPr>
          <w:rFonts w:ascii="Times New Roman" w:hAnsi="Times New Roman"/>
          <w:sz w:val="20"/>
        </w:rPr>
      </w:pPr>
      <w:r>
        <w:rPr>
          <w:rFonts w:ascii="Arial" w:hAnsi="Arial"/>
          <w:color w:val="000000"/>
          <w:sz w:val="20"/>
        </w:rPr>
        <w:t>Certain options and forwards not designated as hedging instruments are also used to manage the variability in foreign exchange rates on certain balance sheet amounts and to manage other foreign currency exposures.</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Interest Rate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Interest rate risks related to certain fixed-rate debt are hedged using interest rate swaps that are designated as fair value hedging instruments to effectively convert the fixed interest rates to floating interest rates.</w:t>
      </w:r>
    </w:p>
    <w:p>
      <w:pPr>
        <w:pStyle w:val="TextBody"/>
        <w:bidi w:val="0"/>
        <w:spacing w:before="180" w:after="283"/>
        <w:jc w:val="both"/>
        <w:rPr>
          <w:rFonts w:ascii="Arial" w:hAnsi="Arial"/>
          <w:color w:val="000000"/>
          <w:sz w:val="20"/>
        </w:rPr>
      </w:pPr>
      <w:r>
        <w:rPr>
          <w:rFonts w:ascii="Arial" w:hAnsi="Arial"/>
          <w:color w:val="000000"/>
          <w:sz w:val="20"/>
        </w:rPr>
        <w:t>Securities held in our fixed-income portfolio are subject to different interest rate risks based on their maturities. We manage the average maturity of our fixed-income portfolio to achieve economic returns that correlate to certain broad-based fixed-income indices using option, futures, and swap contracts. These contracts are not designated as hedging instruments and are included in “Other contracts” in the tables below.</w:t>
      </w:r>
    </w:p>
    <w:p>
      <w:pPr>
        <w:pStyle w:val="TextBody"/>
        <w:bidi w:val="0"/>
        <w:spacing w:before="270" w:after="283"/>
        <w:jc w:val="both"/>
        <w:rPr>
          <w:rFonts w:ascii="Times New Roman" w:hAnsi="Times New Roman"/>
          <w:sz w:val="20"/>
        </w:rPr>
      </w:pPr>
      <w:r>
        <w:rPr>
          <w:rFonts w:ascii="Arial" w:hAnsi="Arial"/>
          <w:b/>
          <w:color w:val="000000"/>
          <w:sz w:val="20"/>
        </w:rPr>
        <w:t>Equity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Securities held in our equity investments portfolio are subject to market price risk. At times, we may hold options, futures, and swap contracts. These contracts are not designated as hedging instruments.</w:t>
      </w:r>
    </w:p>
    <w:p>
      <w:pPr>
        <w:pStyle w:val="TextBody"/>
        <w:bidi w:val="0"/>
        <w:spacing w:before="270" w:after="283"/>
        <w:jc w:val="both"/>
        <w:rPr>
          <w:rFonts w:ascii="Times New Roman" w:hAnsi="Times New Roman"/>
          <w:sz w:val="20"/>
        </w:rPr>
      </w:pPr>
      <w:r>
        <w:rPr>
          <w:rFonts w:ascii="Arial" w:hAnsi="Arial"/>
          <w:b/>
          <w:color w:val="000000"/>
          <w:sz w:val="20"/>
        </w:rPr>
        <w:t>Credit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pStyle w:val="TextBody"/>
        <w:bidi w:val="0"/>
        <w:spacing w:before="270" w:after="283"/>
        <w:jc w:val="both"/>
        <w:rPr>
          <w:rFonts w:ascii="Times New Roman" w:hAnsi="Times New Roman"/>
          <w:sz w:val="20"/>
        </w:rPr>
      </w:pPr>
      <w:r>
        <w:rPr>
          <w:rFonts w:ascii="Arial" w:hAnsi="Arial"/>
          <w:b/>
          <w:color w:val="000000"/>
          <w:sz w:val="20"/>
        </w:rPr>
        <w:t>Credit-Risk-Related Contingent Features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Certain counterparty agreements for derivative instruments contain provisions that require our issued and outstanding long-term unsecured debt to maintain an investment grade credit rating and require us to maintain minimum liquidity of $1.0</w:t>
      </w:r>
      <w:r>
        <w:rPr>
          <w:rFonts w:ascii="Times New Roman" w:hAnsi="Times New Roman"/>
          <w:color w:val="000000"/>
          <w:sz w:val="20"/>
        </w:rPr>
        <w:t xml:space="preserve"> </w:t>
      </w:r>
      <w:r>
        <w:rPr>
          <w:rFonts w:ascii="Arial" w:hAnsi="Arial"/>
          <w:color w:val="000000"/>
          <w:sz w:val="20"/>
        </w:rPr>
        <w:t>billion. To the extent we fail to meet these requirements, we will be required to post collateral, similar to the standard convention related to over-the-counter derivatives. As of June 30, 2026, our long-term unsecured debt rating was AAA, and cash investments were in excess of $1.0</w:t>
      </w:r>
      <w:r>
        <w:rPr>
          <w:rFonts w:ascii="Times New Roman" w:hAnsi="Times New Roman"/>
          <w:color w:val="000000"/>
          <w:sz w:val="20"/>
        </w:rPr>
        <w:t xml:space="preserve"> </w:t>
      </w:r>
      <w:r>
        <w:rPr>
          <w:rFonts w:ascii="Arial" w:hAnsi="Arial"/>
          <w:color w:val="000000"/>
          <w:sz w:val="20"/>
        </w:rPr>
        <w:t>billion. As a result, no collateral was required to be posted.</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following table presents the notional amounts of our outstanding derivative instruments measured in U.S. dollar equivalents:</w:t>
      </w:r>
    </w:p>
    <w:p>
      <w:pPr>
        <w:pStyle w:val="TextBody"/>
        <w:bidi w:val="0"/>
        <w:jc w:val="both"/>
        <w:rPr/>
      </w:pPr>
      <w:r>
        <w:rPr/>
        <w:t> </w:t>
      </w:r>
    </w:p>
    <w:tbl>
      <w:tblPr>
        <w:tblW w:w="6419" w:type="dxa"/>
        <w:jc w:val="left"/>
        <w:tblInd w:w="0" w:type="dxa"/>
        <w:tblLayout w:type="fixed"/>
        <w:tblCellMar>
          <w:top w:w="28" w:type="dxa"/>
          <w:left w:w="28" w:type="dxa"/>
          <w:bottom w:w="28" w:type="dxa"/>
          <w:right w:w="28" w:type="dxa"/>
        </w:tblCellMar>
      </w:tblPr>
      <w:tblGrid>
        <w:gridCol w:w="3741"/>
        <w:gridCol w:w="146"/>
        <w:gridCol w:w="211"/>
        <w:gridCol w:w="691"/>
        <w:gridCol w:w="146"/>
        <w:gridCol w:w="146"/>
        <w:gridCol w:w="211"/>
        <w:gridCol w:w="691"/>
        <w:gridCol w:w="436"/>
      </w:tblGrid>
      <w:tr>
        <w:trPr/>
        <w:tc>
          <w:tcPr>
            <w:tcW w:w="37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 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1,492</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rate contracts purchased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1,179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Not 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 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12,052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15,214</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 sold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51,413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43,307</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contracts 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5,573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5,434</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contracts sold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2,189</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contracts 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3,252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2,769</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contracts sold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1,242</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67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90" w:after="283"/>
        <w:jc w:val="both"/>
        <w:rPr>
          <w:rFonts w:ascii="Arial" w:hAnsi="Arial"/>
          <w:b/>
          <w:color w:val="000000"/>
          <w:sz w:val="20"/>
        </w:rPr>
      </w:pPr>
      <w:r>
        <w:rPr>
          <w:rFonts w:ascii="Arial" w:hAnsi="Arial"/>
          <w:b/>
          <w:color w:val="000000"/>
          <w:sz w:val="20"/>
        </w:rPr>
        <w:t>Fair Values of Derivative Instruments</w:t>
      </w:r>
    </w:p>
    <w:p>
      <w:pPr>
        <w:pStyle w:val="TextBody"/>
        <w:bidi w:val="0"/>
        <w:spacing w:before="180" w:after="283"/>
        <w:jc w:val="both"/>
        <w:rPr>
          <w:rFonts w:ascii="Arial" w:hAnsi="Arial"/>
          <w:color w:val="000000"/>
          <w:sz w:val="20"/>
        </w:rPr>
      </w:pPr>
      <w:r>
        <w:rPr>
          <w:rFonts w:ascii="Arial" w:hAnsi="Arial"/>
          <w:color w:val="000000"/>
          <w:sz w:val="20"/>
        </w:rPr>
        <w:t>The following table presents our derivative instruments: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221"/>
        <w:gridCol w:w="146"/>
        <w:gridCol w:w="211"/>
        <w:gridCol w:w="646"/>
        <w:gridCol w:w="166"/>
        <w:gridCol w:w="146"/>
        <w:gridCol w:w="211"/>
        <w:gridCol w:w="646"/>
        <w:gridCol w:w="166"/>
        <w:gridCol w:w="149"/>
        <w:gridCol w:w="215"/>
        <w:gridCol w:w="492"/>
        <w:gridCol w:w="166"/>
        <w:gridCol w:w="146"/>
        <w:gridCol w:w="211"/>
        <w:gridCol w:w="646"/>
        <w:gridCol w:w="62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Derivative</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3"/>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Derivative</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3"/>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Derivative</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3"/>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Derivative</w:t>
            </w:r>
          </w:p>
        </w:tc>
        <w:tc>
          <w:tcPr>
            <w:tcW w:w="62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Assets</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Liabilities</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Assets</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Liabilities</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7"/>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2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rate contracts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Not 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1,742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(1,175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(983</w:t>
            </w:r>
          </w:p>
        </w:tc>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2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Gross amounts of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(1,837</w:t>
            </w:r>
          </w:p>
        </w:tc>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2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Gross amounts of derivatives offset in the balance sheets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(1,300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collateral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522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Net amounts of derivatives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(1,676</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2"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Reported as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Short-term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and other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2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current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(1,639</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2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6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522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9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(1,676</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2"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Gross derivative assets and liabilities subject to legally enforceable master netting agreements for which we have elected to offset were $2.2</w:t>
      </w:r>
      <w:r>
        <w:rPr>
          <w:rFonts w:ascii="Times New Roman" w:hAnsi="Times New Roman"/>
          <w:color w:val="000000"/>
          <w:sz w:val="20"/>
        </w:rPr>
        <w:t xml:space="preserve"> </w:t>
      </w:r>
      <w:r>
        <w:rPr>
          <w:rFonts w:ascii="Arial" w:hAnsi="Arial"/>
          <w:color w:val="000000"/>
          <w:sz w:val="20"/>
        </w:rPr>
        <w:t>billion and $1.4</w:t>
      </w:r>
      <w:r>
        <w:rPr>
          <w:rFonts w:ascii="Times New Roman" w:hAnsi="Times New Roman"/>
          <w:color w:val="000000"/>
          <w:sz w:val="20"/>
        </w:rPr>
        <w:t xml:space="preserve"> </w:t>
      </w:r>
      <w:r>
        <w:rPr>
          <w:rFonts w:ascii="Arial" w:hAnsi="Arial"/>
          <w:color w:val="000000"/>
          <w:sz w:val="20"/>
        </w:rPr>
        <w:t>billion, respectively, as of June 30, 2026, and $452</w:t>
      </w:r>
      <w:r>
        <w:rPr>
          <w:rFonts w:ascii="Times New Roman" w:hAnsi="Times New Roman"/>
          <w:color w:val="000000"/>
          <w:sz w:val="20"/>
        </w:rPr>
        <w:t xml:space="preserve"> </w:t>
      </w:r>
      <w:r>
        <w:rPr>
          <w:rFonts w:ascii="Arial" w:hAnsi="Arial"/>
          <w:color w:val="000000"/>
          <w:sz w:val="20"/>
        </w:rPr>
        <w:t>million and $1.8</w:t>
      </w:r>
      <w:r>
        <w:rPr>
          <w:rFonts w:ascii="Times New Roman" w:hAnsi="Times New Roman"/>
          <w:color w:val="000000"/>
          <w:sz w:val="20"/>
        </w:rPr>
        <w:t xml:space="preserve"> </w:t>
      </w:r>
      <w:r>
        <w:rPr>
          <w:rFonts w:ascii="Arial" w:hAnsi="Arial"/>
          <w:color w:val="000000"/>
          <w:sz w:val="20"/>
        </w:rPr>
        <w:t>billion, respectively, as of June 30, 2025.</w:t>
      </w:r>
    </w:p>
    <w:p>
      <w:pPr>
        <w:pStyle w:val="TextBody"/>
        <w:bidi w:val="0"/>
        <w:spacing w:before="180" w:after="283"/>
        <w:jc w:val="both"/>
        <w:rPr>
          <w:rFonts w:ascii="Arial" w:hAnsi="Arial"/>
          <w:color w:val="000000"/>
          <w:sz w:val="20"/>
        </w:rPr>
      </w:pPr>
      <w:r>
        <w:rPr>
          <w:rFonts w:ascii="Arial" w:hAnsi="Arial"/>
          <w:color w:val="000000"/>
          <w:sz w:val="20"/>
        </w:rPr>
        <w:t>The following table presents the fair value of our derivatives instruments on a gross basis:</w:t>
      </w:r>
    </w:p>
    <w:p>
      <w:pPr>
        <w:pStyle w:val="TextBody"/>
        <w:bidi w:val="0"/>
        <w:jc w:val="both"/>
        <w:rPr/>
      </w:pPr>
      <w:r>
        <w:rPr/>
        <w:t> </w:t>
      </w:r>
    </w:p>
    <w:tbl>
      <w:tblPr>
        <w:tblW w:w="6548" w:type="dxa"/>
        <w:jc w:val="left"/>
        <w:tblInd w:w="0" w:type="dxa"/>
        <w:tblLayout w:type="fixed"/>
        <w:tblCellMar>
          <w:top w:w="28" w:type="dxa"/>
          <w:left w:w="28" w:type="dxa"/>
          <w:bottom w:w="28" w:type="dxa"/>
          <w:right w:w="28" w:type="dxa"/>
        </w:tblCellMar>
      </w:tblPr>
      <w:tblGrid>
        <w:gridCol w:w="2046"/>
        <w:gridCol w:w="146"/>
        <w:gridCol w:w="322"/>
        <w:gridCol w:w="323"/>
        <w:gridCol w:w="146"/>
        <w:gridCol w:w="146"/>
        <w:gridCol w:w="211"/>
        <w:gridCol w:w="646"/>
        <w:gridCol w:w="166"/>
        <w:gridCol w:w="146"/>
        <w:gridCol w:w="215"/>
        <w:gridCol w:w="430"/>
        <w:gridCol w:w="166"/>
        <w:gridCol w:w="146"/>
        <w:gridCol w:w="211"/>
        <w:gridCol w:w="646"/>
        <w:gridCol w:w="436"/>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0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Level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Level 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Level 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04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Derivative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2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2,168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3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2,176</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Derivative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(1,430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(1,430</w:t>
            </w:r>
          </w:p>
        </w:tc>
        <w:tc>
          <w:tcPr>
            <w:tcW w:w="4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04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Derivative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758</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Derivative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(1,837</w:t>
            </w:r>
          </w:p>
        </w:tc>
        <w:tc>
          <w:tcPr>
            <w:tcW w:w="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68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jc w:val="both"/>
        <w:rPr>
          <w:rFonts w:ascii="Arial" w:hAnsi="Arial"/>
          <w:color w:val="000000"/>
          <w:sz w:val="20"/>
        </w:rPr>
      </w:pPr>
      <w:r>
        <w:rPr>
          <w:rFonts w:ascii="Arial" w:hAnsi="Arial"/>
          <w:color w:val="000000"/>
          <w:sz w:val="20"/>
        </w:rPr>
        <w:t>Gains (losses) on derivative instruments recognized in other income (expense), net were as follows:</w:t>
      </w:r>
    </w:p>
    <w:p>
      <w:pPr>
        <w:pStyle w:val="TextBody"/>
        <w:bidi w:val="0"/>
        <w:jc w:val="both"/>
        <w:rPr/>
      </w:pPr>
      <w:r>
        <w:rPr/>
        <w:t> </w:t>
      </w:r>
    </w:p>
    <w:tbl>
      <w:tblPr>
        <w:tblW w:w="9903" w:type="dxa"/>
        <w:jc w:val="left"/>
        <w:tblInd w:w="0" w:type="dxa"/>
        <w:tblLayout w:type="fixed"/>
        <w:tblCellMar>
          <w:top w:w="28" w:type="dxa"/>
          <w:left w:w="28" w:type="dxa"/>
          <w:bottom w:w="28" w:type="dxa"/>
          <w:right w:w="28" w:type="dxa"/>
        </w:tblCellMar>
      </w:tblPr>
      <w:tblGrid>
        <w:gridCol w:w="6251"/>
        <w:gridCol w:w="146"/>
        <w:gridCol w:w="211"/>
        <w:gridCol w:w="586"/>
        <w:gridCol w:w="166"/>
        <w:gridCol w:w="146"/>
        <w:gridCol w:w="211"/>
        <w:gridCol w:w="481"/>
        <w:gridCol w:w="166"/>
        <w:gridCol w:w="146"/>
        <w:gridCol w:w="211"/>
        <w:gridCol w:w="481"/>
        <w:gridCol w:w="701"/>
      </w:tblGrid>
      <w:tr>
        <w:trPr/>
        <w:tc>
          <w:tcPr>
            <w:tcW w:w="62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701" w:type="dxa"/>
            <w:tcBorders/>
            <w:shd w:fill="FFFFFF" w:val="clear"/>
            <w:vAlign w:val="center"/>
          </w:tcPr>
          <w:p>
            <w:pPr>
              <w:pStyle w:val="TableContents"/>
              <w:bidi w:val="0"/>
              <w:spacing w:before="0" w:after="283"/>
              <w:jc w:val="left"/>
              <w:rPr>
                <w:sz w:val="4"/>
                <w:szCs w:val="4"/>
              </w:rPr>
            </w:pPr>
            <w:r>
              <w:rPr>
                <w:sz w:val="4"/>
                <w:szCs w:val="4"/>
              </w:rPr>
            </w:r>
          </w:p>
        </w:tc>
      </w:tr>
      <w:tr>
        <w:trPr/>
        <w:tc>
          <w:tcPr>
            <w:tcW w:w="9202" w:type="dxa"/>
            <w:gridSpan w:val="1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Fair Value Hedging Instruments</w:t>
            </w:r>
          </w:p>
        </w:tc>
        <w:tc>
          <w:tcPr>
            <w:tcW w:w="110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rate contracts</w:t>
            </w:r>
          </w:p>
        </w:tc>
        <w:tc>
          <w:tcPr>
            <w:tcW w:w="1109" w:type="dxa"/>
            <w:gridSpan w:val="4"/>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4"/>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4"/>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5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Derivatives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70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w:t>
            </w:r>
          </w:p>
        </w:tc>
      </w:tr>
      <w:tr>
        <w:trPr/>
        <w:tc>
          <w:tcPr>
            <w:tcW w:w="625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Hedged items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70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Cash Flow Hedging Instruments</w:t>
            </w:r>
          </w:p>
        </w:tc>
        <w:tc>
          <w:tcPr>
            <w:tcW w:w="110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2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109" w:type="dxa"/>
            <w:gridSpan w:val="4"/>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4"/>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4"/>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25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Amount reclassified from accumulated other comprehensive loss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7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Not Designated as Hedging Instruments</w:t>
            </w:r>
          </w:p>
        </w:tc>
        <w:tc>
          <w:tcPr>
            <w:tcW w:w="110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2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w:t>
            </w:r>
          </w:p>
        </w:tc>
        <w:tc>
          <w:tcPr>
            <w:tcW w:w="7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25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62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70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5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Gains (losses), net of tax, on derivative instruments recognized in our consolidated comprehensive income statements were as follows:</w:t>
      </w:r>
    </w:p>
    <w:p>
      <w:pPr>
        <w:pStyle w:val="TextBody"/>
        <w:bidi w:val="0"/>
        <w:jc w:val="both"/>
        <w:rPr/>
      </w:pPr>
      <w:r>
        <w:rPr/>
        <w:t> </w:t>
      </w:r>
    </w:p>
    <w:tbl>
      <w:tblPr>
        <w:tblW w:w="6983" w:type="dxa"/>
        <w:jc w:val="left"/>
        <w:tblInd w:w="0" w:type="dxa"/>
        <w:tblLayout w:type="fixed"/>
        <w:tblCellMar>
          <w:top w:w="28" w:type="dxa"/>
          <w:left w:w="28" w:type="dxa"/>
          <w:bottom w:w="28" w:type="dxa"/>
          <w:right w:w="28" w:type="dxa"/>
        </w:tblCellMar>
      </w:tblPr>
      <w:tblGrid>
        <w:gridCol w:w="3911"/>
        <w:gridCol w:w="146"/>
        <w:gridCol w:w="211"/>
        <w:gridCol w:w="376"/>
        <w:gridCol w:w="166"/>
        <w:gridCol w:w="146"/>
        <w:gridCol w:w="211"/>
        <w:gridCol w:w="316"/>
        <w:gridCol w:w="146"/>
        <w:gridCol w:w="146"/>
        <w:gridCol w:w="211"/>
        <w:gridCol w:w="376"/>
        <w:gridCol w:w="621"/>
      </w:tblGrid>
      <w:tr>
        <w:trPr/>
        <w:tc>
          <w:tcPr>
            <w:tcW w:w="39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c>
          <w:tcPr>
            <w:tcW w:w="621" w:type="dxa"/>
            <w:tcBorders/>
            <w:shd w:fill="FFFFFF" w:val="clear"/>
            <w:vAlign w:val="center"/>
          </w:tcPr>
          <w:p>
            <w:pPr>
              <w:pStyle w:val="TableContents"/>
              <w:bidi w:val="0"/>
              <w:spacing w:before="0" w:after="283"/>
              <w:jc w:val="left"/>
              <w:rPr>
                <w:sz w:val="4"/>
                <w:szCs w:val="4"/>
              </w:rPr>
            </w:pPr>
            <w:r>
              <w:rPr>
                <w:sz w:val="4"/>
                <w:szCs w:val="4"/>
              </w:rPr>
            </w:r>
          </w:p>
        </w:tc>
      </w:tr>
      <w:tr>
        <w:trPr/>
        <w:tc>
          <w:tcPr>
            <w:tcW w:w="39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2"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Cash Flow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9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Included in effectiveness assessment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7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6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4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Times New Roman" w:hAnsi="Times New Roman"/>
          <w:sz w:val="20"/>
        </w:rPr>
      </w:pPr>
      <w:r>
        <w:rPr>
          <w:rFonts w:ascii="Arial" w:hAnsi="Arial"/>
          <w:color w:val="000000"/>
          <w:sz w:val="20"/>
          <w:u w:val="single"/>
        </w:rPr>
        <w:t>NOTE 6 — PROPERTY AND EQUIPMENT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components of property and equipment were as follows:</w:t>
      </w:r>
      <w:r>
        <w:rPr>
          <w:rFonts w:ascii="Times New Roman" w:hAnsi="Times New Roman"/>
          <w:color w:val="000000"/>
          <w:sz w:val="20"/>
        </w:rPr>
        <w:t xml:space="preserve"> </w:t>
      </w:r>
    </w:p>
    <w:p>
      <w:pPr>
        <w:pStyle w:val="TextBody"/>
        <w:bidi w:val="0"/>
        <w:jc w:val="left"/>
        <w:rPr/>
      </w:pPr>
      <w:r>
        <w:rPr/>
        <w:t> </w:t>
      </w:r>
    </w:p>
    <w:tbl>
      <w:tblPr>
        <w:tblW w:w="7202" w:type="dxa"/>
        <w:jc w:val="left"/>
        <w:tblInd w:w="0" w:type="dxa"/>
        <w:tblLayout w:type="fixed"/>
        <w:tblCellMar>
          <w:top w:w="28" w:type="dxa"/>
          <w:left w:w="28" w:type="dxa"/>
          <w:bottom w:w="28" w:type="dxa"/>
          <w:right w:w="28" w:type="dxa"/>
        </w:tblCellMar>
      </w:tblPr>
      <w:tblGrid>
        <w:gridCol w:w="4026"/>
        <w:gridCol w:w="109"/>
        <w:gridCol w:w="211"/>
        <w:gridCol w:w="856"/>
        <w:gridCol w:w="166"/>
        <w:gridCol w:w="146"/>
        <w:gridCol w:w="211"/>
        <w:gridCol w:w="796"/>
        <w:gridCol w:w="681"/>
      </w:tblGrid>
      <w:tr>
        <w:trPr/>
        <w:tc>
          <w:tcPr>
            <w:tcW w:w="40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6521" w:type="dxa"/>
            <w:gridSpan w:val="8"/>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83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Land</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10,546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9,338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Buildings and improvements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182,749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137,921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0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Leasehold improvements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16,348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12,117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Servers, network equipment, and software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215,874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132,836</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0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Furniture and equipment</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6,250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6,407</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02"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at cost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431,767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298,619</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02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Accumulated depreciation</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(118,691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(93,653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0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02"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net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313,076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204,966</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During fiscal years 2026, 2025, and 2024, depreciation expense was $34.3</w:t>
      </w:r>
      <w:r>
        <w:rPr>
          <w:rFonts w:ascii="Times New Roman" w:hAnsi="Times New Roman"/>
          <w:color w:val="000000"/>
          <w:sz w:val="20"/>
        </w:rPr>
        <w:t xml:space="preserve"> </w:t>
      </w:r>
      <w:r>
        <w:rPr>
          <w:rFonts w:ascii="Arial" w:hAnsi="Arial"/>
          <w:color w:val="000000"/>
          <w:sz w:val="20"/>
        </w:rPr>
        <w:t>billion, $22.0</w:t>
      </w:r>
      <w:r>
        <w:rPr>
          <w:rFonts w:ascii="Times New Roman" w:hAnsi="Times New Roman"/>
          <w:color w:val="000000"/>
          <w:sz w:val="20"/>
        </w:rPr>
        <w:t xml:space="preserve"> </w:t>
      </w:r>
      <w:r>
        <w:rPr>
          <w:rFonts w:ascii="Arial" w:hAnsi="Arial"/>
          <w:color w:val="000000"/>
          <w:sz w:val="20"/>
        </w:rPr>
        <w:t>billion, and $15.2</w:t>
      </w:r>
      <w:r>
        <w:rPr>
          <w:rFonts w:ascii="Times New Roman" w:hAnsi="Times New Roman"/>
          <w:color w:val="000000"/>
          <w:sz w:val="20"/>
        </w:rPr>
        <w:t xml:space="preserve"> </w:t>
      </w:r>
      <w:r>
        <w:rPr>
          <w:rFonts w:ascii="Arial" w:hAnsi="Arial"/>
          <w:color w:val="000000"/>
          <w:sz w:val="20"/>
        </w:rPr>
        <w:t>billion, respectively.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of June 30, 2026, 2025, and 2024, purchases of property and equipment remaining in accounts payable were $26.7</w:t>
      </w:r>
      <w:r>
        <w:rPr>
          <w:rFonts w:ascii="Times New Roman" w:hAnsi="Times New Roman"/>
          <w:color w:val="000000"/>
          <w:sz w:val="20"/>
        </w:rPr>
        <w:t xml:space="preserve"> </w:t>
      </w:r>
      <w:r>
        <w:rPr>
          <w:rFonts w:ascii="Arial" w:hAnsi="Arial"/>
          <w:color w:val="000000"/>
          <w:sz w:val="20"/>
        </w:rPr>
        <w:t>billion, $6.9</w:t>
      </w:r>
      <w:r>
        <w:rPr>
          <w:rFonts w:ascii="Times New Roman" w:hAnsi="Times New Roman"/>
          <w:color w:val="000000"/>
          <w:sz w:val="20"/>
        </w:rPr>
        <w:t xml:space="preserve"> </w:t>
      </w:r>
      <w:r>
        <w:rPr>
          <w:rFonts w:ascii="Arial" w:hAnsi="Arial"/>
          <w:color w:val="000000"/>
          <w:sz w:val="20"/>
        </w:rPr>
        <w:t>billion, and $4.3</w:t>
      </w:r>
      <w:r>
        <w:rPr>
          <w:rFonts w:ascii="Times New Roman" w:hAnsi="Times New Roman"/>
          <w:color w:val="000000"/>
          <w:sz w:val="20"/>
        </w:rPr>
        <w:t xml:space="preserve"> </w:t>
      </w:r>
      <w:r>
        <w:rPr>
          <w:rFonts w:ascii="Arial" w:hAnsi="Arial"/>
          <w:color w:val="000000"/>
          <w:sz w:val="20"/>
        </w:rPr>
        <w:t>billion, respectively. As of June 30, 2026, we have committed $34.6</w:t>
      </w:r>
      <w:r>
        <w:rPr>
          <w:rFonts w:ascii="Times New Roman" w:hAnsi="Times New Roman"/>
          <w:color w:val="000000"/>
          <w:sz w:val="20"/>
        </w:rPr>
        <w:t xml:space="preserve"> </w:t>
      </w:r>
      <w:r>
        <w:rPr>
          <w:rFonts w:ascii="Arial" w:hAnsi="Arial"/>
          <w:color w:val="000000"/>
          <w:sz w:val="20"/>
        </w:rPr>
        <w:t>billion for the construction of new buildings, building improvements, and leasehold improvements, primarily related to datacenters.</w:t>
      </w:r>
      <w:r>
        <w:rPr>
          <w:rFonts w:ascii="Times New Roman" w:hAnsi="Times New Roman"/>
          <w:color w:val="000000"/>
          <w:sz w:val="20"/>
        </w:rPr>
        <w:t xml:space="preserve"> </w:t>
      </w:r>
    </w:p>
    <w:p>
      <w:pPr>
        <w:pStyle w:val="TextBody"/>
        <w:bidi w:val="0"/>
        <w:spacing w:before="270" w:after="283"/>
        <w:jc w:val="center"/>
        <w:rPr>
          <w:rFonts w:ascii="Times New Roman" w:hAnsi="Times New Roman"/>
          <w:sz w:val="20"/>
        </w:rPr>
      </w:pPr>
      <w:r>
        <w:rPr>
          <w:rFonts w:ascii="Arial" w:hAnsi="Arial"/>
          <w:color w:val="000000"/>
          <w:sz w:val="20"/>
          <w:u w:val="single"/>
        </w:rPr>
        <w:t>NOTE 7 — BUSINESS COMBINATIONS</w:t>
      </w:r>
      <w:r>
        <w:rPr>
          <w:rFonts w:ascii="Times New Roman" w:hAnsi="Times New Roman"/>
          <w:color w:val="000000"/>
          <w:sz w:val="20"/>
        </w:rPr>
        <w:t xml:space="preserve"> </w:t>
      </w:r>
    </w:p>
    <w:p>
      <w:pPr>
        <w:pStyle w:val="TextBody"/>
        <w:bidi w:val="0"/>
        <w:spacing w:before="180" w:after="283"/>
        <w:jc w:val="both"/>
        <w:rPr>
          <w:rFonts w:ascii="Arial" w:hAnsi="Arial"/>
          <w:b/>
          <w:color w:val="000000"/>
          <w:sz w:val="20"/>
        </w:rPr>
      </w:pPr>
      <w:r>
        <w:rPr>
          <w:rFonts w:ascii="Arial" w:hAnsi="Arial"/>
          <w:b/>
          <w:color w:val="000000"/>
          <w:sz w:val="20"/>
        </w:rPr>
        <w:t>Activision Blizzard, Inc.</w:t>
      </w:r>
    </w:p>
    <w:p>
      <w:pPr>
        <w:pStyle w:val="TextBody"/>
        <w:bidi w:val="0"/>
        <w:spacing w:before="180" w:after="283"/>
        <w:jc w:val="both"/>
        <w:rPr>
          <w:rFonts w:ascii="Times New Roman" w:hAnsi="Times New Roman"/>
          <w:sz w:val="20"/>
        </w:rPr>
      </w:pPr>
      <w:r>
        <w:rPr>
          <w:rFonts w:ascii="Arial" w:hAnsi="Arial"/>
          <w:color w:val="000000"/>
          <w:sz w:val="20"/>
        </w:rPr>
        <w:t>On October 13, 2023, we completed our acquisition of Activision Blizzard, Inc. (“Activision Blizzard”) for a total purchase price of $75.4</w:t>
      </w:r>
      <w:r>
        <w:rPr>
          <w:rFonts w:ascii="Times New Roman" w:hAnsi="Times New Roman"/>
          <w:color w:val="000000"/>
          <w:sz w:val="20"/>
        </w:rPr>
        <w:t xml:space="preserve"> </w:t>
      </w:r>
      <w:r>
        <w:rPr>
          <w:rFonts w:ascii="Arial" w:hAnsi="Arial"/>
          <w:color w:val="000000"/>
          <w:sz w:val="20"/>
        </w:rPr>
        <w:t>billion, consisting primarily of cash. Activision Blizzard is a leader in game development and an interactive entertainment content publisher. The acquisition will accelerate the growth in our gaming business across mobile, PC, console, and cloud gaming. The financial results of Activision Blizzard have been included in our consolidated financial statements since the date of the acquisition. Activision Blizzard is reported as part of our More Personal Computing segment.</w:t>
      </w:r>
    </w:p>
    <w:p>
      <w:pPr>
        <w:pStyle w:val="TextBody"/>
        <w:bidi w:val="0"/>
        <w:spacing w:before="240" w:after="283"/>
        <w:jc w:val="center"/>
        <w:rPr>
          <w:rFonts w:ascii="Arial" w:hAnsi="Arial"/>
          <w:color w:val="000000"/>
          <w:sz w:val="16"/>
        </w:rPr>
      </w:pPr>
      <w:r>
        <w:rPr>
          <w:rFonts w:ascii="Arial" w:hAnsi="Arial"/>
          <w:color w:val="000000"/>
          <w:sz w:val="16"/>
        </w:rPr>
        <w:t>69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180" w:after="283"/>
        <w:jc w:val="both"/>
        <w:rPr>
          <w:rFonts w:ascii="Arial" w:hAnsi="Arial"/>
          <w:color w:val="000000"/>
          <w:sz w:val="20"/>
        </w:rPr>
      </w:pPr>
      <w:r>
        <w:rPr>
          <w:rFonts w:ascii="Arial" w:hAnsi="Arial"/>
          <w:color w:val="000000"/>
          <w:sz w:val="20"/>
        </w:rPr>
        <w:t>The allocation of the purchase price to the assets acquired and liabilities assumed was completed as of September 30, 2024. The major classes of assets and liabilities to which we have allocated the purchase price were as follows:</w:t>
      </w:r>
    </w:p>
    <w:p>
      <w:pPr>
        <w:pStyle w:val="TextBody"/>
        <w:bidi w:val="0"/>
        <w:jc w:val="both"/>
        <w:rPr/>
      </w:pPr>
      <w:r>
        <w:rPr/>
        <w:t> </w:t>
      </w:r>
    </w:p>
    <w:tbl>
      <w:tblPr>
        <w:tblW w:w="4450" w:type="dxa"/>
        <w:jc w:val="left"/>
        <w:tblInd w:w="0" w:type="dxa"/>
        <w:tblLayout w:type="fixed"/>
        <w:tblCellMar>
          <w:top w:w="28" w:type="dxa"/>
          <w:left w:w="28" w:type="dxa"/>
          <w:bottom w:w="28" w:type="dxa"/>
          <w:right w:w="28" w:type="dxa"/>
        </w:tblCellMar>
      </w:tblPr>
      <w:tblGrid>
        <w:gridCol w:w="2721"/>
        <w:gridCol w:w="146"/>
        <w:gridCol w:w="211"/>
        <w:gridCol w:w="691"/>
        <w:gridCol w:w="68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b/>
                <w:color w:val="000000"/>
                <w:sz w:val="15"/>
              </w:rPr>
              <w:t>(In millions)</w:t>
            </w:r>
            <w:r>
              <w:rPr>
                <w:rFonts w:ascii="Times New Roman" w:hAnsi="Times New Roman"/>
                <w:color w:val="000000"/>
                <w:sz w:val="15"/>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and cash equivalents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12,976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Goodwill</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51,001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Intangible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2,503</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Long-term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27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Long-term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(1,946</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27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Deferred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27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(3,620</w:t>
            </w:r>
          </w:p>
        </w:tc>
        <w:tc>
          <w:tcPr>
            <w:tcW w:w="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r>
      <w:tr>
        <w:trPr/>
        <w:tc>
          <w:tcPr>
            <w:tcW w:w="27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72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purchase price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75,408</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Goodwill was assigned to our More Personal Computing segment. The goodwill was primarily attributed to increased synergies that are expected to be achieved from the integration of Activision Blizzard. Substantially all of the goodwill is expected to be non-deductible for income tax purposes.</w:t>
      </w:r>
    </w:p>
    <w:p>
      <w:pPr>
        <w:pStyle w:val="TextBody"/>
        <w:bidi w:val="0"/>
        <w:spacing w:before="180" w:after="283"/>
        <w:jc w:val="both"/>
        <w:rPr>
          <w:rFonts w:ascii="Arial" w:hAnsi="Arial"/>
          <w:color w:val="000000"/>
          <w:sz w:val="20"/>
        </w:rPr>
      </w:pPr>
      <w:r>
        <w:rPr>
          <w:rFonts w:ascii="Arial" w:hAnsi="Arial"/>
          <w:color w:val="000000"/>
          <w:sz w:val="20"/>
        </w:rPr>
        <w:t>Following are the details of the purchase price allocated to the intangible assets acquired:</w:t>
      </w:r>
    </w:p>
    <w:p>
      <w:pPr>
        <w:pStyle w:val="TextBody"/>
        <w:bidi w:val="0"/>
        <w:jc w:val="both"/>
        <w:rPr/>
      </w:pPr>
      <w:r>
        <w:rPr/>
        <w:t> </w:t>
      </w:r>
    </w:p>
    <w:tbl>
      <w:tblPr>
        <w:tblW w:w="7035" w:type="dxa"/>
        <w:jc w:val="left"/>
        <w:tblInd w:w="0" w:type="dxa"/>
        <w:tblLayout w:type="fixed"/>
        <w:tblCellMar>
          <w:top w:w="28" w:type="dxa"/>
          <w:left w:w="28" w:type="dxa"/>
          <w:bottom w:w="28" w:type="dxa"/>
          <w:right w:w="28" w:type="dxa"/>
        </w:tblCellMar>
      </w:tblPr>
      <w:tblGrid>
        <w:gridCol w:w="4016"/>
        <w:gridCol w:w="109"/>
        <w:gridCol w:w="211"/>
        <w:gridCol w:w="691"/>
        <w:gridCol w:w="146"/>
        <w:gridCol w:w="146"/>
        <w:gridCol w:w="118"/>
        <w:gridCol w:w="917"/>
        <w:gridCol w:w="681"/>
      </w:tblGrid>
      <w:tr>
        <w:trPr/>
        <w:tc>
          <w:tcPr>
            <w:tcW w:w="40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17"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401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average life)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Weighted</w:t>
            </w:r>
          </w:p>
          <w:p>
            <w:pPr>
              <w:pStyle w:val="TableContents"/>
              <w:bidi w:val="0"/>
              <w:spacing w:before="0" w:after="283"/>
              <w:jc w:val="right"/>
              <w:rPr>
                <w:rFonts w:ascii="Arial" w:hAnsi="Arial"/>
                <w:b/>
                <w:color w:val="000000"/>
                <w:sz w:val="15"/>
              </w:rPr>
            </w:pPr>
            <w:r>
              <w:rPr>
                <w:rFonts w:ascii="Arial" w:hAnsi="Arial"/>
                <w:b/>
                <w:color w:val="000000"/>
                <w:sz w:val="15"/>
              </w:rPr>
              <w:t>Average Life</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1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Marketing-related</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11,619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24</w:t>
            </w:r>
            <w:r>
              <w:rPr>
                <w:rFonts w:ascii="Times New Roman" w:hAnsi="Times New Roman"/>
                <w:color w:val="000000"/>
                <w:sz w:val="20"/>
              </w:rPr>
              <w:t> </w:t>
            </w:r>
            <w:r>
              <w:rPr>
                <w:rFonts w:ascii="Arial" w:hAnsi="Arial"/>
                <w:color w:val="000000"/>
                <w:sz w:val="20"/>
              </w:rPr>
              <w:t>years</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01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Technology-based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9,689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4</w:t>
            </w:r>
            <w:r>
              <w:rPr>
                <w:rFonts w:ascii="Times New Roman" w:hAnsi="Times New Roman"/>
                <w:color w:val="000000"/>
                <w:sz w:val="20"/>
              </w:rPr>
              <w:t> </w:t>
            </w:r>
            <w:r>
              <w:rPr>
                <w:rFonts w:ascii="Arial" w:hAnsi="Arial"/>
                <w:color w:val="000000"/>
                <w:sz w:val="20"/>
              </w:rPr>
              <w:t>years</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01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Customer-related</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4</w:t>
            </w:r>
            <w:r>
              <w:rPr>
                <w:rFonts w:ascii="Times New Roman" w:hAnsi="Times New Roman"/>
                <w:color w:val="000000"/>
                <w:sz w:val="20"/>
              </w:rPr>
              <w:t> </w:t>
            </w:r>
            <w:r>
              <w:rPr>
                <w:rFonts w:ascii="Arial" w:hAnsi="Arial"/>
                <w:color w:val="000000"/>
                <w:sz w:val="20"/>
              </w:rPr>
              <w:t>years</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01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01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01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Fair value of intangible assets acquired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15</w:t>
            </w:r>
            <w:r>
              <w:rPr>
                <w:rFonts w:ascii="Times New Roman" w:hAnsi="Times New Roman"/>
                <w:color w:val="000000"/>
                <w:sz w:val="20"/>
              </w:rPr>
              <w:t> </w:t>
            </w:r>
            <w:r>
              <w:rPr>
                <w:rFonts w:ascii="Arial" w:hAnsi="Arial"/>
                <w:color w:val="000000"/>
                <w:sz w:val="20"/>
              </w:rPr>
              <w:t>years</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Following are the supplemental consolidated financial results of Microsoft Corporation on an unaudited pro forma basis, as if the acquisition had been consummated on July 1, 2022:</w:t>
      </w:r>
    </w:p>
    <w:p>
      <w:pPr>
        <w:pStyle w:val="TextBody"/>
        <w:bidi w:val="0"/>
        <w:jc w:val="both"/>
        <w:rPr/>
      </w:pPr>
      <w:r>
        <w:rPr/>
        <w:t> </w:t>
      </w:r>
    </w:p>
    <w:tbl>
      <w:tblPr>
        <w:tblW w:w="5814" w:type="dxa"/>
        <w:jc w:val="left"/>
        <w:tblInd w:w="0" w:type="dxa"/>
        <w:tblLayout w:type="fixed"/>
        <w:tblCellMar>
          <w:top w:w="28" w:type="dxa"/>
          <w:left w:w="28" w:type="dxa"/>
          <w:bottom w:w="28" w:type="dxa"/>
          <w:right w:w="28" w:type="dxa"/>
        </w:tblCellMar>
      </w:tblPr>
      <w:tblGrid>
        <w:gridCol w:w="2986"/>
        <w:gridCol w:w="146"/>
        <w:gridCol w:w="211"/>
        <w:gridCol w:w="796"/>
        <w:gridCol w:w="146"/>
        <w:gridCol w:w="146"/>
        <w:gridCol w:w="211"/>
        <w:gridCol w:w="796"/>
        <w:gridCol w:w="376"/>
      </w:tblGrid>
      <w:tr>
        <w:trPr/>
        <w:tc>
          <w:tcPr>
            <w:tcW w:w="29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2023</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9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247,442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219,790</w:t>
            </w:r>
          </w:p>
        </w:tc>
        <w:tc>
          <w:tcPr>
            <w:tcW w:w="3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88,308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71,383</w:t>
            </w:r>
          </w:p>
        </w:tc>
        <w:tc>
          <w:tcPr>
            <w:tcW w:w="37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9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Diluted earnings per share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9.55</w:t>
            </w:r>
          </w:p>
        </w:tc>
        <w:tc>
          <w:tcPr>
            <w:tcW w:w="37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These pro forma results were based on estimates and assumptions, which we believe are reasonable. They are not the results that would have been realized had we been a combined company during the periods presented and are not necessarily indicative of our consolidated results of operations in future periods. The pro forma results include adjustments related to purchase accounting, primarily amortization of intangible assets. Acquisition costs and other nonrecurring charges were immaterial and are included in the earliest period presented.</w:t>
      </w:r>
    </w:p>
    <w:p>
      <w:pPr>
        <w:pStyle w:val="TextBody"/>
        <w:bidi w:val="0"/>
        <w:spacing w:before="270" w:after="283"/>
        <w:jc w:val="center"/>
        <w:rPr>
          <w:rFonts w:ascii="Times New Roman" w:hAnsi="Times New Roman"/>
          <w:sz w:val="20"/>
        </w:rPr>
      </w:pPr>
      <w:r>
        <w:rPr>
          <w:rFonts w:ascii="Arial" w:hAnsi="Arial"/>
          <w:color w:val="000000"/>
          <w:sz w:val="20"/>
          <w:u w:val="single"/>
        </w:rPr>
        <w:t>NOTE 8 — GOODWILL</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Changes in the carrying amount of goodwill were as follows:</w:t>
      </w:r>
      <w:r>
        <w:rPr>
          <w:rFonts w:ascii="Times New Roman" w:hAnsi="Times New Roman"/>
          <w:color w:val="000000"/>
          <w:sz w:val="20"/>
        </w:rPr>
        <w:t xml:space="preserve"> </w:t>
      </w:r>
    </w:p>
    <w:p>
      <w:pPr>
        <w:pStyle w:val="TextBody"/>
        <w:bidi w:val="0"/>
        <w:jc w:val="both"/>
        <w:rPr/>
      </w:pPr>
      <w:r>
        <w:rPr/>
        <w:t> </w:t>
      </w:r>
    </w:p>
    <w:tbl>
      <w:tblPr>
        <w:tblW w:w="10929" w:type="dxa"/>
        <w:jc w:val="left"/>
        <w:tblInd w:w="0" w:type="dxa"/>
        <w:tblLayout w:type="fixed"/>
        <w:tblCellMar>
          <w:top w:w="28" w:type="dxa"/>
          <w:left w:w="28" w:type="dxa"/>
          <w:bottom w:w="28" w:type="dxa"/>
          <w:right w:w="28" w:type="dxa"/>
        </w:tblCellMar>
      </w:tblPr>
      <w:tblGrid>
        <w:gridCol w:w="1401"/>
        <w:gridCol w:w="146"/>
        <w:gridCol w:w="211"/>
        <w:gridCol w:w="796"/>
        <w:gridCol w:w="146"/>
        <w:gridCol w:w="146"/>
        <w:gridCol w:w="211"/>
        <w:gridCol w:w="1021"/>
        <w:gridCol w:w="146"/>
        <w:gridCol w:w="146"/>
        <w:gridCol w:w="211"/>
        <w:gridCol w:w="511"/>
        <w:gridCol w:w="146"/>
        <w:gridCol w:w="146"/>
        <w:gridCol w:w="211"/>
        <w:gridCol w:w="796"/>
        <w:gridCol w:w="146"/>
        <w:gridCol w:w="146"/>
        <w:gridCol w:w="211"/>
        <w:gridCol w:w="1021"/>
        <w:gridCol w:w="146"/>
        <w:gridCol w:w="146"/>
        <w:gridCol w:w="211"/>
        <w:gridCol w:w="511"/>
        <w:gridCol w:w="166"/>
        <w:gridCol w:w="146"/>
        <w:gridCol w:w="211"/>
        <w:gridCol w:w="796"/>
        <w:gridCol w:w="681"/>
      </w:tblGrid>
      <w:tr>
        <w:trPr/>
        <w:tc>
          <w:tcPr>
            <w:tcW w:w="1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40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Acquisitions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Other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Acquisitions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Other</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June 30,</w:t>
              <w:br/>
              <w:t>2026</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Productivity and Business Processes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31,457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31,570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Intelligent Cloud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25,648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25,689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25,741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More Personal Computing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62,211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62,363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62,340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02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140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119,220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119,509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119,651</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70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jc w:val="both"/>
        <w:rPr>
          <w:rFonts w:ascii="Times New Roman" w:hAnsi="Times New Roman"/>
          <w:sz w:val="20"/>
        </w:rPr>
      </w:pPr>
      <w:r>
        <w:rPr>
          <w:rFonts w:ascii="Arial" w:hAnsi="Arial"/>
          <w:color w:val="000000"/>
          <w:sz w:val="20"/>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r>
        <w:rPr>
          <w:rFonts w:ascii="Times New Roman" w:hAnsi="Times New Roman"/>
          <w:color w:val="000000"/>
          <w:sz w:val="20"/>
        </w:rPr>
        <w:t xml:space="preserve"> </w:t>
      </w:r>
    </w:p>
    <w:p>
      <w:pPr>
        <w:pStyle w:val="TextBody"/>
        <w:bidi w:val="0"/>
        <w:spacing w:before="270" w:after="283"/>
        <w:jc w:val="both"/>
        <w:rPr>
          <w:rFonts w:ascii="Arial" w:hAnsi="Arial"/>
          <w:b/>
          <w:color w:val="000000"/>
          <w:sz w:val="20"/>
        </w:rPr>
      </w:pPr>
      <w:r>
        <w:rPr>
          <w:rFonts w:ascii="Arial" w:hAnsi="Arial"/>
          <w:b/>
          <w:color w:val="000000"/>
          <w:sz w:val="20"/>
        </w:rPr>
        <w:t>Goodwill Impairment</w:t>
      </w:r>
    </w:p>
    <w:p>
      <w:pPr>
        <w:pStyle w:val="TextBody"/>
        <w:bidi w:val="0"/>
        <w:spacing w:before="180" w:after="283"/>
        <w:jc w:val="both"/>
        <w:rPr>
          <w:rFonts w:ascii="Times New Roman" w:hAnsi="Times New Roman"/>
          <w:sz w:val="20"/>
        </w:rPr>
      </w:pPr>
      <w:r>
        <w:rPr>
          <w:rFonts w:ascii="Arial" w:hAnsi="Arial"/>
          <w:color w:val="000000"/>
          <w:sz w:val="20"/>
        </w:rPr>
        <w:t>We test goodwill for impairment annually on May 1 at the reporting unit level, primarily using a discounted cash flow methodology with a peer-based, risk-adjusted weighted average cost of capital. We believe use of a discounted cash flow approach is the most reliable indicator of the fair values of the businesses.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instances of impairment were identified in our May 1, 2026, May 1, 2025, or May 1, 2024 tests. As of June 30, 2026 and 2025, accumulated goodwill impairment was $11.3</w:t>
      </w:r>
      <w:r>
        <w:rPr>
          <w:rFonts w:ascii="Times New Roman" w:hAnsi="Times New Roman"/>
          <w:color w:val="000000"/>
          <w:sz w:val="20"/>
        </w:rPr>
        <w:t xml:space="preserve"> </w:t>
      </w:r>
      <w:r>
        <w:rPr>
          <w:rFonts w:ascii="Arial" w:hAnsi="Arial"/>
          <w:color w:val="000000"/>
          <w:sz w:val="20"/>
        </w:rPr>
        <w:t>billion.</w:t>
      </w:r>
    </w:p>
    <w:p>
      <w:pPr>
        <w:pStyle w:val="TextBody"/>
        <w:bidi w:val="0"/>
        <w:spacing w:before="270" w:after="283"/>
        <w:jc w:val="center"/>
        <w:rPr>
          <w:rFonts w:ascii="Times New Roman" w:hAnsi="Times New Roman"/>
          <w:sz w:val="20"/>
        </w:rPr>
      </w:pPr>
      <w:r>
        <w:rPr>
          <w:rFonts w:ascii="Arial" w:hAnsi="Arial"/>
          <w:color w:val="000000"/>
          <w:sz w:val="20"/>
          <w:u w:val="single"/>
        </w:rPr>
        <w:t>NOTE 9 — INTANGIBLE ASSETS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components of intangible assets, all of which are finite-lived, were as follows: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56"/>
        <w:gridCol w:w="146"/>
        <w:gridCol w:w="211"/>
        <w:gridCol w:w="691"/>
        <w:gridCol w:w="146"/>
        <w:gridCol w:w="146"/>
        <w:gridCol w:w="233"/>
        <w:gridCol w:w="833"/>
        <w:gridCol w:w="166"/>
        <w:gridCol w:w="146"/>
        <w:gridCol w:w="231"/>
        <w:gridCol w:w="761"/>
        <w:gridCol w:w="146"/>
        <w:gridCol w:w="146"/>
        <w:gridCol w:w="211"/>
        <w:gridCol w:w="691"/>
        <w:gridCol w:w="146"/>
        <w:gridCol w:w="146"/>
        <w:gridCol w:w="233"/>
        <w:gridCol w:w="833"/>
        <w:gridCol w:w="166"/>
        <w:gridCol w:w="146"/>
        <w:gridCol w:w="231"/>
        <w:gridCol w:w="761"/>
        <w:gridCol w:w="683"/>
      </w:tblGrid>
      <w:tr>
        <w:trPr/>
        <w:tc>
          <w:tcPr>
            <w:tcW w:w="19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3" w:type="dxa"/>
            <w:tcBorders/>
            <w:shd w:fill="FFFFFF" w:val="clear"/>
            <w:vAlign w:val="center"/>
          </w:tcPr>
          <w:p>
            <w:pPr>
              <w:pStyle w:val="TableContents"/>
              <w:bidi w:val="0"/>
              <w:spacing w:before="0" w:after="283"/>
              <w:jc w:val="left"/>
              <w:rPr>
                <w:sz w:val="4"/>
                <w:szCs w:val="4"/>
              </w:rPr>
            </w:pPr>
            <w:r>
              <w:rPr>
                <w:sz w:val="4"/>
                <w:szCs w:val="4"/>
              </w:rPr>
            </w:r>
          </w:p>
        </w:tc>
        <w:tc>
          <w:tcPr>
            <w:tcW w:w="833"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3" w:type="dxa"/>
            <w:tcBorders/>
            <w:shd w:fill="FFFFFF" w:val="clear"/>
            <w:vAlign w:val="center"/>
          </w:tcPr>
          <w:p>
            <w:pPr>
              <w:pStyle w:val="TableContents"/>
              <w:bidi w:val="0"/>
              <w:spacing w:before="0" w:after="283"/>
              <w:jc w:val="left"/>
              <w:rPr>
                <w:sz w:val="4"/>
                <w:szCs w:val="4"/>
              </w:rPr>
            </w:pPr>
            <w:r>
              <w:rPr>
                <w:sz w:val="4"/>
                <w:szCs w:val="4"/>
              </w:rPr>
            </w:r>
          </w:p>
        </w:tc>
        <w:tc>
          <w:tcPr>
            <w:tcW w:w="833"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683" w:type="dxa"/>
            <w:tcBorders/>
            <w:shd w:fill="FFFFFF" w:val="clear"/>
            <w:vAlign w:val="center"/>
          </w:tcPr>
          <w:p>
            <w:pPr>
              <w:pStyle w:val="TableContents"/>
              <w:bidi w:val="0"/>
              <w:spacing w:before="0" w:after="283"/>
              <w:jc w:val="left"/>
              <w:rPr>
                <w:sz w:val="4"/>
                <w:szCs w:val="4"/>
              </w:rPr>
            </w:pPr>
            <w:r>
              <w:rPr>
                <w:sz w:val="4"/>
                <w:szCs w:val="4"/>
              </w:rPr>
            </w:r>
          </w:p>
        </w:tc>
      </w:tr>
      <w:tr>
        <w:trPr/>
        <w:tc>
          <w:tcPr>
            <w:tcW w:w="19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Gross</w:t>
              <w:br/>
              <w:t>Carrying</w:t>
              <w:br/>
              <w:t>Amount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Accumulated</w:t>
              <w:br/>
              <w:t>Amortization</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Net Carrying</w:t>
              <w:br/>
              <w:t>Amount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Gross</w:t>
              <w:br/>
              <w:t>Carrying</w:t>
              <w:br/>
              <w:t>Amount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Accumulated</w:t>
              <w:br/>
              <w:t>Amortization</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Net Carrying</w:t>
              <w:br/>
              <w:t>Amount</w:t>
            </w:r>
          </w:p>
        </w:tc>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2" w:type="dxa"/>
            <w:gridSpan w:val="2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821"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9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Marketing-related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16,506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(4,690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11,816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16,502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12,601</w:t>
            </w:r>
          </w:p>
        </w:tc>
        <w:tc>
          <w:tcPr>
            <w:tcW w:w="68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9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Technology-based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22,779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(18,136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4,643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22,560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(14,959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7,601</w:t>
            </w:r>
          </w:p>
        </w:tc>
        <w:tc>
          <w:tcPr>
            <w:tcW w:w="683"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9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Customer-related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4,171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(2,520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2,228</w:t>
            </w:r>
          </w:p>
        </w:tc>
        <w:tc>
          <w:tcPr>
            <w:tcW w:w="68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9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Contract-based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3"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3"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3"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9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44,079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(25,470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18,609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43,557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(20,953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22,604</w:t>
            </w:r>
          </w:p>
        </w:tc>
        <w:tc>
          <w:tcPr>
            <w:tcW w:w="68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3"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3"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No material impairments of intangible assets were identified during fiscal years 2026, 2025, or 2024. We estimate that we have no significant residual value related to our intangible assets.</w:t>
      </w:r>
    </w:p>
    <w:p>
      <w:pPr>
        <w:pStyle w:val="TextBody"/>
        <w:bidi w:val="0"/>
        <w:spacing w:before="180" w:after="283"/>
        <w:jc w:val="both"/>
        <w:rPr>
          <w:rFonts w:ascii="Times New Roman" w:hAnsi="Times New Roman"/>
          <w:sz w:val="20"/>
        </w:rPr>
      </w:pPr>
      <w:r>
        <w:rPr>
          <w:rFonts w:ascii="Arial" w:hAnsi="Arial"/>
          <w:color w:val="000000"/>
          <w:sz w:val="20"/>
        </w:rPr>
        <w:t>The components of intangible assets acquired during the periods presented were as follows:</w:t>
      </w:r>
      <w:r>
        <w:rPr>
          <w:rFonts w:ascii="Times New Roman" w:hAnsi="Times New Roman"/>
          <w:color w:val="000000"/>
          <w:sz w:val="20"/>
        </w:rPr>
        <w:t xml:space="preserve"> </w:t>
      </w:r>
    </w:p>
    <w:p>
      <w:pPr>
        <w:pStyle w:val="TextBody"/>
        <w:bidi w:val="0"/>
        <w:jc w:val="both"/>
        <w:rPr/>
      </w:pPr>
      <w:r>
        <w:rPr/>
        <w:t> </w:t>
      </w:r>
    </w:p>
    <w:tbl>
      <w:tblPr>
        <w:tblW w:w="7187" w:type="dxa"/>
        <w:jc w:val="left"/>
        <w:tblInd w:w="0" w:type="dxa"/>
        <w:tblLayout w:type="fixed"/>
        <w:tblCellMar>
          <w:top w:w="28" w:type="dxa"/>
          <w:left w:w="28" w:type="dxa"/>
          <w:bottom w:w="28" w:type="dxa"/>
          <w:right w:w="28" w:type="dxa"/>
        </w:tblCellMar>
      </w:tblPr>
      <w:tblGrid>
        <w:gridCol w:w="1956"/>
        <w:gridCol w:w="146"/>
        <w:gridCol w:w="220"/>
        <w:gridCol w:w="441"/>
        <w:gridCol w:w="146"/>
        <w:gridCol w:w="146"/>
        <w:gridCol w:w="150"/>
        <w:gridCol w:w="885"/>
        <w:gridCol w:w="146"/>
        <w:gridCol w:w="146"/>
        <w:gridCol w:w="211"/>
        <w:gridCol w:w="586"/>
        <w:gridCol w:w="146"/>
        <w:gridCol w:w="146"/>
        <w:gridCol w:w="153"/>
        <w:gridCol w:w="882"/>
        <w:gridCol w:w="681"/>
      </w:tblGrid>
      <w:tr>
        <w:trPr/>
        <w:tc>
          <w:tcPr>
            <w:tcW w:w="19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0" w:type="dxa"/>
            <w:tcBorders/>
            <w:shd w:fill="FFFFFF" w:val="clear"/>
            <w:vAlign w:val="center"/>
          </w:tcPr>
          <w:p>
            <w:pPr>
              <w:pStyle w:val="TableContents"/>
              <w:bidi w:val="0"/>
              <w:spacing w:before="0" w:after="283"/>
              <w:jc w:val="left"/>
              <w:rPr>
                <w:sz w:val="4"/>
                <w:szCs w:val="4"/>
              </w:rPr>
            </w:pPr>
            <w:r>
              <w:rPr>
                <w:sz w:val="4"/>
                <w:szCs w:val="4"/>
              </w:rPr>
            </w:r>
          </w:p>
        </w:tc>
        <w:tc>
          <w:tcPr>
            <w:tcW w:w="4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8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3" w:type="dxa"/>
            <w:tcBorders/>
            <w:shd w:fill="FFFFFF" w:val="clear"/>
            <w:vAlign w:val="center"/>
          </w:tcPr>
          <w:p>
            <w:pPr>
              <w:pStyle w:val="TableContents"/>
              <w:bidi w:val="0"/>
              <w:spacing w:before="0" w:after="283"/>
              <w:jc w:val="left"/>
              <w:rPr>
                <w:sz w:val="4"/>
                <w:szCs w:val="4"/>
              </w:rPr>
            </w:pPr>
            <w:r>
              <w:rPr>
                <w:sz w:val="4"/>
                <w:szCs w:val="4"/>
              </w:rPr>
            </w:r>
          </w:p>
        </w:tc>
        <w:tc>
          <w:tcPr>
            <w:tcW w:w="882"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19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Weighted</w:t>
            </w:r>
          </w:p>
          <w:p>
            <w:pPr>
              <w:pStyle w:val="TableContents"/>
              <w:bidi w:val="0"/>
              <w:spacing w:before="0" w:after="283"/>
              <w:jc w:val="right"/>
              <w:rPr>
                <w:rFonts w:ascii="Arial" w:hAnsi="Arial"/>
                <w:b/>
                <w:color w:val="000000"/>
                <w:sz w:val="15"/>
              </w:rPr>
            </w:pPr>
            <w:r>
              <w:rPr>
                <w:rFonts w:ascii="Arial" w:hAnsi="Arial"/>
                <w:b/>
                <w:color w:val="000000"/>
                <w:sz w:val="15"/>
              </w:rPr>
              <w:t>Average Life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Weighted</w:t>
            </w:r>
          </w:p>
          <w:p>
            <w:pPr>
              <w:pStyle w:val="TableContents"/>
              <w:bidi w:val="0"/>
              <w:spacing w:before="0" w:after="283"/>
              <w:jc w:val="right"/>
              <w:rPr>
                <w:rFonts w:ascii="Arial" w:hAnsi="Arial"/>
                <w:b/>
                <w:color w:val="000000"/>
                <w:sz w:val="15"/>
              </w:rPr>
            </w:pPr>
            <w:r>
              <w:rPr>
                <w:rFonts w:ascii="Arial" w:hAnsi="Arial"/>
                <w:b/>
                <w:color w:val="000000"/>
                <w:sz w:val="15"/>
              </w:rPr>
              <w:t>Average Life</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1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9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Marketing-related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b/>
                <w:color w:val="000000"/>
                <w:sz w:val="20"/>
              </w:rPr>
              <w:t>10</w:t>
            </w:r>
            <w:r>
              <w:rPr>
                <w:rFonts w:ascii="Times New Roman" w:hAnsi="Times New Roman"/>
                <w:color w:val="000000"/>
                <w:sz w:val="20"/>
              </w:rPr>
              <w:t> </w:t>
            </w:r>
            <w:r>
              <w:rPr>
                <w:rFonts w:ascii="Arial" w:hAnsi="Arial"/>
                <w:b/>
                <w:color w:val="000000"/>
                <w:sz w:val="20"/>
              </w:rPr>
              <w:t>years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10</w:t>
            </w:r>
            <w:r>
              <w:rPr>
                <w:rFonts w:ascii="Times New Roman" w:hAnsi="Times New Roman"/>
                <w:color w:val="000000"/>
                <w:sz w:val="20"/>
              </w:rPr>
              <w:t> </w:t>
            </w:r>
            <w:r>
              <w:rPr>
                <w:rFonts w:ascii="Arial" w:hAnsi="Arial"/>
                <w:color w:val="000000"/>
                <w:sz w:val="20"/>
              </w:rPr>
              <w:t>years</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9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Technology-based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b/>
                <w:color w:val="000000"/>
                <w:sz w:val="20"/>
              </w:rPr>
              <w:t>5</w:t>
            </w:r>
            <w:r>
              <w:rPr>
                <w:rFonts w:ascii="Times New Roman" w:hAnsi="Times New Roman"/>
                <w:color w:val="000000"/>
                <w:sz w:val="20"/>
              </w:rPr>
              <w:t> </w:t>
            </w:r>
            <w:r>
              <w:rPr>
                <w:rFonts w:ascii="Arial" w:hAnsi="Arial"/>
                <w:b/>
                <w:color w:val="000000"/>
                <w:sz w:val="20"/>
              </w:rPr>
              <w:t>years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9</w:t>
            </w:r>
            <w:r>
              <w:rPr>
                <w:rFonts w:ascii="Times New Roman" w:hAnsi="Times New Roman"/>
                <w:color w:val="000000"/>
                <w:sz w:val="20"/>
              </w:rPr>
              <w:t> </w:t>
            </w:r>
            <w:r>
              <w:rPr>
                <w:rFonts w:ascii="Arial" w:hAnsi="Arial"/>
                <w:color w:val="000000"/>
                <w:sz w:val="20"/>
              </w:rPr>
              <w:t>years</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9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Customer-related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b/>
                <w:color w:val="000000"/>
                <w:sz w:val="20"/>
              </w:rPr>
              <w:t>0</w:t>
            </w:r>
            <w:r>
              <w:rPr>
                <w:rFonts w:ascii="Times New Roman" w:hAnsi="Times New Roman"/>
                <w:color w:val="000000"/>
                <w:sz w:val="20"/>
              </w:rPr>
              <w:t> </w:t>
            </w:r>
            <w:r>
              <w:rPr>
                <w:rFonts w:ascii="Arial" w:hAnsi="Arial"/>
                <w:b/>
                <w:color w:val="000000"/>
                <w:sz w:val="20"/>
              </w:rPr>
              <w:t>years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0</w:t>
            </w:r>
            <w:r>
              <w:rPr>
                <w:rFonts w:ascii="Times New Roman" w:hAnsi="Times New Roman"/>
                <w:color w:val="000000"/>
                <w:sz w:val="20"/>
              </w:rPr>
              <w:t> </w:t>
            </w:r>
            <w:r>
              <w:rPr>
                <w:rFonts w:ascii="Arial" w:hAnsi="Arial"/>
                <w:color w:val="000000"/>
                <w:sz w:val="20"/>
              </w:rPr>
              <w:t>years</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9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Contract-based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b/>
                <w:color w:val="000000"/>
                <w:sz w:val="20"/>
              </w:rPr>
              <w:t>5</w:t>
            </w:r>
            <w:r>
              <w:rPr>
                <w:rFonts w:ascii="Times New Roman" w:hAnsi="Times New Roman"/>
                <w:color w:val="000000"/>
                <w:sz w:val="20"/>
              </w:rPr>
              <w:t> </w:t>
            </w:r>
            <w:r>
              <w:rPr>
                <w:rFonts w:ascii="Arial" w:hAnsi="Arial"/>
                <w:b/>
                <w:color w:val="000000"/>
                <w:sz w:val="20"/>
              </w:rPr>
              <w:t>years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5</w:t>
            </w:r>
            <w:r>
              <w:rPr>
                <w:rFonts w:ascii="Times New Roman" w:hAnsi="Times New Roman"/>
                <w:color w:val="000000"/>
                <w:sz w:val="20"/>
              </w:rPr>
              <w:t> </w:t>
            </w:r>
            <w:r>
              <w:rPr>
                <w:rFonts w:ascii="Arial" w:hAnsi="Arial"/>
                <w:color w:val="000000"/>
                <w:sz w:val="20"/>
              </w:rPr>
              <w:t>years</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63"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9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b/>
                <w:color w:val="000000"/>
                <w:sz w:val="20"/>
              </w:rPr>
              <w:t>5</w:t>
            </w:r>
            <w:r>
              <w:rPr>
                <w:rFonts w:ascii="Times New Roman" w:hAnsi="Times New Roman"/>
                <w:color w:val="000000"/>
                <w:sz w:val="20"/>
              </w:rPr>
              <w:t> </w:t>
            </w:r>
            <w:r>
              <w:rPr>
                <w:rFonts w:ascii="Arial" w:hAnsi="Arial"/>
                <w:b/>
                <w:color w:val="000000"/>
                <w:sz w:val="20"/>
              </w:rPr>
              <w:t>years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9</w:t>
            </w:r>
            <w:r>
              <w:rPr>
                <w:rFonts w:ascii="Times New Roman" w:hAnsi="Times New Roman"/>
                <w:color w:val="000000"/>
                <w:sz w:val="20"/>
              </w:rPr>
              <w:t> </w:t>
            </w:r>
            <w:r>
              <w:rPr>
                <w:rFonts w:ascii="Arial" w:hAnsi="Arial"/>
                <w:color w:val="000000"/>
                <w:sz w:val="20"/>
              </w:rPr>
              <w:t>years</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Intangible assets amortization expense was $4.7</w:t>
      </w:r>
      <w:r>
        <w:rPr>
          <w:rFonts w:ascii="Times New Roman" w:hAnsi="Times New Roman"/>
          <w:color w:val="000000"/>
          <w:sz w:val="20"/>
        </w:rPr>
        <w:t xml:space="preserve"> </w:t>
      </w:r>
      <w:r>
        <w:rPr>
          <w:rFonts w:ascii="Arial" w:hAnsi="Arial"/>
          <w:color w:val="000000"/>
          <w:sz w:val="20"/>
        </w:rPr>
        <w:t>billion, $6.0</w:t>
      </w:r>
      <w:r>
        <w:rPr>
          <w:rFonts w:ascii="Times New Roman" w:hAnsi="Times New Roman"/>
          <w:color w:val="000000"/>
          <w:sz w:val="20"/>
        </w:rPr>
        <w:t xml:space="preserve"> </w:t>
      </w:r>
      <w:r>
        <w:rPr>
          <w:rFonts w:ascii="Arial" w:hAnsi="Arial"/>
          <w:color w:val="000000"/>
          <w:sz w:val="20"/>
        </w:rPr>
        <w:t>billion, and $4.8</w:t>
      </w:r>
      <w:r>
        <w:rPr>
          <w:rFonts w:ascii="Times New Roman" w:hAnsi="Times New Roman"/>
          <w:color w:val="000000"/>
          <w:sz w:val="20"/>
        </w:rPr>
        <w:t xml:space="preserve"> </w:t>
      </w:r>
      <w:r>
        <w:rPr>
          <w:rFonts w:ascii="Arial" w:hAnsi="Arial"/>
          <w:color w:val="000000"/>
          <w:sz w:val="20"/>
        </w:rPr>
        <w:t>billion for fiscal years 2026, 2025, and 2024, respectively.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71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180" w:after="283"/>
        <w:jc w:val="both"/>
        <w:rPr>
          <w:rFonts w:ascii="Arial" w:hAnsi="Arial"/>
          <w:color w:val="000000"/>
          <w:sz w:val="20"/>
        </w:rPr>
      </w:pPr>
      <w:r>
        <w:rPr>
          <w:rFonts w:ascii="Arial" w:hAnsi="Arial"/>
          <w:color w:val="000000"/>
          <w:sz w:val="20"/>
        </w:rPr>
        <w:t>The following table outlines the estimated future amortization expense related to intangible assets held as of June 30, 2026:</w:t>
      </w:r>
    </w:p>
    <w:p>
      <w:pPr>
        <w:pStyle w:val="TextBody"/>
        <w:bidi w:val="0"/>
        <w:jc w:val="both"/>
        <w:rPr/>
      </w:pPr>
      <w:r>
        <w:rPr/>
        <w:t> </w:t>
      </w:r>
    </w:p>
    <w:tbl>
      <w:tblPr>
        <w:tblW w:w="3425" w:type="dxa"/>
        <w:jc w:val="left"/>
        <w:tblInd w:w="0" w:type="dxa"/>
        <w:tblLayout w:type="fixed"/>
        <w:tblCellMar>
          <w:top w:w="28" w:type="dxa"/>
          <w:left w:w="28" w:type="dxa"/>
          <w:bottom w:w="28" w:type="dxa"/>
          <w:right w:w="28" w:type="dxa"/>
        </w:tblCellMar>
      </w:tblPr>
      <w:tblGrid>
        <w:gridCol w:w="1696"/>
        <w:gridCol w:w="146"/>
        <w:gridCol w:w="211"/>
        <w:gridCol w:w="691"/>
        <w:gridCol w:w="681"/>
      </w:tblGrid>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Ending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3,097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2,141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1,944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1,477</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2031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1,128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Thereafter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8,822</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9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18,609</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Times New Roman" w:hAnsi="Times New Roman"/>
          <w:sz w:val="20"/>
        </w:rPr>
      </w:pPr>
      <w:r>
        <w:rPr>
          <w:rFonts w:ascii="Arial" w:hAnsi="Arial"/>
          <w:color w:val="000000"/>
          <w:sz w:val="20"/>
          <w:u w:val="single"/>
        </w:rPr>
        <w:t>NOTE 10 — DEBT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components of long-term debt were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61"/>
        <w:gridCol w:w="146"/>
        <w:gridCol w:w="146"/>
        <w:gridCol w:w="526"/>
        <w:gridCol w:w="226"/>
        <w:gridCol w:w="526"/>
        <w:gridCol w:w="146"/>
        <w:gridCol w:w="146"/>
        <w:gridCol w:w="537"/>
        <w:gridCol w:w="226"/>
        <w:gridCol w:w="537"/>
        <w:gridCol w:w="146"/>
        <w:gridCol w:w="146"/>
        <w:gridCol w:w="537"/>
        <w:gridCol w:w="226"/>
        <w:gridCol w:w="537"/>
        <w:gridCol w:w="146"/>
        <w:gridCol w:w="146"/>
        <w:gridCol w:w="211"/>
        <w:gridCol w:w="691"/>
        <w:gridCol w:w="166"/>
        <w:gridCol w:w="146"/>
        <w:gridCol w:w="211"/>
        <w:gridCol w:w="691"/>
        <w:gridCol w:w="682"/>
      </w:tblGrid>
      <w:tr>
        <w:trPr/>
        <w:tc>
          <w:tcPr>
            <w:tcW w:w="23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7"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53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7"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53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r>
      <w:tr>
        <w:trPr/>
        <w:tc>
          <w:tcPr>
            <w:tcW w:w="23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issuance by calendar year)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4"/>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Maturities</w:t>
            </w:r>
          </w:p>
          <w:p>
            <w:pPr>
              <w:pStyle w:val="TableContents"/>
              <w:bidi w:val="0"/>
              <w:spacing w:before="0" w:after="283"/>
              <w:jc w:val="center"/>
              <w:rPr>
                <w:rFonts w:ascii="Arial" w:hAnsi="Arial"/>
                <w:b/>
                <w:color w:val="000000"/>
                <w:sz w:val="15"/>
              </w:rPr>
            </w:pPr>
            <w:r>
              <w:rPr>
                <w:rFonts w:ascii="Arial" w:hAnsi="Arial"/>
                <w:b/>
                <w:color w:val="000000"/>
                <w:sz w:val="15"/>
              </w:rPr>
              <w:t>(calendar year)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4"/>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Stated Interest</w:t>
            </w:r>
          </w:p>
          <w:p>
            <w:pPr>
              <w:pStyle w:val="TableContents"/>
              <w:bidi w:val="0"/>
              <w:spacing w:before="0" w:after="283"/>
              <w:jc w:val="center"/>
              <w:rPr>
                <w:rFonts w:ascii="Arial" w:hAnsi="Arial"/>
                <w:b/>
                <w:color w:val="000000"/>
                <w:sz w:val="15"/>
              </w:rPr>
            </w:pPr>
            <w:r>
              <w:rPr>
                <w:rFonts w:ascii="Arial" w:hAnsi="Arial"/>
                <w:b/>
                <w:color w:val="000000"/>
                <w:sz w:val="15"/>
              </w:rPr>
              <w:t>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Effective Interest</w:t>
            </w:r>
          </w:p>
          <w:p>
            <w:pPr>
              <w:pStyle w:val="TableContents"/>
              <w:bidi w:val="0"/>
              <w:spacing w:before="0" w:after="283"/>
              <w:jc w:val="center"/>
              <w:rPr>
                <w:rFonts w:ascii="Arial" w:hAnsi="Arial"/>
                <w:b/>
                <w:color w:val="000000"/>
                <w:sz w:val="15"/>
              </w:rPr>
            </w:pPr>
            <w:r>
              <w:rPr>
                <w:rFonts w:ascii="Arial" w:hAnsi="Arial"/>
                <w:b/>
                <w:color w:val="000000"/>
                <w:sz w:val="15"/>
              </w:rPr>
              <w:t>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46"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2009</w:t>
            </w:r>
            <w:r>
              <w:rPr>
                <w:rFonts w:ascii="Times New Roman" w:hAnsi="Times New Roman"/>
                <w:color w:val="000000"/>
                <w:sz w:val="20"/>
              </w:rPr>
              <w:t> </w:t>
            </w:r>
            <w:r>
              <w:rPr>
                <w:rFonts w:ascii="Arial" w:hAnsi="Arial"/>
                <w:color w:val="000000"/>
                <w:sz w:val="20"/>
              </w:rPr>
              <w:t>issuance of $3.8</w:t>
            </w:r>
            <w:r>
              <w:rPr>
                <w:rFonts w:ascii="Times New Roman" w:hAnsi="Times New Roman"/>
                <w:color w:val="000000"/>
                <w:sz w:val="20"/>
              </w:rPr>
              <w:t> </w:t>
            </w:r>
            <w:r>
              <w:rPr>
                <w:rFonts w:ascii="Arial" w:hAnsi="Arial"/>
                <w:color w:val="000000"/>
                <w:sz w:val="20"/>
              </w:rPr>
              <w:t>billion</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5.20%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w:t>
            </w:r>
          </w:p>
        </w:tc>
        <w:tc>
          <w:tcPr>
            <w:tcW w:w="68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2010</w:t>
            </w:r>
            <w:r>
              <w:rPr>
                <w:rFonts w:ascii="Times New Roman" w:hAnsi="Times New Roman"/>
                <w:color w:val="000000"/>
                <w:sz w:val="20"/>
              </w:rPr>
              <w:t> </w:t>
            </w:r>
            <w:r>
              <w:rPr>
                <w:rFonts w:ascii="Arial" w:hAnsi="Arial"/>
                <w:color w:val="000000"/>
                <w:sz w:val="20"/>
              </w:rPr>
              <w:t>issuance of $4.8</w:t>
            </w:r>
            <w:r>
              <w:rPr>
                <w:rFonts w:ascii="Times New Roman" w:hAnsi="Times New Roman"/>
                <w:color w:val="000000"/>
                <w:sz w:val="20"/>
              </w:rPr>
              <w:t> </w:t>
            </w:r>
            <w:r>
              <w:rPr>
                <w:rFonts w:ascii="Arial" w:hAnsi="Arial"/>
                <w:color w:val="000000"/>
                <w:sz w:val="20"/>
              </w:rPr>
              <w:t>billion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2040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2011</w:t>
            </w:r>
            <w:r>
              <w:rPr>
                <w:rFonts w:ascii="Times New Roman" w:hAnsi="Times New Roman"/>
                <w:color w:val="000000"/>
                <w:sz w:val="20"/>
              </w:rPr>
              <w:t> </w:t>
            </w:r>
            <w:r>
              <w:rPr>
                <w:rFonts w:ascii="Arial" w:hAnsi="Arial"/>
                <w:color w:val="000000"/>
                <w:sz w:val="20"/>
              </w:rPr>
              <w:t>issuance of $2.3</w:t>
            </w:r>
            <w:r>
              <w:rPr>
                <w:rFonts w:ascii="Times New Roman" w:hAnsi="Times New Roman"/>
                <w:color w:val="000000"/>
                <w:sz w:val="20"/>
              </w:rPr>
              <w:t> </w:t>
            </w:r>
            <w:r>
              <w:rPr>
                <w:rFonts w:ascii="Arial" w:hAnsi="Arial"/>
                <w:color w:val="000000"/>
                <w:sz w:val="20"/>
              </w:rPr>
              <w:t>billion</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2041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5.36%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718</w:t>
            </w:r>
          </w:p>
        </w:tc>
        <w:tc>
          <w:tcPr>
            <w:tcW w:w="68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2012</w:t>
            </w:r>
            <w:r>
              <w:rPr>
                <w:rFonts w:ascii="Times New Roman" w:hAnsi="Times New Roman"/>
                <w:color w:val="000000"/>
                <w:sz w:val="20"/>
              </w:rPr>
              <w:t> </w:t>
            </w:r>
            <w:r>
              <w:rPr>
                <w:rFonts w:ascii="Arial" w:hAnsi="Arial"/>
                <w:color w:val="000000"/>
                <w:sz w:val="20"/>
              </w:rPr>
              <w:t>issuance of $2.3</w:t>
            </w:r>
            <w:r>
              <w:rPr>
                <w:rFonts w:ascii="Times New Roman" w:hAnsi="Times New Roman"/>
                <w:color w:val="000000"/>
                <w:sz w:val="20"/>
              </w:rPr>
              <w:t> </w:t>
            </w:r>
            <w:r>
              <w:rPr>
                <w:rFonts w:ascii="Arial" w:hAnsi="Arial"/>
                <w:color w:val="000000"/>
                <w:sz w:val="20"/>
              </w:rPr>
              <w:t>billion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2042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3.50%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3.57%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454</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2013</w:t>
            </w:r>
            <w:r>
              <w:rPr>
                <w:rFonts w:ascii="Times New Roman" w:hAnsi="Times New Roman"/>
                <w:color w:val="000000"/>
                <w:sz w:val="20"/>
              </w:rPr>
              <w:t> </w:t>
            </w:r>
            <w:r>
              <w:rPr>
                <w:rFonts w:ascii="Arial" w:hAnsi="Arial"/>
                <w:color w:val="000000"/>
                <w:sz w:val="20"/>
              </w:rPr>
              <w:t>issuance of $5.2</w:t>
            </w:r>
            <w:r>
              <w:rPr>
                <w:rFonts w:ascii="Times New Roman" w:hAnsi="Times New Roman"/>
                <w:color w:val="000000"/>
                <w:sz w:val="20"/>
              </w:rPr>
              <w:t> </w:t>
            </w:r>
            <w:r>
              <w:rPr>
                <w:rFonts w:ascii="Arial" w:hAnsi="Arial"/>
                <w:color w:val="000000"/>
                <w:sz w:val="20"/>
              </w:rPr>
              <w:t>billion</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3.75%</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4.88%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3.83%</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w:t>
            </w:r>
          </w:p>
        </w:tc>
        <w:tc>
          <w:tcPr>
            <w:tcW w:w="68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2013</w:t>
            </w:r>
            <w:r>
              <w:rPr>
                <w:rFonts w:ascii="Times New Roman" w:hAnsi="Times New Roman"/>
                <w:color w:val="000000"/>
                <w:sz w:val="20"/>
              </w:rPr>
              <w:t> </w:t>
            </w:r>
            <w:r>
              <w:rPr>
                <w:rFonts w:ascii="Arial" w:hAnsi="Arial"/>
                <w:color w:val="000000"/>
                <w:sz w:val="20"/>
              </w:rPr>
              <w:t>issuance of €4.1</w:t>
            </w:r>
            <w:r>
              <w:rPr>
                <w:rFonts w:ascii="Times New Roman" w:hAnsi="Times New Roman"/>
                <w:color w:val="000000"/>
                <w:sz w:val="20"/>
              </w:rPr>
              <w:t> </w:t>
            </w:r>
            <w:r>
              <w:rPr>
                <w:rFonts w:ascii="Arial" w:hAnsi="Arial"/>
                <w:color w:val="000000"/>
                <w:sz w:val="20"/>
              </w:rPr>
              <w:t>billion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2028</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2033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2.63%</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3.13%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2.69%</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2,630</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2,700</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2015</w:t>
            </w:r>
            <w:r>
              <w:rPr>
                <w:rFonts w:ascii="Times New Roman" w:hAnsi="Times New Roman"/>
                <w:color w:val="000000"/>
                <w:sz w:val="20"/>
              </w:rPr>
              <w:t> </w:t>
            </w:r>
            <w:r>
              <w:rPr>
                <w:rFonts w:ascii="Arial" w:hAnsi="Arial"/>
                <w:color w:val="000000"/>
                <w:sz w:val="20"/>
              </w:rPr>
              <w:t>issuance of $23.8</w:t>
            </w:r>
            <w:r>
              <w:rPr>
                <w:rFonts w:ascii="Times New Roman" w:hAnsi="Times New Roman"/>
                <w:color w:val="000000"/>
                <w:sz w:val="20"/>
              </w:rPr>
              <w:t> </w:t>
            </w:r>
            <w:r>
              <w:rPr>
                <w:rFonts w:ascii="Arial" w:hAnsi="Arial"/>
                <w:color w:val="000000"/>
                <w:sz w:val="20"/>
              </w:rPr>
              <w:t>billion</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2035</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3.50%</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4.75%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3.60%</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4.78%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4,555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7,555</w:t>
            </w:r>
          </w:p>
        </w:tc>
        <w:tc>
          <w:tcPr>
            <w:tcW w:w="68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2016</w:t>
            </w:r>
            <w:r>
              <w:rPr>
                <w:rFonts w:ascii="Times New Roman" w:hAnsi="Times New Roman"/>
                <w:color w:val="000000"/>
                <w:sz w:val="20"/>
              </w:rPr>
              <w:t> </w:t>
            </w:r>
            <w:r>
              <w:rPr>
                <w:rFonts w:ascii="Arial" w:hAnsi="Arial"/>
                <w:color w:val="000000"/>
                <w:sz w:val="20"/>
              </w:rPr>
              <w:t>issuance of $19.8</w:t>
            </w:r>
            <w:r>
              <w:rPr>
                <w:rFonts w:ascii="Times New Roman" w:hAnsi="Times New Roman"/>
                <w:color w:val="000000"/>
                <w:sz w:val="20"/>
              </w:rPr>
              <w:t> </w:t>
            </w:r>
            <w:r>
              <w:rPr>
                <w:rFonts w:ascii="Arial" w:hAnsi="Arial"/>
                <w:color w:val="000000"/>
                <w:sz w:val="20"/>
              </w:rPr>
              <w:t>billion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2.40%</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3.95%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2.46%</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4.03%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7,930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7,930</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2017</w:t>
            </w:r>
            <w:r>
              <w:rPr>
                <w:rFonts w:ascii="Times New Roman" w:hAnsi="Times New Roman"/>
                <w:color w:val="000000"/>
                <w:sz w:val="20"/>
              </w:rPr>
              <w:t> </w:t>
            </w:r>
            <w:r>
              <w:rPr>
                <w:rFonts w:ascii="Arial" w:hAnsi="Arial"/>
                <w:color w:val="000000"/>
                <w:sz w:val="20"/>
              </w:rPr>
              <w:t>issuance of $17.1</w:t>
            </w:r>
            <w:r>
              <w:rPr>
                <w:rFonts w:ascii="Times New Roman" w:hAnsi="Times New Roman"/>
                <w:color w:val="000000"/>
                <w:sz w:val="20"/>
              </w:rPr>
              <w:t> </w:t>
            </w:r>
            <w:r>
              <w:rPr>
                <w:rFonts w:ascii="Arial" w:hAnsi="Arial"/>
                <w:color w:val="000000"/>
                <w:sz w:val="20"/>
              </w:rPr>
              <w:t>billion</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3.30%</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3.38%</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6,833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6,833</w:t>
            </w:r>
          </w:p>
        </w:tc>
        <w:tc>
          <w:tcPr>
            <w:tcW w:w="68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2020</w:t>
            </w:r>
            <w:r>
              <w:rPr>
                <w:rFonts w:ascii="Times New Roman" w:hAnsi="Times New Roman"/>
                <w:color w:val="000000"/>
                <w:sz w:val="20"/>
              </w:rPr>
              <w:t> </w:t>
            </w:r>
            <w:r>
              <w:rPr>
                <w:rFonts w:ascii="Arial" w:hAnsi="Arial"/>
                <w:color w:val="000000"/>
                <w:sz w:val="20"/>
              </w:rPr>
              <w:t>issuance of $10.1</w:t>
            </w:r>
            <w:r>
              <w:rPr>
                <w:rFonts w:ascii="Times New Roman" w:hAnsi="Times New Roman"/>
                <w:color w:val="000000"/>
                <w:sz w:val="20"/>
              </w:rPr>
              <w:t> </w:t>
            </w:r>
            <w:r>
              <w:rPr>
                <w:rFonts w:ascii="Arial" w:hAnsi="Arial"/>
                <w:color w:val="000000"/>
                <w:sz w:val="20"/>
              </w:rPr>
              <w:t>billion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2030</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2060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2.68%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2.53%</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5.43%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10,111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10,111</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2021</w:t>
            </w:r>
            <w:r>
              <w:rPr>
                <w:rFonts w:ascii="Times New Roman" w:hAnsi="Times New Roman"/>
                <w:color w:val="000000"/>
                <w:sz w:val="20"/>
              </w:rPr>
              <w:t> </w:t>
            </w:r>
            <w:r>
              <w:rPr>
                <w:rFonts w:ascii="Arial" w:hAnsi="Arial"/>
                <w:color w:val="000000"/>
                <w:sz w:val="20"/>
              </w:rPr>
              <w:t>issuance of $8.2</w:t>
            </w:r>
            <w:r>
              <w:rPr>
                <w:rFonts w:ascii="Times New Roman" w:hAnsi="Times New Roman"/>
                <w:color w:val="000000"/>
                <w:sz w:val="20"/>
              </w:rPr>
              <w:t> </w:t>
            </w:r>
            <w:r>
              <w:rPr>
                <w:rFonts w:ascii="Arial" w:hAnsi="Arial"/>
                <w:color w:val="000000"/>
                <w:sz w:val="20"/>
              </w:rPr>
              <w:t>billion</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2052</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2062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2.92%</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2.92%</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8,185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8,185</w:t>
            </w:r>
          </w:p>
        </w:tc>
        <w:tc>
          <w:tcPr>
            <w:tcW w:w="68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23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2023</w:t>
            </w:r>
            <w:r>
              <w:rPr>
                <w:rFonts w:ascii="Times New Roman" w:hAnsi="Times New Roman"/>
                <w:color w:val="000000"/>
                <w:sz w:val="20"/>
              </w:rPr>
              <w:t> </w:t>
            </w:r>
            <w:r>
              <w:rPr>
                <w:rFonts w:ascii="Arial" w:hAnsi="Arial"/>
                <w:color w:val="000000"/>
                <w:sz w:val="20"/>
              </w:rPr>
              <w:t>issuance of $0.1</w:t>
            </w:r>
            <w:r>
              <w:rPr>
                <w:rFonts w:ascii="Times New Roman" w:hAnsi="Times New Roman"/>
                <w:color w:val="000000"/>
                <w:sz w:val="20"/>
              </w:rPr>
              <w:t> </w:t>
            </w:r>
            <w:r>
              <w:rPr>
                <w:rFonts w:ascii="Arial" w:hAnsi="Arial"/>
                <w:color w:val="000000"/>
                <w:sz w:val="20"/>
              </w:rPr>
              <w:t>billion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5.16%</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5.49%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2024 issuance of $3.3</w:t>
            </w:r>
            <w:r>
              <w:rPr>
                <w:rFonts w:ascii="Times New Roman" w:hAnsi="Times New Roman"/>
                <w:color w:val="000000"/>
                <w:sz w:val="20"/>
              </w:rPr>
              <w:t> </w:t>
            </w:r>
            <w:r>
              <w:rPr>
                <w:rFonts w:ascii="Arial" w:hAnsi="Arial"/>
                <w:color w:val="000000"/>
                <w:sz w:val="20"/>
              </w:rPr>
              <w:t>billion</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5.16%</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3,344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3,344</w:t>
            </w:r>
          </w:p>
        </w:tc>
        <w:tc>
          <w:tcPr>
            <w:tcW w:w="68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31"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face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49,206</w:t>
            </w:r>
          </w:p>
        </w:tc>
        <w:tc>
          <w:tcPr>
            <w:tcW w:w="68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Unamortized discount and issuance costs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3"/>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300" w:type="dxa"/>
            <w:gridSpan w:val="3"/>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300" w:type="dxa"/>
            <w:gridSpan w:val="3"/>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(1,081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(1,155</w:t>
            </w:r>
          </w:p>
        </w:tc>
        <w:tc>
          <w:tcPr>
            <w:tcW w:w="68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Hedge fair value adjustments </w:t>
            </w:r>
            <w:r>
              <w:rPr>
                <w:rFonts w:ascii="Arial" w:hAnsi="Arial"/>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68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Premium on debt exchange</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3"/>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300" w:type="dxa"/>
            <w:gridSpan w:val="3"/>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300" w:type="dxa"/>
            <w:gridSpan w:val="3"/>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(4,750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(4,864</w:t>
            </w:r>
          </w:p>
        </w:tc>
        <w:tc>
          <w:tcPr>
            <w:tcW w:w="68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1"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300" w:type="dxa"/>
            <w:gridSpan w:val="3"/>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300" w:type="dxa"/>
            <w:gridSpan w:val="3"/>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46"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0"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2"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43,151</w:t>
            </w:r>
          </w:p>
        </w:tc>
        <w:tc>
          <w:tcPr>
            <w:tcW w:w="68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Current portion of long-term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3"/>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300" w:type="dxa"/>
            <w:gridSpan w:val="3"/>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300" w:type="dxa"/>
            <w:gridSpan w:val="3"/>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(9,227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(2,999</w:t>
            </w:r>
          </w:p>
        </w:tc>
        <w:tc>
          <w:tcPr>
            <w:tcW w:w="68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1"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300" w:type="dxa"/>
            <w:gridSpan w:val="3"/>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300" w:type="dxa"/>
            <w:gridSpan w:val="3"/>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46"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00"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2"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40,152</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2"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i/>
          <w:color w:val="000000"/>
          <w:sz w:val="20"/>
        </w:rPr>
      </w:pPr>
      <w:r>
        <w:rPr>
          <w:rFonts w:ascii="Arial" w:hAnsi="Arial"/>
          <w:i/>
          <w:color w:val="000000"/>
          <w:sz w:val="20"/>
        </w:rPr>
        <w:t>Refer to Note 5 – Derivatives for further information on the interest rate swaps related to fixed-rate debt.</w:t>
      </w:r>
    </w:p>
    <w:p>
      <w:pPr>
        <w:pStyle w:val="TextBody"/>
        <w:bidi w:val="0"/>
        <w:spacing w:before="180" w:after="283"/>
        <w:jc w:val="both"/>
        <w:rPr>
          <w:rFonts w:ascii="Times New Roman" w:hAnsi="Times New Roman"/>
          <w:sz w:val="20"/>
        </w:rPr>
      </w:pPr>
      <w:r>
        <w:rPr>
          <w:rFonts w:ascii="Arial" w:hAnsi="Arial"/>
          <w:color w:val="000000"/>
          <w:sz w:val="20"/>
        </w:rPr>
        <w:t>As of June 30, 2026 and 2025, the estimated fair value of long-term debt, including the current portion, was $36.5</w:t>
      </w:r>
      <w:r>
        <w:rPr>
          <w:rFonts w:ascii="Times New Roman" w:hAnsi="Times New Roman"/>
          <w:color w:val="000000"/>
          <w:sz w:val="20"/>
        </w:rPr>
        <w:t xml:space="preserve"> </w:t>
      </w:r>
      <w:r>
        <w:rPr>
          <w:rFonts w:ascii="Arial" w:hAnsi="Arial"/>
          <w:color w:val="000000"/>
          <w:sz w:val="20"/>
        </w:rPr>
        <w:t>billion and $40.4</w:t>
      </w:r>
      <w:r>
        <w:rPr>
          <w:rFonts w:ascii="Times New Roman" w:hAnsi="Times New Roman"/>
          <w:color w:val="000000"/>
          <w:sz w:val="20"/>
        </w:rPr>
        <w:t xml:space="preserve"> </w:t>
      </w:r>
      <w:r>
        <w:rPr>
          <w:rFonts w:ascii="Arial" w:hAnsi="Arial"/>
          <w:color w:val="000000"/>
          <w:sz w:val="20"/>
        </w:rPr>
        <w:t>billion, respectively. The estimated fair values are based on Level 2 inputs.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Debt in the table above is comprised of senior unsecured obligations and ranks equally with our other outstanding obligations. Interest is paid semi-annually, except for the Euro-denominated debt, which is paid annually. Cash paid for interest on our debt for fiscal years 2026, 2025, and 2024 was $1.5</w:t>
      </w:r>
      <w:r>
        <w:rPr>
          <w:rFonts w:ascii="Times New Roman" w:hAnsi="Times New Roman"/>
          <w:color w:val="000000"/>
          <w:sz w:val="20"/>
        </w:rPr>
        <w:t xml:space="preserve"> </w:t>
      </w:r>
      <w:r>
        <w:rPr>
          <w:rFonts w:ascii="Arial" w:hAnsi="Arial"/>
          <w:color w:val="000000"/>
          <w:sz w:val="20"/>
        </w:rPr>
        <w:t>billion, $1.6</w:t>
      </w:r>
      <w:r>
        <w:rPr>
          <w:rFonts w:ascii="Times New Roman" w:hAnsi="Times New Roman"/>
          <w:color w:val="000000"/>
          <w:sz w:val="20"/>
        </w:rPr>
        <w:t xml:space="preserve"> </w:t>
      </w:r>
      <w:r>
        <w:rPr>
          <w:rFonts w:ascii="Arial" w:hAnsi="Arial"/>
          <w:color w:val="000000"/>
          <w:sz w:val="20"/>
        </w:rPr>
        <w:t>billion, and $1.7</w:t>
      </w:r>
      <w:r>
        <w:rPr>
          <w:rFonts w:ascii="Times New Roman" w:hAnsi="Times New Roman"/>
          <w:color w:val="000000"/>
          <w:sz w:val="20"/>
        </w:rPr>
        <w:t xml:space="preserve"> </w:t>
      </w:r>
      <w:r>
        <w:rPr>
          <w:rFonts w:ascii="Arial" w:hAnsi="Arial"/>
          <w:color w:val="000000"/>
          <w:sz w:val="20"/>
        </w:rPr>
        <w:t>billion, respectively.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72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180" w:after="283"/>
        <w:jc w:val="both"/>
        <w:rPr>
          <w:rFonts w:ascii="Times New Roman" w:hAnsi="Times New Roman"/>
          <w:sz w:val="20"/>
        </w:rPr>
      </w:pPr>
      <w:r>
        <w:rPr>
          <w:rFonts w:ascii="Arial" w:hAnsi="Arial"/>
          <w:color w:val="000000"/>
          <w:sz w:val="20"/>
        </w:rPr>
        <w:t>The following table outlines maturities of our long-term debt, including the current portion, as of June 30, 2026:</w:t>
      </w:r>
      <w:r>
        <w:rPr>
          <w:rFonts w:ascii="Times New Roman" w:hAnsi="Times New Roman"/>
          <w:color w:val="000000"/>
          <w:sz w:val="20"/>
        </w:rPr>
        <w:t xml:space="preserve"> </w:t>
      </w:r>
    </w:p>
    <w:p>
      <w:pPr>
        <w:pStyle w:val="TextBody"/>
        <w:bidi w:val="0"/>
        <w:jc w:val="both"/>
        <w:rPr/>
      </w:pPr>
      <w:r>
        <w:rPr/>
        <w:t> </w:t>
      </w:r>
    </w:p>
    <w:tbl>
      <w:tblPr>
        <w:tblW w:w="3328" w:type="dxa"/>
        <w:jc w:val="left"/>
        <w:tblInd w:w="0" w:type="dxa"/>
        <w:tblLayout w:type="fixed"/>
        <w:tblCellMar>
          <w:top w:w="28" w:type="dxa"/>
          <w:left w:w="28" w:type="dxa"/>
          <w:bottom w:w="28" w:type="dxa"/>
          <w:right w:w="28" w:type="dxa"/>
        </w:tblCellMar>
      </w:tblPr>
      <w:tblGrid>
        <w:gridCol w:w="1696"/>
        <w:gridCol w:w="109"/>
        <w:gridCol w:w="211"/>
        <w:gridCol w:w="691"/>
        <w:gridCol w:w="621"/>
      </w:tblGrid>
      <w:tr>
        <w:trPr/>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Ending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2027</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9,250</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2029</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2,001</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2031</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500</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Thereafter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34,385</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169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46,136</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11 — INCOME TAXES</w:t>
      </w:r>
    </w:p>
    <w:p>
      <w:pPr>
        <w:pStyle w:val="TextBody"/>
        <w:bidi w:val="0"/>
        <w:spacing w:before="180" w:after="283"/>
        <w:jc w:val="both"/>
        <w:rPr>
          <w:rFonts w:ascii="Times New Roman" w:hAnsi="Times New Roman"/>
          <w:sz w:val="20"/>
        </w:rPr>
      </w:pPr>
      <w:r>
        <w:rPr>
          <w:rFonts w:ascii="Arial" w:hAnsi="Arial"/>
          <w:b/>
          <w:color w:val="000000"/>
          <w:sz w:val="20"/>
        </w:rPr>
        <w:t>Provision for Income Taxes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components of the provision for income taxes were as follows:</w:t>
      </w:r>
      <w:r>
        <w:rPr>
          <w:rFonts w:ascii="Times New Roman" w:hAnsi="Times New Roman"/>
          <w:color w:val="000000"/>
          <w:sz w:val="20"/>
        </w:rPr>
        <w:t xml:space="preserve"> </w:t>
      </w:r>
    </w:p>
    <w:p>
      <w:pPr>
        <w:pStyle w:val="TextBody"/>
        <w:bidi w:val="0"/>
        <w:jc w:val="both"/>
        <w:rPr/>
      </w:pPr>
      <w:r>
        <w:rPr/>
        <w:t> </w:t>
      </w:r>
    </w:p>
    <w:tbl>
      <w:tblPr>
        <w:tblW w:w="7533" w:type="dxa"/>
        <w:jc w:val="left"/>
        <w:tblInd w:w="0" w:type="dxa"/>
        <w:tblLayout w:type="fixed"/>
        <w:tblCellMar>
          <w:top w:w="28" w:type="dxa"/>
          <w:left w:w="28" w:type="dxa"/>
          <w:bottom w:w="28" w:type="dxa"/>
          <w:right w:w="28" w:type="dxa"/>
        </w:tblCellMar>
      </w:tblPr>
      <w:tblGrid>
        <w:gridCol w:w="3166"/>
        <w:gridCol w:w="146"/>
        <w:gridCol w:w="211"/>
        <w:gridCol w:w="691"/>
        <w:gridCol w:w="146"/>
        <w:gridCol w:w="146"/>
        <w:gridCol w:w="211"/>
        <w:gridCol w:w="691"/>
        <w:gridCol w:w="166"/>
        <w:gridCol w:w="146"/>
        <w:gridCol w:w="211"/>
        <w:gridCol w:w="691"/>
        <w:gridCol w:w="911"/>
      </w:tblGrid>
      <w:tr>
        <w:trPr/>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911" w:type="dxa"/>
            <w:tcBorders/>
            <w:shd w:fill="FFFFFF" w:val="clear"/>
            <w:vAlign w:val="center"/>
          </w:tcPr>
          <w:p>
            <w:pPr>
              <w:pStyle w:val="TableContents"/>
              <w:bidi w:val="0"/>
              <w:spacing w:before="0" w:after="283"/>
              <w:jc w:val="left"/>
              <w:rPr>
                <w:sz w:val="4"/>
                <w:szCs w:val="4"/>
              </w:rPr>
            </w:pPr>
            <w:r>
              <w:rPr>
                <w:sz w:val="4"/>
                <w:szCs w:val="4"/>
              </w:rPr>
            </w:r>
          </w:p>
        </w:tc>
      </w:tr>
      <w:tr>
        <w:trPr/>
        <w:tc>
          <w:tcPr>
            <w:tcW w:w="6622" w:type="dxa"/>
            <w:gridSpan w:val="1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959" w:type="dxa"/>
            <w:gridSpan w:val="4"/>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Current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16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federal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14,086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12,165</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state and local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2,366</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16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12,587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11,423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9,858</w:t>
            </w:r>
          </w:p>
        </w:tc>
        <w:tc>
          <w:tcPr>
            <w:tcW w:w="9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Current taxes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17,761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28,851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24,389</w:t>
            </w:r>
          </w:p>
        </w:tc>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Deferred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16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federal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12,780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(6,250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(4,791</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316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state and local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316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w:t>
            </w:r>
          </w:p>
        </w:tc>
        <w:tc>
          <w:tcPr>
            <w:tcW w:w="9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Deferred taxes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14,424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(4,738</w:t>
            </w:r>
          </w:p>
        </w:tc>
        <w:tc>
          <w:tcPr>
            <w:tcW w:w="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316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Provision for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32,185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21,795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19,651</w:t>
            </w:r>
          </w:p>
        </w:tc>
        <w:tc>
          <w:tcPr>
            <w:tcW w:w="9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U.S. and foreign components of income before income taxes were as follows:</w:t>
      </w:r>
      <w:r>
        <w:rPr>
          <w:rFonts w:ascii="Times New Roman" w:hAnsi="Times New Roman"/>
          <w:color w:val="000000"/>
          <w:sz w:val="20"/>
        </w:rPr>
        <w:t xml:space="preserve"> </w:t>
      </w:r>
    </w:p>
    <w:p>
      <w:pPr>
        <w:pStyle w:val="TextBody"/>
        <w:bidi w:val="0"/>
        <w:jc w:val="both"/>
        <w:rPr/>
      </w:pPr>
      <w:r>
        <w:rPr/>
        <w:t> </w:t>
      </w:r>
    </w:p>
    <w:tbl>
      <w:tblPr>
        <w:tblW w:w="7518" w:type="dxa"/>
        <w:jc w:val="left"/>
        <w:tblInd w:w="0" w:type="dxa"/>
        <w:tblLayout w:type="fixed"/>
        <w:tblCellMar>
          <w:top w:w="28" w:type="dxa"/>
          <w:left w:w="28" w:type="dxa"/>
          <w:bottom w:w="28" w:type="dxa"/>
          <w:right w:w="28" w:type="dxa"/>
        </w:tblCellMar>
      </w:tblPr>
      <w:tblGrid>
        <w:gridCol w:w="3086"/>
        <w:gridCol w:w="146"/>
        <w:gridCol w:w="211"/>
        <w:gridCol w:w="796"/>
        <w:gridCol w:w="146"/>
        <w:gridCol w:w="146"/>
        <w:gridCol w:w="211"/>
        <w:gridCol w:w="796"/>
        <w:gridCol w:w="146"/>
        <w:gridCol w:w="146"/>
        <w:gridCol w:w="211"/>
        <w:gridCol w:w="796"/>
        <w:gridCol w:w="681"/>
      </w:tblGrid>
      <w:tr>
        <w:trPr/>
        <w:tc>
          <w:tcPr>
            <w:tcW w:w="30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6837" w:type="dxa"/>
            <w:gridSpan w:val="1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299"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834" w:type="dxa"/>
            <w:gridSpan w:val="4"/>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0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103,591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69,212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62,886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0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Foreign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62,343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44,901</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308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Income before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165,934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123,627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107,787</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73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90" w:after="283"/>
        <w:jc w:val="both"/>
        <w:rPr>
          <w:rFonts w:ascii="Arial" w:hAnsi="Arial"/>
          <w:b/>
          <w:color w:val="000000"/>
          <w:sz w:val="20"/>
        </w:rPr>
      </w:pPr>
      <w:r>
        <w:rPr>
          <w:rFonts w:ascii="Arial" w:hAnsi="Arial"/>
          <w:b/>
          <w:color w:val="000000"/>
          <w:sz w:val="20"/>
        </w:rPr>
        <w:t>Effective Tax Rate</w:t>
      </w:r>
    </w:p>
    <w:p>
      <w:pPr>
        <w:pStyle w:val="TextBody"/>
        <w:bidi w:val="0"/>
        <w:spacing w:before="180" w:after="283"/>
        <w:jc w:val="both"/>
        <w:rPr>
          <w:rFonts w:ascii="Times New Roman" w:hAnsi="Times New Roman"/>
          <w:sz w:val="20"/>
        </w:rPr>
      </w:pPr>
      <w:r>
        <w:rPr>
          <w:rFonts w:ascii="Arial" w:hAnsi="Arial"/>
          <w:color w:val="000000"/>
          <w:sz w:val="20"/>
        </w:rPr>
        <w:t xml:space="preserve">We adopted Accounting Standards Update 2023-09, </w:t>
      </w:r>
      <w:r>
        <w:rPr>
          <w:rFonts w:ascii="Arial" w:hAnsi="Arial"/>
          <w:i/>
          <w:color w:val="000000"/>
          <w:sz w:val="20"/>
        </w:rPr>
        <w:t>Income Taxes (Topic 740): Improvements to Income Tax Disclosures</w:t>
      </w:r>
      <w:r>
        <w:rPr>
          <w:rFonts w:ascii="Times New Roman" w:hAnsi="Times New Roman"/>
          <w:color w:val="000000"/>
          <w:sz w:val="20"/>
        </w:rPr>
        <w:t xml:space="preserve"> </w:t>
      </w:r>
      <w:r>
        <w:rPr>
          <w:rFonts w:ascii="Arial" w:hAnsi="Arial"/>
          <w:color w:val="000000"/>
          <w:sz w:val="20"/>
        </w:rPr>
        <w:t xml:space="preserve">(“ASU 2023-09”) prospectively. The items accounting for the difference between income taxes computed at the U.S. federal statutory rate and our effective rate for the year ended June 30, 2026, pursuant to the requirements of ASU 2023-09, were as follows: </w:t>
      </w:r>
    </w:p>
    <w:p>
      <w:pPr>
        <w:pStyle w:val="TextBody"/>
        <w:bidi w:val="0"/>
        <w:jc w:val="both"/>
        <w:rPr/>
      </w:pPr>
      <w:r>
        <w:rPr/>
        <w:t> </w:t>
      </w:r>
    </w:p>
    <w:tbl>
      <w:tblPr>
        <w:tblW w:w="9424" w:type="dxa"/>
        <w:jc w:val="left"/>
        <w:tblInd w:w="0" w:type="dxa"/>
        <w:tblLayout w:type="fixed"/>
        <w:tblCellMar>
          <w:top w:w="28" w:type="dxa"/>
          <w:left w:w="28" w:type="dxa"/>
          <w:bottom w:w="28" w:type="dxa"/>
          <w:right w:w="28" w:type="dxa"/>
        </w:tblCellMar>
      </w:tblPr>
      <w:tblGrid>
        <w:gridCol w:w="5996"/>
        <w:gridCol w:w="146"/>
        <w:gridCol w:w="211"/>
        <w:gridCol w:w="691"/>
        <w:gridCol w:w="211"/>
        <w:gridCol w:w="146"/>
        <w:gridCol w:w="146"/>
        <w:gridCol w:w="721"/>
        <w:gridCol w:w="1156"/>
      </w:tblGrid>
      <w:tr>
        <w:trPr/>
        <w:tc>
          <w:tcPr>
            <w:tcW w:w="59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59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6"/>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2026</w:t>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9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2169" w:type="dxa"/>
            <w:gridSpan w:val="4"/>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59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Federal statutory tax rate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34,846</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21.0%</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9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Effect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99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 xml:space="preserve">State and local income tax, net of federal income tax effect </w:t>
            </w:r>
            <w:r>
              <w:rPr>
                <w:rFonts w:ascii="Arial" w:hAnsi="Arial"/>
                <w:color w:val="000000"/>
                <w:sz w:val="13"/>
              </w:rPr>
              <w:t>(a)</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2,573</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99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Foreign tax effects: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599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Ireland: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5996" w:type="dxa"/>
            <w:tcBorders/>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Statutory tax rate difference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(4,301</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w:t>
            </w:r>
          </w:p>
        </w:tc>
        <w:tc>
          <w:tcPr>
            <w:tcW w:w="1156"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5996" w:type="dxa"/>
            <w:tcBorders/>
            <w:shd w:fill="E5E5E5" w:val="clear"/>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809</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0.5%</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599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sz w:val="20"/>
              </w:rPr>
            </w:pPr>
            <w:r>
              <w:rPr>
                <w:rFonts w:ascii="Arial" w:hAnsi="Arial"/>
                <w:color w:val="000000"/>
                <w:sz w:val="20"/>
              </w:rPr>
              <w:t xml:space="preserve">Other foreign jurisdictions </w:t>
            </w:r>
            <w:r>
              <w:rPr>
                <w:rFonts w:ascii="Arial" w:hAnsi="Arial"/>
                <w:color w:val="000000"/>
                <w:sz w:val="13"/>
              </w:rPr>
              <w:t>(b)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3,248</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156"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599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Effect of cross-border tax laws: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599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sz w:val="20"/>
              </w:rPr>
            </w:pPr>
            <w:r>
              <w:rPr>
                <w:rFonts w:ascii="Arial" w:hAnsi="Arial"/>
                <w:color w:val="000000"/>
                <w:sz w:val="20"/>
              </w:rPr>
              <w:t xml:space="preserve">Global intangible low-taxed income (GILTI) </w:t>
            </w:r>
            <w:r>
              <w:rPr>
                <w:rFonts w:ascii="Arial" w:hAnsi="Arial"/>
                <w:color w:val="000000"/>
                <w:sz w:val="13"/>
              </w:rPr>
              <w:t>(c)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5,068</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w:t>
            </w:r>
          </w:p>
        </w:tc>
        <w:tc>
          <w:tcPr>
            <w:tcW w:w="1156"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599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Foreign-derived intangible income deduction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(603</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Arial" w:hAnsi="Arial"/>
                <w:b/>
                <w:color w:val="000000"/>
                <w:sz w:val="20"/>
              </w:rPr>
              <w:t>(0.4)%</w:t>
            </w:r>
            <w:r>
              <w:rPr>
                <w:rFonts w:ascii="Times New Roman" w:hAnsi="Times New Roman"/>
                <w:color w:val="000000"/>
                <w:sz w:val="15"/>
              </w:rPr>
              <w:t xml:space="preserve"> </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5996"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799</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0.5%</w:t>
            </w:r>
          </w:p>
        </w:tc>
        <w:tc>
          <w:tcPr>
            <w:tcW w:w="115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99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Tax credits: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5996"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Research and development credit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(1,453</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(0.9)%</w:t>
            </w:r>
          </w:p>
        </w:tc>
        <w:tc>
          <w:tcPr>
            <w:tcW w:w="115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599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Foreign tax credits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(9,151</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5996"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(0.0)%</w:t>
            </w:r>
          </w:p>
        </w:tc>
        <w:tc>
          <w:tcPr>
            <w:tcW w:w="115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99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 xml:space="preserve">Changes in unrecognized tax benefits </w:t>
            </w:r>
            <w:r>
              <w:rPr>
                <w:rFonts w:ascii="Arial" w:hAnsi="Arial"/>
                <w:color w:val="000000"/>
                <w:sz w:val="13"/>
              </w:rPr>
              <w:t>(d)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1,094</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0.7%</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99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Other reconciling items,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(730</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(0.6)%</w:t>
            </w:r>
          </w:p>
        </w:tc>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599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Effective rate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32,185</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19.4%</w:t>
            </w:r>
          </w:p>
        </w:tc>
        <w:tc>
          <w:tcPr>
            <w:tcW w:w="1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spacing w:before="0" w:after="0"/>
        <w:jc w:val="both"/>
        <w:rPr>
          <w:rFonts w:ascii="Arial" w:hAnsi="Arial"/>
          <w:i/>
          <w:color w:val="000000"/>
          <w:sz w:val="20"/>
        </w:rPr>
      </w:pPr>
      <w:r>
        <w:rPr>
          <w:rFonts w:ascii="Arial" w:hAnsi="Arial"/>
          <w:i/>
          <w:color w:val="000000"/>
          <w:sz w:val="20"/>
        </w:rPr>
        <w:t>In fiscal year 2026, state and local income taxes in California, Illinois, Minnesota, New Jersey, New York, and New York City made up the majority (greater than 50%) of the tax effect in this category.</w:t>
      </w:r>
    </w:p>
    <w:p>
      <w:pPr>
        <w:pStyle w:val="TextBody"/>
        <w:bidi w:val="0"/>
        <w:spacing w:before="0" w:after="0"/>
        <w:jc w:val="both"/>
        <w:rPr>
          <w:rFonts w:ascii="Arial" w:hAnsi="Arial"/>
          <w:color w:val="000000"/>
          <w:sz w:val="20"/>
        </w:rPr>
      </w:pPr>
      <w:r>
        <w:rPr>
          <w:rFonts w:ascii="Arial" w:hAnsi="Arial"/>
          <w:color w:val="000000"/>
          <w:sz w:val="20"/>
        </w:rPr>
        <w:t>(b)</w:t>
      </w:r>
    </w:p>
    <w:p>
      <w:pPr>
        <w:pStyle w:val="TextBody"/>
        <w:bidi w:val="0"/>
        <w:spacing w:before="0" w:after="0"/>
        <w:jc w:val="both"/>
        <w:rPr>
          <w:rFonts w:ascii="Arial" w:hAnsi="Arial"/>
          <w:i/>
          <w:color w:val="000000"/>
          <w:sz w:val="20"/>
        </w:rPr>
      </w:pPr>
      <w:r>
        <w:rPr>
          <w:rFonts w:ascii="Arial" w:hAnsi="Arial"/>
          <w:i/>
          <w:color w:val="000000"/>
          <w:sz w:val="20"/>
        </w:rPr>
        <w:t>Under ASU 2023-09, Foreign tax effects include foreign withholding taxes while the related foreign tax credits are included in the Tax credits category. Prior to adoption of ASU 2023-09, foreign withholding taxes were presented net of foreign tax credits.</w:t>
      </w:r>
    </w:p>
    <w:p>
      <w:pPr>
        <w:pStyle w:val="TextBody"/>
        <w:bidi w:val="0"/>
        <w:spacing w:before="0" w:after="0"/>
        <w:jc w:val="both"/>
        <w:rPr>
          <w:rFonts w:ascii="Arial" w:hAnsi="Arial"/>
          <w:color w:val="000000"/>
          <w:sz w:val="20"/>
        </w:rPr>
      </w:pPr>
      <w:r>
        <w:rPr>
          <w:rFonts w:ascii="Arial" w:hAnsi="Arial"/>
          <w:color w:val="000000"/>
          <w:sz w:val="20"/>
        </w:rPr>
        <w:t>(c)</w:t>
      </w:r>
    </w:p>
    <w:p>
      <w:pPr>
        <w:pStyle w:val="TextBody"/>
        <w:bidi w:val="0"/>
        <w:spacing w:before="0" w:after="0"/>
        <w:jc w:val="both"/>
        <w:rPr>
          <w:rFonts w:ascii="Arial" w:hAnsi="Arial"/>
          <w:i/>
          <w:color w:val="000000"/>
          <w:sz w:val="20"/>
        </w:rPr>
      </w:pPr>
      <w:r>
        <w:rPr>
          <w:rFonts w:ascii="Arial" w:hAnsi="Arial"/>
          <w:i/>
          <w:color w:val="000000"/>
          <w:sz w:val="20"/>
        </w:rPr>
        <w:t>Under ASU 2023-09, we elected to present the effect of cross-border tax laws gross and present the foreign tax credits related to GILTI within the Tax credits category.</w:t>
      </w:r>
    </w:p>
    <w:p>
      <w:pPr>
        <w:pStyle w:val="TextBody"/>
        <w:bidi w:val="0"/>
        <w:spacing w:before="0" w:after="0"/>
        <w:jc w:val="both"/>
        <w:rPr>
          <w:rFonts w:ascii="Arial" w:hAnsi="Arial"/>
          <w:color w:val="000000"/>
          <w:sz w:val="20"/>
        </w:rPr>
      </w:pPr>
      <w:r>
        <w:rPr>
          <w:rFonts w:ascii="Arial" w:hAnsi="Arial"/>
          <w:color w:val="000000"/>
          <w:sz w:val="20"/>
        </w:rPr>
        <w:t>(d)</w:t>
      </w:r>
    </w:p>
    <w:p>
      <w:pPr>
        <w:pStyle w:val="TextBody"/>
        <w:bidi w:val="0"/>
        <w:jc w:val="both"/>
        <w:rPr>
          <w:rFonts w:ascii="Arial" w:hAnsi="Arial"/>
          <w:i/>
          <w:color w:val="000000"/>
          <w:sz w:val="20"/>
        </w:rPr>
      </w:pPr>
      <w:r>
        <w:rPr>
          <w:rFonts w:ascii="Arial" w:hAnsi="Arial"/>
          <w:i/>
          <w:color w:val="000000"/>
          <w:sz w:val="20"/>
        </w:rPr>
        <w:t>Includes changes in unrecognized tax benefits on an aggregated basis for all jurisdictions, including interest and penalties.</w:t>
      </w:r>
    </w:p>
    <w:p>
      <w:pPr>
        <w:pStyle w:val="TextBody"/>
        <w:bidi w:val="0"/>
        <w:spacing w:before="180" w:after="283"/>
        <w:jc w:val="both"/>
        <w:rPr>
          <w:rFonts w:ascii="Times New Roman" w:hAnsi="Times New Roman"/>
          <w:sz w:val="20"/>
        </w:rPr>
      </w:pPr>
      <w:r>
        <w:rPr>
          <w:rFonts w:ascii="Arial" w:hAnsi="Arial"/>
          <w:color w:val="000000"/>
          <w:sz w:val="20"/>
        </w:rPr>
        <w:t>As previously disclosed for the years ended June 30, 2025 and 2024, prior to the adoption of ASU 2023-09, the items accounting for the difference between income taxes computed at the U.S. federal statutory rate and our effective rate were as follows:</w:t>
      </w:r>
      <w:r>
        <w:rPr>
          <w:rFonts w:ascii="Times New Roman" w:hAnsi="Times New Roman"/>
          <w:color w:val="000000"/>
          <w:sz w:val="20"/>
        </w:rPr>
        <w:t xml:space="preserve"> </w:t>
      </w:r>
    </w:p>
    <w:p>
      <w:pPr>
        <w:pStyle w:val="TextBody"/>
        <w:bidi w:val="0"/>
        <w:jc w:val="both"/>
        <w:rPr/>
      </w:pPr>
      <w:r>
        <w:rPr/>
        <w:t> </w:t>
      </w:r>
    </w:p>
    <w:tbl>
      <w:tblPr>
        <w:tblW w:w="8659" w:type="dxa"/>
        <w:jc w:val="left"/>
        <w:tblInd w:w="0" w:type="dxa"/>
        <w:tblLayout w:type="fixed"/>
        <w:tblCellMar>
          <w:top w:w="28" w:type="dxa"/>
          <w:left w:w="28" w:type="dxa"/>
          <w:bottom w:w="28" w:type="dxa"/>
          <w:right w:w="28" w:type="dxa"/>
        </w:tblCellMar>
      </w:tblPr>
      <w:tblGrid>
        <w:gridCol w:w="5666"/>
        <w:gridCol w:w="146"/>
        <w:gridCol w:w="146"/>
        <w:gridCol w:w="676"/>
        <w:gridCol w:w="146"/>
        <w:gridCol w:w="146"/>
        <w:gridCol w:w="146"/>
        <w:gridCol w:w="676"/>
        <w:gridCol w:w="911"/>
      </w:tblGrid>
      <w:tr>
        <w:trPr/>
        <w:tc>
          <w:tcPr>
            <w:tcW w:w="56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911" w:type="dxa"/>
            <w:tcBorders/>
            <w:shd w:fill="FFFFFF" w:val="clear"/>
            <w:vAlign w:val="center"/>
          </w:tcPr>
          <w:p>
            <w:pPr>
              <w:pStyle w:val="TableContents"/>
              <w:bidi w:val="0"/>
              <w:spacing w:before="0" w:after="283"/>
              <w:jc w:val="left"/>
              <w:rPr>
                <w:sz w:val="4"/>
                <w:szCs w:val="4"/>
              </w:rPr>
            </w:pPr>
            <w:r>
              <w:rPr>
                <w:sz w:val="4"/>
                <w:szCs w:val="4"/>
              </w:rPr>
            </w:r>
          </w:p>
        </w:tc>
      </w:tr>
      <w:tr>
        <w:trPr/>
        <w:tc>
          <w:tcPr>
            <w:tcW w:w="56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879" w:type="dxa"/>
            <w:gridSpan w:val="4"/>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566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Federal statutory rate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66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Effect of: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66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Foreign earnings taxed at lower rates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66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Foreign-derived intangible income deduction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91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66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State income taxes, net of federal benefit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66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Research and development credit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91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66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Excess tax benefits relating to stock-based compensation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66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Interest,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91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66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Other reconciling items,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9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5666"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Effective rate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w:t>
            </w:r>
          </w:p>
        </w:tc>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74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jc w:val="both"/>
        <w:rPr>
          <w:rFonts w:ascii="Arial" w:hAnsi="Arial"/>
          <w:color w:val="000000"/>
          <w:sz w:val="20"/>
        </w:rPr>
      </w:pPr>
      <w:r>
        <w:rPr>
          <w:rFonts w:ascii="Arial" w:hAnsi="Arial"/>
          <w:color w:val="000000"/>
          <w:sz w:val="20"/>
        </w:rPr>
        <w:t>The decrease from the federal statutory rate in fiscal years 2026, 2025, and 2024 is primarily due to earnings taxed at lower rates in foreign jurisdictions resulting from producing and distributing our products and services through our foreign regional operations center in Ireland. In fiscal years 2026, 2025, and 2024, our foreign regional operating center in Ireland, which is taxed at a rate lower than the U.S. rate, generated 81%, 81%, and 83%, respectively, of our foreign income before tax. For fiscal year 2026, other reconciling items, net consists primarily of excess tax benefits related to stock-based compensation, impacts of tax law changes, and changes in valuation allowances. For fiscal year 2025 and 2024, other reconciling items, net consists primarily of individually immaterial reconciling items such as GILTI net of related foreign tax credit, and in fiscal year 2024, includes tax benefits from tax law changes. In fiscal year 2024, tax benefits from tax law changes primarily relate to the delay of the effective date of final foreign tax credit regulations. In fiscal years 2026, 2025, and 2024, there were no individually significant other reconciling items.</w:t>
      </w:r>
    </w:p>
    <w:p>
      <w:pPr>
        <w:pStyle w:val="TextBody"/>
        <w:bidi w:val="0"/>
        <w:spacing w:before="180" w:after="283"/>
        <w:jc w:val="both"/>
        <w:rPr>
          <w:rFonts w:ascii="Arial" w:hAnsi="Arial"/>
          <w:color w:val="000000"/>
          <w:sz w:val="20"/>
        </w:rPr>
      </w:pPr>
      <w:r>
        <w:rPr>
          <w:rFonts w:ascii="Arial" w:hAnsi="Arial"/>
          <w:color w:val="000000"/>
          <w:sz w:val="20"/>
        </w:rPr>
        <w:t>The increase in our effective tax rate for fiscal year 2026 compared to fiscal year 2025 was primarily due to changes in the mix of our earnings and tax expenses between the U.S. and foreign countries. The decrease in our effective tax rate for fiscal year 2025 compared to fiscal year 2024 was due to changes in the mix of our earnings and tax expenses between the U.S. and foreign countries.</w:t>
      </w:r>
    </w:p>
    <w:p>
      <w:pPr>
        <w:pStyle w:val="TextBody"/>
        <w:bidi w:val="0"/>
        <w:spacing w:before="180" w:after="283"/>
        <w:jc w:val="both"/>
        <w:rPr>
          <w:rFonts w:ascii="Arial" w:hAnsi="Arial"/>
          <w:color w:val="000000"/>
          <w:sz w:val="20"/>
        </w:rPr>
      </w:pPr>
      <w:r>
        <w:rPr>
          <w:rFonts w:ascii="Arial" w:hAnsi="Arial"/>
          <w:color w:val="000000"/>
          <w:sz w:val="20"/>
        </w:rPr>
        <w:t>The components of the deferred income tax assets and liabilities were as follows:</w:t>
      </w:r>
    </w:p>
    <w:p>
      <w:pPr>
        <w:pStyle w:val="TextBody"/>
        <w:bidi w:val="0"/>
        <w:jc w:val="both"/>
        <w:rPr/>
      </w:pPr>
      <w:r>
        <w:rPr/>
        <w:t> </w:t>
      </w:r>
    </w:p>
    <w:tbl>
      <w:tblPr>
        <w:tblW w:w="8674" w:type="dxa"/>
        <w:jc w:val="left"/>
        <w:tblInd w:w="0" w:type="dxa"/>
        <w:tblLayout w:type="fixed"/>
        <w:tblCellMar>
          <w:top w:w="28" w:type="dxa"/>
          <w:left w:w="28" w:type="dxa"/>
          <w:bottom w:w="28" w:type="dxa"/>
          <w:right w:w="28" w:type="dxa"/>
        </w:tblCellMar>
      </w:tblPr>
      <w:tblGrid>
        <w:gridCol w:w="5381"/>
        <w:gridCol w:w="146"/>
        <w:gridCol w:w="211"/>
        <w:gridCol w:w="751"/>
        <w:gridCol w:w="166"/>
        <w:gridCol w:w="146"/>
        <w:gridCol w:w="211"/>
        <w:gridCol w:w="751"/>
        <w:gridCol w:w="911"/>
      </w:tblGrid>
      <w:tr>
        <w:trPr/>
        <w:tc>
          <w:tcPr>
            <w:tcW w:w="53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911" w:type="dxa"/>
            <w:tcBorders/>
            <w:shd w:fill="FFFFFF" w:val="clear"/>
            <w:vAlign w:val="center"/>
          </w:tcPr>
          <w:p>
            <w:pPr>
              <w:pStyle w:val="TableContents"/>
              <w:bidi w:val="0"/>
              <w:spacing w:before="0" w:after="283"/>
              <w:jc w:val="left"/>
              <w:rPr>
                <w:sz w:val="4"/>
                <w:szCs w:val="4"/>
              </w:rPr>
            </w:pPr>
            <w:r>
              <w:rPr>
                <w:sz w:val="4"/>
                <w:szCs w:val="4"/>
              </w:rPr>
            </w:r>
          </w:p>
        </w:tc>
      </w:tr>
      <w:tr>
        <w:trPr/>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2019" w:type="dxa"/>
            <w:gridSpan w:val="4"/>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Deferred Income Tax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2019" w:type="dxa"/>
            <w:gridSpan w:val="4"/>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53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Stock-based compensation expense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945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909</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3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Accruals, reserves, and other expenses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5,509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5,050</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3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Loss and credit carryforwards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2,114</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3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Amortization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3,843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4,118</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3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Leasing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22,275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12,874</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Unearned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5,515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4,324</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3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Book/tax basis differences in investments and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Capitalized research and development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15,305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16,891</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3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w:t>
            </w:r>
          </w:p>
        </w:tc>
        <w:tc>
          <w:tcPr>
            <w:tcW w:w="9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Deferred income tax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56,061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47,112</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3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Less valuation allowance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(1,169</w:t>
            </w:r>
          </w:p>
        </w:tc>
        <w:tc>
          <w:tcPr>
            <w:tcW w:w="9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3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Deferred income tax assets, net of valuation allowance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54,729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45,943</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Deferred Income Tax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201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Book/tax basis differences in investments and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(2,972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Leasing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(21,474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(12,696</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3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Depreciation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(17,675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(5,699</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3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Deferred tax on foreign earnings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(1,148</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3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9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3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Deferred income tax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(42,669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(19,670</w:t>
            </w:r>
          </w:p>
        </w:tc>
        <w:tc>
          <w:tcPr>
            <w:tcW w:w="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3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5381"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Net deferred income tax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12,060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26,273</w:t>
            </w:r>
          </w:p>
        </w:tc>
        <w:tc>
          <w:tcPr>
            <w:tcW w:w="9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201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Reported As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201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3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15,114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29,108</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Long-term deferred income tax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(3,054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(2,835</w:t>
            </w:r>
          </w:p>
        </w:tc>
        <w:tc>
          <w:tcPr>
            <w:tcW w:w="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3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5381"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Net deferred income tax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12,060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26,273</w:t>
            </w:r>
          </w:p>
        </w:tc>
        <w:tc>
          <w:tcPr>
            <w:tcW w:w="9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Deferred income tax balances reflect the effects of temporary differences between the carrying amounts of assets and liabilities and their tax bases and are stated at enacted tax rates expected to be in effect when the taxes are paid or recovered.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75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180" w:after="283"/>
        <w:jc w:val="both"/>
        <w:rPr>
          <w:rFonts w:ascii="Times New Roman" w:hAnsi="Times New Roman"/>
          <w:sz w:val="20"/>
        </w:rPr>
      </w:pPr>
      <w:r>
        <w:rPr>
          <w:rFonts w:ascii="Arial" w:hAnsi="Arial"/>
          <w:color w:val="000000"/>
          <w:sz w:val="20"/>
        </w:rPr>
        <w:t>As of June 30, 2026, we had federal, state, and foreign net operating loss carryforwards of $369</w:t>
      </w:r>
      <w:r>
        <w:rPr>
          <w:rFonts w:ascii="Times New Roman" w:hAnsi="Times New Roman"/>
          <w:color w:val="000000"/>
          <w:sz w:val="20"/>
        </w:rPr>
        <w:t xml:space="preserve"> </w:t>
      </w:r>
      <w:r>
        <w:rPr>
          <w:rFonts w:ascii="Arial" w:hAnsi="Arial"/>
          <w:color w:val="000000"/>
          <w:sz w:val="20"/>
        </w:rPr>
        <w:t>million, $715</w:t>
      </w:r>
      <w:r>
        <w:rPr>
          <w:rFonts w:ascii="Times New Roman" w:hAnsi="Times New Roman"/>
          <w:color w:val="000000"/>
          <w:sz w:val="20"/>
        </w:rPr>
        <w:t xml:space="preserve"> </w:t>
      </w:r>
      <w:r>
        <w:rPr>
          <w:rFonts w:ascii="Arial" w:hAnsi="Arial"/>
          <w:color w:val="000000"/>
          <w:sz w:val="20"/>
        </w:rPr>
        <w:t>million, and $2.9</w:t>
      </w:r>
      <w:r>
        <w:rPr>
          <w:rFonts w:ascii="Times New Roman" w:hAnsi="Times New Roman"/>
          <w:color w:val="000000"/>
          <w:sz w:val="20"/>
        </w:rPr>
        <w:t xml:space="preserve"> </w:t>
      </w:r>
      <w:r>
        <w:rPr>
          <w:rFonts w:ascii="Arial" w:hAnsi="Arial"/>
          <w:color w:val="000000"/>
          <w:sz w:val="20"/>
        </w:rPr>
        <w:t>billion, respectively. The federal and state net operating loss carryforwards have varying expiration dates ranging from fiscal year 2027 to 2046</w:t>
      </w:r>
      <w:r>
        <w:rPr>
          <w:rFonts w:ascii="Times New Roman" w:hAnsi="Times New Roman"/>
          <w:color w:val="000000"/>
          <w:sz w:val="20"/>
        </w:rPr>
        <w:t xml:space="preserve"> </w:t>
      </w:r>
      <w:r>
        <w:rPr>
          <w:rFonts w:ascii="Arial" w:hAnsi="Arial"/>
          <w:color w:val="000000"/>
          <w:sz w:val="20"/>
        </w:rPr>
        <w:t>or indefinite carryforward periods, if not utilized. The majority of our foreign net operating loss carryforwards do not expire. Certain acquired net operating loss carryforwards are subject to an annual limitation but are expected to be realized with the exception of those which have a valuation allowance. As of June 30, 2026, we had $613</w:t>
      </w:r>
      <w:r>
        <w:rPr>
          <w:rFonts w:ascii="Times New Roman" w:hAnsi="Times New Roman"/>
          <w:color w:val="000000"/>
          <w:sz w:val="20"/>
        </w:rPr>
        <w:t xml:space="preserve"> </w:t>
      </w:r>
      <w:r>
        <w:rPr>
          <w:rFonts w:ascii="Arial" w:hAnsi="Arial"/>
          <w:color w:val="000000"/>
          <w:sz w:val="20"/>
        </w:rPr>
        <w:t>million federal capital loss carryforwards for U.S. tax purposes. The federal capital loss carryforwards will expire in fiscal year 2030 if not utilized.</w:t>
      </w:r>
    </w:p>
    <w:p>
      <w:pPr>
        <w:pStyle w:val="TextBody"/>
        <w:bidi w:val="0"/>
        <w:spacing w:before="180" w:after="283"/>
        <w:jc w:val="both"/>
        <w:rPr>
          <w:rFonts w:ascii="Times New Roman" w:hAnsi="Times New Roman"/>
          <w:sz w:val="20"/>
        </w:rPr>
      </w:pPr>
      <w:r>
        <w:rPr>
          <w:rFonts w:ascii="Arial" w:hAnsi="Arial"/>
          <w:color w:val="000000"/>
          <w:sz w:val="20"/>
        </w:rPr>
        <w:t>The valuation allowance disclosed in the table above relates to the foreign net operating loss carryforwards, federal capital loss carryforwards, and foreign tax credits carryforwards that may not be realized.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Income taxes paid, net of refunds,</w:t>
      </w:r>
      <w:r>
        <w:rPr>
          <w:rFonts w:ascii="Times New Roman" w:hAnsi="Times New Roman"/>
          <w:color w:val="000000"/>
          <w:sz w:val="20"/>
        </w:rPr>
        <w:t xml:space="preserve"> </w:t>
      </w:r>
      <w:r>
        <w:rPr>
          <w:rFonts w:ascii="Arial" w:hAnsi="Arial"/>
          <w:color w:val="000000"/>
          <w:sz w:val="20"/>
        </w:rPr>
        <w:t>pursuant to the disclosure requirements of ASU 2023-09 in fiscal year 2026 were as follows:</w:t>
      </w:r>
      <w:r>
        <w:rPr>
          <w:rFonts w:ascii="Times New Roman" w:hAnsi="Times New Roman"/>
          <w:color w:val="000000"/>
          <w:sz w:val="20"/>
        </w:rPr>
        <w:t xml:space="preserve"> </w:t>
      </w:r>
    </w:p>
    <w:p>
      <w:pPr>
        <w:pStyle w:val="TextBody"/>
        <w:bidi w:val="0"/>
        <w:jc w:val="both"/>
        <w:rPr/>
      </w:pPr>
      <w:r>
        <w:rPr/>
        <w:t> </w:t>
      </w:r>
    </w:p>
    <w:tbl>
      <w:tblPr>
        <w:tblW w:w="5725" w:type="dxa"/>
        <w:jc w:val="left"/>
        <w:tblInd w:w="0" w:type="dxa"/>
        <w:tblLayout w:type="fixed"/>
        <w:tblCellMar>
          <w:top w:w="28" w:type="dxa"/>
          <w:left w:w="28" w:type="dxa"/>
          <w:bottom w:w="28" w:type="dxa"/>
          <w:right w:w="28" w:type="dxa"/>
        </w:tblCellMar>
      </w:tblPr>
      <w:tblGrid>
        <w:gridCol w:w="3766"/>
        <w:gridCol w:w="146"/>
        <w:gridCol w:w="211"/>
        <w:gridCol w:w="691"/>
        <w:gridCol w:w="911"/>
      </w:tblGrid>
      <w:tr>
        <w:trPr/>
        <w:tc>
          <w:tcPr>
            <w:tcW w:w="3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911" w:type="dxa"/>
            <w:tcBorders/>
            <w:shd w:fill="FFFFFF" w:val="clear"/>
            <w:vAlign w:val="center"/>
          </w:tcPr>
          <w:p>
            <w:pPr>
              <w:pStyle w:val="TableContents"/>
              <w:bidi w:val="0"/>
              <w:spacing w:before="0" w:after="283"/>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b/>
                <w:color w:val="000000"/>
                <w:sz w:val="15"/>
              </w:rPr>
              <w:t>2026</w:t>
            </w:r>
          </w:p>
        </w:tc>
        <w:tc>
          <w:tcPr>
            <w:tcW w:w="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3" w:type="dxa"/>
            <w:gridSpan w:val="3"/>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6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federal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6,246</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state and local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2,917</w:t>
            </w:r>
          </w:p>
        </w:tc>
        <w:tc>
          <w:tcPr>
            <w:tcW w:w="91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6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76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Ireland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6,495</w:t>
            </w:r>
          </w:p>
        </w:tc>
        <w:tc>
          <w:tcPr>
            <w:tcW w:w="91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76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5,530</w:t>
            </w:r>
          </w:p>
        </w:tc>
        <w:tc>
          <w:tcPr>
            <w:tcW w:w="9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3766"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Income taxes paid, net of refunds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21,188</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Income taxes paid, net of refunds, were $28.7</w:t>
      </w:r>
      <w:r>
        <w:rPr>
          <w:rFonts w:ascii="Times New Roman" w:hAnsi="Times New Roman"/>
          <w:color w:val="000000"/>
          <w:sz w:val="20"/>
        </w:rPr>
        <w:t xml:space="preserve"> </w:t>
      </w:r>
      <w:r>
        <w:rPr>
          <w:rFonts w:ascii="Arial" w:hAnsi="Arial"/>
          <w:color w:val="000000"/>
          <w:sz w:val="20"/>
        </w:rPr>
        <w:t>billion, and $23.4</w:t>
      </w:r>
      <w:r>
        <w:rPr>
          <w:rFonts w:ascii="Times New Roman" w:hAnsi="Times New Roman"/>
          <w:color w:val="000000"/>
          <w:sz w:val="20"/>
        </w:rPr>
        <w:t xml:space="preserve"> </w:t>
      </w:r>
      <w:r>
        <w:rPr>
          <w:rFonts w:ascii="Arial" w:hAnsi="Arial"/>
          <w:color w:val="000000"/>
          <w:sz w:val="20"/>
        </w:rPr>
        <w:t>billion in fiscal years 2025 and 2024, respectively.</w:t>
      </w:r>
      <w:r>
        <w:rPr>
          <w:rFonts w:ascii="Times New Roman" w:hAnsi="Times New Roman"/>
          <w:color w:val="000000"/>
          <w:sz w:val="20"/>
        </w:rPr>
        <w:t xml:space="preserve"> </w:t>
      </w:r>
    </w:p>
    <w:p>
      <w:pPr>
        <w:pStyle w:val="TextBody"/>
        <w:bidi w:val="0"/>
        <w:spacing w:before="270" w:after="283"/>
        <w:jc w:val="both"/>
        <w:rPr>
          <w:rFonts w:ascii="Arial" w:hAnsi="Arial"/>
          <w:b/>
          <w:color w:val="000000"/>
          <w:sz w:val="20"/>
        </w:rPr>
      </w:pPr>
      <w:r>
        <w:rPr>
          <w:rFonts w:ascii="Arial" w:hAnsi="Arial"/>
          <w:b/>
          <w:color w:val="000000"/>
          <w:sz w:val="20"/>
        </w:rPr>
        <w:t>Uncertain Tax Positions</w:t>
      </w:r>
    </w:p>
    <w:p>
      <w:pPr>
        <w:pStyle w:val="TextBody"/>
        <w:bidi w:val="0"/>
        <w:spacing w:before="180" w:after="283"/>
        <w:jc w:val="both"/>
        <w:rPr>
          <w:rFonts w:ascii="Times New Roman" w:hAnsi="Times New Roman"/>
          <w:sz w:val="20"/>
        </w:rPr>
      </w:pPr>
      <w:r>
        <w:rPr>
          <w:rFonts w:ascii="Arial" w:hAnsi="Arial"/>
          <w:color w:val="000000"/>
          <w:sz w:val="20"/>
        </w:rPr>
        <w:t>Gross unrecognized tax benefits related to uncertain tax positions as of June 30, 2026, 2025, and 2024, were $25.8</w:t>
      </w:r>
      <w:r>
        <w:rPr>
          <w:rFonts w:ascii="Times New Roman" w:hAnsi="Times New Roman"/>
          <w:color w:val="000000"/>
          <w:sz w:val="20"/>
        </w:rPr>
        <w:t xml:space="preserve"> </w:t>
      </w:r>
      <w:r>
        <w:rPr>
          <w:rFonts w:ascii="Arial" w:hAnsi="Arial"/>
          <w:color w:val="000000"/>
          <w:sz w:val="20"/>
        </w:rPr>
        <w:t>billion, $24.7</w:t>
      </w:r>
      <w:r>
        <w:rPr>
          <w:rFonts w:ascii="Times New Roman" w:hAnsi="Times New Roman"/>
          <w:color w:val="000000"/>
          <w:sz w:val="20"/>
        </w:rPr>
        <w:t xml:space="preserve"> </w:t>
      </w:r>
      <w:r>
        <w:rPr>
          <w:rFonts w:ascii="Arial" w:hAnsi="Arial"/>
          <w:color w:val="000000"/>
          <w:sz w:val="20"/>
        </w:rPr>
        <w:t>billion, and $22.8</w:t>
      </w:r>
      <w:r>
        <w:rPr>
          <w:rFonts w:ascii="Times New Roman" w:hAnsi="Times New Roman"/>
          <w:color w:val="000000"/>
          <w:sz w:val="20"/>
        </w:rPr>
        <w:t xml:space="preserve"> </w:t>
      </w:r>
      <w:r>
        <w:rPr>
          <w:rFonts w:ascii="Arial" w:hAnsi="Arial"/>
          <w:color w:val="000000"/>
          <w:sz w:val="20"/>
        </w:rPr>
        <w:t>billion, respectively, which were primarily included in long-term income taxes in our consolidated balance sheets. If recognized, the resulting tax benefit would affect our effective tax rates for fiscal years 2026, 2025, and 2024 by $21.6</w:t>
      </w:r>
      <w:r>
        <w:rPr>
          <w:rFonts w:ascii="Times New Roman" w:hAnsi="Times New Roman"/>
          <w:color w:val="000000"/>
          <w:sz w:val="20"/>
        </w:rPr>
        <w:t xml:space="preserve"> </w:t>
      </w:r>
      <w:r>
        <w:rPr>
          <w:rFonts w:ascii="Arial" w:hAnsi="Arial"/>
          <w:color w:val="000000"/>
          <w:sz w:val="20"/>
        </w:rPr>
        <w:t>billion, $21.2</w:t>
      </w:r>
      <w:r>
        <w:rPr>
          <w:rFonts w:ascii="Times New Roman" w:hAnsi="Times New Roman"/>
          <w:color w:val="000000"/>
          <w:sz w:val="20"/>
        </w:rPr>
        <w:t xml:space="preserve"> </w:t>
      </w:r>
      <w:r>
        <w:rPr>
          <w:rFonts w:ascii="Arial" w:hAnsi="Arial"/>
          <w:color w:val="000000"/>
          <w:sz w:val="20"/>
        </w:rPr>
        <w:t>billion, and $19.6</w:t>
      </w:r>
      <w:r>
        <w:rPr>
          <w:rFonts w:ascii="Times New Roman" w:hAnsi="Times New Roman"/>
          <w:color w:val="000000"/>
          <w:sz w:val="20"/>
        </w:rPr>
        <w:t xml:space="preserve"> </w:t>
      </w:r>
      <w:r>
        <w:rPr>
          <w:rFonts w:ascii="Arial" w:hAnsi="Arial"/>
          <w:color w:val="000000"/>
          <w:sz w:val="20"/>
        </w:rPr>
        <w:t>billion, respectively.</w:t>
      </w:r>
    </w:p>
    <w:p>
      <w:pPr>
        <w:pStyle w:val="TextBody"/>
        <w:bidi w:val="0"/>
        <w:spacing w:before="180" w:after="283"/>
        <w:jc w:val="both"/>
        <w:rPr>
          <w:rFonts w:ascii="Times New Roman" w:hAnsi="Times New Roman"/>
          <w:sz w:val="20"/>
        </w:rPr>
      </w:pPr>
      <w:r>
        <w:rPr>
          <w:rFonts w:ascii="Arial" w:hAnsi="Arial"/>
          <w:color w:val="000000"/>
          <w:sz w:val="20"/>
        </w:rPr>
        <w:t>As of June 30, 2026, 2025, and 2024, we had accrued interest expense related to uncertain tax positions of $9.4</w:t>
      </w:r>
      <w:r>
        <w:rPr>
          <w:rFonts w:ascii="Times New Roman" w:hAnsi="Times New Roman"/>
          <w:color w:val="000000"/>
          <w:sz w:val="20"/>
        </w:rPr>
        <w:t xml:space="preserve"> </w:t>
      </w:r>
      <w:r>
        <w:rPr>
          <w:rFonts w:ascii="Arial" w:hAnsi="Arial"/>
          <w:color w:val="000000"/>
          <w:sz w:val="20"/>
        </w:rPr>
        <w:t>billion, $8.2</w:t>
      </w:r>
      <w:r>
        <w:rPr>
          <w:rFonts w:ascii="Times New Roman" w:hAnsi="Times New Roman"/>
          <w:color w:val="000000"/>
          <w:sz w:val="20"/>
        </w:rPr>
        <w:t xml:space="preserve"> </w:t>
      </w:r>
      <w:r>
        <w:rPr>
          <w:rFonts w:ascii="Arial" w:hAnsi="Arial"/>
          <w:color w:val="000000"/>
          <w:sz w:val="20"/>
        </w:rPr>
        <w:t>billion, and $6.8</w:t>
      </w:r>
      <w:r>
        <w:rPr>
          <w:rFonts w:ascii="Times New Roman" w:hAnsi="Times New Roman"/>
          <w:color w:val="000000"/>
          <w:sz w:val="20"/>
        </w:rPr>
        <w:t xml:space="preserve"> </w:t>
      </w:r>
      <w:r>
        <w:rPr>
          <w:rFonts w:ascii="Arial" w:hAnsi="Arial"/>
          <w:color w:val="000000"/>
          <w:sz w:val="20"/>
        </w:rPr>
        <w:t>billion, respectively, net of income tax benefits. The provision for income taxes for fiscal years 2026, 2025, and 2024 included interest expense related to uncertain tax positions of $1.4</w:t>
      </w:r>
      <w:r>
        <w:rPr>
          <w:rFonts w:ascii="Times New Roman" w:hAnsi="Times New Roman"/>
          <w:color w:val="000000"/>
          <w:sz w:val="20"/>
        </w:rPr>
        <w:t xml:space="preserve"> </w:t>
      </w:r>
      <w:r>
        <w:rPr>
          <w:rFonts w:ascii="Arial" w:hAnsi="Arial"/>
          <w:color w:val="000000"/>
          <w:sz w:val="20"/>
        </w:rPr>
        <w:t>billion, $1.3</w:t>
      </w:r>
      <w:r>
        <w:rPr>
          <w:rFonts w:ascii="Times New Roman" w:hAnsi="Times New Roman"/>
          <w:color w:val="000000"/>
          <w:sz w:val="20"/>
        </w:rPr>
        <w:t xml:space="preserve"> </w:t>
      </w:r>
      <w:r>
        <w:rPr>
          <w:rFonts w:ascii="Arial" w:hAnsi="Arial"/>
          <w:color w:val="000000"/>
          <w:sz w:val="20"/>
        </w:rPr>
        <w:t>billion, and $1.5</w:t>
      </w:r>
      <w:r>
        <w:rPr>
          <w:rFonts w:ascii="Times New Roman" w:hAnsi="Times New Roman"/>
          <w:color w:val="000000"/>
          <w:sz w:val="20"/>
        </w:rPr>
        <w:t xml:space="preserve"> </w:t>
      </w:r>
      <w:r>
        <w:rPr>
          <w:rFonts w:ascii="Arial" w:hAnsi="Arial"/>
          <w:color w:val="000000"/>
          <w:sz w:val="20"/>
        </w:rPr>
        <w:t>billion, respectively, net of income tax benefits.</w:t>
      </w:r>
    </w:p>
    <w:p>
      <w:pPr>
        <w:pStyle w:val="TextBody"/>
        <w:bidi w:val="0"/>
        <w:spacing w:before="180" w:after="283"/>
        <w:jc w:val="both"/>
        <w:rPr>
          <w:rFonts w:ascii="Times New Roman" w:hAnsi="Times New Roman"/>
          <w:sz w:val="20"/>
        </w:rPr>
      </w:pPr>
      <w:r>
        <w:rPr>
          <w:rFonts w:ascii="Arial" w:hAnsi="Arial"/>
          <w:color w:val="000000"/>
          <w:sz w:val="20"/>
        </w:rPr>
        <w:t>The aggregate changes in the gross unrecognized tax benefits related to uncertain tax positions were as follows:</w:t>
      </w:r>
      <w:r>
        <w:rPr>
          <w:rFonts w:ascii="Times New Roman" w:hAnsi="Times New Roman"/>
          <w:color w:val="000000"/>
          <w:sz w:val="20"/>
        </w:rPr>
        <w:t xml:space="preserve"> </w:t>
      </w:r>
    </w:p>
    <w:p>
      <w:pPr>
        <w:pStyle w:val="TextBody"/>
        <w:bidi w:val="0"/>
        <w:jc w:val="both"/>
        <w:rPr/>
      </w:pPr>
      <w:r>
        <w:rPr/>
        <w:t> </w:t>
      </w:r>
    </w:p>
    <w:tbl>
      <w:tblPr>
        <w:tblW w:w="9393" w:type="dxa"/>
        <w:jc w:val="left"/>
        <w:tblInd w:w="0" w:type="dxa"/>
        <w:tblLayout w:type="fixed"/>
        <w:tblCellMar>
          <w:top w:w="28" w:type="dxa"/>
          <w:left w:w="28" w:type="dxa"/>
          <w:bottom w:w="28" w:type="dxa"/>
          <w:right w:w="28" w:type="dxa"/>
        </w:tblCellMar>
      </w:tblPr>
      <w:tblGrid>
        <w:gridCol w:w="5216"/>
        <w:gridCol w:w="146"/>
        <w:gridCol w:w="211"/>
        <w:gridCol w:w="691"/>
        <w:gridCol w:w="166"/>
        <w:gridCol w:w="146"/>
        <w:gridCol w:w="211"/>
        <w:gridCol w:w="691"/>
        <w:gridCol w:w="166"/>
        <w:gridCol w:w="146"/>
        <w:gridCol w:w="211"/>
        <w:gridCol w:w="691"/>
        <w:gridCol w:w="701"/>
      </w:tblGrid>
      <w:tr>
        <w:trPr/>
        <w:tc>
          <w:tcPr>
            <w:tcW w:w="52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701" w:type="dxa"/>
            <w:tcBorders/>
            <w:shd w:fill="FFFFFF" w:val="clear"/>
            <w:vAlign w:val="center"/>
          </w:tcPr>
          <w:p>
            <w:pPr>
              <w:pStyle w:val="TableContents"/>
              <w:bidi w:val="0"/>
              <w:spacing w:before="0" w:after="283"/>
              <w:jc w:val="left"/>
              <w:rPr>
                <w:sz w:val="4"/>
                <w:szCs w:val="4"/>
              </w:rPr>
            </w:pPr>
            <w:r>
              <w:rPr>
                <w:sz w:val="4"/>
                <w:szCs w:val="4"/>
              </w:rPr>
            </w:r>
          </w:p>
        </w:tc>
      </w:tr>
      <w:tr>
        <w:trPr/>
        <w:tc>
          <w:tcPr>
            <w:tcW w:w="521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1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214"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749" w:type="dxa"/>
            <w:gridSpan w:val="4"/>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521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Beginning unrecognized tax benefits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24,729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22,760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17,120</w:t>
            </w:r>
          </w:p>
        </w:tc>
        <w:tc>
          <w:tcPr>
            <w:tcW w:w="7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521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Decreases related to settlements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70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w:t>
            </w:r>
          </w:p>
        </w:tc>
      </w:tr>
      <w:tr>
        <w:trPr/>
        <w:tc>
          <w:tcPr>
            <w:tcW w:w="521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Increases for tax positions related to the current year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1,517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1,903</w:t>
            </w:r>
          </w:p>
        </w:tc>
        <w:tc>
          <w:tcPr>
            <w:tcW w:w="7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5216"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Increases for tax positions related to prior years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4,289</w:t>
            </w:r>
          </w:p>
        </w:tc>
        <w:tc>
          <w:tcPr>
            <w:tcW w:w="70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521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Decreases for tax positions related to prior years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w:t>
            </w:r>
          </w:p>
        </w:tc>
        <w:tc>
          <w:tcPr>
            <w:tcW w:w="7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w:t>
            </w:r>
          </w:p>
        </w:tc>
      </w:tr>
      <w:tr>
        <w:trPr/>
        <w:tc>
          <w:tcPr>
            <w:tcW w:w="521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Decreases due to lapsed statutes of limitations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7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1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21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Ending unrecognized tax benefits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25,831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24,729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22,760</w:t>
            </w:r>
          </w:p>
        </w:tc>
        <w:tc>
          <w:tcPr>
            <w:tcW w:w="7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70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w:t>
      </w:r>
      <w:r>
        <w:rPr>
          <w:rFonts w:ascii="Times New Roman" w:hAnsi="Times New Roman"/>
          <w:color w:val="000000"/>
          <w:sz w:val="20"/>
        </w:rPr>
        <w:t xml:space="preserve"> </w:t>
      </w:r>
      <w:r>
        <w:rPr>
          <w:rFonts w:ascii="Arial" w:hAnsi="Arial"/>
          <w:color w:val="000000"/>
          <w:sz w:val="20"/>
        </w:rPr>
        <w:t>billion plus penalties and interest. As of June 30, 2026, we believe our allowances for income tax contingencies are adequate. We disagree with the proposed adjustments and will vigorously contest the NOPAs through the IRS’s administrative appeals office and, if necessary, judicial proceedings.</w:t>
      </w:r>
    </w:p>
    <w:p>
      <w:pPr>
        <w:pStyle w:val="TextBody"/>
        <w:bidi w:val="0"/>
        <w:spacing w:before="240" w:after="283"/>
        <w:jc w:val="center"/>
        <w:rPr>
          <w:rFonts w:ascii="Arial" w:hAnsi="Arial"/>
          <w:color w:val="000000"/>
          <w:sz w:val="16"/>
        </w:rPr>
      </w:pPr>
      <w:r>
        <w:rPr>
          <w:rFonts w:ascii="Arial" w:hAnsi="Arial"/>
          <w:color w:val="000000"/>
          <w:sz w:val="16"/>
        </w:rPr>
        <w:t>76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180" w:after="283"/>
        <w:jc w:val="both"/>
        <w:rPr>
          <w:rFonts w:ascii="Arial" w:hAnsi="Arial"/>
          <w:color w:val="000000"/>
          <w:sz w:val="20"/>
        </w:rPr>
      </w:pPr>
      <w:r>
        <w:rPr>
          <w:rFonts w:ascii="Arial" w:hAnsi="Arial"/>
          <w:color w:val="000000"/>
          <w:sz w:val="20"/>
        </w:rPr>
        <w:t>We are subject to income tax in many jurisdictions outside the U.S., some of which are currently under audit by local tax authorities. The resolution of these audits is not expected to be material to our consolidated financial statements. Our operations in Ireland remain subject to examination for tax years 2021 and thereafter.</w:t>
      </w:r>
    </w:p>
    <w:p>
      <w:pPr>
        <w:pStyle w:val="TextBody"/>
        <w:bidi w:val="0"/>
        <w:spacing w:before="270" w:after="283"/>
        <w:jc w:val="center"/>
        <w:rPr>
          <w:rFonts w:ascii="Times New Roman" w:hAnsi="Times New Roman"/>
          <w:sz w:val="20"/>
        </w:rPr>
      </w:pPr>
      <w:r>
        <w:rPr>
          <w:rFonts w:ascii="Arial" w:hAnsi="Arial"/>
          <w:color w:val="000000"/>
          <w:sz w:val="20"/>
          <w:u w:val="single"/>
        </w:rPr>
        <w:t>NOTE 12 — UNEARNED REVENUE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Unearned revenue by segment was as follows:</w:t>
      </w:r>
      <w:r>
        <w:rPr>
          <w:rFonts w:ascii="Times New Roman" w:hAnsi="Times New Roman"/>
          <w:color w:val="000000"/>
          <w:sz w:val="20"/>
        </w:rPr>
        <w:t xml:space="preserve"> </w:t>
      </w:r>
    </w:p>
    <w:p>
      <w:pPr>
        <w:pStyle w:val="TextBody"/>
        <w:bidi w:val="0"/>
        <w:jc w:val="left"/>
        <w:rPr/>
      </w:pPr>
      <w:r>
        <w:rPr/>
        <w:t> </w:t>
      </w:r>
    </w:p>
    <w:p>
      <w:pPr>
        <w:pStyle w:val="TextBody"/>
        <w:bidi w:val="0"/>
        <w:jc w:val="both"/>
        <w:rPr/>
      </w:pPr>
      <w:r>
        <w:rPr/>
        <w:t> </w:t>
      </w:r>
    </w:p>
    <w:tbl>
      <w:tblPr>
        <w:tblW w:w="6559" w:type="dxa"/>
        <w:jc w:val="left"/>
        <w:tblInd w:w="0" w:type="dxa"/>
        <w:tblLayout w:type="fixed"/>
        <w:tblCellMar>
          <w:top w:w="28" w:type="dxa"/>
          <w:left w:w="28" w:type="dxa"/>
          <w:bottom w:w="28" w:type="dxa"/>
          <w:right w:w="28" w:type="dxa"/>
        </w:tblCellMar>
      </w:tblPr>
      <w:tblGrid>
        <w:gridCol w:w="3636"/>
        <w:gridCol w:w="146"/>
        <w:gridCol w:w="211"/>
        <w:gridCol w:w="691"/>
        <w:gridCol w:w="146"/>
        <w:gridCol w:w="146"/>
        <w:gridCol w:w="211"/>
        <w:gridCol w:w="691"/>
        <w:gridCol w:w="681"/>
      </w:tblGrid>
      <w:tr>
        <w:trPr/>
        <w:tc>
          <w:tcPr>
            <w:tcW w:w="36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8" w:type="dxa"/>
            <w:gridSpan w:val="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Productivity and Business Processes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57,936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50,567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Intelligent Cloud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14,942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14,022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More Personal Computing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2,834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2,676</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8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75,712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67,265</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Changes in unearned revenue were as follows:</w:t>
      </w:r>
      <w:r>
        <w:rPr>
          <w:rFonts w:ascii="Times New Roman" w:hAnsi="Times New Roman"/>
          <w:color w:val="000000"/>
          <w:sz w:val="20"/>
        </w:rPr>
        <w:t xml:space="preserve"> </w:t>
      </w:r>
    </w:p>
    <w:p>
      <w:pPr>
        <w:pStyle w:val="TextBody"/>
        <w:bidi w:val="0"/>
        <w:jc w:val="both"/>
        <w:rPr/>
      </w:pPr>
      <w:r>
        <w:rPr/>
        <w:t> </w:t>
      </w:r>
    </w:p>
    <w:tbl>
      <w:tblPr>
        <w:tblW w:w="5295" w:type="dxa"/>
        <w:jc w:val="left"/>
        <w:tblInd w:w="0" w:type="dxa"/>
        <w:tblLayout w:type="fixed"/>
        <w:tblCellMar>
          <w:top w:w="28" w:type="dxa"/>
          <w:left w:w="28" w:type="dxa"/>
          <w:bottom w:w="28" w:type="dxa"/>
          <w:right w:w="28" w:type="dxa"/>
        </w:tblCellMar>
      </w:tblPr>
      <w:tblGrid>
        <w:gridCol w:w="3461"/>
        <w:gridCol w:w="146"/>
        <w:gridCol w:w="211"/>
        <w:gridCol w:w="856"/>
        <w:gridCol w:w="621"/>
      </w:tblGrid>
      <w:tr>
        <w:trPr/>
        <w:tc>
          <w:tcPr>
            <w:tcW w:w="34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621" w:type="dxa"/>
            <w:tcBorders/>
            <w:shd w:fill="FFFFFF" w:val="clear"/>
            <w:vAlign w:val="center"/>
          </w:tcPr>
          <w:p>
            <w:pPr>
              <w:pStyle w:val="TableContents"/>
              <w:bidi w:val="0"/>
              <w:spacing w:before="0" w:after="283"/>
              <w:jc w:val="left"/>
              <w:rPr>
                <w:sz w:val="4"/>
                <w:szCs w:val="4"/>
              </w:rPr>
            </w:pPr>
            <w:r>
              <w:rPr>
                <w:sz w:val="4"/>
                <w:szCs w:val="4"/>
              </w:rPr>
            </w:r>
          </w:p>
        </w:tc>
      </w:tr>
      <w:tr>
        <w:trPr/>
        <w:tc>
          <w:tcPr>
            <w:tcW w:w="34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8" w:type="dxa"/>
            <w:gridSpan w:val="3"/>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4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67,265</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46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Deferral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194,184</w:t>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46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Recognition of unearned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(185,737</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34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end of period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75,712</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Revenue allocated to remaining performance obligations, which includes unearned revenue and amounts expected to be invoiced and recognized as revenue in future periods, was $684</w:t>
      </w:r>
      <w:r>
        <w:rPr>
          <w:rFonts w:ascii="Times New Roman" w:hAnsi="Times New Roman"/>
          <w:color w:val="000000"/>
          <w:sz w:val="20"/>
        </w:rPr>
        <w:t xml:space="preserve"> </w:t>
      </w:r>
      <w:r>
        <w:rPr>
          <w:rFonts w:ascii="Arial" w:hAnsi="Arial"/>
          <w:color w:val="000000"/>
          <w:sz w:val="20"/>
        </w:rPr>
        <w:t>billion as of June 30, 2026. Revenue allocated to remaining performance obligations related to the commercial portion of revenue was $678</w:t>
      </w:r>
      <w:r>
        <w:rPr>
          <w:rFonts w:ascii="Times New Roman" w:hAnsi="Times New Roman"/>
          <w:color w:val="000000"/>
          <w:sz w:val="20"/>
        </w:rPr>
        <w:t xml:space="preserve"> </w:t>
      </w:r>
      <w:r>
        <w:rPr>
          <w:rFonts w:ascii="Arial" w:hAnsi="Arial"/>
          <w:color w:val="000000"/>
          <w:sz w:val="20"/>
        </w:rPr>
        <w:t>billion as of June 30, 2026, with a weighted average duration of approximately 2.3</w:t>
      </w:r>
      <w:r>
        <w:rPr>
          <w:rFonts w:ascii="Times New Roman" w:hAnsi="Times New Roman"/>
          <w:color w:val="000000"/>
          <w:sz w:val="20"/>
        </w:rPr>
        <w:t xml:space="preserve"> </w:t>
      </w:r>
      <w:r>
        <w:rPr>
          <w:rFonts w:ascii="Arial" w:hAnsi="Arial"/>
          <w:color w:val="000000"/>
          <w:sz w:val="20"/>
        </w:rPr>
        <w:t>years. We expect to recognize approximately 30% of both our total company remaining performance obligation revenue and commercial remaining performance obligation revenue over the next 12</w:t>
      </w:r>
      <w:r>
        <w:rPr>
          <w:rFonts w:ascii="Times New Roman" w:hAnsi="Times New Roman"/>
          <w:color w:val="000000"/>
          <w:sz w:val="20"/>
        </w:rPr>
        <w:t xml:space="preserve"> </w:t>
      </w:r>
      <w:r>
        <w:rPr>
          <w:rFonts w:ascii="Arial" w:hAnsi="Arial"/>
          <w:color w:val="000000"/>
          <w:sz w:val="20"/>
        </w:rPr>
        <w:t>months and the remainder thereafter.</w:t>
      </w:r>
    </w:p>
    <w:p>
      <w:pPr>
        <w:pStyle w:val="TextBody"/>
        <w:bidi w:val="0"/>
        <w:spacing w:before="270" w:after="283"/>
        <w:jc w:val="center"/>
        <w:rPr>
          <w:rFonts w:ascii="Times New Roman" w:hAnsi="Times New Roman"/>
          <w:sz w:val="20"/>
        </w:rPr>
      </w:pPr>
      <w:r>
        <w:rPr>
          <w:rFonts w:ascii="Arial" w:hAnsi="Arial"/>
          <w:color w:val="000000"/>
          <w:sz w:val="20"/>
          <w:u w:val="single"/>
        </w:rPr>
        <w:t xml:space="preserve">NOTE 13 </w:t>
      </w:r>
      <w:r>
        <w:rPr>
          <w:rFonts w:ascii="Times New Roman" w:hAnsi="Times New Roman"/>
          <w:color w:val="000000"/>
          <w:sz w:val="20"/>
          <w:u w:val="single"/>
        </w:rPr>
        <w:t xml:space="preserve">— </w:t>
      </w:r>
      <w:r>
        <w:rPr>
          <w:rFonts w:ascii="Arial" w:hAnsi="Arial"/>
          <w:color w:val="000000"/>
          <w:sz w:val="20"/>
          <w:u w:val="single"/>
        </w:rPr>
        <w:t>LEASES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have operating and finance leases for datacenters, corporate offices, research and development facilities, and certain equipment. Our leases have remaining lease terms of less than 1</w:t>
      </w:r>
      <w:r>
        <w:rPr>
          <w:rFonts w:ascii="Times New Roman" w:hAnsi="Times New Roman"/>
          <w:color w:val="000000"/>
          <w:sz w:val="20"/>
        </w:rPr>
        <w:t xml:space="preserve"> </w:t>
      </w:r>
      <w:r>
        <w:rPr>
          <w:rFonts w:ascii="Arial" w:hAnsi="Arial"/>
          <w:color w:val="000000"/>
          <w:sz w:val="20"/>
        </w:rPr>
        <w:t>year to 20</w:t>
      </w:r>
      <w:r>
        <w:rPr>
          <w:rFonts w:ascii="Times New Roman" w:hAnsi="Times New Roman"/>
          <w:color w:val="000000"/>
          <w:sz w:val="20"/>
        </w:rPr>
        <w:t xml:space="preserve"> </w:t>
      </w:r>
      <w:r>
        <w:rPr>
          <w:rFonts w:ascii="Arial" w:hAnsi="Arial"/>
          <w:color w:val="000000"/>
          <w:sz w:val="20"/>
        </w:rPr>
        <w:t>years, some of which include options to extend the leases for up to 5</w:t>
      </w:r>
      <w:r>
        <w:rPr>
          <w:rFonts w:ascii="Times New Roman" w:hAnsi="Times New Roman"/>
          <w:color w:val="000000"/>
          <w:sz w:val="20"/>
        </w:rPr>
        <w:t xml:space="preserve"> </w:t>
      </w:r>
      <w:r>
        <w:rPr>
          <w:rFonts w:ascii="Arial" w:hAnsi="Arial"/>
          <w:color w:val="000000"/>
          <w:sz w:val="20"/>
        </w:rPr>
        <w:t>years, and some of which include options to terminate the leases within 1</w:t>
      </w:r>
      <w:r>
        <w:rPr>
          <w:rFonts w:ascii="Times New Roman" w:hAnsi="Times New Roman"/>
          <w:color w:val="000000"/>
          <w:sz w:val="20"/>
        </w:rPr>
        <w:t xml:space="preserve"> </w:t>
      </w:r>
      <w:r>
        <w:rPr>
          <w:rFonts w:ascii="Arial" w:hAnsi="Arial"/>
          <w:color w:val="000000"/>
          <w:sz w:val="20"/>
        </w:rPr>
        <w:t>year.</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components of lease expense were as follows:</w:t>
      </w:r>
      <w:r>
        <w:rPr>
          <w:rFonts w:ascii="Times New Roman" w:hAnsi="Times New Roman"/>
          <w:color w:val="000000"/>
          <w:sz w:val="20"/>
        </w:rPr>
        <w:t xml:space="preserve"> </w:t>
      </w:r>
    </w:p>
    <w:p>
      <w:pPr>
        <w:pStyle w:val="TextBody"/>
        <w:bidi w:val="0"/>
        <w:jc w:val="both"/>
        <w:rPr/>
      </w:pPr>
      <w:r>
        <w:rPr/>
        <w:t> </w:t>
      </w:r>
    </w:p>
    <w:tbl>
      <w:tblPr>
        <w:tblW w:w="7413" w:type="dxa"/>
        <w:jc w:val="left"/>
        <w:tblInd w:w="0" w:type="dxa"/>
        <w:tblLayout w:type="fixed"/>
        <w:tblCellMar>
          <w:top w:w="28" w:type="dxa"/>
          <w:left w:w="28" w:type="dxa"/>
          <w:bottom w:w="28" w:type="dxa"/>
          <w:right w:w="28" w:type="dxa"/>
        </w:tblCellMar>
      </w:tblPr>
      <w:tblGrid>
        <w:gridCol w:w="3611"/>
        <w:gridCol w:w="146"/>
        <w:gridCol w:w="211"/>
        <w:gridCol w:w="586"/>
        <w:gridCol w:w="146"/>
        <w:gridCol w:w="146"/>
        <w:gridCol w:w="211"/>
        <w:gridCol w:w="586"/>
        <w:gridCol w:w="146"/>
        <w:gridCol w:w="146"/>
        <w:gridCol w:w="211"/>
        <w:gridCol w:w="586"/>
        <w:gridCol w:w="681"/>
      </w:tblGrid>
      <w:tr>
        <w:trPr/>
        <w:tc>
          <w:tcPr>
            <w:tcW w:w="36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6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cost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6,968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3,555</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Finance lease cost: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1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Amortization of right-of-use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5,403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Interest on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2,547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5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1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finance lease cost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2,534</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77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jc w:val="both"/>
        <w:rPr>
          <w:rFonts w:ascii="Arial" w:hAnsi="Arial"/>
          <w:color w:val="000000"/>
          <w:sz w:val="20"/>
        </w:rPr>
      </w:pPr>
      <w:r>
        <w:rPr>
          <w:rFonts w:ascii="Arial" w:hAnsi="Arial"/>
          <w:color w:val="000000"/>
          <w:sz w:val="20"/>
        </w:rPr>
        <w:t>Supplemental cash flow information related to leases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088"/>
        <w:gridCol w:w="146"/>
        <w:gridCol w:w="211"/>
        <w:gridCol w:w="691"/>
        <w:gridCol w:w="146"/>
        <w:gridCol w:w="146"/>
        <w:gridCol w:w="211"/>
        <w:gridCol w:w="691"/>
        <w:gridCol w:w="146"/>
        <w:gridCol w:w="146"/>
        <w:gridCol w:w="211"/>
        <w:gridCol w:w="691"/>
        <w:gridCol w:w="681"/>
      </w:tblGrid>
      <w:tr>
        <w:trPr/>
        <w:tc>
          <w:tcPr>
            <w:tcW w:w="60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608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24"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0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8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08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paid for amounts included in the measurement of lease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088"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cash flows from operating leases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6,443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3,550</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088"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cash flows from finance leases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2,547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088"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Financing cash flows from finance leases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3,101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1,286</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36"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08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Right-of-use assets obtained in exchange for lease obligations: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088"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leases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4,555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7,826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6,703</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088"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Finance leases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24,608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20,511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11,633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Supplemental balance sheet information related to leases was as follows:</w:t>
      </w:r>
    </w:p>
    <w:p>
      <w:pPr>
        <w:pStyle w:val="TextBody"/>
        <w:bidi w:val="0"/>
        <w:jc w:val="both"/>
        <w:rPr/>
      </w:pPr>
      <w:r>
        <w:rPr/>
        <w:t> </w:t>
      </w:r>
    </w:p>
    <w:tbl>
      <w:tblPr>
        <w:tblW w:w="6964" w:type="dxa"/>
        <w:jc w:val="left"/>
        <w:tblInd w:w="0" w:type="dxa"/>
        <w:tblLayout w:type="fixed"/>
        <w:tblCellMar>
          <w:top w:w="28" w:type="dxa"/>
          <w:left w:w="28" w:type="dxa"/>
          <w:bottom w:w="28" w:type="dxa"/>
          <w:right w:w="28" w:type="dxa"/>
        </w:tblCellMar>
      </w:tblPr>
      <w:tblGrid>
        <w:gridCol w:w="3706"/>
        <w:gridCol w:w="146"/>
        <w:gridCol w:w="211"/>
        <w:gridCol w:w="856"/>
        <w:gridCol w:w="166"/>
        <w:gridCol w:w="146"/>
        <w:gridCol w:w="211"/>
        <w:gridCol w:w="841"/>
        <w:gridCol w:w="681"/>
      </w:tblGrid>
      <w:tr>
        <w:trPr/>
        <w:tc>
          <w:tcPr>
            <w:tcW w:w="3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lease term and discount 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87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87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Operating Leases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right-of-use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24,177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24,823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5,393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5,424</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16,532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17,437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operating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21,925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22,861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Finance Leases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Property and equipment, at cost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82,712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53,876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Accumulated depreciation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(15,431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(9,861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Property and equipment,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67,281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44,015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4,290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62,304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43,000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finance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66,594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46,172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Weighted Average Remaining Lease Term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b/>
                <w:color w:val="000000"/>
                <w:sz w:val="20"/>
              </w:rPr>
              <w:t>6</w:t>
            </w:r>
            <w:r>
              <w:rPr>
                <w:rFonts w:ascii="Times New Roman" w:hAnsi="Times New Roman"/>
                <w:color w:val="000000"/>
                <w:sz w:val="20"/>
              </w:rPr>
              <w:t> </w:t>
            </w:r>
            <w:r>
              <w:rPr>
                <w:rFonts w:ascii="Arial" w:hAnsi="Arial"/>
                <w:b/>
                <w:color w:val="000000"/>
                <w:sz w:val="20"/>
              </w:rPr>
              <w:t>years</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6</w:t>
            </w:r>
            <w:r>
              <w:rPr>
                <w:rFonts w:ascii="Times New Roman" w:hAnsi="Times New Roman"/>
                <w:color w:val="000000"/>
                <w:sz w:val="20"/>
              </w:rPr>
              <w:t> </w:t>
            </w:r>
            <w:r>
              <w:rPr>
                <w:rFonts w:ascii="Arial" w:hAnsi="Arial"/>
                <w:color w:val="000000"/>
                <w:sz w:val="20"/>
              </w:rPr>
              <w:t>years</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Finance leases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b/>
                <w:color w:val="000000"/>
                <w:sz w:val="20"/>
              </w:rPr>
              <w:t>13</w:t>
            </w:r>
            <w:r>
              <w:rPr>
                <w:rFonts w:ascii="Times New Roman" w:hAnsi="Times New Roman"/>
                <w:color w:val="000000"/>
                <w:sz w:val="20"/>
              </w:rPr>
              <w:t> </w:t>
            </w:r>
            <w:r>
              <w:rPr>
                <w:rFonts w:ascii="Arial" w:hAnsi="Arial"/>
                <w:b/>
                <w:color w:val="000000"/>
                <w:sz w:val="20"/>
              </w:rPr>
              <w:t>years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13</w:t>
            </w:r>
            <w:r>
              <w:rPr>
                <w:rFonts w:ascii="Times New Roman" w:hAnsi="Times New Roman"/>
                <w:color w:val="000000"/>
                <w:sz w:val="20"/>
              </w:rPr>
              <w:t> </w:t>
            </w:r>
            <w:r>
              <w:rPr>
                <w:rFonts w:ascii="Arial" w:hAnsi="Arial"/>
                <w:color w:val="000000"/>
                <w:sz w:val="20"/>
              </w:rPr>
              <w:t>years</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Weighted Average Discount 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Finance leases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following table outlines maturities of our lease liabilities as of June 30, 2026:</w:t>
      </w:r>
    </w:p>
    <w:p>
      <w:pPr>
        <w:pStyle w:val="TextBody"/>
        <w:bidi w:val="0"/>
        <w:jc w:val="both"/>
        <w:rPr/>
      </w:pPr>
      <w:r>
        <w:rPr/>
        <w:t> </w:t>
      </w:r>
    </w:p>
    <w:tbl>
      <w:tblPr>
        <w:tblW w:w="5489" w:type="dxa"/>
        <w:jc w:val="left"/>
        <w:tblInd w:w="0" w:type="dxa"/>
        <w:tblLayout w:type="fixed"/>
        <w:tblCellMar>
          <w:top w:w="28" w:type="dxa"/>
          <w:left w:w="28" w:type="dxa"/>
          <w:bottom w:w="28" w:type="dxa"/>
          <w:right w:w="28" w:type="dxa"/>
        </w:tblCellMar>
      </w:tblPr>
      <w:tblGrid>
        <w:gridCol w:w="2486"/>
        <w:gridCol w:w="146"/>
        <w:gridCol w:w="211"/>
        <w:gridCol w:w="691"/>
        <w:gridCol w:w="166"/>
        <w:gridCol w:w="146"/>
        <w:gridCol w:w="211"/>
        <w:gridCol w:w="751"/>
        <w:gridCol w:w="681"/>
      </w:tblGrid>
      <w:tr>
        <w:trPr/>
        <w:tc>
          <w:tcPr>
            <w:tcW w:w="2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Ending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Operating</w:t>
            </w:r>
          </w:p>
          <w:p>
            <w:pPr>
              <w:pStyle w:val="TableContents"/>
              <w:bidi w:val="0"/>
              <w:spacing w:before="0" w:after="283"/>
              <w:jc w:val="right"/>
              <w:rPr>
                <w:color w:val="000000"/>
              </w:rPr>
            </w:pPr>
            <w:r>
              <w:rPr>
                <w:color w:val="000000"/>
              </w:rPr>
              <w:t> </w:t>
            </w:r>
            <w:r>
              <w:rPr>
                <w:rFonts w:ascii="Arial" w:hAnsi="Arial"/>
                <w:b/>
                <w:color w:val="000000"/>
                <w:sz w:val="15"/>
              </w:rPr>
              <w:t>Leases</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Finance</w:t>
            </w:r>
          </w:p>
          <w:p>
            <w:pPr>
              <w:pStyle w:val="TableContents"/>
              <w:bidi w:val="0"/>
              <w:spacing w:before="0" w:after="283"/>
              <w:jc w:val="right"/>
              <w:rPr>
                <w:color w:val="000000"/>
              </w:rPr>
            </w:pPr>
            <w:r>
              <w:rPr>
                <w:color w:val="000000"/>
              </w:rPr>
              <w:t> </w:t>
            </w:r>
            <w:r>
              <w:rPr>
                <w:rFonts w:ascii="Arial" w:hAnsi="Arial"/>
                <w:b/>
                <w:color w:val="000000"/>
                <w:sz w:val="15"/>
              </w:rPr>
              <w:t>Leases</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8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4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6,082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7,121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4,334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7,294</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4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3,146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6,668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4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2,612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6,570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48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2031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2,316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6,543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Thereafter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6,216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55,490</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48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lease payments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24,706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89,686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48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Less imputed interest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(2,781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(23,092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r>
      <w:tr>
        <w:trPr/>
        <w:tc>
          <w:tcPr>
            <w:tcW w:w="24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248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48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21,925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66,594</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As of June 30, 2026, we had additional leases, primarily for datacenters, that had not yet commenced of $329.1</w:t>
      </w:r>
      <w:r>
        <w:rPr>
          <w:rFonts w:ascii="Times New Roman" w:hAnsi="Times New Roman"/>
          <w:color w:val="000000"/>
          <w:sz w:val="20"/>
        </w:rPr>
        <w:t xml:space="preserve"> </w:t>
      </w:r>
      <w:r>
        <w:rPr>
          <w:rFonts w:ascii="Arial" w:hAnsi="Arial"/>
          <w:color w:val="000000"/>
          <w:sz w:val="20"/>
        </w:rPr>
        <w:t>billion, with some arrangements subject to certain contractual conditions being met. These leases will commence between fiscal year 2027 and fiscal year 2033 with lease terms of 1</w:t>
      </w:r>
      <w:r>
        <w:rPr>
          <w:rFonts w:ascii="Times New Roman" w:hAnsi="Times New Roman"/>
          <w:color w:val="000000"/>
          <w:sz w:val="20"/>
        </w:rPr>
        <w:t xml:space="preserve"> </w:t>
      </w:r>
      <w:r>
        <w:rPr>
          <w:rFonts w:ascii="Arial" w:hAnsi="Arial"/>
          <w:color w:val="000000"/>
          <w:sz w:val="20"/>
        </w:rPr>
        <w:t>year to 20</w:t>
      </w:r>
      <w:r>
        <w:rPr>
          <w:rFonts w:ascii="Times New Roman" w:hAnsi="Times New Roman"/>
          <w:color w:val="000000"/>
          <w:sz w:val="20"/>
        </w:rPr>
        <w:t xml:space="preserve"> </w:t>
      </w:r>
      <w:r>
        <w:rPr>
          <w:rFonts w:ascii="Arial" w:hAnsi="Arial"/>
          <w:color w:val="000000"/>
          <w:sz w:val="20"/>
        </w:rPr>
        <w:t>years.</w:t>
      </w:r>
    </w:p>
    <w:p>
      <w:pPr>
        <w:pStyle w:val="TextBody"/>
        <w:bidi w:val="0"/>
        <w:spacing w:before="240" w:after="283"/>
        <w:jc w:val="center"/>
        <w:rPr>
          <w:rFonts w:ascii="Arial" w:hAnsi="Arial"/>
          <w:color w:val="000000"/>
          <w:sz w:val="16"/>
        </w:rPr>
      </w:pPr>
      <w:r>
        <w:rPr>
          <w:rFonts w:ascii="Arial" w:hAnsi="Arial"/>
          <w:color w:val="000000"/>
          <w:sz w:val="16"/>
        </w:rPr>
        <w:t>78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NOTE 14 — CONTINGENCIES</w:t>
      </w:r>
    </w:p>
    <w:p>
      <w:pPr>
        <w:pStyle w:val="TextBody"/>
        <w:bidi w:val="0"/>
        <w:spacing w:before="180" w:after="283"/>
        <w:jc w:val="left"/>
        <w:rPr>
          <w:rFonts w:ascii="Arial" w:hAnsi="Arial"/>
          <w:b/>
          <w:color w:val="000000"/>
          <w:sz w:val="20"/>
        </w:rPr>
      </w:pPr>
      <w:r>
        <w:rPr>
          <w:rFonts w:ascii="Arial" w:hAnsi="Arial"/>
          <w:b/>
          <w:color w:val="000000"/>
          <w:sz w:val="20"/>
        </w:rPr>
        <w:t>Irish Data Protection Commission Matter</w:t>
      </w:r>
    </w:p>
    <w:p>
      <w:pPr>
        <w:pStyle w:val="TextBody"/>
        <w:bidi w:val="0"/>
        <w:spacing w:before="180" w:after="283"/>
        <w:jc w:val="both"/>
        <w:rPr>
          <w:rFonts w:ascii="Arial" w:hAnsi="Arial"/>
          <w:color w:val="000000"/>
          <w:sz w:val="20"/>
        </w:rPr>
      </w:pPr>
      <w:r>
        <w:rPr>
          <w:rFonts w:ascii="Arial" w:hAnsi="Arial"/>
          <w:color w:val="000000"/>
          <w:sz w:val="20"/>
        </w:rPr>
        <w:t>In 2018, the Irish Data Protection Commission (“IDPC”) began investigating a complaint against LinkedIn as to whether LinkedIn’s targeted advertising practices violated the recently implemented European Union General Data Protection Regulation (“GDPR”). Microsoft cooperated throughout the period of inquiry. In October 2024, the IDPC provided LinkedIn with a final decision alleging GDPR violations and assessing a fine. In November 2024, LinkedIn appealed the final decision. A preliminary hearing was held in December 2025. The court issued a ruling on the standard of appeal, which the IDPC may appeal.</w:t>
      </w:r>
    </w:p>
    <w:p>
      <w:pPr>
        <w:pStyle w:val="TextBody"/>
        <w:bidi w:val="0"/>
        <w:spacing w:before="270" w:after="283"/>
        <w:jc w:val="left"/>
        <w:rPr>
          <w:rFonts w:ascii="Times New Roman" w:hAnsi="Times New Roman"/>
          <w:sz w:val="20"/>
        </w:rPr>
      </w:pPr>
      <w:r>
        <w:rPr>
          <w:rFonts w:ascii="Arial" w:hAnsi="Arial"/>
          <w:b/>
          <w:color w:val="000000"/>
          <w:sz w:val="20"/>
        </w:rPr>
        <w:t>Other Contingencies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of June 30, 2026, we accrued aggregate legal liabilities of $553</w:t>
      </w:r>
      <w:r>
        <w:rPr>
          <w:rFonts w:ascii="Times New Roman" w:hAnsi="Times New Roman"/>
          <w:color w:val="000000"/>
          <w:sz w:val="20"/>
        </w:rPr>
        <w:t xml:space="preserve"> </w:t>
      </w:r>
      <w:r>
        <w:rPr>
          <w:rFonts w:ascii="Arial" w:hAnsi="Arial"/>
          <w:color w:val="000000"/>
          <w:sz w:val="20"/>
        </w:rPr>
        <w:t>million. While we intend to defend these matters vigorously, adverse outcomes that we estimate could reach approximately $400</w:t>
      </w:r>
      <w:r>
        <w:rPr>
          <w:rFonts w:ascii="Times New Roman" w:hAnsi="Times New Roman"/>
          <w:color w:val="000000"/>
          <w:sz w:val="20"/>
        </w:rPr>
        <w:t xml:space="preserve"> </w:t>
      </w:r>
      <w:r>
        <w:rPr>
          <w:rFonts w:ascii="Arial" w:hAnsi="Arial"/>
          <w:color w:val="000000"/>
          <w:sz w:val="20"/>
        </w:rPr>
        <w:t>million in aggregate beyond recorded amounts are reasonably possible. Were unfavorable final outcomes to occur, there exists the possibility of a material adverse impact in our consolidated financial statements for the period in which the effects become reasonably estimable.</w:t>
      </w:r>
      <w:r>
        <w:rPr>
          <w:rFonts w:ascii="Times New Roman" w:hAnsi="Times New Roman"/>
          <w:color w:val="000000"/>
          <w:sz w:val="20"/>
        </w:rPr>
        <w:t xml:space="preserve"> </w:t>
      </w:r>
    </w:p>
    <w:p>
      <w:pPr>
        <w:pStyle w:val="TextBody"/>
        <w:bidi w:val="0"/>
        <w:spacing w:before="270" w:after="283"/>
        <w:jc w:val="center"/>
        <w:rPr>
          <w:rFonts w:ascii="Times New Roman" w:hAnsi="Times New Roman"/>
          <w:sz w:val="20"/>
        </w:rPr>
      </w:pPr>
      <w:r>
        <w:rPr>
          <w:rFonts w:ascii="Arial" w:hAnsi="Arial"/>
          <w:color w:val="000000"/>
          <w:sz w:val="20"/>
          <w:u w:val="single"/>
        </w:rPr>
        <w:t>NOTE 15 — STOCKHOLDERS’ EQUITY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color w:val="000000"/>
          <w:sz w:val="20"/>
        </w:rPr>
        <w:t>Shares Outstanding</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Shares of common stock outstanding were as follows:</w:t>
      </w:r>
    </w:p>
    <w:p>
      <w:pPr>
        <w:pStyle w:val="TextBody"/>
        <w:bidi w:val="0"/>
        <w:jc w:val="both"/>
        <w:rPr/>
      </w:pPr>
      <w:r>
        <w:rPr/>
        <w:t> </w:t>
      </w:r>
    </w:p>
    <w:tbl>
      <w:tblPr>
        <w:tblW w:w="6323" w:type="dxa"/>
        <w:jc w:val="left"/>
        <w:tblInd w:w="0" w:type="dxa"/>
        <w:tblLayout w:type="fixed"/>
        <w:tblCellMar>
          <w:top w:w="28" w:type="dxa"/>
          <w:left w:w="28" w:type="dxa"/>
          <w:bottom w:w="28" w:type="dxa"/>
          <w:right w:w="28" w:type="dxa"/>
        </w:tblCellMar>
      </w:tblPr>
      <w:tblGrid>
        <w:gridCol w:w="2676"/>
        <w:gridCol w:w="146"/>
        <w:gridCol w:w="146"/>
        <w:gridCol w:w="586"/>
        <w:gridCol w:w="166"/>
        <w:gridCol w:w="146"/>
        <w:gridCol w:w="146"/>
        <w:gridCol w:w="586"/>
        <w:gridCol w:w="166"/>
        <w:gridCol w:w="146"/>
        <w:gridCol w:w="146"/>
        <w:gridCol w:w="586"/>
        <w:gridCol w:w="681"/>
      </w:tblGrid>
      <w:tr>
        <w:trPr/>
        <w:tc>
          <w:tcPr>
            <w:tcW w:w="2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26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42"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55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year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7,434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67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Issued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6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Repurchased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5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5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end of year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7,427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both"/>
        <w:rPr>
          <w:rFonts w:ascii="Arial" w:hAnsi="Arial"/>
          <w:b/>
          <w:color w:val="000000"/>
          <w:sz w:val="20"/>
        </w:rPr>
      </w:pPr>
      <w:r>
        <w:rPr>
          <w:rFonts w:ascii="Arial" w:hAnsi="Arial"/>
          <w:b/>
          <w:color w:val="000000"/>
          <w:sz w:val="20"/>
        </w:rPr>
        <w:t>Share Repurchases</w:t>
      </w:r>
    </w:p>
    <w:p>
      <w:pPr>
        <w:pStyle w:val="TextBody"/>
        <w:bidi w:val="0"/>
        <w:spacing w:before="180" w:after="283"/>
        <w:jc w:val="both"/>
        <w:rPr>
          <w:rFonts w:ascii="Times New Roman" w:hAnsi="Times New Roman"/>
          <w:sz w:val="20"/>
        </w:rPr>
      </w:pPr>
      <w:r>
        <w:rPr>
          <w:rFonts w:ascii="Arial" w:hAnsi="Arial"/>
          <w:color w:val="000000"/>
          <w:sz w:val="20"/>
        </w:rPr>
        <w:t>On September 14, 2021, our Board of Directors approved a share repurchase program authorizing up to $60.0</w:t>
      </w:r>
      <w:r>
        <w:rPr>
          <w:rFonts w:ascii="Times New Roman" w:hAnsi="Times New Roman"/>
          <w:color w:val="000000"/>
          <w:sz w:val="20"/>
        </w:rPr>
        <w:t xml:space="preserve"> </w:t>
      </w:r>
      <w:r>
        <w:rPr>
          <w:rFonts w:ascii="Arial" w:hAnsi="Arial"/>
          <w:color w:val="000000"/>
          <w:sz w:val="20"/>
        </w:rPr>
        <w:t>billion in share repurchases. This share repurchase program commenced in November 2021 and was completed in April 2025.</w:t>
      </w:r>
    </w:p>
    <w:p>
      <w:pPr>
        <w:pStyle w:val="TextBody"/>
        <w:bidi w:val="0"/>
        <w:spacing w:before="180" w:after="283"/>
        <w:jc w:val="both"/>
        <w:rPr>
          <w:rFonts w:ascii="Times New Roman" w:hAnsi="Times New Roman"/>
          <w:sz w:val="20"/>
        </w:rPr>
      </w:pPr>
      <w:r>
        <w:rPr>
          <w:rFonts w:ascii="Arial" w:hAnsi="Arial"/>
          <w:color w:val="000000"/>
          <w:sz w:val="20"/>
        </w:rPr>
        <w:t>On September 16, 2024, our Board of Directors approved a share repurchase program authorizing up to $60.0</w:t>
      </w:r>
      <w:r>
        <w:rPr>
          <w:rFonts w:ascii="Times New Roman" w:hAnsi="Times New Roman"/>
          <w:color w:val="000000"/>
          <w:sz w:val="20"/>
        </w:rPr>
        <w:t xml:space="preserve"> </w:t>
      </w:r>
      <w:r>
        <w:rPr>
          <w:rFonts w:ascii="Arial" w:hAnsi="Arial"/>
          <w:color w:val="000000"/>
          <w:sz w:val="20"/>
        </w:rPr>
        <w:t>billion in share repurchases. This share repurchase program commenced in April 2025, following completion of the program approved on September 14, 2021, has no expiration date, and may be terminated at any time. As of June 30, 2026, $40.6</w:t>
      </w:r>
      <w:r>
        <w:rPr>
          <w:rFonts w:ascii="Times New Roman" w:hAnsi="Times New Roman"/>
          <w:color w:val="000000"/>
          <w:sz w:val="20"/>
        </w:rPr>
        <w:t xml:space="preserve"> </w:t>
      </w:r>
      <w:r>
        <w:rPr>
          <w:rFonts w:ascii="Arial" w:hAnsi="Arial"/>
          <w:color w:val="000000"/>
          <w:sz w:val="20"/>
        </w:rPr>
        <w:t>billion remained of this $60.0</w:t>
      </w:r>
      <w:r>
        <w:rPr>
          <w:rFonts w:ascii="Times New Roman" w:hAnsi="Times New Roman"/>
          <w:color w:val="000000"/>
          <w:sz w:val="20"/>
        </w:rPr>
        <w:t xml:space="preserve"> </w:t>
      </w:r>
      <w:r>
        <w:rPr>
          <w:rFonts w:ascii="Arial" w:hAnsi="Arial"/>
          <w:color w:val="000000"/>
          <w:sz w:val="20"/>
        </w:rPr>
        <w:t>billion share repurchase program.</w:t>
      </w:r>
    </w:p>
    <w:p>
      <w:pPr>
        <w:pStyle w:val="TextBody"/>
        <w:bidi w:val="0"/>
        <w:spacing w:before="180" w:after="283"/>
        <w:jc w:val="both"/>
        <w:rPr>
          <w:rFonts w:ascii="Arial" w:hAnsi="Arial"/>
          <w:color w:val="000000"/>
          <w:sz w:val="20"/>
        </w:rPr>
      </w:pPr>
      <w:r>
        <w:rPr>
          <w:rFonts w:ascii="Arial" w:hAnsi="Arial"/>
          <w:color w:val="000000"/>
          <w:sz w:val="20"/>
        </w:rPr>
        <w:t>We repurchased the following shares of common stock under the share repurchase programs:</w:t>
      </w:r>
    </w:p>
    <w:p>
      <w:pPr>
        <w:pStyle w:val="TextBody"/>
        <w:bidi w:val="0"/>
        <w:jc w:val="both"/>
        <w:rPr/>
      </w:pPr>
      <w:r>
        <w:rPr/>
        <w:t> </w:t>
      </w:r>
    </w:p>
    <w:tbl>
      <w:tblPr>
        <w:tblW w:w="8580" w:type="dxa"/>
        <w:jc w:val="left"/>
        <w:tblInd w:w="0" w:type="dxa"/>
        <w:tblLayout w:type="fixed"/>
        <w:tblCellMar>
          <w:top w:w="28" w:type="dxa"/>
          <w:left w:w="28" w:type="dxa"/>
          <w:bottom w:w="28" w:type="dxa"/>
          <w:right w:w="28" w:type="dxa"/>
        </w:tblCellMar>
      </w:tblPr>
      <w:tblGrid>
        <w:gridCol w:w="1731"/>
        <w:gridCol w:w="109"/>
        <w:gridCol w:w="161"/>
        <w:gridCol w:w="470"/>
        <w:gridCol w:w="146"/>
        <w:gridCol w:w="146"/>
        <w:gridCol w:w="211"/>
        <w:gridCol w:w="691"/>
        <w:gridCol w:w="146"/>
        <w:gridCol w:w="146"/>
        <w:gridCol w:w="199"/>
        <w:gridCol w:w="432"/>
        <w:gridCol w:w="146"/>
        <w:gridCol w:w="146"/>
        <w:gridCol w:w="211"/>
        <w:gridCol w:w="691"/>
        <w:gridCol w:w="146"/>
        <w:gridCol w:w="146"/>
        <w:gridCol w:w="199"/>
        <w:gridCol w:w="432"/>
        <w:gridCol w:w="146"/>
        <w:gridCol w:w="146"/>
        <w:gridCol w:w="211"/>
        <w:gridCol w:w="691"/>
        <w:gridCol w:w="681"/>
      </w:tblGrid>
      <w:tr>
        <w:trPr/>
        <w:tc>
          <w:tcPr>
            <w:tcW w:w="1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9" w:type="dxa"/>
            <w:tcBorders/>
            <w:shd w:fill="FFFFFF" w:val="clear"/>
            <w:vAlign w:val="center"/>
          </w:tcPr>
          <w:p>
            <w:pPr>
              <w:pStyle w:val="TableContents"/>
              <w:bidi w:val="0"/>
              <w:spacing w:before="0" w:after="283"/>
              <w:jc w:val="left"/>
              <w:rPr>
                <w:sz w:val="4"/>
                <w:szCs w:val="4"/>
              </w:rPr>
            </w:pPr>
            <w:r>
              <w:rPr>
                <w:sz w:val="4"/>
                <w:szCs w:val="4"/>
              </w:rPr>
            </w:r>
          </w:p>
        </w:tc>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9" w:type="dxa"/>
            <w:tcBorders/>
            <w:shd w:fill="FFFFFF" w:val="clear"/>
            <w:vAlign w:val="center"/>
          </w:tcPr>
          <w:p>
            <w:pPr>
              <w:pStyle w:val="TableContents"/>
              <w:bidi w:val="0"/>
              <w:spacing w:before="0" w:after="283"/>
              <w:jc w:val="left"/>
              <w:rPr>
                <w:sz w:val="4"/>
                <w:szCs w:val="4"/>
              </w:rPr>
            </w:pPr>
            <w:r>
              <w:rPr>
                <w:sz w:val="4"/>
                <w:szCs w:val="4"/>
              </w:rPr>
            </w:r>
          </w:p>
        </w:tc>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17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Shares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Shares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Shares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9" w:type="dxa"/>
            <w:gridSpan w:val="2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194"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194"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923"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048"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7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First Quarter</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3,955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7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Second Quarter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5,964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7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Third Quarter</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7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Fourth Quarter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1"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71"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73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16,719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11,960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79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jc w:val="both"/>
        <w:rPr>
          <w:rFonts w:ascii="Times New Roman" w:hAnsi="Times New Roman"/>
          <w:sz w:val="20"/>
        </w:rPr>
      </w:pPr>
      <w:r>
        <w:rPr>
          <w:rFonts w:ascii="Arial" w:hAnsi="Arial"/>
          <w:color w:val="000000"/>
          <w:sz w:val="20"/>
        </w:rPr>
        <w:t>All share repurchases were made using cash resources. Shares repurchased during fiscal year 2026 were under the share repurchase program approved on September 16, 2024. Shares repurchased during the fourth quarter of fiscal year 2025 were under the share repurchase programs approved on September 14, 2021 and September 16, 2024. All other shares repurchased were under the share repurchase program approved on September 14, 2021. The above table excludes shares repurchased to settle employee tax withholding related to the vesting of stock awards of $5.6</w:t>
      </w:r>
      <w:r>
        <w:rPr>
          <w:rFonts w:ascii="Times New Roman" w:hAnsi="Times New Roman"/>
          <w:color w:val="000000"/>
          <w:sz w:val="20"/>
        </w:rPr>
        <w:t xml:space="preserve"> </w:t>
      </w:r>
      <w:r>
        <w:rPr>
          <w:rFonts w:ascii="Arial" w:hAnsi="Arial"/>
          <w:color w:val="000000"/>
          <w:sz w:val="20"/>
        </w:rPr>
        <w:t>billion, $5.4</w:t>
      </w:r>
      <w:r>
        <w:rPr>
          <w:rFonts w:ascii="Times New Roman" w:hAnsi="Times New Roman"/>
          <w:color w:val="000000"/>
          <w:sz w:val="20"/>
        </w:rPr>
        <w:t xml:space="preserve"> </w:t>
      </w:r>
      <w:r>
        <w:rPr>
          <w:rFonts w:ascii="Arial" w:hAnsi="Arial"/>
          <w:color w:val="000000"/>
          <w:sz w:val="20"/>
        </w:rPr>
        <w:t>billion, and $5.3</w:t>
      </w:r>
      <w:r>
        <w:rPr>
          <w:rFonts w:ascii="Times New Roman" w:hAnsi="Times New Roman"/>
          <w:color w:val="000000"/>
          <w:sz w:val="20"/>
        </w:rPr>
        <w:t xml:space="preserve"> </w:t>
      </w:r>
      <w:r>
        <w:rPr>
          <w:rFonts w:ascii="Arial" w:hAnsi="Arial"/>
          <w:color w:val="000000"/>
          <w:sz w:val="20"/>
        </w:rPr>
        <w:t>billion for fiscal years 2026, 2025, and 2024, respectively.</w:t>
      </w:r>
    </w:p>
    <w:p>
      <w:pPr>
        <w:pStyle w:val="TextBody"/>
        <w:bidi w:val="0"/>
        <w:spacing w:before="270" w:after="283"/>
        <w:jc w:val="both"/>
        <w:rPr>
          <w:rFonts w:ascii="Times New Roman" w:hAnsi="Times New Roman"/>
          <w:sz w:val="20"/>
        </w:rPr>
      </w:pPr>
      <w:r>
        <w:rPr>
          <w:rFonts w:ascii="Arial" w:hAnsi="Arial"/>
          <w:b/>
          <w:color w:val="000000"/>
          <w:sz w:val="20"/>
        </w:rPr>
        <w:t>Dividends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Board of Directors declared the following dividends:</w:t>
      </w:r>
    </w:p>
    <w:p>
      <w:pPr>
        <w:pStyle w:val="TextBody"/>
        <w:bidi w:val="0"/>
        <w:jc w:val="both"/>
        <w:rPr/>
      </w:pPr>
      <w:r>
        <w:rPr/>
        <w:t> </w:t>
      </w:r>
    </w:p>
    <w:tbl>
      <w:tblPr>
        <w:tblW w:w="9657" w:type="dxa"/>
        <w:jc w:val="left"/>
        <w:tblInd w:w="0" w:type="dxa"/>
        <w:tblLayout w:type="fixed"/>
        <w:tblCellMar>
          <w:top w:w="28" w:type="dxa"/>
          <w:left w:w="28" w:type="dxa"/>
          <w:bottom w:w="28" w:type="dxa"/>
          <w:right w:w="28" w:type="dxa"/>
        </w:tblCellMar>
      </w:tblPr>
      <w:tblGrid>
        <w:gridCol w:w="2181"/>
        <w:gridCol w:w="146"/>
        <w:gridCol w:w="146"/>
        <w:gridCol w:w="1861"/>
        <w:gridCol w:w="146"/>
        <w:gridCol w:w="146"/>
        <w:gridCol w:w="146"/>
        <w:gridCol w:w="1921"/>
        <w:gridCol w:w="146"/>
        <w:gridCol w:w="154"/>
        <w:gridCol w:w="223"/>
        <w:gridCol w:w="508"/>
        <w:gridCol w:w="146"/>
        <w:gridCol w:w="146"/>
        <w:gridCol w:w="224"/>
        <w:gridCol w:w="736"/>
        <w:gridCol w:w="681"/>
      </w:tblGrid>
      <w:tr>
        <w:trPr/>
        <w:tc>
          <w:tcPr>
            <w:tcW w:w="21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c>
          <w:tcPr>
            <w:tcW w:w="223" w:type="dxa"/>
            <w:tcBorders/>
            <w:shd w:fill="FFFFFF" w:val="clear"/>
            <w:vAlign w:val="center"/>
          </w:tcPr>
          <w:p>
            <w:pPr>
              <w:pStyle w:val="TableContents"/>
              <w:bidi w:val="0"/>
              <w:spacing w:before="0" w:after="283"/>
              <w:jc w:val="left"/>
              <w:rPr>
                <w:sz w:val="4"/>
                <w:szCs w:val="4"/>
              </w:rPr>
            </w:pPr>
            <w:r>
              <w:rPr>
                <w:sz w:val="4"/>
                <w:szCs w:val="4"/>
              </w:rPr>
            </w:r>
          </w:p>
        </w:tc>
        <w:tc>
          <w:tcPr>
            <w:tcW w:w="50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4"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21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Declaration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Record Date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Payment Date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85" w:type="dxa"/>
            <w:gridSpan w:val="3"/>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Dividend</w:t>
            </w:r>
          </w:p>
          <w:p>
            <w:pPr>
              <w:pStyle w:val="TableContents"/>
              <w:bidi w:val="0"/>
              <w:spacing w:before="0" w:after="283"/>
              <w:jc w:val="right"/>
              <w:rPr>
                <w:rFonts w:ascii="Times New Roman" w:hAnsi="Times New Roman"/>
                <w:sz w:val="15"/>
              </w:rPr>
            </w:pPr>
            <w:r>
              <w:rPr>
                <w:rFonts w:ascii="Arial" w:hAnsi="Arial"/>
                <w:b/>
                <w:color w:val="000000"/>
                <w:sz w:val="15"/>
              </w:rPr>
              <w:t>Per Share</w:t>
            </w:r>
            <w:r>
              <w:rPr>
                <w:rFonts w:ascii="Times New Roman" w:hAnsi="Times New Roman"/>
                <w:color w:val="000000"/>
                <w:sz w:val="15"/>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5"/>
              </w:rPr>
            </w:pPr>
            <w:r>
              <w:rPr>
                <w:rFonts w:ascii="Arial" w:hAnsi="Arial"/>
                <w:b/>
                <w:color w:val="000000"/>
                <w:sz w:val="15"/>
              </w:rPr>
              <w:t>Amount</w:t>
            </w:r>
            <w:r>
              <w:rPr>
                <w:rFonts w:ascii="Times New Roman" w:hAnsi="Times New Roman"/>
                <w:color w:val="000000"/>
                <w:sz w:val="15"/>
              </w:rPr>
              <w:t xml:space="preserve">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76" w:type="dxa"/>
            <w:gridSpan w:val="1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76" w:type="dxa"/>
            <w:gridSpan w:val="1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1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Fiscal Year 2026</w:t>
            </w:r>
          </w:p>
        </w:tc>
        <w:tc>
          <w:tcPr>
            <w:tcW w:w="215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September 15,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November 20,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9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December 11,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0.91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6,762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December 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February 19,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March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6,756</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March 10, 2026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May 21, 2026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9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June 11, 2026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0.91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6,758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June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August 20,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September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6,759</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1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1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b/>
                <w:color w:val="000000"/>
                <w:sz w:val="20"/>
              </w:rPr>
            </w:pPr>
            <w:r>
              <w:rPr>
                <w:rFonts w:ascii="Arial" w:hAnsi="Arial"/>
                <w:b/>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27,035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shd w:fill="FFFFFF" w:val="clear"/>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Fiscal Year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18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September 16,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November 21,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9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December 12,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6,170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December 3,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February 20, 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March 13,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6,169</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1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March 11,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May 15,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9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June 12,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June 10,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August 21, 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September 11,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6,168</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1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24,676</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dividend declared on June 10, 2026 was included in other current liabilities as of June 30, 2026.</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80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NOTE 16 — ACCUMULATED OTHER COMPREHENSIVE INCOME (LOSS)</w:t>
      </w:r>
    </w:p>
    <w:p>
      <w:pPr>
        <w:pStyle w:val="TextBody"/>
        <w:bidi w:val="0"/>
        <w:spacing w:before="180" w:after="283"/>
        <w:jc w:val="both"/>
        <w:rPr>
          <w:rFonts w:ascii="Arial" w:hAnsi="Arial"/>
          <w:color w:val="000000"/>
          <w:sz w:val="20"/>
        </w:rPr>
      </w:pPr>
      <w:r>
        <w:rPr>
          <w:rFonts w:ascii="Arial" w:hAnsi="Arial"/>
          <w:color w:val="000000"/>
          <w:sz w:val="20"/>
        </w:rPr>
        <w:t>The following table summarizes the changes in accumulated other comprehensive income (loss) by component: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19"/>
        <w:gridCol w:w="146"/>
        <w:gridCol w:w="211"/>
        <w:gridCol w:w="646"/>
        <w:gridCol w:w="197"/>
        <w:gridCol w:w="146"/>
        <w:gridCol w:w="211"/>
        <w:gridCol w:w="646"/>
        <w:gridCol w:w="197"/>
        <w:gridCol w:w="146"/>
        <w:gridCol w:w="211"/>
        <w:gridCol w:w="646"/>
        <w:gridCol w:w="683"/>
      </w:tblGrid>
      <w:tr>
        <w:trPr/>
        <w:tc>
          <w:tcPr>
            <w:tcW w:w="61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9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9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683" w:type="dxa"/>
            <w:tcBorders/>
            <w:shd w:fill="FFFFFF" w:val="clear"/>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2"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Derivatives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200"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68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r>
      <w:tr>
        <w:trPr/>
        <w:tc>
          <w:tcPr>
            <w:tcW w:w="6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Unrealized gains (losses), net of tax of </w:t>
            </w:r>
            <w:r>
              <w:rPr>
                <w:rFonts w:ascii="Arial" w:hAnsi="Arial"/>
                <w:b/>
                <w:color w:val="000000"/>
                <w:sz w:val="20"/>
              </w:rPr>
              <w:t>$(11)</w:t>
            </w:r>
            <w:r>
              <w:rPr>
                <w:rFonts w:ascii="Arial" w:hAnsi="Arial"/>
                <w:color w:val="000000"/>
                <w:sz w:val="20"/>
              </w:rPr>
              <w:t>, $20, and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w:t>
            </w:r>
          </w:p>
        </w:tc>
        <w:tc>
          <w:tcPr>
            <w:tcW w:w="19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683"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6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Reclassification adjustments for (gains) losses included in other income (expense),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68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Tax expense (benefit) included in provision for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9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68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12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3"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119"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Amounts reclassified from accumulated other comprehensive loss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68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Net change related to derivatives, net of tax of </w:t>
            </w:r>
            <w:r>
              <w:rPr>
                <w:rFonts w:ascii="Arial" w:hAnsi="Arial"/>
                <w:b/>
                <w:color w:val="000000"/>
                <w:sz w:val="20"/>
              </w:rPr>
              <w:t>$2</w:t>
            </w:r>
            <w:r>
              <w:rPr>
                <w:rFonts w:ascii="Arial" w:hAnsi="Arial"/>
                <w:color w:val="000000"/>
                <w:sz w:val="20"/>
              </w:rPr>
              <w:t>, $(1), and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68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12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(1,051</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(2,625</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(3,582</w:t>
            </w:r>
          </w:p>
        </w:tc>
        <w:tc>
          <w:tcPr>
            <w:tcW w:w="68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6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Unrealized gains, net of tax of </w:t>
            </w:r>
            <w:r>
              <w:rPr>
                <w:rFonts w:ascii="Arial" w:hAnsi="Arial"/>
                <w:b/>
                <w:color w:val="000000"/>
                <w:sz w:val="20"/>
              </w:rPr>
              <w:t>$57</w:t>
            </w:r>
            <w:r>
              <w:rPr>
                <w:rFonts w:ascii="Arial" w:hAnsi="Arial"/>
                <w:color w:val="000000"/>
                <w:sz w:val="20"/>
              </w:rPr>
              <w:t>, $411, and $247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232</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1,560</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w:t>
            </w:r>
          </w:p>
        </w:tc>
        <w:tc>
          <w:tcPr>
            <w:tcW w:w="683"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Reclassification adjustments for (gains) losses included in other income (expense),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68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Tax expense (benefit) included in provision for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68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12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122"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3"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119"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Amounts reclassified from accumulated other comprehensive loss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68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122"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Net change related to investments, net of tax of </w:t>
            </w:r>
            <w:r>
              <w:rPr>
                <w:rFonts w:ascii="Arial" w:hAnsi="Arial"/>
                <w:b/>
                <w:color w:val="000000"/>
                <w:sz w:val="20"/>
              </w:rPr>
              <w:t>$53</w:t>
            </w:r>
            <w:r>
              <w:rPr>
                <w:rFonts w:ascii="Arial" w:hAnsi="Arial"/>
                <w:color w:val="000000"/>
                <w:sz w:val="20"/>
              </w:rPr>
              <w:t>, $414, and $258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215</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1,574</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w:t>
            </w:r>
          </w:p>
        </w:tc>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122"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(836</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(1,051</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(2,625</w:t>
            </w:r>
          </w:p>
        </w:tc>
        <w:tc>
          <w:tcPr>
            <w:tcW w:w="68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12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1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Translation Adjustments and Other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(2,288</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(2,962</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(2,734</w:t>
            </w:r>
          </w:p>
        </w:tc>
        <w:tc>
          <w:tcPr>
            <w:tcW w:w="683"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6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Translation adjustments and other, net of tax of </w:t>
            </w:r>
            <w:r>
              <w:rPr>
                <w:rFonts w:ascii="Arial" w:hAnsi="Arial"/>
                <w:b/>
                <w:color w:val="000000"/>
                <w:sz w:val="20"/>
              </w:rPr>
              <w:t>$0</w:t>
            </w:r>
            <w:r>
              <w:rPr>
                <w:rFonts w:ascii="Arial" w:hAnsi="Arial"/>
                <w:color w:val="000000"/>
                <w:sz w:val="20"/>
              </w:rPr>
              <w:t>, $8, and $0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(160</w:t>
            </w:r>
          </w:p>
        </w:tc>
        <w:tc>
          <w:tcPr>
            <w:tcW w:w="19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w:t>
            </w:r>
          </w:p>
        </w:tc>
        <w:tc>
          <w:tcPr>
            <w:tcW w:w="68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12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122"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(2,448</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(2,288</w:t>
            </w:r>
          </w:p>
        </w:tc>
        <w:tc>
          <w:tcPr>
            <w:tcW w:w="19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(2,962</w:t>
            </w:r>
          </w:p>
        </w:tc>
        <w:tc>
          <w:tcPr>
            <w:tcW w:w="68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122"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122"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Accumulated other comprehensive loss, end of period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(3,284</w:t>
            </w:r>
          </w:p>
        </w:tc>
        <w:tc>
          <w:tcPr>
            <w:tcW w:w="19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(3,347</w:t>
            </w:r>
          </w:p>
        </w:tc>
        <w:tc>
          <w:tcPr>
            <w:tcW w:w="1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(5,590</w:t>
            </w:r>
          </w:p>
        </w:tc>
        <w:tc>
          <w:tcPr>
            <w:tcW w:w="68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17 — EMPLOYEE STOCK AND SAVINGS PLANS</w:t>
      </w:r>
    </w:p>
    <w:p>
      <w:pPr>
        <w:pStyle w:val="TextBody"/>
        <w:bidi w:val="0"/>
        <w:spacing w:before="180" w:after="283"/>
        <w:jc w:val="both"/>
        <w:rPr>
          <w:rFonts w:ascii="Arial" w:hAnsi="Arial"/>
          <w:color w:val="000000"/>
          <w:sz w:val="20"/>
        </w:rPr>
      </w:pPr>
      <w:r>
        <w:rPr>
          <w:rFonts w:ascii="Arial" w:hAnsi="Arial"/>
          <w:color w:val="000000"/>
          <w:sz w:val="20"/>
        </w:rPr>
        <w:t>We grant stock-based compensation to employees and directors. Awards that expire or are canceled without delivery of shares generally become available for issuance under the plans. We issue new shares of Microsoft common stock to satisfy vesting of awards granted under our stock plans. We also have an ESPP for all eligible employees.</w:t>
      </w:r>
    </w:p>
    <w:p>
      <w:pPr>
        <w:pStyle w:val="TextBody"/>
        <w:bidi w:val="0"/>
        <w:spacing w:before="180" w:after="283"/>
        <w:jc w:val="both"/>
        <w:rPr>
          <w:rFonts w:ascii="Times New Roman" w:hAnsi="Times New Roman"/>
          <w:sz w:val="20"/>
        </w:rPr>
      </w:pPr>
      <w:r>
        <w:rPr>
          <w:rFonts w:ascii="Arial" w:hAnsi="Arial"/>
          <w:color w:val="000000"/>
          <w:sz w:val="20"/>
        </w:rPr>
        <w:t>Stock-based compensation expense and related income tax benefits were as follows:</w:t>
      </w:r>
      <w:r>
        <w:rPr>
          <w:rFonts w:ascii="Times New Roman" w:hAnsi="Times New Roman"/>
          <w:color w:val="000000"/>
          <w:sz w:val="20"/>
        </w:rPr>
        <w:t xml:space="preserve"> </w:t>
      </w:r>
    </w:p>
    <w:p>
      <w:pPr>
        <w:pStyle w:val="TextBody"/>
        <w:bidi w:val="0"/>
        <w:jc w:val="left"/>
        <w:rPr/>
      </w:pPr>
      <w:r>
        <w:rPr/>
        <w:t> </w:t>
      </w:r>
    </w:p>
    <w:tbl>
      <w:tblPr>
        <w:tblW w:w="8988" w:type="dxa"/>
        <w:jc w:val="left"/>
        <w:tblInd w:w="0" w:type="dxa"/>
        <w:tblLayout w:type="fixed"/>
        <w:tblCellMar>
          <w:top w:w="28" w:type="dxa"/>
          <w:left w:w="28" w:type="dxa"/>
          <w:bottom w:w="28" w:type="dxa"/>
          <w:right w:w="28" w:type="dxa"/>
        </w:tblCellMar>
      </w:tblPr>
      <w:tblGrid>
        <w:gridCol w:w="5361"/>
        <w:gridCol w:w="109"/>
        <w:gridCol w:w="211"/>
        <w:gridCol w:w="691"/>
        <w:gridCol w:w="109"/>
        <w:gridCol w:w="109"/>
        <w:gridCol w:w="211"/>
        <w:gridCol w:w="691"/>
        <w:gridCol w:w="109"/>
        <w:gridCol w:w="109"/>
        <w:gridCol w:w="211"/>
        <w:gridCol w:w="691"/>
        <w:gridCol w:w="376"/>
      </w:tblGrid>
      <w:tr>
        <w:trPr/>
        <w:tc>
          <w:tcPr>
            <w:tcW w:w="5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r>
      <w:tr>
        <w:trPr/>
        <w:tc>
          <w:tcPr>
            <w:tcW w:w="53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2"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120"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387" w:type="dxa"/>
            <w:gridSpan w:val="4"/>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5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Stock-based compensation expense</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12,405</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11,974</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10,734</w:t>
            </w:r>
          </w:p>
        </w:tc>
        <w:tc>
          <w:tcPr>
            <w:tcW w:w="3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3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Income tax benefits related to stock-based compensation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1,826</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2"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left"/>
        <w:rPr>
          <w:rFonts w:ascii="Arial" w:hAnsi="Arial"/>
          <w:b/>
          <w:color w:val="000000"/>
          <w:sz w:val="20"/>
        </w:rPr>
      </w:pPr>
      <w:r>
        <w:rPr>
          <w:rFonts w:ascii="Arial" w:hAnsi="Arial"/>
          <w:b/>
          <w:color w:val="000000"/>
          <w:sz w:val="20"/>
        </w:rPr>
        <w:t>Stock Plans</w:t>
      </w:r>
    </w:p>
    <w:p>
      <w:pPr>
        <w:pStyle w:val="TextBody"/>
        <w:bidi w:val="0"/>
        <w:spacing w:before="180" w:after="283"/>
        <w:jc w:val="both"/>
        <w:rPr>
          <w:rFonts w:ascii="Times New Roman" w:hAnsi="Times New Roman"/>
          <w:sz w:val="20"/>
        </w:rPr>
      </w:pPr>
      <w:r>
        <w:rPr>
          <w:rFonts w:ascii="Arial" w:hAnsi="Arial"/>
          <w:color w:val="000000"/>
          <w:sz w:val="20"/>
        </w:rPr>
        <w:t>Stock awards entitle the holder to receive shares of Microsoft common stock as the award vests. Stock awards generally vest over a service period of four years</w:t>
      </w:r>
      <w:r>
        <w:rPr>
          <w:rFonts w:ascii="Times New Roman" w:hAnsi="Times New Roman"/>
          <w:color w:val="000000"/>
          <w:sz w:val="20"/>
        </w:rPr>
        <w:t xml:space="preserve"> </w:t>
      </w:r>
      <w:r>
        <w:rPr>
          <w:rFonts w:ascii="Arial" w:hAnsi="Arial"/>
          <w:color w:val="000000"/>
          <w:sz w:val="20"/>
        </w:rPr>
        <w:t>or five years.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i/>
          <w:color w:val="000000"/>
          <w:sz w:val="20"/>
        </w:rPr>
        <w:t>Executive Incentive Plan</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Under the Executive Incentive Plan, the Compensation Committee approves stock awards to executive officers and certain senior executives. RSUs generally vest ratably over a service period of four years. PSUs generally vest over a performance period of three years. The number of shares the PSU holder receives is based on the extent to which the corresponding performance goals have been achieved.</w:t>
      </w:r>
    </w:p>
    <w:p>
      <w:pPr>
        <w:pStyle w:val="TextBody"/>
        <w:bidi w:val="0"/>
        <w:spacing w:before="240" w:after="283"/>
        <w:jc w:val="center"/>
        <w:rPr>
          <w:rFonts w:ascii="Arial" w:hAnsi="Arial"/>
          <w:color w:val="000000"/>
          <w:sz w:val="16"/>
        </w:rPr>
      </w:pPr>
      <w:r>
        <w:rPr>
          <w:rFonts w:ascii="Arial" w:hAnsi="Arial"/>
          <w:color w:val="000000"/>
          <w:sz w:val="16"/>
        </w:rPr>
        <w:t>81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270" w:after="283"/>
        <w:jc w:val="left"/>
        <w:rPr>
          <w:rFonts w:ascii="Times New Roman" w:hAnsi="Times New Roman"/>
          <w:sz w:val="20"/>
        </w:rPr>
      </w:pPr>
      <w:r>
        <w:rPr>
          <w:rFonts w:ascii="Arial" w:hAnsi="Arial"/>
          <w:b/>
          <w:i/>
          <w:color w:val="000000"/>
          <w:sz w:val="20"/>
        </w:rPr>
        <w:t>Activity for All Stock Plans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fair value of stock awards was estimated on the date of grant using the following assumptions:</w:t>
      </w:r>
    </w:p>
    <w:p>
      <w:pPr>
        <w:pStyle w:val="TextBody"/>
        <w:bidi w:val="0"/>
        <w:jc w:val="both"/>
        <w:rPr/>
      </w:pPr>
      <w:r>
        <w:rPr/>
        <w:t> </w:t>
      </w:r>
    </w:p>
    <w:tbl>
      <w:tblPr>
        <w:tblW w:w="9182" w:type="dxa"/>
        <w:jc w:val="left"/>
        <w:tblInd w:w="0" w:type="dxa"/>
        <w:tblLayout w:type="fixed"/>
        <w:tblCellMar>
          <w:top w:w="28" w:type="dxa"/>
          <w:left w:w="28" w:type="dxa"/>
          <w:bottom w:w="28" w:type="dxa"/>
          <w:right w:w="28" w:type="dxa"/>
        </w:tblCellMar>
      </w:tblPr>
      <w:tblGrid>
        <w:gridCol w:w="1757"/>
        <w:gridCol w:w="2073"/>
        <w:gridCol w:w="146"/>
        <w:gridCol w:w="211"/>
        <w:gridCol w:w="236"/>
        <w:gridCol w:w="236"/>
        <w:gridCol w:w="757"/>
        <w:gridCol w:w="109"/>
        <w:gridCol w:w="146"/>
        <w:gridCol w:w="211"/>
        <w:gridCol w:w="236"/>
        <w:gridCol w:w="236"/>
        <w:gridCol w:w="757"/>
        <w:gridCol w:w="109"/>
        <w:gridCol w:w="146"/>
        <w:gridCol w:w="211"/>
        <w:gridCol w:w="236"/>
        <w:gridCol w:w="236"/>
        <w:gridCol w:w="757"/>
        <w:gridCol w:w="376"/>
      </w:tblGrid>
      <w:tr>
        <w:trPr/>
        <w:tc>
          <w:tcPr>
            <w:tcW w:w="175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75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976" w:type="dxa"/>
            <w:gridSpan w:val="17"/>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338"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586"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338"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962" w:type="dxa"/>
            <w:gridSpan w:val="6"/>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30" w:type="dxa"/>
            <w:gridSpan w:val="2"/>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Dividends per share (quarterly amounts)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229" w:type="dxa"/>
            <w:gridSpan w:val="3"/>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b/>
                <w:color w:val="000000"/>
                <w:sz w:val="20"/>
              </w:rPr>
              <w:t>0.83</w:t>
            </w:r>
            <w:r>
              <w:rPr>
                <w:rFonts w:ascii="Times New Roman" w:hAnsi="Times New Roman"/>
                <w:color w:val="000000"/>
                <w:sz w:val="20"/>
              </w:rPr>
              <w:t xml:space="preserve"> – </w:t>
            </w:r>
            <w:r>
              <w:rPr>
                <w:rFonts w:ascii="Arial" w:hAnsi="Arial"/>
                <w:b/>
                <w:color w:val="000000"/>
                <w:sz w:val="20"/>
              </w:rPr>
              <w:t>0.91</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gridSpan w:val="3"/>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0.75</w:t>
            </w:r>
            <w:r>
              <w:rPr>
                <w:rFonts w:ascii="Times New Roman" w:hAnsi="Times New Roman"/>
                <w:color w:val="000000"/>
                <w:sz w:val="20"/>
              </w:rPr>
              <w:t xml:space="preserve"> – </w:t>
            </w:r>
            <w:r>
              <w:rPr>
                <w:rFonts w:ascii="Arial" w:hAnsi="Arial"/>
                <w:color w:val="000000"/>
                <w:sz w:val="20"/>
              </w:rPr>
              <w:t>0.83</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gridSpan w:val="3"/>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0.68</w:t>
            </w:r>
            <w:r>
              <w:rPr>
                <w:rFonts w:ascii="Times New Roman" w:hAnsi="Times New Roman"/>
                <w:color w:val="000000"/>
                <w:sz w:val="20"/>
              </w:rPr>
              <w:t xml:space="preserve"> – </w:t>
            </w:r>
            <w:r>
              <w:rPr>
                <w:rFonts w:ascii="Arial" w:hAnsi="Arial"/>
                <w:color w:val="000000"/>
                <w:sz w:val="20"/>
              </w:rPr>
              <w:t>0.75</w:t>
            </w:r>
          </w:p>
        </w:tc>
        <w:tc>
          <w:tcPr>
            <w:tcW w:w="3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830"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rates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 – 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 – 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 – 5.6%</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976" w:type="dxa"/>
            <w:gridSpan w:val="17"/>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During fiscal year 2026, the following activity occurred under our stock plans:</w:t>
      </w:r>
      <w:r>
        <w:rPr>
          <w:rFonts w:ascii="Times New Roman" w:hAnsi="Times New Roman"/>
          <w:color w:val="000000"/>
          <w:sz w:val="20"/>
        </w:rPr>
        <w:t xml:space="preserve"> </w:t>
      </w:r>
    </w:p>
    <w:p>
      <w:pPr>
        <w:pStyle w:val="TextBody"/>
        <w:bidi w:val="0"/>
        <w:jc w:val="left"/>
        <w:rPr/>
      </w:pPr>
      <w:r>
        <w:rPr/>
        <w:t> </w:t>
      </w:r>
    </w:p>
    <w:tbl>
      <w:tblPr>
        <w:tblW w:w="6737" w:type="dxa"/>
        <w:jc w:val="left"/>
        <w:tblInd w:w="0" w:type="dxa"/>
        <w:tblLayout w:type="fixed"/>
        <w:tblCellMar>
          <w:top w:w="28" w:type="dxa"/>
          <w:left w:w="28" w:type="dxa"/>
          <w:bottom w:w="28" w:type="dxa"/>
          <w:right w:w="28" w:type="dxa"/>
        </w:tblCellMar>
      </w:tblPr>
      <w:tblGrid>
        <w:gridCol w:w="3636"/>
        <w:gridCol w:w="146"/>
        <w:gridCol w:w="146"/>
        <w:gridCol w:w="376"/>
        <w:gridCol w:w="166"/>
        <w:gridCol w:w="146"/>
        <w:gridCol w:w="337"/>
        <w:gridCol w:w="1103"/>
        <w:gridCol w:w="681"/>
      </w:tblGrid>
      <w:tr>
        <w:trPr/>
        <w:tc>
          <w:tcPr>
            <w:tcW w:w="36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37" w:type="dxa"/>
            <w:tcBorders/>
            <w:shd w:fill="FFFFFF" w:val="clear"/>
            <w:vAlign w:val="center"/>
          </w:tcPr>
          <w:p>
            <w:pPr>
              <w:pStyle w:val="TableContents"/>
              <w:bidi w:val="0"/>
              <w:spacing w:before="0" w:after="283"/>
              <w:jc w:val="left"/>
              <w:rPr>
                <w:sz w:val="4"/>
                <w:szCs w:val="4"/>
              </w:rPr>
            </w:pPr>
            <w:r>
              <w:rPr>
                <w:sz w:val="4"/>
                <w:szCs w:val="4"/>
              </w:rPr>
            </w:r>
          </w:p>
        </w:tc>
        <w:tc>
          <w:tcPr>
            <w:tcW w:w="1103"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4304" w:type="dxa"/>
            <w:gridSpan w:val="4"/>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Shares</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Weighted Average</w:t>
            </w:r>
          </w:p>
          <w:p>
            <w:pPr>
              <w:pStyle w:val="TableContents"/>
              <w:bidi w:val="0"/>
              <w:jc w:val="right"/>
              <w:rPr>
                <w:rFonts w:ascii="Arial" w:hAnsi="Arial"/>
                <w:b/>
                <w:color w:val="000000"/>
                <w:sz w:val="15"/>
              </w:rPr>
            </w:pPr>
            <w:r>
              <w:rPr>
                <w:rFonts w:ascii="Arial" w:hAnsi="Arial"/>
                <w:b/>
                <w:color w:val="000000"/>
                <w:sz w:val="15"/>
              </w:rPr>
              <w:t>Grant-Date Fair</w:t>
            </w:r>
          </w:p>
          <w:p>
            <w:pPr>
              <w:pStyle w:val="TableContents"/>
              <w:bidi w:val="0"/>
              <w:spacing w:before="0" w:after="283"/>
              <w:jc w:val="right"/>
              <w:rPr>
                <w:rFonts w:ascii="Arial" w:hAnsi="Arial"/>
                <w:b/>
                <w:color w:val="000000"/>
                <w:sz w:val="15"/>
              </w:rPr>
            </w:pPr>
            <w:r>
              <w:rPr>
                <w:rFonts w:ascii="Arial" w:hAnsi="Arial"/>
                <w:b/>
                <w:color w:val="000000"/>
                <w:sz w:val="15"/>
              </w:rPr>
              <w:t>Value</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056" w:type="dxa"/>
            <w:gridSpan w:val="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04" w:type="dxa"/>
            <w:gridSpan w:val="4"/>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6" w:type="dxa"/>
            <w:gridSpan w:val="8"/>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Stock Awards</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267"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Nonvested balance, beginning of year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347.44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 xml:space="preserve">Granted </w:t>
            </w:r>
            <w:r>
              <w:rPr>
                <w:rFonts w:ascii="Arial" w:hAnsi="Arial"/>
                <w:color w:val="000000"/>
                <w:sz w:val="13"/>
              </w:rPr>
              <w:t>(a)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471.00</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Vested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342.98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Forfeited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384.57</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tcMar>
              <w:top w:w="0" w:type="dxa"/>
              <w:left w:w="0" w:type="dxa"/>
              <w:bottom w:w="0" w:type="dxa"/>
              <w:right w:w="0" w:type="dxa"/>
            </w:tcMar>
            <w:vAlign w:val="center"/>
          </w:tcPr>
          <w:p>
            <w:pPr>
              <w:pStyle w:val="TableContents"/>
              <w:bidi w:val="0"/>
              <w:spacing w:before="0" w:after="283"/>
              <w:jc w:val="right"/>
              <w:rPr/>
            </w:pPr>
            <w:r>
              <w:rPr/>
              <w:t> </w:t>
            </w:r>
          </w:p>
        </w:tc>
        <w:tc>
          <w:tcPr>
            <w:tcW w:w="1103"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Nonvested balance, end of year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409.94</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before="0" w:after="283"/>
              <w:jc w:val="right"/>
              <w:rPr/>
            </w:pPr>
            <w:r>
              <w:rPr/>
              <w:t> </w:t>
            </w:r>
          </w:p>
        </w:tc>
        <w:tc>
          <w:tcPr>
            <w:tcW w:w="11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sz w:val="20"/>
        </w:rPr>
      </w:pPr>
      <w:r>
        <w:rPr>
          <w:rFonts w:ascii="Arial" w:hAnsi="Arial"/>
          <w:i/>
          <w:color w:val="000000"/>
          <w:sz w:val="20"/>
        </w:rPr>
        <w:t>Includes 1</w:t>
      </w:r>
      <w:r>
        <w:rPr>
          <w:rFonts w:ascii="Arial" w:hAnsi="Arial"/>
          <w:color w:val="000000"/>
          <w:sz w:val="20"/>
        </w:rPr>
        <w:t xml:space="preserve"> </w:t>
      </w:r>
      <w:r>
        <w:rPr>
          <w:rFonts w:ascii="Arial" w:hAnsi="Arial"/>
          <w:i/>
          <w:color w:val="000000"/>
          <w:sz w:val="20"/>
        </w:rPr>
        <w:t>million of PSUs granted at target and performance adjustments above target levels for each of the fiscal years 2026, 2025, and 2024.</w:t>
      </w:r>
    </w:p>
    <w:p>
      <w:pPr>
        <w:pStyle w:val="TextBody"/>
        <w:bidi w:val="0"/>
        <w:spacing w:before="180" w:after="283"/>
        <w:jc w:val="both"/>
        <w:rPr>
          <w:rFonts w:ascii="Times New Roman" w:hAnsi="Times New Roman"/>
          <w:sz w:val="20"/>
        </w:rPr>
      </w:pPr>
      <w:r>
        <w:rPr>
          <w:rFonts w:ascii="Arial" w:hAnsi="Arial"/>
          <w:color w:val="000000"/>
          <w:sz w:val="20"/>
        </w:rPr>
        <w:t>As of June 30, 2026, total unrecognized compensation costs related to stock awards were $24.8</w:t>
      </w:r>
      <w:r>
        <w:rPr>
          <w:rFonts w:ascii="Times New Roman" w:hAnsi="Times New Roman"/>
          <w:color w:val="000000"/>
          <w:sz w:val="20"/>
        </w:rPr>
        <w:t xml:space="preserve"> </w:t>
      </w:r>
      <w:r>
        <w:rPr>
          <w:rFonts w:ascii="Arial" w:hAnsi="Arial"/>
          <w:color w:val="000000"/>
          <w:sz w:val="20"/>
        </w:rPr>
        <w:t>billion. These costs are expected to be recognized over a weighted average period of three years. The weighted average grant-date fair value of stock awards granted was $471.00, $413.90, and $339.46</w:t>
      </w:r>
      <w:r>
        <w:rPr>
          <w:rFonts w:ascii="Times New Roman" w:hAnsi="Times New Roman"/>
          <w:color w:val="000000"/>
          <w:sz w:val="20"/>
        </w:rPr>
        <w:t xml:space="preserve"> </w:t>
      </w:r>
      <w:r>
        <w:rPr>
          <w:rFonts w:ascii="Arial" w:hAnsi="Arial"/>
          <w:color w:val="000000"/>
          <w:sz w:val="20"/>
        </w:rPr>
        <w:t>for fiscal years 2026, 2025, and 2024, respectively. The fair value of stock awards vested was $16.3</w:t>
      </w:r>
      <w:r>
        <w:rPr>
          <w:rFonts w:ascii="Times New Roman" w:hAnsi="Times New Roman"/>
          <w:color w:val="000000"/>
          <w:sz w:val="20"/>
        </w:rPr>
        <w:t xml:space="preserve"> </w:t>
      </w:r>
      <w:r>
        <w:rPr>
          <w:rFonts w:ascii="Arial" w:hAnsi="Arial"/>
          <w:color w:val="000000"/>
          <w:sz w:val="20"/>
        </w:rPr>
        <w:t>billion, $16.2</w:t>
      </w:r>
      <w:r>
        <w:rPr>
          <w:rFonts w:ascii="Times New Roman" w:hAnsi="Times New Roman"/>
          <w:color w:val="000000"/>
          <w:sz w:val="20"/>
        </w:rPr>
        <w:t xml:space="preserve"> </w:t>
      </w:r>
      <w:r>
        <w:rPr>
          <w:rFonts w:ascii="Arial" w:hAnsi="Arial"/>
          <w:color w:val="000000"/>
          <w:sz w:val="20"/>
        </w:rPr>
        <w:t>billion, and $16.0</w:t>
      </w:r>
      <w:r>
        <w:rPr>
          <w:rFonts w:ascii="Times New Roman" w:hAnsi="Times New Roman"/>
          <w:color w:val="000000"/>
          <w:sz w:val="20"/>
        </w:rPr>
        <w:t xml:space="preserve"> </w:t>
      </w:r>
      <w:r>
        <w:rPr>
          <w:rFonts w:ascii="Arial" w:hAnsi="Arial"/>
          <w:color w:val="000000"/>
          <w:sz w:val="20"/>
        </w:rPr>
        <w:t>billion, for fiscal years 2026, 2025, and 2024, respectively. As of June 30, 2026, an aggregate of 292</w:t>
      </w:r>
      <w:r>
        <w:rPr>
          <w:rFonts w:ascii="Times New Roman" w:hAnsi="Times New Roman"/>
          <w:color w:val="000000"/>
          <w:sz w:val="20"/>
        </w:rPr>
        <w:t xml:space="preserve"> </w:t>
      </w:r>
      <w:r>
        <w:rPr>
          <w:rFonts w:ascii="Arial" w:hAnsi="Arial"/>
          <w:color w:val="000000"/>
          <w:sz w:val="20"/>
        </w:rPr>
        <w:t>million shares were authorized for future grant under our stock plans.</w:t>
      </w:r>
    </w:p>
    <w:p>
      <w:pPr>
        <w:pStyle w:val="TextBody"/>
        <w:bidi w:val="0"/>
        <w:spacing w:before="270" w:after="283"/>
        <w:jc w:val="left"/>
        <w:rPr>
          <w:rFonts w:ascii="Times New Roman" w:hAnsi="Times New Roman"/>
          <w:sz w:val="20"/>
        </w:rPr>
      </w:pPr>
      <w:r>
        <w:rPr>
          <w:rFonts w:ascii="Arial" w:hAnsi="Arial"/>
          <w:b/>
          <w:color w:val="000000"/>
          <w:sz w:val="20"/>
        </w:rPr>
        <w:t>Employee Stock Purchase Plan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have an ESPP for all eligible employees. Shares of our common stock may be purchased by employees at three-month intervals at 90% of the fair market value on the last trading day of each three-month period. Employees may purchase shares having a value not exceeding 15% of their gross compensation during an offering period.</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Employees purchased the following shares during the periods presented:</w:t>
      </w:r>
    </w:p>
    <w:p>
      <w:pPr>
        <w:pStyle w:val="TextBody"/>
        <w:bidi w:val="0"/>
        <w:jc w:val="left"/>
        <w:rPr/>
      </w:pPr>
      <w:r>
        <w:rPr/>
        <w:t> </w:t>
      </w:r>
    </w:p>
    <w:tbl>
      <w:tblPr>
        <w:tblW w:w="6063" w:type="dxa"/>
        <w:jc w:val="left"/>
        <w:tblInd w:w="0" w:type="dxa"/>
        <w:tblLayout w:type="fixed"/>
        <w:tblCellMar>
          <w:top w:w="28" w:type="dxa"/>
          <w:left w:w="28" w:type="dxa"/>
          <w:bottom w:w="28" w:type="dxa"/>
          <w:right w:w="28" w:type="dxa"/>
        </w:tblCellMar>
      </w:tblPr>
      <w:tblGrid>
        <w:gridCol w:w="2436"/>
        <w:gridCol w:w="109"/>
        <w:gridCol w:w="211"/>
        <w:gridCol w:w="691"/>
        <w:gridCol w:w="109"/>
        <w:gridCol w:w="109"/>
        <w:gridCol w:w="211"/>
        <w:gridCol w:w="691"/>
        <w:gridCol w:w="109"/>
        <w:gridCol w:w="109"/>
        <w:gridCol w:w="211"/>
        <w:gridCol w:w="691"/>
        <w:gridCol w:w="376"/>
      </w:tblGrid>
      <w:tr>
        <w:trPr/>
        <w:tc>
          <w:tcPr>
            <w:tcW w:w="24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r>
      <w:tr>
        <w:trPr/>
        <w:tc>
          <w:tcPr>
            <w:tcW w:w="24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(Shares in millions)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7"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120"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387" w:type="dxa"/>
            <w:gridSpan w:val="4"/>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2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Shares purchased</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3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4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Average price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382.92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339.46</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7"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As of June 30, 2026, 57</w:t>
      </w:r>
      <w:r>
        <w:rPr>
          <w:rFonts w:ascii="Times New Roman" w:hAnsi="Times New Roman"/>
          <w:color w:val="000000"/>
          <w:sz w:val="20"/>
        </w:rPr>
        <w:t xml:space="preserve"> </w:t>
      </w:r>
      <w:r>
        <w:rPr>
          <w:rFonts w:ascii="Arial" w:hAnsi="Arial"/>
          <w:color w:val="000000"/>
          <w:sz w:val="20"/>
        </w:rPr>
        <w:t>million shares of our common stock were reserved for future issuance through the ESPP.</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Savings Plans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We have savings plans in the U.S. that qualify under Section 401(k) of the Internal Revenue Code, and a number of savings plans in international locations. Eligible U.S. employees may contribute a portion of their salary into the savings plans, subject to certain limitations. We match a portion of each dollar a participant contributes into the plans. Employer-funded retirement benefits for all plans were $1.8</w:t>
      </w:r>
      <w:r>
        <w:rPr>
          <w:rFonts w:ascii="Times New Roman" w:hAnsi="Times New Roman"/>
          <w:color w:val="000000"/>
          <w:sz w:val="20"/>
        </w:rPr>
        <w:t xml:space="preserve"> </w:t>
      </w:r>
      <w:r>
        <w:rPr>
          <w:rFonts w:ascii="Arial" w:hAnsi="Arial"/>
          <w:color w:val="000000"/>
          <w:sz w:val="20"/>
        </w:rPr>
        <w:t>billion, $1.8</w:t>
      </w:r>
      <w:r>
        <w:rPr>
          <w:rFonts w:ascii="Times New Roman" w:hAnsi="Times New Roman"/>
          <w:color w:val="000000"/>
          <w:sz w:val="20"/>
        </w:rPr>
        <w:t xml:space="preserve"> </w:t>
      </w:r>
      <w:r>
        <w:rPr>
          <w:rFonts w:ascii="Arial" w:hAnsi="Arial"/>
          <w:color w:val="000000"/>
          <w:sz w:val="20"/>
        </w:rPr>
        <w:t>billion, and $1.7</w:t>
      </w:r>
      <w:r>
        <w:rPr>
          <w:rFonts w:ascii="Times New Roman" w:hAnsi="Times New Roman"/>
          <w:color w:val="000000"/>
          <w:sz w:val="20"/>
        </w:rPr>
        <w:t xml:space="preserve"> </w:t>
      </w:r>
      <w:r>
        <w:rPr>
          <w:rFonts w:ascii="Arial" w:hAnsi="Arial"/>
          <w:color w:val="000000"/>
          <w:sz w:val="20"/>
        </w:rPr>
        <w:t>billion in fiscal years 2026, 2025, and 2024, respectively, and were expensed as contributed.</w:t>
      </w:r>
    </w:p>
    <w:p>
      <w:pPr>
        <w:pStyle w:val="TextBody"/>
        <w:bidi w:val="0"/>
        <w:spacing w:before="240" w:after="283"/>
        <w:jc w:val="center"/>
        <w:rPr>
          <w:rFonts w:ascii="Arial" w:hAnsi="Arial"/>
          <w:color w:val="000000"/>
          <w:sz w:val="16"/>
        </w:rPr>
      </w:pPr>
      <w:r>
        <w:rPr>
          <w:rFonts w:ascii="Arial" w:hAnsi="Arial"/>
          <w:color w:val="000000"/>
          <w:sz w:val="16"/>
        </w:rPr>
        <w:t>82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270" w:after="283"/>
        <w:jc w:val="center"/>
        <w:rPr>
          <w:rFonts w:ascii="Times New Roman" w:hAnsi="Times New Roman"/>
          <w:sz w:val="20"/>
        </w:rPr>
      </w:pPr>
      <w:r>
        <w:rPr>
          <w:rFonts w:ascii="Arial" w:hAnsi="Arial"/>
          <w:color w:val="000000"/>
          <w:sz w:val="20"/>
          <w:u w:val="single"/>
        </w:rPr>
        <w:t xml:space="preserve">NOTE 18 </w:t>
      </w:r>
      <w:r>
        <w:rPr>
          <w:rFonts w:ascii="Times New Roman" w:hAnsi="Times New Roman"/>
          <w:caps/>
          <w:color w:val="000000"/>
          <w:sz w:val="20"/>
          <w:u w:val="single"/>
        </w:rPr>
        <w:t xml:space="preserve">— </w:t>
      </w:r>
      <w:r>
        <w:rPr>
          <w:rFonts w:ascii="Arial" w:hAnsi="Arial"/>
          <w:color w:val="000000"/>
          <w:sz w:val="20"/>
          <w:u w:val="single"/>
        </w:rPr>
        <w:t>SEGMENT INFORMATION AND GEOGRAPHIC DATA</w:t>
      </w:r>
    </w:p>
    <w:p>
      <w:pPr>
        <w:pStyle w:val="TextBody"/>
        <w:bidi w:val="0"/>
        <w:spacing w:before="180" w:after="283"/>
        <w:jc w:val="both"/>
        <w:rPr>
          <w:rFonts w:ascii="Times New Roman" w:hAnsi="Times New Roman"/>
          <w:sz w:val="20"/>
        </w:rPr>
      </w:pPr>
      <w:r>
        <w:rPr>
          <w:rFonts w:ascii="Arial" w:hAnsi="Arial"/>
          <w:color w:val="000000"/>
          <w:sz w:val="20"/>
        </w:rPr>
        <w:t>In its operation of the business, management, including our chief operating decision maker (“CODM”), who is also our Chief Executive Officer, reviews certain financial information, including segmented internal profit and loss statements. The primary profitability measure used by the CODM to review segment operating results is operating income. The CODM uses operating income to allocate resources during our annual planning process and throughout the year, as well as to assess the performance of our segments, primarily by monitoring actual results compared to prior periods and expected results.</w:t>
      </w:r>
      <w:r>
        <w:rPr>
          <w:rFonts w:ascii="Times New Roman" w:hAnsi="Times New Roman"/>
          <w:color w:val="000000"/>
          <w:sz w:val="20"/>
        </w:rPr>
        <w:t xml:space="preserve"> </w:t>
      </w:r>
      <w:r>
        <w:rPr>
          <w:rFonts w:ascii="Arial" w:hAnsi="Arial"/>
          <w:color w:val="000000"/>
          <w:sz w:val="20"/>
        </w:rPr>
        <w:t>During the periods presented, we reported our financial performance based on the following three</w:t>
      </w:r>
      <w:r>
        <w:rPr>
          <w:rFonts w:ascii="Times New Roman" w:hAnsi="Times New Roman"/>
          <w:color w:val="000000"/>
          <w:sz w:val="20"/>
        </w:rPr>
        <w:t xml:space="preserve"> </w:t>
      </w:r>
      <w:r>
        <w:rPr>
          <w:rFonts w:ascii="Arial" w:hAnsi="Arial"/>
          <w:color w:val="000000"/>
          <w:sz w:val="20"/>
        </w:rPr>
        <w:t>segments: Productivity and Business Processes, Intelligent Cloud, and More Personal Computing.</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reportable segments are described below.</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Productivity and Business Processes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Productivity and Business Processes segment consists of products and services in our portfolio of productivity, communication, and information services, spanning a variety of devices and platforms.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Commercial products and cloud services, including Microsoft 365 Commercial cloud, comprising Microsoft 365 Commercial, Enterprise Mobility + Security, the cloud portion of Windows Commercial, the per-user portion of Power BI, Exchange, SharePoint, Microsoft Teams, Microsoft 365 Security and Compliance, and Microsoft 365 Copilot; and Microsoft 365 Commercial products, comprising Windows Commercial on-premises and Office licensed on-premises.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Consumer products and cloud services, including Microsoft 365 Consumer subscriptions, Office licensed on-premises, and other consumer services.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including Talent Solutions, Marketing Solutions, Premium Subscriptions, and Sales Solutions.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products and cloud services, including Dynamics 365, comprising a set of intelligent, cloud-based applications across ERP, CRM, Power Apps, and Power Automate; and on-premises ERP and CRM applications.</w:t>
      </w:r>
    </w:p>
    <w:p>
      <w:pPr>
        <w:pStyle w:val="TextBody"/>
        <w:bidi w:val="0"/>
        <w:spacing w:before="270" w:after="283"/>
        <w:jc w:val="both"/>
        <w:rPr>
          <w:rFonts w:ascii="Arial" w:hAnsi="Arial"/>
          <w:b/>
          <w:color w:val="000000"/>
          <w:sz w:val="20"/>
        </w:rPr>
      </w:pPr>
      <w:r>
        <w:rPr>
          <w:rFonts w:ascii="Arial" w:hAnsi="Arial"/>
          <w:b/>
          <w:color w:val="000000"/>
          <w:sz w:val="20"/>
        </w:rPr>
        <w:t>Intelligent Cloud</w:t>
      </w:r>
    </w:p>
    <w:p>
      <w:pPr>
        <w:pStyle w:val="TextBody"/>
        <w:bidi w:val="0"/>
        <w:spacing w:before="180" w:after="283"/>
        <w:jc w:val="both"/>
        <w:rPr>
          <w:rFonts w:ascii="Arial" w:hAnsi="Arial"/>
          <w:color w:val="000000"/>
          <w:sz w:val="20"/>
        </w:rPr>
      </w:pPr>
      <w:r>
        <w:rPr>
          <w:rFonts w:ascii="Arial" w:hAnsi="Arial"/>
          <w:color w:val="000000"/>
          <w:sz w:val="20"/>
        </w:rPr>
        <w:t>Our Intelligent Cloud segment consists of our public, private, and hybrid server products and cloud services that power modern business and developers.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Server products and cloud services, including Azure and other cloud services, comprising cloud and AI consumption-based services, GitHub cloud services, Health and Life Sciences cloud services (formerly Nuance Healthcare cloud services), virtual desktop offerings, and other cloud services; and Server products, comprising SQL Server, Windows Server, Visual Studio, System Center, related Client Access Licenses, and other on-premises offerings.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Enterprise and partner services, including Enterprise Support Services, Industry Solutions, Microsoft Partner Network, and Learning Experience.</w:t>
      </w:r>
    </w:p>
    <w:p>
      <w:pPr>
        <w:pStyle w:val="TextBody"/>
        <w:bidi w:val="0"/>
        <w:spacing w:before="270" w:after="283"/>
        <w:jc w:val="both"/>
        <w:rPr>
          <w:rFonts w:ascii="Arial" w:hAnsi="Arial"/>
          <w:b/>
          <w:color w:val="000000"/>
          <w:sz w:val="20"/>
        </w:rPr>
      </w:pPr>
      <w:r>
        <w:rPr>
          <w:rFonts w:ascii="Arial" w:hAnsi="Arial"/>
          <w:b/>
          <w:color w:val="000000"/>
          <w:sz w:val="20"/>
        </w:rPr>
        <w:t>More Personal Computing</w:t>
      </w:r>
    </w:p>
    <w:p>
      <w:pPr>
        <w:pStyle w:val="TextBody"/>
        <w:bidi w:val="0"/>
        <w:spacing w:before="180" w:after="283"/>
        <w:jc w:val="both"/>
        <w:rPr>
          <w:rFonts w:ascii="Arial" w:hAnsi="Arial"/>
          <w:color w:val="000000"/>
          <w:sz w:val="20"/>
        </w:rPr>
      </w:pPr>
      <w:r>
        <w:rPr>
          <w:rFonts w:ascii="Arial" w:hAnsi="Arial"/>
          <w:color w:val="000000"/>
          <w:sz w:val="20"/>
        </w:rPr>
        <w:t>Our More Personal Computing segment consists of products and services that put customers at the center of the experience with our technology.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Windows and Devices, including Windows OEM licensing (Windows Pro and non-Pro licenses sold through the OEM channel) and Devices, comprising Surface and PC accessories.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XBOX (formerly Gaming), including XBOX hardware and XBOX content and services, comprising first- and third-party content (including games and in-game content), XBOX Game Pass and other subscriptions, XBOX Cloud Gaming, advertising, and other cloud services.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Search advertising (formerly Search and news advertising), comprising Bing, Copilot, Microsoft News, Microsoft Edge, and third-party affiliates.</w:t>
      </w:r>
    </w:p>
    <w:p>
      <w:pPr>
        <w:pStyle w:val="TextBody"/>
        <w:bidi w:val="0"/>
        <w:spacing w:before="240" w:after="283"/>
        <w:jc w:val="center"/>
        <w:rPr>
          <w:rFonts w:ascii="Arial" w:hAnsi="Arial"/>
          <w:color w:val="000000"/>
          <w:sz w:val="16"/>
        </w:rPr>
      </w:pPr>
      <w:r>
        <w:rPr>
          <w:rFonts w:ascii="Arial" w:hAnsi="Arial"/>
          <w:color w:val="000000"/>
          <w:sz w:val="16"/>
        </w:rPr>
        <w:t>83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180" w:after="283"/>
        <w:jc w:val="both"/>
        <w:rPr>
          <w:rFonts w:ascii="Arial" w:hAnsi="Arial"/>
          <w:color w:val="000000"/>
          <w:sz w:val="20"/>
        </w:rPr>
      </w:pPr>
      <w:r>
        <w:rPr>
          <w:rFonts w:ascii="Arial" w:hAnsi="Arial"/>
          <w:color w:val="000000"/>
          <w:sz w:val="20"/>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our investments in AI infrastructure and training, as well as marketing of products and services, from which multiple segments benefit and are generally allocated based on relative gross margin.</w:t>
      </w:r>
    </w:p>
    <w:p>
      <w:pPr>
        <w:pStyle w:val="TextBody"/>
        <w:bidi w:val="0"/>
        <w:spacing w:before="180" w:after="283"/>
        <w:jc w:val="both"/>
        <w:rPr>
          <w:rFonts w:ascii="Arial" w:hAnsi="Arial"/>
          <w:color w:val="000000"/>
          <w:sz w:val="20"/>
        </w:rPr>
      </w:pPr>
      <w:r>
        <w:rPr>
          <w:rFonts w:ascii="Arial" w:hAnsi="Arial"/>
          <w:color w:val="000000"/>
          <w:sz w:val="20"/>
        </w:rPr>
        <w:t>In addition, certain costs are incurred at a corporate level and allocated to our segments. These allocated costs generally include legal, including settlements and fines, information technology, human resources, finance, excise taxes, field selling, shared facilities services, customer service and support, and severance incurred as part of a corporate program. Each allocation is measured differently based on the specific facts and circumstances of the costs being allocated and is generally based on relative gross margin or relative headcount.</w:t>
      </w:r>
    </w:p>
    <w:p>
      <w:pPr>
        <w:pStyle w:val="TextBody"/>
        <w:bidi w:val="0"/>
        <w:spacing w:before="180" w:after="283"/>
        <w:jc w:val="both"/>
        <w:rPr>
          <w:rFonts w:ascii="Arial" w:hAnsi="Arial"/>
          <w:color w:val="000000"/>
          <w:sz w:val="20"/>
        </w:rPr>
      </w:pPr>
      <w:r>
        <w:rPr>
          <w:rFonts w:ascii="Arial" w:hAnsi="Arial"/>
          <w:color w:val="000000"/>
          <w:sz w:val="20"/>
        </w:rPr>
        <w:t>Segment revenue, cost of revenue, operating expenses, and operating income were as follows during the periods presented:</w:t>
      </w:r>
    </w:p>
    <w:p>
      <w:pPr>
        <w:pStyle w:val="TextBody"/>
        <w:bidi w:val="0"/>
        <w:jc w:val="both"/>
        <w:rPr/>
      </w:pPr>
      <w:r>
        <w:rPr/>
        <w:t> </w:t>
      </w:r>
    </w:p>
    <w:tbl>
      <w:tblPr>
        <w:tblW w:w="7328" w:type="dxa"/>
        <w:jc w:val="left"/>
        <w:tblInd w:w="0" w:type="dxa"/>
        <w:tblLayout w:type="fixed"/>
        <w:tblCellMar>
          <w:top w:w="28" w:type="dxa"/>
          <w:left w:w="28" w:type="dxa"/>
          <w:bottom w:w="28" w:type="dxa"/>
          <w:right w:w="28" w:type="dxa"/>
        </w:tblCellMar>
      </w:tblPr>
      <w:tblGrid>
        <w:gridCol w:w="2896"/>
        <w:gridCol w:w="146"/>
        <w:gridCol w:w="211"/>
        <w:gridCol w:w="796"/>
        <w:gridCol w:w="146"/>
        <w:gridCol w:w="146"/>
        <w:gridCol w:w="211"/>
        <w:gridCol w:w="796"/>
        <w:gridCol w:w="146"/>
        <w:gridCol w:w="146"/>
        <w:gridCol w:w="211"/>
        <w:gridCol w:w="796"/>
        <w:gridCol w:w="68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8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47"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4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Productivity and Business Processes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139,996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120,810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106,820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19,611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31,100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28,615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27,548</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83,879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69,773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59,661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Intelligent Cloud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137,791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106,265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87,464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57,876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29,611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8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22,943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21,505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20,040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56,972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44,589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37,813</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More Personal Computing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54,052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50,838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23,481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24,892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16,185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15,245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13,987</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14,386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14,166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11,959</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331,839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281,724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245,122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106,374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87,831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74,114</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70,228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65,365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61,575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9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155,237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128,528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109,433</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No sales to an individual customer or country other than the United States accounted for more than 10% of revenue for fiscal years 2026, 2025, or 2024.</w:t>
      </w:r>
      <w:r>
        <w:rPr>
          <w:rFonts w:ascii="Times New Roman" w:hAnsi="Times New Roman"/>
          <w:color w:val="000000"/>
          <w:sz w:val="20"/>
        </w:rPr>
        <w:t xml:space="preserve"> </w:t>
      </w:r>
      <w:r>
        <w:rPr>
          <w:rFonts w:ascii="Arial" w:hAnsi="Arial"/>
          <w:color w:val="000000"/>
          <w:sz w:val="20"/>
        </w:rPr>
        <w:t>Revenue, classified by the major geographic areas in which our customers were located, was as follows:</w:t>
      </w:r>
    </w:p>
    <w:p>
      <w:pPr>
        <w:pStyle w:val="TextBody"/>
        <w:bidi w:val="0"/>
        <w:jc w:val="both"/>
        <w:rPr/>
      </w:pPr>
      <w:r>
        <w:rPr/>
        <w:t> </w:t>
      </w:r>
    </w:p>
    <w:tbl>
      <w:tblPr>
        <w:tblW w:w="6198" w:type="dxa"/>
        <w:jc w:val="left"/>
        <w:tblInd w:w="0" w:type="dxa"/>
        <w:tblLayout w:type="fixed"/>
        <w:tblCellMar>
          <w:top w:w="28" w:type="dxa"/>
          <w:left w:w="28" w:type="dxa"/>
          <w:bottom w:w="28" w:type="dxa"/>
          <w:right w:w="28" w:type="dxa"/>
        </w:tblCellMar>
      </w:tblPr>
      <w:tblGrid>
        <w:gridCol w:w="1776"/>
        <w:gridCol w:w="146"/>
        <w:gridCol w:w="211"/>
        <w:gridCol w:w="796"/>
        <w:gridCol w:w="146"/>
        <w:gridCol w:w="146"/>
        <w:gridCol w:w="211"/>
        <w:gridCol w:w="796"/>
        <w:gridCol w:w="146"/>
        <w:gridCol w:w="146"/>
        <w:gridCol w:w="211"/>
        <w:gridCol w:w="796"/>
        <w:gridCol w:w="671"/>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1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29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29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82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United States </w:t>
            </w:r>
            <w:r>
              <w:rPr>
                <w:rFonts w:ascii="Arial" w:hAnsi="Arial"/>
                <w:color w:val="000000"/>
                <w:sz w:val="13"/>
              </w:rPr>
              <w:t>(a)</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170,794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144,546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124,704</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countries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161,045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137,178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120,418</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331,839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281,724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245,122</w:t>
            </w:r>
          </w:p>
        </w:tc>
        <w:tc>
          <w:tcPr>
            <w:tcW w:w="67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sz w:val="20"/>
        </w:rPr>
      </w:pPr>
      <w:r>
        <w:rPr>
          <w:rFonts w:ascii="Arial" w:hAnsi="Arial"/>
          <w:i/>
          <w:color w:val="000000"/>
          <w:sz w:val="20"/>
        </w:rPr>
        <w:t>Includes billings to OEMs and certain multinational organizations because of the nature of these businesses and the impracticability of determining the geographic source of the revenue.</w:t>
      </w:r>
      <w:r>
        <w:rPr>
          <w:rFonts w:ascii="Arial" w:hAnsi="Arial"/>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84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180" w:after="283"/>
        <w:jc w:val="both"/>
        <w:rPr>
          <w:rFonts w:ascii="Times New Roman" w:hAnsi="Times New Roman"/>
          <w:sz w:val="20"/>
        </w:rPr>
      </w:pPr>
      <w:r>
        <w:rPr>
          <w:rFonts w:ascii="Arial" w:hAnsi="Arial"/>
          <w:color w:val="000000"/>
          <w:sz w:val="20"/>
        </w:rPr>
        <w:t>Revenue, classified by significant product and service offerings, was as follows:</w:t>
      </w:r>
      <w:r>
        <w:rPr>
          <w:rFonts w:ascii="Times New Roman" w:hAnsi="Times New Roman"/>
          <w:color w:val="000000"/>
          <w:sz w:val="20"/>
        </w:rPr>
        <w:t xml:space="preserve"> </w:t>
      </w:r>
    </w:p>
    <w:p>
      <w:pPr>
        <w:pStyle w:val="TextBody"/>
        <w:bidi w:val="0"/>
        <w:jc w:val="both"/>
        <w:rPr/>
      </w:pPr>
      <w:r>
        <w:rPr/>
        <w:t> </w:t>
      </w:r>
    </w:p>
    <w:tbl>
      <w:tblPr>
        <w:tblW w:w="9583" w:type="dxa"/>
        <w:jc w:val="left"/>
        <w:tblInd w:w="0" w:type="dxa"/>
        <w:tblLayout w:type="fixed"/>
        <w:tblCellMar>
          <w:top w:w="28" w:type="dxa"/>
          <w:left w:w="28" w:type="dxa"/>
          <w:bottom w:w="28" w:type="dxa"/>
          <w:right w:w="28" w:type="dxa"/>
        </w:tblCellMar>
      </w:tblPr>
      <w:tblGrid>
        <w:gridCol w:w="5151"/>
        <w:gridCol w:w="146"/>
        <w:gridCol w:w="211"/>
        <w:gridCol w:w="796"/>
        <w:gridCol w:w="146"/>
        <w:gridCol w:w="146"/>
        <w:gridCol w:w="211"/>
        <w:gridCol w:w="796"/>
        <w:gridCol w:w="146"/>
        <w:gridCol w:w="146"/>
        <w:gridCol w:w="211"/>
        <w:gridCol w:w="796"/>
        <w:gridCol w:w="681"/>
      </w:tblGrid>
      <w:tr>
        <w:trPr/>
        <w:tc>
          <w:tcPr>
            <w:tcW w:w="5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1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1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2"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29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Ended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299"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83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Server products and cloud services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129,425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98,435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79,828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5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Microsoft 365 Commercial products and cloud services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101,997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87,767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76,969</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XBOX</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21,790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23,455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21,503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5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LinkedIn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19,817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16,372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Windows and Devices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17,084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17,314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17,026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5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Search advertising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15,176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13,878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12,306</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Microsoft 365 Consumer products and cloud services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9,175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6,648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5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Dynamics products and cloud services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5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Enterprise and partner services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8,260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7,760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15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331,839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281,724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245,122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Our Microsoft Cloud revenue, which includes Microsoft 365 Commercial cloud, Azure and other cloud services, the commercial portion of LinkedIn, and Dynamics 365, was $214.4</w:t>
      </w:r>
      <w:r>
        <w:rPr>
          <w:rFonts w:ascii="Times New Roman" w:hAnsi="Times New Roman"/>
          <w:color w:val="000000"/>
          <w:sz w:val="20"/>
        </w:rPr>
        <w:t xml:space="preserve"> </w:t>
      </w:r>
      <w:r>
        <w:rPr>
          <w:rFonts w:ascii="Arial" w:hAnsi="Arial"/>
          <w:color w:val="000000"/>
          <w:sz w:val="20"/>
        </w:rPr>
        <w:t>billion, $168.9</w:t>
      </w:r>
      <w:r>
        <w:rPr>
          <w:rFonts w:ascii="Times New Roman" w:hAnsi="Times New Roman"/>
          <w:color w:val="000000"/>
          <w:sz w:val="20"/>
        </w:rPr>
        <w:t xml:space="preserve"> </w:t>
      </w:r>
      <w:r>
        <w:rPr>
          <w:rFonts w:ascii="Arial" w:hAnsi="Arial"/>
          <w:color w:val="000000"/>
          <w:sz w:val="20"/>
        </w:rPr>
        <w:t>billion, and $137.7</w:t>
      </w:r>
      <w:r>
        <w:rPr>
          <w:rFonts w:ascii="Times New Roman" w:hAnsi="Times New Roman"/>
          <w:color w:val="000000"/>
          <w:sz w:val="20"/>
        </w:rPr>
        <w:t xml:space="preserve"> </w:t>
      </w:r>
      <w:r>
        <w:rPr>
          <w:rFonts w:ascii="Arial" w:hAnsi="Arial"/>
          <w:color w:val="000000"/>
          <w:sz w:val="20"/>
        </w:rPr>
        <w:t>billion in fiscal years 2026, 2025, and 2024, respectively. These amounts are included in Server products and cloud services, Microsoft 365 Commercial products and cloud services, LinkedIn, and Dynamics products and cloud services in the table above.</w:t>
      </w:r>
    </w:p>
    <w:p>
      <w:pPr>
        <w:pStyle w:val="TextBody"/>
        <w:bidi w:val="0"/>
        <w:spacing w:before="180" w:after="283"/>
        <w:jc w:val="both"/>
        <w:rPr>
          <w:rFonts w:ascii="Arial" w:hAnsi="Arial"/>
          <w:color w:val="000000"/>
          <w:sz w:val="20"/>
        </w:rPr>
      </w:pPr>
      <w:r>
        <w:rPr>
          <w:rFonts w:ascii="Arial" w:hAnsi="Arial"/>
          <w:color w:val="000000"/>
          <w:sz w:val="20"/>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pStyle w:val="TextBody"/>
        <w:bidi w:val="0"/>
        <w:spacing w:before="180" w:after="283"/>
        <w:jc w:val="both"/>
        <w:rPr>
          <w:rFonts w:ascii="Arial" w:hAnsi="Arial"/>
          <w:color w:val="000000"/>
          <w:sz w:val="20"/>
        </w:rPr>
      </w:pPr>
      <w:r>
        <w:rPr>
          <w:rFonts w:ascii="Arial" w:hAnsi="Arial"/>
          <w:color w:val="000000"/>
          <w:sz w:val="20"/>
        </w:rPr>
        <w:t>Long-lived assets, excluding financial instruments and tax assets, classified by the location of the controlling statutory company and with countries over 10% of the total shown separately, were as follows:</w:t>
      </w:r>
    </w:p>
    <w:p>
      <w:pPr>
        <w:pStyle w:val="TextBody"/>
        <w:bidi w:val="0"/>
        <w:jc w:val="both"/>
        <w:rPr/>
      </w:pPr>
      <w:r>
        <w:rPr/>
        <w:t> </w:t>
      </w:r>
    </w:p>
    <w:tbl>
      <w:tblPr>
        <w:tblW w:w="6133" w:type="dxa"/>
        <w:jc w:val="left"/>
        <w:tblInd w:w="0" w:type="dxa"/>
        <w:tblLayout w:type="fixed"/>
        <w:tblCellMar>
          <w:top w:w="28" w:type="dxa"/>
          <w:left w:w="28" w:type="dxa"/>
          <w:bottom w:w="28" w:type="dxa"/>
          <w:right w:w="28" w:type="dxa"/>
        </w:tblCellMar>
      </w:tblPr>
      <w:tblGrid>
        <w:gridCol w:w="1701"/>
        <w:gridCol w:w="146"/>
        <w:gridCol w:w="211"/>
        <w:gridCol w:w="796"/>
        <w:gridCol w:w="146"/>
        <w:gridCol w:w="146"/>
        <w:gridCol w:w="211"/>
        <w:gridCol w:w="796"/>
        <w:gridCol w:w="146"/>
        <w:gridCol w:w="146"/>
        <w:gridCol w:w="211"/>
        <w:gridCol w:w="796"/>
        <w:gridCol w:w="681"/>
      </w:tblGrid>
      <w:tr>
        <w:trPr/>
        <w:tc>
          <w:tcPr>
            <w:tcW w:w="1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70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1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2"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29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0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299"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834" w:type="dxa"/>
            <w:gridSpan w:val="4"/>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17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United States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300,354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230,069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186,106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countries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175,159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115,263</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7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475,513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371,902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301,369</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85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jc w:val="left"/>
        <w:rPr>
          <w:rFonts w:ascii="Arial" w:hAnsi="Arial"/>
          <w:b/>
          <w:color w:val="000000"/>
          <w:sz w:val="20"/>
        </w:rPr>
      </w:pPr>
      <w:bookmarkStart w:id="23" w:name="report_independent"/>
      <w:bookmarkEnd w:id="23"/>
      <w:r>
        <w:rPr>
          <w:rFonts w:ascii="Arial" w:hAnsi="Arial"/>
          <w:b/>
          <w:color w:val="000000"/>
          <w:sz w:val="20"/>
        </w:rPr>
        <w:t>REPORT OF INDEPENDENT REGISTERED PUBLIC ACCOUNTING FIRM</w:t>
      </w:r>
    </w:p>
    <w:p>
      <w:pPr>
        <w:pStyle w:val="TextBody"/>
        <w:bidi w:val="0"/>
        <w:spacing w:before="180" w:after="283"/>
        <w:jc w:val="both"/>
        <w:rPr>
          <w:rFonts w:ascii="Times New Roman" w:hAnsi="Times New Roman"/>
          <w:sz w:val="20"/>
        </w:rPr>
      </w:pPr>
      <w:r>
        <w:rPr>
          <w:rFonts w:ascii="Arial" w:hAnsi="Arial"/>
          <w:color w:val="000000"/>
          <w:sz w:val="20"/>
        </w:rPr>
        <w:t>To the Stockholders and the Board of Directors of Microsoft Corporation</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r>
        <w:rPr>
          <w:rFonts w:ascii="Arial" w:hAnsi="Arial"/>
          <w:b/>
          <w:color w:val="000000"/>
          <w:sz w:val="20"/>
        </w:rPr>
        <w:t>Opinion on the Financial Statements</w:t>
      </w:r>
    </w:p>
    <w:p>
      <w:pPr>
        <w:pStyle w:val="TextBody"/>
        <w:bidi w:val="0"/>
        <w:spacing w:before="180" w:after="283"/>
        <w:jc w:val="both"/>
        <w:rPr>
          <w:rFonts w:ascii="Arial" w:hAnsi="Arial"/>
          <w:color w:val="000000"/>
          <w:sz w:val="20"/>
        </w:rPr>
      </w:pPr>
      <w:r>
        <w:rPr>
          <w:rFonts w:ascii="Arial" w:hAnsi="Arial"/>
          <w:color w:val="000000"/>
          <w:sz w:val="20"/>
        </w:rPr>
        <w:t>We have audited the accompanying consolidated balance sheets of Microsoft Corporation and subsidiaries (the “Company”) as of June 30, 2026 and 2025, the related consolidated statements of income, comprehensive income, cash flows, and stockholders' equity, for each of the three years in the period ended June 30, 2026, and the related notes (collectively referred to as the “financial statements”). In our opinion, the financial statements present fairly, in all material respects, the financial position of the Company as of June 30, 2026 and 2025, and the results of its operations and its cash flows for each of the three years in the period ended June 30, 2026, in conformity with accounting principles generally accepted in the United States of America.</w:t>
      </w:r>
    </w:p>
    <w:p>
      <w:pPr>
        <w:pStyle w:val="TextBody"/>
        <w:bidi w:val="0"/>
        <w:spacing w:before="180" w:after="283"/>
        <w:jc w:val="both"/>
        <w:rPr>
          <w:rFonts w:ascii="Times New Roman" w:hAnsi="Times New Roman"/>
          <w:sz w:val="20"/>
        </w:rPr>
      </w:pPr>
      <w:r>
        <w:rPr>
          <w:rFonts w:ascii="Arial" w:hAnsi="Arial"/>
          <w:color w:val="000000"/>
          <w:sz w:val="20"/>
        </w:rPr>
        <w:t xml:space="preserve">We have also audited, in accordance with the standards of the Public Company Accounting Oversight Board (United States) (PCAOB), the Company's internal control over financial reporting as of June 30, 2026, based on criteria established in </w:t>
      </w:r>
      <w:r>
        <w:rPr>
          <w:rFonts w:ascii="Arial" w:hAnsi="Arial"/>
          <w:i/>
          <w:color w:val="000000"/>
          <w:sz w:val="20"/>
        </w:rPr>
        <w:t>Internal Control — Integrated Framework (2013)</w:t>
      </w:r>
      <w:r>
        <w:rPr>
          <w:rFonts w:ascii="Times New Roman" w:hAnsi="Times New Roman"/>
          <w:color w:val="000000"/>
          <w:sz w:val="20"/>
        </w:rPr>
        <w:t xml:space="preserve"> </w:t>
      </w:r>
      <w:r>
        <w:rPr>
          <w:rFonts w:ascii="Arial" w:hAnsi="Arial"/>
          <w:color w:val="000000"/>
          <w:sz w:val="20"/>
        </w:rPr>
        <w:t>issued by the Committee of Sponsoring Organizations of the Treadway Commission and our report dated July 29, 2026, expressed an unqualified opinion on the Company's internal control over financial reporting.</w:t>
      </w:r>
    </w:p>
    <w:p>
      <w:pPr>
        <w:pStyle w:val="TextBody"/>
        <w:bidi w:val="0"/>
        <w:spacing w:before="180" w:after="283"/>
        <w:jc w:val="left"/>
        <w:rPr>
          <w:rFonts w:ascii="Arial" w:hAnsi="Arial"/>
          <w:b/>
          <w:color w:val="000000"/>
          <w:sz w:val="20"/>
        </w:rPr>
      </w:pPr>
      <w:r>
        <w:rPr>
          <w:rFonts w:ascii="Arial" w:hAnsi="Arial"/>
          <w:b/>
          <w:color w:val="000000"/>
          <w:sz w:val="20"/>
        </w:rPr>
        <w:t>Basis for Opinion</w:t>
      </w:r>
    </w:p>
    <w:p>
      <w:pPr>
        <w:pStyle w:val="TextBody"/>
        <w:bidi w:val="0"/>
        <w:spacing w:before="180" w:after="283"/>
        <w:jc w:val="both"/>
        <w:rPr>
          <w:rFonts w:ascii="Arial" w:hAnsi="Arial"/>
          <w:color w:val="000000"/>
          <w:sz w:val="20"/>
        </w:rPr>
      </w:pPr>
      <w:r>
        <w:rPr>
          <w:rFonts w:ascii="Arial" w:hAnsi="Arial"/>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80" w:after="283"/>
        <w:jc w:val="both"/>
        <w:rPr>
          <w:rFonts w:ascii="Arial" w:hAnsi="Arial"/>
          <w:color w:val="000000"/>
          <w:sz w:val="20"/>
        </w:rPr>
      </w:pPr>
      <w:r>
        <w:rPr>
          <w:rFonts w:ascii="Arial" w:hAnsi="Arial"/>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80" w:after="283"/>
        <w:jc w:val="left"/>
        <w:rPr>
          <w:rFonts w:ascii="Arial" w:hAnsi="Arial"/>
          <w:b/>
          <w:color w:val="000000"/>
          <w:sz w:val="20"/>
        </w:rPr>
      </w:pPr>
      <w:r>
        <w:rPr>
          <w:rFonts w:ascii="Arial" w:hAnsi="Arial"/>
          <w:b/>
          <w:color w:val="000000"/>
          <w:sz w:val="20"/>
        </w:rPr>
        <w:t>Critical Audit Matters</w:t>
      </w:r>
    </w:p>
    <w:p>
      <w:pPr>
        <w:pStyle w:val="TextBody"/>
        <w:bidi w:val="0"/>
        <w:spacing w:before="180" w:after="283"/>
        <w:jc w:val="both"/>
        <w:rPr>
          <w:rFonts w:ascii="Arial" w:hAnsi="Arial"/>
          <w:color w:val="000000"/>
          <w:sz w:val="20"/>
        </w:rPr>
      </w:pPr>
      <w:r>
        <w:rPr>
          <w:rFonts w:ascii="Arial" w:hAnsi="Arial"/>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240" w:after="283"/>
        <w:jc w:val="center"/>
        <w:rPr>
          <w:rFonts w:ascii="Arial" w:hAnsi="Arial"/>
          <w:color w:val="000000"/>
          <w:sz w:val="16"/>
        </w:rPr>
      </w:pPr>
      <w:r>
        <w:rPr>
          <w:rFonts w:ascii="Arial" w:hAnsi="Arial"/>
          <w:color w:val="000000"/>
          <w:sz w:val="16"/>
        </w:rPr>
        <w:t>86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180" w:after="283"/>
        <w:jc w:val="left"/>
        <w:rPr>
          <w:rFonts w:ascii="Arial" w:hAnsi="Arial"/>
          <w:b/>
          <w:i/>
          <w:color w:val="000000"/>
          <w:sz w:val="20"/>
        </w:rPr>
      </w:pPr>
      <w:r>
        <w:rPr>
          <w:rFonts w:ascii="Arial" w:hAnsi="Arial"/>
          <w:b/>
          <w:i/>
          <w:color w:val="000000"/>
          <w:sz w:val="20"/>
        </w:rPr>
        <w:t>Revenue Recognition – Refer to Note 1 to the financial statements</w:t>
      </w:r>
    </w:p>
    <w:p>
      <w:pPr>
        <w:pStyle w:val="TextBody"/>
        <w:bidi w:val="0"/>
        <w:spacing w:before="180" w:after="283"/>
        <w:jc w:val="left"/>
        <w:rPr>
          <w:rFonts w:ascii="Arial" w:hAnsi="Arial"/>
          <w:i/>
          <w:color w:val="000000"/>
          <w:sz w:val="20"/>
        </w:rPr>
      </w:pPr>
      <w:r>
        <w:rPr>
          <w:rFonts w:ascii="Arial" w:hAnsi="Arial"/>
          <w:i/>
          <w:color w:val="000000"/>
          <w:sz w:val="20"/>
        </w:rPr>
        <w:t>Critical Audit Matter Description</w:t>
      </w:r>
    </w:p>
    <w:p>
      <w:pPr>
        <w:pStyle w:val="TextBody"/>
        <w:bidi w:val="0"/>
        <w:spacing w:before="180" w:after="283"/>
        <w:jc w:val="both"/>
        <w:rPr>
          <w:rFonts w:ascii="Arial" w:hAnsi="Arial"/>
          <w:color w:val="000000"/>
          <w:sz w:val="20"/>
        </w:rPr>
      </w:pPr>
      <w:r>
        <w:rPr>
          <w:rFonts w:ascii="Arial" w:hAnsi="Arial"/>
          <w:color w:val="000000"/>
          <w:sz w:val="20"/>
        </w:rPr>
        <w:t>The Company recognizes revenue upon transfer of control of promised products or services to customers in an amount that reflects the consideration the Company expects to receive in exchange for those products or services. The Company offers customers the ability to acquire multiple licenses of software products and services, including cloud-based services, in its customer agreements through its volume licensing programs.</w:t>
      </w:r>
    </w:p>
    <w:p>
      <w:pPr>
        <w:pStyle w:val="TextBody"/>
        <w:bidi w:val="0"/>
        <w:spacing w:before="180" w:after="283"/>
        <w:jc w:val="both"/>
        <w:rPr>
          <w:rFonts w:ascii="Arial" w:hAnsi="Arial"/>
          <w:color w:val="000000"/>
          <w:sz w:val="20"/>
        </w:rPr>
      </w:pPr>
      <w:r>
        <w:rPr>
          <w:rFonts w:ascii="Arial" w:hAnsi="Arial"/>
          <w:color w:val="000000"/>
          <w:sz w:val="20"/>
        </w:rPr>
        <w:t>Significant judgment is exercised by the Company in determining revenue recognition for certain customer agreements, and includes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Arial" w:hAnsi="Arial"/>
          <w:color w:val="000000"/>
          <w:sz w:val="20"/>
        </w:rPr>
      </w:pPr>
      <w:r>
        <w:rPr>
          <w:rFonts w:ascii="Arial" w:hAnsi="Arial"/>
          <w:color w:val="000000"/>
          <w:sz w:val="20"/>
        </w:rPr>
        <w:t>Determination of whether products and services are considered distinct performance obligations that should be accounted for separately versus together, such as software licenses and related services that are sold with cloud-based services.</w:t>
      </w:r>
    </w:p>
    <w:p>
      <w:pPr>
        <w:pStyle w:val="TextBody"/>
        <w:bidi w:val="0"/>
        <w:spacing w:before="180" w:after="283"/>
        <w:jc w:val="both"/>
        <w:rPr>
          <w:color w:val="000000"/>
        </w:rPr>
      </w:pPr>
      <w:r>
        <w:rPr>
          <w:color w:val="000000"/>
        </w:rPr>
        <w:t>•</w:t>
      </w:r>
    </w:p>
    <w:p>
      <w:pPr>
        <w:pStyle w:val="TextBody"/>
        <w:bidi w:val="0"/>
        <w:spacing w:before="180" w:after="283"/>
        <w:jc w:val="both"/>
        <w:rPr>
          <w:rFonts w:ascii="Arial" w:hAnsi="Arial"/>
          <w:color w:val="000000"/>
          <w:sz w:val="20"/>
        </w:rPr>
      </w:pPr>
      <w:r>
        <w:rPr>
          <w:rFonts w:ascii="Arial" w:hAnsi="Arial"/>
          <w:color w:val="000000"/>
          <w:sz w:val="20"/>
        </w:rPr>
        <w:t>The pattern of delivery (i.e., timing of when revenue is recognized) for each distinct performance obligation.</w:t>
      </w:r>
    </w:p>
    <w:p>
      <w:pPr>
        <w:pStyle w:val="TextBody"/>
        <w:bidi w:val="0"/>
        <w:spacing w:before="180" w:after="283"/>
        <w:jc w:val="both"/>
        <w:rPr>
          <w:color w:val="000000"/>
        </w:rPr>
      </w:pPr>
      <w:r>
        <w:rPr>
          <w:color w:val="000000"/>
        </w:rPr>
        <w:t>•</w:t>
      </w:r>
    </w:p>
    <w:p>
      <w:pPr>
        <w:pStyle w:val="TextBody"/>
        <w:bidi w:val="0"/>
        <w:spacing w:before="180" w:after="283"/>
        <w:jc w:val="both"/>
        <w:rPr>
          <w:rFonts w:ascii="Arial" w:hAnsi="Arial"/>
          <w:color w:val="000000"/>
          <w:sz w:val="20"/>
        </w:rPr>
      </w:pPr>
      <w:r>
        <w:rPr>
          <w:rFonts w:ascii="Arial" w:hAnsi="Arial"/>
          <w:color w:val="000000"/>
          <w:sz w:val="20"/>
        </w:rPr>
        <w:t xml:space="preserve">Identification and treatment of contract terms that may impact the timing and amount of revenue recognized (e.g., variable consideration, optional purchases, and free services). </w:t>
      </w:r>
    </w:p>
    <w:p>
      <w:pPr>
        <w:pStyle w:val="TextBody"/>
        <w:bidi w:val="0"/>
        <w:spacing w:before="180" w:after="283"/>
        <w:jc w:val="both"/>
        <w:rPr>
          <w:color w:val="000000"/>
        </w:rPr>
      </w:pPr>
      <w:r>
        <w:rPr>
          <w:color w:val="000000"/>
        </w:rPr>
        <w:t>•</w:t>
      </w:r>
    </w:p>
    <w:p>
      <w:pPr>
        <w:pStyle w:val="TextBody"/>
        <w:bidi w:val="0"/>
        <w:spacing w:before="180" w:after="283"/>
        <w:jc w:val="both"/>
        <w:rPr>
          <w:rFonts w:ascii="Arial" w:hAnsi="Arial"/>
          <w:color w:val="000000"/>
          <w:sz w:val="20"/>
        </w:rPr>
      </w:pPr>
      <w:r>
        <w:rPr>
          <w:rFonts w:ascii="Arial" w:hAnsi="Arial"/>
          <w:color w:val="000000"/>
          <w:sz w:val="20"/>
        </w:rPr>
        <w:t>Determination of stand-alone selling prices for each distinct performance obligation and for products and services that are not sold separately.</w:t>
      </w:r>
    </w:p>
    <w:p>
      <w:pPr>
        <w:pStyle w:val="TextBody"/>
        <w:bidi w:val="0"/>
        <w:spacing w:before="180" w:after="283"/>
        <w:jc w:val="both"/>
        <w:rPr>
          <w:rFonts w:ascii="Arial" w:hAnsi="Arial"/>
          <w:color w:val="000000"/>
          <w:sz w:val="20"/>
        </w:rPr>
      </w:pPr>
      <w:r>
        <w:rPr>
          <w:rFonts w:ascii="Arial" w:hAnsi="Arial"/>
          <w:color w:val="000000"/>
          <w:sz w:val="20"/>
        </w:rPr>
        <w:t>Given these factors and due to the volume of transactions, the related audit effort in evaluating management's judgments in determining revenue recognition for certain customer agreements was extensive and required a high degree of auditor judgment.</w:t>
      </w:r>
    </w:p>
    <w:p>
      <w:pPr>
        <w:pStyle w:val="TextBody"/>
        <w:bidi w:val="0"/>
        <w:spacing w:before="180" w:after="283"/>
        <w:jc w:val="left"/>
        <w:rPr>
          <w:rFonts w:ascii="Arial" w:hAnsi="Arial"/>
          <w:i/>
          <w:color w:val="000000"/>
          <w:sz w:val="20"/>
        </w:rPr>
      </w:pPr>
      <w:r>
        <w:rPr>
          <w:rFonts w:ascii="Arial" w:hAnsi="Arial"/>
          <w:i/>
          <w:color w:val="000000"/>
          <w:sz w:val="20"/>
        </w:rPr>
        <w:t>How the Critical Audit Matter Was Addressed in the Audit</w:t>
      </w:r>
    </w:p>
    <w:p>
      <w:pPr>
        <w:pStyle w:val="TextBody"/>
        <w:bidi w:val="0"/>
        <w:spacing w:before="180" w:after="283"/>
        <w:jc w:val="both"/>
        <w:rPr>
          <w:rFonts w:ascii="Arial" w:hAnsi="Arial"/>
          <w:color w:val="000000"/>
          <w:sz w:val="20"/>
        </w:rPr>
      </w:pPr>
      <w:r>
        <w:rPr>
          <w:rFonts w:ascii="Arial" w:hAnsi="Arial"/>
          <w:color w:val="000000"/>
          <w:sz w:val="20"/>
        </w:rPr>
        <w:t>Our principal audit procedures related to the Company's revenue recognition for certain customer agreements included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Arial" w:hAnsi="Arial"/>
          <w:color w:val="000000"/>
          <w:sz w:val="20"/>
        </w:rPr>
      </w:pPr>
      <w:r>
        <w:rPr>
          <w:rFonts w:ascii="Arial" w:hAnsi="Arial"/>
          <w:color w:val="000000"/>
          <w:sz w:val="20"/>
        </w:rPr>
        <w:t>We tested the effectiveness of controls related to the identification of distinct performance obligations, the determination of the timing of revenue recognition, and the estimation of variable consideration.</w:t>
      </w:r>
    </w:p>
    <w:p>
      <w:pPr>
        <w:pStyle w:val="TextBody"/>
        <w:bidi w:val="0"/>
        <w:spacing w:before="180" w:after="283"/>
        <w:jc w:val="both"/>
        <w:rPr>
          <w:color w:val="000000"/>
        </w:rPr>
      </w:pPr>
      <w:r>
        <w:rPr>
          <w:color w:val="000000"/>
        </w:rPr>
        <w:t>•</w:t>
      </w:r>
    </w:p>
    <w:p>
      <w:pPr>
        <w:pStyle w:val="TextBody"/>
        <w:bidi w:val="0"/>
        <w:spacing w:before="180" w:after="283"/>
        <w:jc w:val="both"/>
        <w:rPr>
          <w:rFonts w:ascii="Arial" w:hAnsi="Arial"/>
          <w:color w:val="000000"/>
          <w:sz w:val="20"/>
        </w:rPr>
      </w:pPr>
      <w:r>
        <w:rPr>
          <w:rFonts w:ascii="Arial" w:hAnsi="Arial"/>
          <w:color w:val="000000"/>
          <w:sz w:val="20"/>
        </w:rPr>
        <w:t>We evaluated management's significant accounting policies related to certain customer agreements for reasonableness.</w:t>
      </w:r>
    </w:p>
    <w:p>
      <w:pPr>
        <w:pStyle w:val="TextBody"/>
        <w:bidi w:val="0"/>
        <w:spacing w:before="180" w:after="283"/>
        <w:jc w:val="both"/>
        <w:rPr>
          <w:color w:val="000000"/>
        </w:rPr>
      </w:pPr>
      <w:r>
        <w:rPr>
          <w:color w:val="000000"/>
        </w:rPr>
        <w:t>•</w:t>
      </w:r>
    </w:p>
    <w:p>
      <w:pPr>
        <w:pStyle w:val="TextBody"/>
        <w:bidi w:val="0"/>
        <w:spacing w:before="180" w:after="283"/>
        <w:jc w:val="both"/>
        <w:rPr>
          <w:rFonts w:ascii="Arial" w:hAnsi="Arial"/>
          <w:color w:val="000000"/>
          <w:sz w:val="20"/>
        </w:rPr>
      </w:pPr>
      <w:r>
        <w:rPr>
          <w:rFonts w:ascii="Arial" w:hAnsi="Arial"/>
          <w:color w:val="000000"/>
          <w:sz w:val="20"/>
        </w:rPr>
        <w:t>We selected a sample of customer agreements and performed the following procedures: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80" w:after="283"/>
        <w:jc w:val="both"/>
        <w:rPr>
          <w:rFonts w:ascii="Arial" w:hAnsi="Arial"/>
          <w:color w:val="000000"/>
          <w:sz w:val="20"/>
        </w:rPr>
      </w:pPr>
      <w:r>
        <w:rPr>
          <w:rFonts w:ascii="Arial" w:hAnsi="Arial"/>
          <w:color w:val="000000"/>
          <w:sz w:val="20"/>
        </w:rPr>
        <w:t>Obtained and read contract source documents for each selection, including master agreements, and other documents that were part of the agreement.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80" w:after="283"/>
        <w:jc w:val="both"/>
        <w:rPr>
          <w:rFonts w:ascii="Arial" w:hAnsi="Arial"/>
          <w:color w:val="000000"/>
          <w:sz w:val="20"/>
        </w:rPr>
      </w:pPr>
      <w:r>
        <w:rPr>
          <w:rFonts w:ascii="Arial" w:hAnsi="Arial"/>
          <w:color w:val="000000"/>
          <w:sz w:val="20"/>
        </w:rPr>
        <w:t xml:space="preserve">Tested management's identification and treatment of contract terms.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80" w:after="283"/>
        <w:jc w:val="both"/>
        <w:rPr>
          <w:rFonts w:ascii="Arial" w:hAnsi="Arial"/>
          <w:color w:val="000000"/>
          <w:sz w:val="20"/>
        </w:rPr>
      </w:pPr>
      <w:r>
        <w:rPr>
          <w:rFonts w:ascii="Arial" w:hAnsi="Arial"/>
          <w:color w:val="000000"/>
          <w:sz w:val="20"/>
        </w:rPr>
        <w:t>Assessed the terms in the customer agreement and evaluated the appropriateness of management's application of their accounting policies, along with their use of estimates, in the determination of revenue recognition conclusions.</w:t>
      </w:r>
    </w:p>
    <w:p>
      <w:pPr>
        <w:pStyle w:val="TextBody"/>
        <w:bidi w:val="0"/>
        <w:spacing w:before="180" w:after="283"/>
        <w:jc w:val="both"/>
        <w:rPr>
          <w:color w:val="000000"/>
        </w:rPr>
      </w:pPr>
      <w:r>
        <w:rPr>
          <w:color w:val="000000"/>
        </w:rPr>
        <w:t>•</w:t>
      </w:r>
    </w:p>
    <w:p>
      <w:pPr>
        <w:pStyle w:val="TextBody"/>
        <w:bidi w:val="0"/>
        <w:spacing w:before="180" w:after="283"/>
        <w:jc w:val="both"/>
        <w:rPr>
          <w:rFonts w:ascii="Arial" w:hAnsi="Arial"/>
          <w:color w:val="000000"/>
          <w:sz w:val="20"/>
        </w:rPr>
      </w:pPr>
      <w:r>
        <w:rPr>
          <w:rFonts w:ascii="Arial" w:hAnsi="Arial"/>
          <w:color w:val="000000"/>
          <w:sz w:val="20"/>
        </w:rPr>
        <w:t>We evaluated the reasonableness of management's estimate of stand-alone selling prices for products and services that are not sold separately.</w:t>
      </w:r>
    </w:p>
    <w:p>
      <w:pPr>
        <w:pStyle w:val="TextBody"/>
        <w:bidi w:val="0"/>
        <w:spacing w:before="180" w:after="283"/>
        <w:jc w:val="both"/>
        <w:rPr>
          <w:color w:val="000000"/>
        </w:rPr>
      </w:pPr>
      <w:r>
        <w:rPr>
          <w:color w:val="000000"/>
        </w:rPr>
        <w:t>•</w:t>
      </w:r>
    </w:p>
    <w:p>
      <w:pPr>
        <w:pStyle w:val="TextBody"/>
        <w:bidi w:val="0"/>
        <w:spacing w:before="180" w:after="283"/>
        <w:jc w:val="both"/>
        <w:rPr>
          <w:rFonts w:ascii="Arial" w:hAnsi="Arial"/>
          <w:color w:val="000000"/>
          <w:sz w:val="20"/>
        </w:rPr>
      </w:pPr>
      <w:r>
        <w:rPr>
          <w:rFonts w:ascii="Arial" w:hAnsi="Arial"/>
          <w:color w:val="000000"/>
          <w:sz w:val="20"/>
        </w:rPr>
        <w:t>We tested the mathematical accuracy of management's calculations of revenue and the associated timing of revenue recognized in the financial statements.</w:t>
      </w:r>
    </w:p>
    <w:p>
      <w:pPr>
        <w:pStyle w:val="TextBody"/>
        <w:bidi w:val="0"/>
        <w:spacing w:before="240" w:after="283"/>
        <w:jc w:val="center"/>
        <w:rPr>
          <w:rFonts w:ascii="Arial" w:hAnsi="Arial"/>
          <w:color w:val="000000"/>
          <w:sz w:val="16"/>
        </w:rPr>
      </w:pPr>
      <w:r>
        <w:rPr>
          <w:rFonts w:ascii="Arial" w:hAnsi="Arial"/>
          <w:color w:val="000000"/>
          <w:sz w:val="16"/>
        </w:rPr>
        <w:t>87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8</w:t>
      </w:r>
    </w:p>
    <w:p>
      <w:pPr>
        <w:pStyle w:val="TextBody"/>
        <w:bidi w:val="0"/>
        <w:jc w:val="center"/>
        <w:rPr/>
      </w:pPr>
      <w:r>
        <w:rPr/>
        <w:t> </w:t>
      </w:r>
    </w:p>
    <w:p>
      <w:pPr>
        <w:pStyle w:val="TextBody"/>
        <w:bidi w:val="0"/>
        <w:spacing w:before="180" w:after="283"/>
        <w:jc w:val="left"/>
        <w:rPr>
          <w:rFonts w:ascii="Arial" w:hAnsi="Arial"/>
          <w:b/>
          <w:i/>
          <w:color w:val="000000"/>
          <w:sz w:val="20"/>
        </w:rPr>
      </w:pPr>
      <w:r>
        <w:rPr>
          <w:rFonts w:ascii="Arial" w:hAnsi="Arial"/>
          <w:b/>
          <w:i/>
          <w:color w:val="000000"/>
          <w:sz w:val="20"/>
        </w:rPr>
        <w:t>Income Taxes – Uncertain Tax Positions – Refer to Note 11 to the financial statements</w:t>
      </w:r>
    </w:p>
    <w:p>
      <w:pPr>
        <w:pStyle w:val="TextBody"/>
        <w:bidi w:val="0"/>
        <w:spacing w:before="180" w:after="283"/>
        <w:jc w:val="left"/>
        <w:rPr>
          <w:rFonts w:ascii="Arial" w:hAnsi="Arial"/>
          <w:i/>
          <w:color w:val="000000"/>
          <w:sz w:val="20"/>
        </w:rPr>
      </w:pPr>
      <w:r>
        <w:rPr>
          <w:rFonts w:ascii="Arial" w:hAnsi="Arial"/>
          <w:i/>
          <w:color w:val="000000"/>
          <w:sz w:val="20"/>
        </w:rPr>
        <w:t>Critical Audit Matter Description</w:t>
      </w:r>
    </w:p>
    <w:p>
      <w:pPr>
        <w:pStyle w:val="TextBody"/>
        <w:bidi w:val="0"/>
        <w:spacing w:before="180" w:after="283"/>
        <w:jc w:val="both"/>
        <w:rPr>
          <w:rFonts w:ascii="Times New Roman" w:hAnsi="Times New Roman"/>
          <w:sz w:val="20"/>
        </w:rPr>
      </w:pPr>
      <w:r>
        <w:rPr>
          <w:rFonts w:ascii="Arial" w:hAnsi="Arial"/>
          <w:color w:val="000000"/>
          <w:sz w:val="20"/>
        </w:rPr>
        <w:t>The Company’s long-term income taxes liability includes uncertain tax positions related to transfer pricing issues that remain unresolved with the Internal Revenue Service (“IRS”). The Company remains under IRS audit, or subject to IRS audit, for tax years subsequent to 2003. During fiscal year 2024, the Company received Notices of Proposed Adjustments (“NOPAs”) for the tax years 2004 to 2013, primarily related to intercompany transfer pricing. While the Company has settled a portion of the IRS audits, resolution of the remaining matters could have a material impact on the Company’s financial statements.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Conclusions on recognizing and measuring uncertain tax positions involve significant estimates and management judgment and include complex considerations of the Internal Revenue Code, related regulations, tax case laws, and prior-year audit settlements. Given the complexity and the subjective nature of certain transfer pricing issues that remain unresolved with the IRS, evaluating management’s estimates relating to their determination of uncertain tax positions required a high degree of auditor judgment, including involvement of our tax specialists.</w:t>
      </w:r>
    </w:p>
    <w:p>
      <w:pPr>
        <w:pStyle w:val="TextBody"/>
        <w:bidi w:val="0"/>
        <w:spacing w:before="180" w:after="283"/>
        <w:jc w:val="left"/>
        <w:rPr>
          <w:rFonts w:ascii="Arial" w:hAnsi="Arial"/>
          <w:i/>
          <w:color w:val="000000"/>
          <w:sz w:val="20"/>
        </w:rPr>
      </w:pPr>
      <w:r>
        <w:rPr>
          <w:rFonts w:ascii="Arial" w:hAnsi="Arial"/>
          <w:i/>
          <w:color w:val="000000"/>
          <w:sz w:val="20"/>
        </w:rPr>
        <w:t>How the Critical Audit Matter Was Addressed in the Audit</w:t>
      </w:r>
    </w:p>
    <w:p>
      <w:pPr>
        <w:pStyle w:val="TextBody"/>
        <w:bidi w:val="0"/>
        <w:spacing w:before="180" w:after="283"/>
        <w:jc w:val="both"/>
        <w:rPr>
          <w:rFonts w:ascii="Arial" w:hAnsi="Arial"/>
          <w:color w:val="000000"/>
          <w:sz w:val="20"/>
        </w:rPr>
      </w:pPr>
      <w:r>
        <w:rPr>
          <w:rFonts w:ascii="Arial" w:hAnsi="Arial"/>
          <w:color w:val="000000"/>
          <w:sz w:val="20"/>
        </w:rPr>
        <w:t>Our principal audit procedures to evaluate management’s estimates of uncertain tax positions related to unresolved transfer pricing issues included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Arial" w:hAnsi="Arial"/>
          <w:color w:val="000000"/>
          <w:sz w:val="20"/>
        </w:rPr>
      </w:pPr>
      <w:r>
        <w:rPr>
          <w:rFonts w:ascii="Arial" w:hAnsi="Arial"/>
          <w:color w:val="000000"/>
          <w:sz w:val="20"/>
        </w:rPr>
        <w:t>We evaluated management’s methods and assumptions used in the measurement and disclosure of uncertain tax positions, which included testing the effectiveness of the related internal controls.</w:t>
      </w:r>
    </w:p>
    <w:p>
      <w:pPr>
        <w:pStyle w:val="TextBody"/>
        <w:bidi w:val="0"/>
        <w:spacing w:before="180" w:after="283"/>
        <w:jc w:val="both"/>
        <w:rPr>
          <w:color w:val="000000"/>
        </w:rPr>
      </w:pPr>
      <w:r>
        <w:rPr>
          <w:color w:val="000000"/>
        </w:rPr>
        <w:t>•</w:t>
      </w:r>
    </w:p>
    <w:p>
      <w:pPr>
        <w:pStyle w:val="TextBody"/>
        <w:bidi w:val="0"/>
        <w:spacing w:before="180" w:after="283"/>
        <w:jc w:val="both"/>
        <w:rPr>
          <w:rFonts w:ascii="Arial" w:hAnsi="Arial"/>
          <w:color w:val="000000"/>
          <w:sz w:val="20"/>
        </w:rPr>
      </w:pPr>
      <w:r>
        <w:rPr>
          <w:rFonts w:ascii="Arial" w:hAnsi="Arial"/>
          <w:color w:val="000000"/>
          <w:sz w:val="20"/>
        </w:rPr>
        <w:t>We tested the reasonableness of management’s judgments regarding the future resolution of uncertain tax positions, as follows: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80" w:after="283"/>
        <w:jc w:val="both"/>
        <w:rPr>
          <w:rFonts w:ascii="Arial" w:hAnsi="Arial"/>
          <w:color w:val="000000"/>
          <w:sz w:val="20"/>
        </w:rPr>
      </w:pPr>
      <w:r>
        <w:rPr>
          <w:rFonts w:ascii="Arial" w:hAnsi="Arial"/>
          <w:color w:val="000000"/>
          <w:sz w:val="20"/>
        </w:rPr>
        <w:t>We evaluated whether management had appropriately considered new information that could significantly change the measurement of the uncertain tax positions.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80" w:after="283"/>
        <w:jc w:val="both"/>
        <w:rPr>
          <w:rFonts w:ascii="Arial" w:hAnsi="Arial"/>
          <w:color w:val="000000"/>
          <w:sz w:val="20"/>
        </w:rPr>
      </w:pPr>
      <w:r>
        <w:rPr>
          <w:rFonts w:ascii="Arial" w:hAnsi="Arial"/>
          <w:color w:val="000000"/>
          <w:sz w:val="20"/>
        </w:rPr>
        <w:t>We evaluated the reasonableness of management’s estimates by considering how changes in tax law, including statutes, regulations, and recent case law, impacted management’s judgments.</w:t>
      </w:r>
    </w:p>
    <w:p>
      <w:pPr>
        <w:pStyle w:val="TextBody"/>
        <w:bidi w:val="0"/>
        <w:spacing w:before="180" w:after="283"/>
        <w:jc w:val="both"/>
        <w:rPr>
          <w:color w:val="000000"/>
        </w:rPr>
      </w:pPr>
      <w:r>
        <w:rPr>
          <w:color w:val="000000"/>
        </w:rPr>
        <w:t>•</w:t>
      </w:r>
    </w:p>
    <w:p>
      <w:pPr>
        <w:pStyle w:val="TextBody"/>
        <w:bidi w:val="0"/>
        <w:spacing w:before="180" w:after="283"/>
        <w:jc w:val="both"/>
        <w:rPr>
          <w:rFonts w:ascii="Arial" w:hAnsi="Arial"/>
          <w:color w:val="000000"/>
          <w:sz w:val="20"/>
        </w:rPr>
      </w:pPr>
      <w:r>
        <w:rPr>
          <w:rFonts w:ascii="Arial" w:hAnsi="Arial"/>
          <w:color w:val="000000"/>
          <w:sz w:val="20"/>
        </w:rPr>
        <w:t>We evaluated the appropriateness of the disclosures in relation to the underlying facts, judgments, and conclusions.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/s/ D</w:t>
      </w:r>
      <w:r>
        <w:rPr>
          <w:rFonts w:ascii="Arial" w:hAnsi="Arial"/>
          <w:color w:val="000000"/>
          <w:sz w:val="15"/>
        </w:rPr>
        <w:t>ELOITTE</w:t>
      </w:r>
      <w:r>
        <w:rPr>
          <w:rFonts w:ascii="Arial" w:hAnsi="Arial"/>
          <w:color w:val="000000"/>
          <w:sz w:val="20"/>
        </w:rPr>
        <w:t xml:space="preserve"> &amp; T</w:t>
      </w:r>
      <w:r>
        <w:rPr>
          <w:rFonts w:ascii="Arial" w:hAnsi="Arial"/>
          <w:color w:val="000000"/>
          <w:sz w:val="15"/>
        </w:rPr>
        <w:t>OUCHE</w:t>
      </w:r>
      <w:r>
        <w:rPr>
          <w:rFonts w:ascii="Arial" w:hAnsi="Arial"/>
          <w:color w:val="000000"/>
          <w:sz w:val="20"/>
        </w:rPr>
        <w:t xml:space="preserve"> LLP</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Seattle, Washington</w:t>
      </w:r>
    </w:p>
    <w:p>
      <w:pPr>
        <w:pStyle w:val="TextBody"/>
        <w:bidi w:val="0"/>
        <w:jc w:val="both"/>
        <w:rPr>
          <w:rFonts w:ascii="Arial" w:hAnsi="Arial"/>
          <w:color w:val="000000"/>
          <w:sz w:val="20"/>
        </w:rPr>
      </w:pPr>
      <w:r>
        <w:rPr>
          <w:rFonts w:ascii="Arial" w:hAnsi="Arial"/>
          <w:color w:val="000000"/>
          <w:sz w:val="20"/>
        </w:rPr>
        <w:t>July 29, 2026</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have served as the Company's auditor since 1983.</w:t>
      </w:r>
    </w:p>
    <w:p>
      <w:pPr>
        <w:pStyle w:val="TextBody"/>
        <w:bidi w:val="0"/>
        <w:spacing w:before="240" w:after="283"/>
        <w:jc w:val="center"/>
        <w:rPr>
          <w:rFonts w:ascii="Arial" w:hAnsi="Arial"/>
          <w:color w:val="000000"/>
          <w:sz w:val="16"/>
        </w:rPr>
      </w:pPr>
      <w:r>
        <w:rPr>
          <w:rFonts w:ascii="Arial" w:hAnsi="Arial"/>
          <w:color w:val="000000"/>
          <w:sz w:val="16"/>
        </w:rPr>
        <w:t>88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9, 9A</w:t>
      </w:r>
    </w:p>
    <w:p>
      <w:pPr>
        <w:pStyle w:val="TextBody"/>
        <w:bidi w:val="0"/>
        <w:jc w:val="center"/>
        <w:rPr/>
      </w:pPr>
      <w:r>
        <w:rPr/>
        <w:t> </w:t>
      </w:r>
    </w:p>
    <w:p>
      <w:pPr>
        <w:pStyle w:val="TextBody"/>
        <w:bidi w:val="0"/>
        <w:jc w:val="center"/>
        <w:rPr>
          <w:rFonts w:ascii="Times New Roman" w:hAnsi="Times New Roman"/>
          <w:sz w:val="20"/>
        </w:rPr>
      </w:pPr>
      <w:bookmarkStart w:id="24" w:name="item_9_changes_in_disagreements_with_acc"/>
      <w:bookmarkEnd w:id="24"/>
      <w:r>
        <w:rPr>
          <w:rFonts w:ascii="Arial" w:hAnsi="Arial"/>
          <w:b/>
          <w:color w:val="000000"/>
          <w:sz w:val="24"/>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Not applicable.</w:t>
      </w:r>
      <w:r>
        <w:rPr>
          <w:rFonts w:ascii="Times New Roman" w:hAnsi="Times New Roman"/>
          <w:color w:val="000000"/>
          <w:sz w:val="20"/>
        </w:rPr>
        <w:t xml:space="preserve"> </w:t>
      </w:r>
    </w:p>
    <w:p>
      <w:pPr>
        <w:pStyle w:val="TextBody"/>
        <w:bidi w:val="0"/>
        <w:spacing w:before="270" w:after="283"/>
        <w:jc w:val="center"/>
        <w:rPr>
          <w:rFonts w:ascii="Times New Roman" w:hAnsi="Times New Roman"/>
          <w:sz w:val="20"/>
        </w:rPr>
      </w:pPr>
      <w:bookmarkStart w:id="25" w:name="item_9a_controls_procedures"/>
      <w:bookmarkEnd w:id="25"/>
      <w:r>
        <w:rPr>
          <w:rFonts w:ascii="Arial" w:hAnsi="Arial"/>
          <w:b/>
          <w:color w:val="000000"/>
          <w:sz w:val="24"/>
        </w:rPr>
        <w:t>ITEM 9A. CONTROLS</w:t>
      </w:r>
      <w:r>
        <w:rPr>
          <w:rFonts w:ascii="Times New Roman" w:hAnsi="Times New Roman"/>
          <w:color w:val="000000"/>
          <w:sz w:val="20"/>
        </w:rPr>
        <w:t xml:space="preserve"> </w:t>
      </w:r>
      <w:r>
        <w:rPr>
          <w:rFonts w:ascii="Arial" w:hAnsi="Arial"/>
          <w:b/>
          <w:color w:val="000000"/>
          <w:sz w:val="24"/>
        </w:rPr>
        <w:t>AND PROCEDURES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bookmarkStart w:id="26" w:name="report_management_on_internal_control_ov"/>
      <w:bookmarkEnd w:id="26"/>
      <w:r>
        <w:rPr>
          <w:rFonts w:ascii="Arial" w:hAnsi="Arial"/>
          <w:b/>
          <w:color w:val="000000"/>
          <w:sz w:val="20"/>
        </w:rPr>
        <w:t>REPORT OF MANAGEMENT ON INTERNAL CONTROL OVER FINANCIAL REPORTING</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Our management is responsible for establishing and maintaining adequate internal control over financial reporting for the Company. Internal control over financial reporting is a process to provide reasonable assurance regarding the reliability of our financial reporting for external purposes in accordance with accounting principles generally accepted in the United States of America.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 xml:space="preserve">Management conducted an evaluation of the effectiveness of our internal control over financial reporting based on the framework in </w:t>
      </w:r>
      <w:r>
        <w:rPr>
          <w:rFonts w:ascii="Arial" w:hAnsi="Arial"/>
          <w:i/>
          <w:color w:val="000000"/>
          <w:sz w:val="20"/>
        </w:rPr>
        <w:t>Internal Control – Integrated Framework (2013)</w:t>
      </w:r>
      <w:r>
        <w:rPr>
          <w:rFonts w:ascii="Times New Roman" w:hAnsi="Times New Roman"/>
          <w:color w:val="000000"/>
          <w:sz w:val="20"/>
        </w:rPr>
        <w:t xml:space="preserve"> </w:t>
      </w:r>
      <w:r>
        <w:rPr>
          <w:rFonts w:ascii="Arial" w:hAnsi="Arial"/>
          <w:color w:val="000000"/>
          <w:sz w:val="20"/>
        </w:rPr>
        <w:t>issued by the Committee of Sponsoring Organizations of the Treadway Commission. Based on this evaluation, management concluded that the Company’s internal control over financial reporting was effective as of June 30, 2026. There were no changes in our internal control over financial reporting during the quarter ended June 30, 2026 that have materially affected, or are reasonably likely to materially affect, our internal control over financial reporting. Deloitte &amp; Touche LLP has audited our internal control over financial reporting as of June 30, 2026; their report is included in Item 9A.</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89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9A</w:t>
      </w:r>
    </w:p>
    <w:p>
      <w:pPr>
        <w:pStyle w:val="TextBody"/>
        <w:bidi w:val="0"/>
        <w:jc w:val="center"/>
        <w:rPr/>
      </w:pPr>
      <w:r>
        <w:rPr/>
        <w:t> </w:t>
      </w:r>
    </w:p>
    <w:p>
      <w:pPr>
        <w:pStyle w:val="TextBody"/>
        <w:bidi w:val="0"/>
        <w:jc w:val="both"/>
        <w:rPr>
          <w:rFonts w:ascii="Times New Roman" w:hAnsi="Times New Roman"/>
          <w:sz w:val="20"/>
        </w:rPr>
      </w:pPr>
      <w:bookmarkStart w:id="27" w:name="report_independent_registered_public_acc"/>
      <w:bookmarkEnd w:id="27"/>
      <w:r>
        <w:rPr>
          <w:rFonts w:ascii="Arial" w:hAnsi="Arial"/>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To the Stockholders and the Board of Directors of Microsoft Corporation</w:t>
      </w:r>
    </w:p>
    <w:p>
      <w:pPr>
        <w:pStyle w:val="TextBody"/>
        <w:bidi w:val="0"/>
        <w:spacing w:before="180" w:after="283"/>
        <w:jc w:val="both"/>
        <w:rPr>
          <w:rFonts w:ascii="Arial" w:hAnsi="Arial"/>
          <w:b/>
          <w:color w:val="000000"/>
          <w:sz w:val="20"/>
        </w:rPr>
      </w:pPr>
      <w:r>
        <w:rPr>
          <w:rFonts w:ascii="Arial" w:hAnsi="Arial"/>
          <w:b/>
          <w:color w:val="000000"/>
          <w:sz w:val="20"/>
        </w:rPr>
        <w:t>Opinion on Internal Control over Financial Reporting</w:t>
      </w:r>
    </w:p>
    <w:p>
      <w:pPr>
        <w:pStyle w:val="TextBody"/>
        <w:bidi w:val="0"/>
        <w:spacing w:before="180" w:after="283"/>
        <w:jc w:val="both"/>
        <w:rPr>
          <w:rFonts w:ascii="Times New Roman" w:hAnsi="Times New Roman"/>
          <w:sz w:val="20"/>
        </w:rPr>
      </w:pPr>
      <w:r>
        <w:rPr>
          <w:rFonts w:ascii="Arial" w:hAnsi="Arial"/>
          <w:color w:val="000000"/>
          <w:sz w:val="20"/>
        </w:rPr>
        <w:t xml:space="preserve">We have audited the internal control over financial reporting of Microsoft Corporation and subsidiaries (the “Company”) as of June 30, 2026, based on criteria established in </w:t>
      </w:r>
      <w:r>
        <w:rPr>
          <w:rFonts w:ascii="Arial" w:hAnsi="Arial"/>
          <w:i/>
          <w:color w:val="000000"/>
          <w:sz w:val="20"/>
        </w:rPr>
        <w:t>Internal Control — Integrated Framework (2013)</w:t>
      </w:r>
      <w:r>
        <w:rPr>
          <w:rFonts w:ascii="Times New Roman" w:hAnsi="Times New Roman"/>
          <w:color w:val="000000"/>
          <w:sz w:val="20"/>
        </w:rPr>
        <w:t xml:space="preserve"> </w:t>
      </w:r>
      <w:r>
        <w:rPr>
          <w:rFonts w:ascii="Arial" w:hAnsi="Arial"/>
          <w:color w:val="000000"/>
          <w:sz w:val="20"/>
        </w:rPr>
        <w:t xml:space="preserve">issued by the Committee of Sponsoring Organizations of the Treadway Commission (COSO). In our opinion, the Company maintained, in all material respects, effective internal control over financial reporting as of June 30, 2026, based on criteria established in </w:t>
      </w:r>
      <w:r>
        <w:rPr>
          <w:rFonts w:ascii="Arial" w:hAnsi="Arial"/>
          <w:i/>
          <w:color w:val="000000"/>
          <w:sz w:val="20"/>
        </w:rPr>
        <w:t>Internal Control — Integrated Framework (2013)</w:t>
      </w:r>
      <w:r>
        <w:rPr>
          <w:rFonts w:ascii="Times New Roman" w:hAnsi="Times New Roman"/>
          <w:color w:val="000000"/>
          <w:sz w:val="20"/>
        </w:rPr>
        <w:t xml:space="preserve"> </w:t>
      </w:r>
      <w:r>
        <w:rPr>
          <w:rFonts w:ascii="Arial" w:hAnsi="Arial"/>
          <w:color w:val="000000"/>
          <w:sz w:val="20"/>
        </w:rPr>
        <w:t>issued by COSO.</w:t>
      </w:r>
    </w:p>
    <w:p>
      <w:pPr>
        <w:pStyle w:val="TextBody"/>
        <w:bidi w:val="0"/>
        <w:spacing w:before="180" w:after="283"/>
        <w:jc w:val="both"/>
        <w:rPr>
          <w:rFonts w:ascii="Arial" w:hAnsi="Arial"/>
          <w:color w:val="000000"/>
          <w:sz w:val="20"/>
        </w:rPr>
      </w:pPr>
      <w:r>
        <w:rPr>
          <w:rFonts w:ascii="Arial" w:hAnsi="Arial"/>
          <w:color w:val="000000"/>
          <w:sz w:val="20"/>
        </w:rPr>
        <w:t>We have also audited, in accordance with the standards of the Public Company Accounting Oversight Board (United States) (PCAOB), the consolidated financial statements as of and for the year ended June 30, 2026, of the Company and our report dated July 29, 2026, expressed an unqualified opinion on those financial statements.</w:t>
      </w:r>
    </w:p>
    <w:p>
      <w:pPr>
        <w:pStyle w:val="TextBody"/>
        <w:bidi w:val="0"/>
        <w:spacing w:before="180" w:after="283"/>
        <w:jc w:val="left"/>
        <w:rPr>
          <w:rFonts w:ascii="Times New Roman" w:hAnsi="Times New Roman"/>
          <w:sz w:val="20"/>
        </w:rPr>
      </w:pPr>
      <w:r>
        <w:rPr>
          <w:rFonts w:ascii="Arial" w:hAnsi="Arial"/>
          <w:b/>
          <w:color w:val="000000"/>
          <w:sz w:val="20"/>
        </w:rPr>
        <w:t>Basis for Opinion</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80" w:after="283"/>
        <w:jc w:val="both"/>
        <w:rPr>
          <w:rFonts w:ascii="Arial" w:hAnsi="Arial"/>
          <w:color w:val="000000"/>
          <w:sz w:val="20"/>
        </w:rPr>
      </w:pPr>
      <w:r>
        <w:rPr>
          <w:rFonts w:ascii="Arial" w:hAnsi="Arial"/>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180" w:after="180"/>
        <w:jc w:val="left"/>
        <w:rPr>
          <w:rFonts w:ascii="Arial" w:hAnsi="Arial"/>
          <w:b/>
          <w:color w:val="000000"/>
          <w:sz w:val="20"/>
        </w:rPr>
      </w:pPr>
      <w:r>
        <w:rPr>
          <w:rFonts w:ascii="Arial" w:hAnsi="Arial"/>
          <w:b/>
          <w:color w:val="000000"/>
          <w:sz w:val="20"/>
        </w:rPr>
        <w:t>Definition and Limitations of Internal Control over Financial Reporting</w:t>
      </w:r>
    </w:p>
    <w:p>
      <w:pPr>
        <w:pStyle w:val="TextBody"/>
        <w:bidi w:val="0"/>
        <w:spacing w:before="0" w:after="180"/>
        <w:jc w:val="both"/>
        <w:rPr>
          <w:rFonts w:ascii="Arial" w:hAnsi="Arial"/>
          <w:color w:val="000000"/>
          <w:sz w:val="20"/>
        </w:rPr>
      </w:pPr>
      <w:r>
        <w:rPr>
          <w:rFonts w:ascii="Arial" w:hAnsi="Arial"/>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jc w:val="both"/>
        <w:rPr>
          <w:rFonts w:ascii="Arial" w:hAnsi="Arial"/>
          <w:color w:val="000000"/>
          <w:sz w:val="20"/>
        </w:rPr>
      </w:pPr>
      <w:r>
        <w:rPr>
          <w:rFonts w:ascii="Arial" w:hAnsi="Arial"/>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/s/ D</w:t>
      </w:r>
      <w:r>
        <w:rPr>
          <w:rFonts w:ascii="Arial" w:hAnsi="Arial"/>
          <w:color w:val="000000"/>
          <w:sz w:val="15"/>
        </w:rPr>
        <w:t>ELOITTE</w:t>
      </w:r>
      <w:r>
        <w:rPr>
          <w:rFonts w:ascii="Times New Roman" w:hAnsi="Times New Roman"/>
          <w:color w:val="000000"/>
          <w:sz w:val="20"/>
        </w:rPr>
        <w:t xml:space="preserve"> </w:t>
      </w:r>
      <w:r>
        <w:rPr>
          <w:rFonts w:ascii="Arial" w:hAnsi="Arial"/>
          <w:color w:val="000000"/>
          <w:sz w:val="20"/>
        </w:rPr>
        <w:t>&amp; T</w:t>
      </w:r>
      <w:r>
        <w:rPr>
          <w:rFonts w:ascii="Arial" w:hAnsi="Arial"/>
          <w:color w:val="000000"/>
          <w:sz w:val="15"/>
        </w:rPr>
        <w:t>OUCHE</w:t>
      </w:r>
      <w:r>
        <w:rPr>
          <w:rFonts w:ascii="Times New Roman" w:hAnsi="Times New Roman"/>
          <w:color w:val="000000"/>
          <w:sz w:val="20"/>
        </w:rPr>
        <w:t xml:space="preserve"> </w:t>
      </w:r>
      <w:r>
        <w:rPr>
          <w:rFonts w:ascii="Arial" w:hAnsi="Arial"/>
          <w:color w:val="000000"/>
          <w:sz w:val="20"/>
        </w:rPr>
        <w:t>LLP</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Seattle, Washington</w:t>
      </w:r>
    </w:p>
    <w:p>
      <w:pPr>
        <w:pStyle w:val="TextBody"/>
        <w:bidi w:val="0"/>
        <w:jc w:val="both"/>
        <w:rPr>
          <w:rFonts w:ascii="Arial" w:hAnsi="Arial"/>
          <w:color w:val="000000"/>
          <w:sz w:val="20"/>
        </w:rPr>
      </w:pPr>
      <w:r>
        <w:rPr>
          <w:rFonts w:ascii="Arial" w:hAnsi="Arial"/>
          <w:color w:val="000000"/>
          <w:sz w:val="20"/>
        </w:rPr>
        <w:t>July 29, 2026</w:t>
      </w:r>
    </w:p>
    <w:p>
      <w:pPr>
        <w:pStyle w:val="TextBody"/>
        <w:bidi w:val="0"/>
        <w:spacing w:before="240" w:after="283"/>
        <w:jc w:val="center"/>
        <w:rPr>
          <w:rFonts w:ascii="Arial" w:hAnsi="Arial"/>
          <w:color w:val="000000"/>
          <w:sz w:val="16"/>
        </w:rPr>
      </w:pPr>
      <w:r>
        <w:rPr>
          <w:rFonts w:ascii="Arial" w:hAnsi="Arial"/>
          <w:color w:val="000000"/>
          <w:sz w:val="16"/>
        </w:rPr>
        <w:t>90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Arial" w:hAnsi="Arial"/>
          <w:color w:val="000000"/>
          <w:sz w:val="15"/>
          <w:u w:val="single"/>
        </w:rPr>
        <w:t>PART II, III</w:t>
      </w:r>
      <w:r>
        <w:rPr>
          <w:rFonts w:ascii="Times New Roman" w:hAnsi="Times New Roman"/>
          <w:color w:val="000000"/>
          <w:sz w:val="20"/>
        </w:rPr>
        <w:t xml:space="preserve"> </w:t>
      </w:r>
    </w:p>
    <w:p>
      <w:pPr>
        <w:pStyle w:val="TextBody"/>
        <w:bidi w:val="0"/>
        <w:jc w:val="center"/>
        <w:rPr>
          <w:rFonts w:ascii="Arial" w:hAnsi="Arial"/>
          <w:color w:val="000000"/>
          <w:sz w:val="15"/>
        </w:rPr>
      </w:pPr>
      <w:r>
        <w:rPr>
          <w:rFonts w:ascii="Arial" w:hAnsi="Arial"/>
          <w:color w:val="000000"/>
          <w:sz w:val="15"/>
        </w:rPr>
        <w:t>Item 9B, 9C, 10, 11</w:t>
      </w:r>
    </w:p>
    <w:p>
      <w:pPr>
        <w:pStyle w:val="TextBody"/>
        <w:bidi w:val="0"/>
        <w:jc w:val="center"/>
        <w:rPr/>
      </w:pPr>
      <w:r>
        <w:rPr/>
        <w:t> </w:t>
      </w:r>
    </w:p>
    <w:p>
      <w:pPr>
        <w:pStyle w:val="TextBody"/>
        <w:bidi w:val="0"/>
        <w:jc w:val="center"/>
        <w:rPr>
          <w:rFonts w:ascii="Times New Roman" w:hAnsi="Times New Roman"/>
          <w:sz w:val="20"/>
        </w:rPr>
      </w:pPr>
      <w:bookmarkStart w:id="28" w:name="item_9b_or_information"/>
      <w:bookmarkEnd w:id="28"/>
      <w:r>
        <w:rPr>
          <w:rFonts w:ascii="Arial" w:hAnsi="Arial"/>
          <w:b/>
          <w:color w:val="000000"/>
          <w:sz w:val="24"/>
        </w:rPr>
        <w:t>ITEM 9B. OTHER</w:t>
      </w:r>
      <w:r>
        <w:rPr>
          <w:rFonts w:ascii="Times New Roman" w:hAnsi="Times New Roman"/>
          <w:color w:val="000000"/>
          <w:sz w:val="20"/>
        </w:rPr>
        <w:t xml:space="preserve"> </w:t>
      </w:r>
      <w:r>
        <w:rPr>
          <w:rFonts w:ascii="Arial" w:hAnsi="Arial"/>
          <w:b/>
          <w:color w:val="000000"/>
          <w:sz w:val="24"/>
        </w:rPr>
        <w:t>INFORMATION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color w:val="000000"/>
          <w:sz w:val="20"/>
        </w:rPr>
        <w:t>Insider Trading Arrangements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Section 16 officers and directors, as defined in Rule 16a-1(f) of the Securities Exchange Act of 1934 (the “Exchange Act”), may from time to time enter into plans for the purchase or sale of our common stock that are intended to satisfy the affirmative defense conditions of Rule 10b5-1(c) of the Exchange Act. During the quarter ended June 30, 2026, the following Section 16 officers and directors adopted, modified, or terminated “Rule 10b5-1 trading arrangements” (as defined in Item 408 of Regulation S-K of the Exchange Act):</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Amy E. Hood, our Executive Vice President and Chief Financial Officer, adopted a new written 10b5-1 trading plan on June 10, 2026, during an open trading window. The plan’s maximum duration is until March 5, 2027. The first trade will not occur until September 14, 2026, at the earliest. The trading plan is intended to permit Ms. Hood to sell (i) up to 48,700 shares of our common stock, (ii) 100% of net vested shares of our common stock pursuant to Restricted Stock Awards that will vest on August 31, 2026, and (iii) 100% of net vested shares of our common stock pursuant to Restricted Stock Awards that will vest on February 28, 2027. </w:t>
      </w:r>
    </w:p>
    <w:p>
      <w:pPr>
        <w:pStyle w:val="TextBody"/>
        <w:bidi w:val="0"/>
        <w:spacing w:before="180" w:after="283"/>
        <w:jc w:val="both"/>
        <w:rPr>
          <w:rFonts w:ascii="Times New Roman" w:hAnsi="Times New Roman"/>
          <w:sz w:val="20"/>
        </w:rPr>
      </w:pPr>
      <w:r>
        <w:rPr>
          <w:rFonts w:ascii="Arial" w:hAnsi="Arial"/>
          <w:color w:val="000000"/>
          <w:sz w:val="20"/>
        </w:rPr>
        <w:t>No other officers or directors, as defined in Rule 16a-1(f), adopted, modified, or terminated</w:t>
      </w:r>
      <w:r>
        <w:rPr>
          <w:rFonts w:ascii="Times New Roman" w:hAnsi="Times New Roman"/>
          <w:color w:val="000000"/>
          <w:sz w:val="20"/>
        </w:rPr>
        <w:t xml:space="preserve"> </w:t>
      </w:r>
      <w:r>
        <w:rPr>
          <w:rFonts w:ascii="Arial" w:hAnsi="Arial"/>
          <w:color w:val="000000"/>
          <w:sz w:val="20"/>
        </w:rPr>
        <w:t xml:space="preserve">a </w:t>
      </w:r>
      <w:r>
        <w:rPr>
          <w:rFonts w:ascii="Times New Roman" w:hAnsi="Times New Roman"/>
          <w:color w:val="000000"/>
          <w:sz w:val="20"/>
        </w:rPr>
        <w:t>“</w:t>
      </w:r>
      <w:r>
        <w:rPr>
          <w:rFonts w:ascii="Arial" w:hAnsi="Arial"/>
          <w:color w:val="000000"/>
          <w:sz w:val="20"/>
        </w:rPr>
        <w:t>Rule 10b5-1</w:t>
      </w:r>
      <w:r>
        <w:rPr>
          <w:rFonts w:ascii="Times New Roman" w:hAnsi="Times New Roman"/>
          <w:color w:val="000000"/>
          <w:sz w:val="20"/>
        </w:rPr>
        <w:t xml:space="preserve"> </w:t>
      </w:r>
      <w:r>
        <w:rPr>
          <w:rFonts w:ascii="Arial" w:hAnsi="Arial"/>
          <w:color w:val="000000"/>
          <w:sz w:val="20"/>
        </w:rPr>
        <w:t>trading arrangement</w:t>
      </w:r>
      <w:r>
        <w:rPr>
          <w:rFonts w:ascii="Times New Roman" w:hAnsi="Times New Roman"/>
          <w:color w:val="000000"/>
          <w:sz w:val="20"/>
        </w:rPr>
        <w:t xml:space="preserve">” </w:t>
      </w:r>
      <w:r>
        <w:rPr>
          <w:rFonts w:ascii="Arial" w:hAnsi="Arial"/>
          <w:color w:val="000000"/>
          <w:sz w:val="20"/>
        </w:rPr>
        <w:t>or a “non-Rule 10b5-1</w:t>
      </w:r>
      <w:r>
        <w:rPr>
          <w:rFonts w:ascii="Times New Roman" w:hAnsi="Times New Roman"/>
          <w:color w:val="000000"/>
          <w:sz w:val="20"/>
        </w:rPr>
        <w:t xml:space="preserve"> </w:t>
      </w:r>
      <w:r>
        <w:rPr>
          <w:rFonts w:ascii="Arial" w:hAnsi="Arial"/>
          <w:color w:val="000000"/>
          <w:sz w:val="20"/>
        </w:rPr>
        <w:t>trading arrangement,</w:t>
      </w:r>
      <w:r>
        <w:rPr>
          <w:rFonts w:ascii="Times New Roman" w:hAnsi="Times New Roman"/>
          <w:color w:val="000000"/>
          <w:sz w:val="20"/>
        </w:rPr>
        <w:t xml:space="preserve">” </w:t>
      </w:r>
      <w:r>
        <w:rPr>
          <w:rFonts w:ascii="Arial" w:hAnsi="Arial"/>
          <w:color w:val="000000"/>
          <w:sz w:val="20"/>
        </w:rPr>
        <w:t>as defined in Item 408 of Regulation S-K, during the three months ended June 30, 2026.</w:t>
      </w:r>
    </w:p>
    <w:p>
      <w:pPr>
        <w:pStyle w:val="TextBody"/>
        <w:bidi w:val="0"/>
        <w:spacing w:before="270" w:after="283"/>
        <w:jc w:val="center"/>
        <w:rPr>
          <w:rFonts w:ascii="Arial" w:hAnsi="Arial"/>
          <w:b/>
          <w:color w:val="000000"/>
          <w:sz w:val="24"/>
        </w:rPr>
      </w:pPr>
      <w:bookmarkStart w:id="29" w:name="item_9c_disclosure_regarding_foreign_jur"/>
      <w:bookmarkEnd w:id="29"/>
      <w:r>
        <w:rPr>
          <w:rFonts w:ascii="Arial" w:hAnsi="Arial"/>
          <w:b/>
          <w:color w:val="000000"/>
          <w:sz w:val="24"/>
        </w:rPr>
        <w:t>ITEM 9C. DISCLOSURE REGARDING FOREIGN JURISDICTIONS THAT PREVENT INSPECTIONS</w:t>
      </w:r>
    </w:p>
    <w:p>
      <w:pPr>
        <w:pStyle w:val="TextBody"/>
        <w:bidi w:val="0"/>
        <w:spacing w:before="180" w:after="283"/>
        <w:jc w:val="both"/>
        <w:rPr>
          <w:rFonts w:ascii="Arial" w:hAnsi="Arial"/>
          <w:color w:val="000000"/>
          <w:sz w:val="20"/>
        </w:rPr>
      </w:pPr>
      <w:r>
        <w:rPr>
          <w:rFonts w:ascii="Arial" w:hAnsi="Arial"/>
          <w:color w:val="000000"/>
          <w:sz w:val="20"/>
        </w:rPr>
        <w:t>Not applicable.</w:t>
      </w:r>
    </w:p>
    <w:p>
      <w:pPr>
        <w:pStyle w:val="TextBody"/>
        <w:bidi w:val="0"/>
        <w:spacing w:before="270" w:after="283"/>
        <w:jc w:val="center"/>
        <w:rPr>
          <w:rFonts w:ascii="Times New Roman" w:hAnsi="Times New Roman"/>
          <w:sz w:val="20"/>
        </w:rPr>
      </w:pPr>
      <w:r>
        <w:rPr>
          <w:rFonts w:ascii="Arial" w:hAnsi="Arial"/>
          <w:b/>
          <w:color w:val="000000"/>
          <w:sz w:val="20"/>
        </w:rPr>
        <w:t>PART III</w:t>
      </w:r>
      <w:r>
        <w:rPr>
          <w:rFonts w:ascii="Times New Roman" w:hAnsi="Times New Roman"/>
          <w:color w:val="000000"/>
          <w:sz w:val="20"/>
        </w:rPr>
        <w:t xml:space="preserve"> </w:t>
      </w:r>
    </w:p>
    <w:p>
      <w:pPr>
        <w:pStyle w:val="TextBody"/>
        <w:bidi w:val="0"/>
        <w:spacing w:before="180" w:after="283"/>
        <w:jc w:val="center"/>
        <w:rPr>
          <w:rFonts w:ascii="Arial" w:hAnsi="Arial"/>
          <w:b/>
          <w:color w:val="000000"/>
          <w:sz w:val="24"/>
        </w:rPr>
      </w:pPr>
      <w:bookmarkStart w:id="30" w:name="item_10_directors_executive_ficers_corpo"/>
      <w:bookmarkEnd w:id="30"/>
      <w:r>
        <w:rPr>
          <w:rFonts w:ascii="Arial" w:hAnsi="Arial"/>
          <w:b/>
          <w:color w:val="000000"/>
          <w:sz w:val="24"/>
        </w:rPr>
        <w:t>ITEM 10. DIRECTORS, EXECUTIVE OFFICERS, AND CORPORATE GOVERNANCE</w:t>
      </w:r>
    </w:p>
    <w:p>
      <w:pPr>
        <w:pStyle w:val="TextBody"/>
        <w:bidi w:val="0"/>
        <w:spacing w:before="180" w:after="283"/>
        <w:jc w:val="both"/>
        <w:rPr>
          <w:rFonts w:ascii="Times New Roman" w:hAnsi="Times New Roman"/>
          <w:sz w:val="20"/>
        </w:rPr>
      </w:pPr>
      <w:r>
        <w:rPr>
          <w:rFonts w:ascii="Arial" w:hAnsi="Arial"/>
          <w:color w:val="000000"/>
          <w:sz w:val="20"/>
        </w:rPr>
        <w:t>A list of our executive officers and biographical information appears in Part I, Item 1 of this Form 10-K. Information about our directors may be found under the caption “Our Director Nominees” in our Proxy Statement for the Annual Meeting of Shareholders to be held December 8, 2026 (the “Proxy Statement”). Information about our Audit Committee may be found under the caption “Board Committees” in the Proxy Statement. Information about our trading policies and procedures can be found under the caption “Insider Trading Policies and Procedures” in the Proxy Statement. That information is incorporated herein by reference.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 xml:space="preserve">We have adopted the Microsoft Finance Code of Professional Conduct (the “finance code of ethics”), a code of ethics that applies to our Chief Executive Officer, Chief Financial Officer, Chief Accounting Officer, and other finance organization employees. The finance code of ethics is publicly available on our website at </w:t>
      </w:r>
      <w:r>
        <w:rPr>
          <w:rFonts w:ascii="Arial" w:hAnsi="Arial"/>
          <w:sz w:val="20"/>
        </w:rPr>
        <w:t>https://aka.ms/FinanceCodeProfessionalConduct</w:t>
      </w:r>
      <w:r>
        <w:rPr>
          <w:rFonts w:ascii="Arial" w:hAnsi="Arial"/>
          <w:color w:val="000000"/>
          <w:sz w:val="20"/>
        </w:rPr>
        <w:t>. If we make any substantive amendments to the finance code of ethics or grant any waiver, including any implicit waiver, from a provision of the code to our Chief Executive Officer, Chief Financial Officer, or Chief Accounting Officer, we will disclose the nature of the amendment or waiver on that website or in a report on Form 8-K.</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will provide disclosure of delinquent Section 16(a) reports, if any, in our Proxy Statement under the caption “Delinquent Section 16(a) Reports,” and such disclosure, if any, is incorporated herein by reference.</w:t>
      </w:r>
    </w:p>
    <w:p>
      <w:pPr>
        <w:pStyle w:val="TextBody"/>
        <w:bidi w:val="0"/>
        <w:spacing w:before="270" w:after="283"/>
        <w:jc w:val="center"/>
        <w:rPr>
          <w:rFonts w:ascii="Arial" w:hAnsi="Arial"/>
          <w:b/>
          <w:color w:val="000000"/>
          <w:sz w:val="24"/>
        </w:rPr>
      </w:pPr>
      <w:bookmarkStart w:id="31" w:name="item_11_executive_compensation"/>
      <w:bookmarkEnd w:id="31"/>
      <w:r>
        <w:rPr>
          <w:rFonts w:ascii="Arial" w:hAnsi="Arial"/>
          <w:b/>
          <w:color w:val="000000"/>
          <w:sz w:val="24"/>
        </w:rPr>
        <w:t>ITEM 11. EXECUTIVE COMPENSATION</w:t>
      </w:r>
    </w:p>
    <w:p>
      <w:pPr>
        <w:pStyle w:val="TextBody"/>
        <w:bidi w:val="0"/>
        <w:spacing w:before="180" w:after="283"/>
        <w:jc w:val="both"/>
        <w:rPr>
          <w:rFonts w:ascii="Times New Roman" w:hAnsi="Times New Roman"/>
          <w:sz w:val="20"/>
        </w:rPr>
      </w:pPr>
      <w:r>
        <w:rPr>
          <w:rFonts w:ascii="Arial" w:hAnsi="Arial"/>
          <w:color w:val="000000"/>
          <w:sz w:val="20"/>
        </w:rPr>
        <w:t>The information in the Proxy Statement set forth under the captions “Director Compensation,” “Named Executive Officer Compensation,” “Compensation Committee Report,” and, if required, “Compensation Committee Interlocks and Insider Participation,” is incorporated herein by reference.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91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III</w:t>
      </w:r>
    </w:p>
    <w:p>
      <w:pPr>
        <w:pStyle w:val="TextBody"/>
        <w:bidi w:val="0"/>
        <w:jc w:val="center"/>
        <w:rPr>
          <w:rFonts w:ascii="Arial" w:hAnsi="Arial"/>
          <w:color w:val="000000"/>
          <w:sz w:val="15"/>
        </w:rPr>
      </w:pPr>
      <w:r>
        <w:rPr>
          <w:rFonts w:ascii="Arial" w:hAnsi="Arial"/>
          <w:color w:val="000000"/>
          <w:sz w:val="15"/>
        </w:rPr>
        <w:t>Item 12, 13, 14</w:t>
      </w:r>
    </w:p>
    <w:p>
      <w:pPr>
        <w:pStyle w:val="TextBody"/>
        <w:bidi w:val="0"/>
        <w:jc w:val="center"/>
        <w:rPr/>
      </w:pPr>
      <w:r>
        <w:rPr/>
        <w:t> </w:t>
      </w:r>
    </w:p>
    <w:p>
      <w:pPr>
        <w:pStyle w:val="TextBody"/>
        <w:bidi w:val="0"/>
        <w:spacing w:before="270" w:after="283"/>
        <w:jc w:val="center"/>
        <w:rPr>
          <w:rFonts w:ascii="Arial" w:hAnsi="Arial"/>
          <w:b/>
          <w:color w:val="000000"/>
          <w:sz w:val="24"/>
        </w:rPr>
      </w:pPr>
      <w:bookmarkStart w:id="32" w:name="item_12_security_ownership_certain_benef"/>
      <w:bookmarkEnd w:id="32"/>
      <w:r>
        <w:rPr>
          <w:rFonts w:ascii="Arial" w:hAnsi="Arial"/>
          <w:b/>
          <w:color w:val="000000"/>
          <w:sz w:val="24"/>
        </w:rPr>
        <w:t>ITEM 12. SECURITY OWNERSHIP OF CERTAIN BENEFICIAL OWNERS AND MANAGEMENT AND RELATED STOCKHOLDER MATTERS</w:t>
      </w:r>
    </w:p>
    <w:p>
      <w:pPr>
        <w:pStyle w:val="TextBody"/>
        <w:bidi w:val="0"/>
        <w:spacing w:before="180" w:after="283"/>
        <w:jc w:val="both"/>
        <w:rPr>
          <w:rFonts w:ascii="Times New Roman" w:hAnsi="Times New Roman"/>
          <w:sz w:val="20"/>
        </w:rPr>
      </w:pPr>
      <w:r>
        <w:rPr>
          <w:rFonts w:ascii="Arial" w:hAnsi="Arial"/>
          <w:color w:val="000000"/>
          <w:sz w:val="20"/>
        </w:rPr>
        <w:t>The information in the Proxy Statement set forth under the captions “Stock Ownership Information,” “Principal Shareholders,” and “Equity Compensation Plan Information” is incorporated herein by reference.</w:t>
      </w:r>
      <w:r>
        <w:rPr>
          <w:rFonts w:ascii="Times New Roman" w:hAnsi="Times New Roman"/>
          <w:color w:val="000000"/>
          <w:sz w:val="20"/>
        </w:rPr>
        <w:t xml:space="preserve"> </w:t>
      </w:r>
    </w:p>
    <w:p>
      <w:pPr>
        <w:pStyle w:val="TextBody"/>
        <w:bidi w:val="0"/>
        <w:spacing w:before="270" w:after="283"/>
        <w:jc w:val="center"/>
        <w:rPr>
          <w:rFonts w:ascii="Times New Roman" w:hAnsi="Times New Roman"/>
          <w:sz w:val="20"/>
        </w:rPr>
      </w:pPr>
      <w:bookmarkStart w:id="33" w:name="item_13_certain_relationships_related_tr"/>
      <w:bookmarkEnd w:id="33"/>
      <w:r>
        <w:rPr>
          <w:rFonts w:ascii="Arial" w:hAnsi="Arial"/>
          <w:b/>
          <w:color w:val="000000"/>
          <w:sz w:val="24"/>
        </w:rPr>
        <w:t>ITEM 13. CERTAIN RELATIONSHIPS AND RELATED</w:t>
      </w:r>
      <w:r>
        <w:rPr>
          <w:rFonts w:ascii="Times New Roman" w:hAnsi="Times New Roman"/>
          <w:color w:val="000000"/>
          <w:sz w:val="20"/>
        </w:rPr>
        <w:t xml:space="preserve"> </w:t>
      </w:r>
      <w:r>
        <w:rPr>
          <w:rFonts w:ascii="Arial" w:hAnsi="Arial"/>
          <w:b/>
          <w:color w:val="000000"/>
          <w:sz w:val="24"/>
        </w:rPr>
        <w:t>TRANSACTIONS, AND DIRECTOR INDEPENDENCE</w:t>
      </w:r>
    </w:p>
    <w:p>
      <w:pPr>
        <w:pStyle w:val="TextBody"/>
        <w:bidi w:val="0"/>
        <w:spacing w:before="180" w:after="283"/>
        <w:jc w:val="both"/>
        <w:rPr>
          <w:rFonts w:ascii="Times New Roman" w:hAnsi="Times New Roman"/>
          <w:sz w:val="20"/>
        </w:rPr>
      </w:pPr>
      <w:r>
        <w:rPr>
          <w:rFonts w:ascii="Arial" w:hAnsi="Arial"/>
          <w:color w:val="000000"/>
          <w:sz w:val="20"/>
        </w:rPr>
        <w:t>The information set forth in the Proxy Statement under the captions “Director Independence” and “Certain Relationships and Related Transactions” is incorporated herein by reference.</w:t>
      </w:r>
      <w:r>
        <w:rPr>
          <w:rFonts w:ascii="Times New Roman" w:hAnsi="Times New Roman"/>
          <w:color w:val="000000"/>
          <w:sz w:val="20"/>
        </w:rPr>
        <w:t xml:space="preserve"> </w:t>
      </w:r>
    </w:p>
    <w:p>
      <w:pPr>
        <w:pStyle w:val="TextBody"/>
        <w:bidi w:val="0"/>
        <w:spacing w:before="270" w:after="283"/>
        <w:jc w:val="center"/>
        <w:rPr>
          <w:rFonts w:ascii="Arial" w:hAnsi="Arial"/>
          <w:b/>
          <w:color w:val="000000"/>
          <w:sz w:val="24"/>
        </w:rPr>
      </w:pPr>
      <w:bookmarkStart w:id="34" w:name="item_14_principal_accounting_fees_servic"/>
      <w:bookmarkEnd w:id="34"/>
      <w:r>
        <w:rPr>
          <w:rFonts w:ascii="Arial" w:hAnsi="Arial"/>
          <w:b/>
          <w:color w:val="000000"/>
          <w:sz w:val="24"/>
        </w:rPr>
        <w:t>ITEM 14. PRINCIPAL ACCOUNTANT FEES AND SERVICES</w:t>
      </w:r>
    </w:p>
    <w:p>
      <w:pPr>
        <w:pStyle w:val="TextBody"/>
        <w:bidi w:val="0"/>
        <w:spacing w:before="180" w:after="283"/>
        <w:jc w:val="both"/>
        <w:rPr>
          <w:rFonts w:ascii="Times New Roman" w:hAnsi="Times New Roman"/>
          <w:sz w:val="20"/>
        </w:rPr>
      </w:pPr>
      <w:r>
        <w:rPr>
          <w:rFonts w:ascii="Arial" w:hAnsi="Arial"/>
          <w:color w:val="000000"/>
          <w:sz w:val="20"/>
        </w:rPr>
        <w:t>Information concerning fees and services provided by our principal accountant, Deloitte &amp; Touche LLP (PCAOB ID No. 34), appears in the Proxy Statement under the headings “Fees Billed by Deloitte &amp; Touche” and “Policy on Audit Committee Pre-Approval of Audit and Permissible Non-Audit Services of Independent Auditor” and is incorporated herein by reference.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92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IV</w:t>
      </w:r>
    </w:p>
    <w:p>
      <w:pPr>
        <w:pStyle w:val="TextBody"/>
        <w:bidi w:val="0"/>
        <w:jc w:val="center"/>
        <w:rPr>
          <w:rFonts w:ascii="Arial" w:hAnsi="Arial"/>
          <w:color w:val="000000"/>
          <w:sz w:val="15"/>
        </w:rPr>
      </w:pPr>
      <w:r>
        <w:rPr>
          <w:rFonts w:ascii="Arial" w:hAnsi="Arial"/>
          <w:color w:val="000000"/>
          <w:sz w:val="15"/>
        </w:rPr>
        <w:t>Item 15</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0"/>
        </w:rPr>
        <w:t>PART IV</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bookmarkStart w:id="35" w:name="item_15_exhibits_financial_statement_sch"/>
      <w:bookmarkEnd w:id="35"/>
      <w:r>
        <w:rPr>
          <w:rFonts w:ascii="Arial" w:hAnsi="Arial"/>
          <w:b/>
          <w:color w:val="000000"/>
          <w:sz w:val="24"/>
        </w:rPr>
        <w:t>ITEM 15. EXHIBIT AND FINANCIAL STATEMENT SCHEDULES</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r>
        <w:rPr>
          <w:rFonts w:ascii="Arial" w:hAnsi="Arial"/>
          <w:b/>
          <w:color w:val="000000"/>
          <w:sz w:val="20"/>
        </w:rPr>
        <w:t>(a)</w:t>
      </w:r>
    </w:p>
    <w:p>
      <w:pPr>
        <w:pStyle w:val="TextBody"/>
        <w:bidi w:val="0"/>
        <w:spacing w:before="180" w:after="283"/>
        <w:jc w:val="left"/>
        <w:rPr>
          <w:rFonts w:ascii="Arial" w:hAnsi="Arial"/>
          <w:b/>
          <w:color w:val="000000"/>
          <w:sz w:val="20"/>
        </w:rPr>
      </w:pPr>
      <w:r>
        <w:rPr>
          <w:rFonts w:ascii="Arial" w:hAnsi="Arial"/>
          <w:b/>
          <w:color w:val="000000"/>
          <w:sz w:val="20"/>
        </w:rPr>
        <w:t xml:space="preserve">Financial Statements and Schedules </w:t>
      </w:r>
    </w:p>
    <w:p>
      <w:pPr>
        <w:pStyle w:val="TextBody"/>
        <w:bidi w:val="0"/>
        <w:spacing w:before="180" w:after="283"/>
        <w:jc w:val="both"/>
        <w:rPr>
          <w:rFonts w:ascii="Times New Roman" w:hAnsi="Times New Roman"/>
          <w:sz w:val="20"/>
        </w:rPr>
      </w:pPr>
      <w:r>
        <w:rPr>
          <w:rFonts w:ascii="Arial" w:hAnsi="Arial"/>
          <w:color w:val="000000"/>
          <w:sz w:val="20"/>
        </w:rPr>
        <w:t>The financial statements are set forth under Part II, Item 8 of this Form 10-K, as indexed below. Financial statement schedules have been omitted since they either are not required, not applicable, or the information is otherwise included.</w:t>
      </w:r>
      <w:r>
        <w:rPr>
          <w:rFonts w:ascii="Times New Roman" w:hAnsi="Times New Roman"/>
          <w:color w:val="000000"/>
          <w:sz w:val="20"/>
        </w:rPr>
        <w:t xml:space="preserve"> </w:t>
      </w:r>
    </w:p>
    <w:p>
      <w:pPr>
        <w:pStyle w:val="TextBody"/>
        <w:bidi w:val="0"/>
        <w:jc w:val="left"/>
        <w:rPr/>
      </w:pPr>
      <w:r>
        <w:rPr/>
        <w:t> </w:t>
      </w:r>
    </w:p>
    <w:tbl>
      <w:tblPr>
        <w:tblW w:w="6424" w:type="dxa"/>
        <w:jc w:val="left"/>
        <w:tblInd w:w="0" w:type="dxa"/>
        <w:tblLayout w:type="fixed"/>
        <w:tblCellMar>
          <w:top w:w="28" w:type="dxa"/>
          <w:left w:w="28" w:type="dxa"/>
          <w:bottom w:w="28" w:type="dxa"/>
          <w:right w:w="28" w:type="dxa"/>
        </w:tblCellMar>
      </w:tblPr>
      <w:tblGrid>
        <w:gridCol w:w="5361"/>
        <w:gridCol w:w="146"/>
        <w:gridCol w:w="481"/>
        <w:gridCol w:w="436"/>
      </w:tblGrid>
      <w:tr>
        <w:trPr/>
        <w:tc>
          <w:tcPr>
            <w:tcW w:w="5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53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Index to Financial Statements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Page</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36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ncome_statements">
              <w:r>
                <w:rPr>
                  <w:rStyle w:val="InternetLink"/>
                  <w:rFonts w:ascii="Arial" w:hAnsi="Arial"/>
                  <w:color w:val="000000"/>
                  <w:sz w:val="20"/>
                </w:rPr>
                <w:t>Income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536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mprehensive_income_statements">
              <w:r>
                <w:rPr>
                  <w:rStyle w:val="InternetLink"/>
                  <w:rFonts w:ascii="Arial" w:hAnsi="Arial"/>
                  <w:color w:val="000000"/>
                  <w:sz w:val="20"/>
                </w:rPr>
                <w:t>Comprehensive Income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536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balance_sheets">
              <w:r>
                <w:rPr>
                  <w:rStyle w:val="InternetLink"/>
                  <w:rFonts w:ascii="Arial" w:hAnsi="Arial"/>
                  <w:color w:val="000000"/>
                  <w:sz w:val="20"/>
                </w:rPr>
                <w:t>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536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ash_flows_statements">
              <w:r>
                <w:rPr>
                  <w:rStyle w:val="InternetLink"/>
                  <w:rFonts w:ascii="Arial" w:hAnsi="Arial"/>
                  <w:color w:val="000000"/>
                  <w:sz w:val="20"/>
                </w:rPr>
                <w:t>Cash Flows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536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tockholders_equity_statements">
              <w:r>
                <w:rPr>
                  <w:rStyle w:val="InternetLink"/>
                  <w:rFonts w:ascii="Arial" w:hAnsi="Arial"/>
                  <w:color w:val="000000"/>
                  <w:sz w:val="20"/>
                </w:rPr>
                <w:t>Stockholders’ Equity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536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notes_to_financial_statements">
              <w:r>
                <w:rPr>
                  <w:rStyle w:val="InternetLink"/>
                  <w:rFonts w:ascii="Arial" w:hAnsi="Arial"/>
                  <w:color w:val="000000"/>
                  <w:sz w:val="20"/>
                </w:rPr>
                <w:t>Notes to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536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report_independent">
              <w:r>
                <w:rPr>
                  <w:rStyle w:val="InternetLink"/>
                  <w:rFonts w:ascii="Arial" w:hAnsi="Arial"/>
                  <w:color w:val="000000"/>
                  <w:sz w:val="20"/>
                </w:rPr>
                <w:t>Report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90" w:after="283"/>
        <w:jc w:val="left"/>
        <w:rPr>
          <w:rFonts w:ascii="Arial" w:hAnsi="Arial"/>
          <w:b/>
          <w:color w:val="000000"/>
          <w:sz w:val="20"/>
        </w:rPr>
      </w:pPr>
      <w:r>
        <w:rPr>
          <w:rFonts w:ascii="Arial" w:hAnsi="Arial"/>
          <w:b/>
          <w:color w:val="000000"/>
          <w:sz w:val="20"/>
        </w:rPr>
        <w:t>(b)</w:t>
      </w:r>
    </w:p>
    <w:p>
      <w:pPr>
        <w:pStyle w:val="TextBody"/>
        <w:bidi w:val="0"/>
        <w:spacing w:before="90" w:after="283"/>
        <w:jc w:val="left"/>
        <w:rPr>
          <w:rFonts w:ascii="Arial" w:hAnsi="Arial"/>
          <w:b/>
          <w:color w:val="000000"/>
          <w:sz w:val="20"/>
        </w:rPr>
      </w:pPr>
      <w:r>
        <w:rPr>
          <w:rFonts w:ascii="Arial" w:hAnsi="Arial"/>
          <w:b/>
          <w:color w:val="000000"/>
          <w:sz w:val="20"/>
        </w:rPr>
        <w:t xml:space="preserve">Exhibit Listing </w:t>
      </w:r>
    </w:p>
    <w:tbl>
      <w:tblPr>
        <w:tblW w:w="10205" w:type="dxa"/>
        <w:jc w:val="left"/>
        <w:tblInd w:w="0" w:type="dxa"/>
        <w:tblLayout w:type="fixed"/>
        <w:tblCellMar>
          <w:top w:w="28" w:type="dxa"/>
          <w:left w:w="28" w:type="dxa"/>
          <w:bottom w:w="28" w:type="dxa"/>
          <w:right w:w="28" w:type="dxa"/>
        </w:tblCellMar>
      </w:tblPr>
      <w:tblGrid>
        <w:gridCol w:w="691"/>
        <w:gridCol w:w="146"/>
        <w:gridCol w:w="5240"/>
        <w:gridCol w:w="146"/>
        <w:gridCol w:w="751"/>
        <w:gridCol w:w="146"/>
        <w:gridCol w:w="637"/>
        <w:gridCol w:w="146"/>
        <w:gridCol w:w="616"/>
        <w:gridCol w:w="146"/>
        <w:gridCol w:w="616"/>
        <w:gridCol w:w="146"/>
        <w:gridCol w:w="585"/>
        <w:gridCol w:w="193"/>
      </w:tblGrid>
      <w:tr>
        <w:trPr/>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4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5" w:type="dxa"/>
            <w:tcBorders/>
            <w:shd w:fill="FFFFFF" w:val="clear"/>
            <w:vAlign w:val="center"/>
          </w:tcPr>
          <w:p>
            <w:pPr>
              <w:pStyle w:val="TableContents"/>
              <w:bidi w:val="0"/>
              <w:spacing w:before="0" w:after="283"/>
              <w:jc w:val="left"/>
              <w:rPr>
                <w:sz w:val="4"/>
                <w:szCs w:val="4"/>
              </w:rPr>
            </w:pPr>
            <w:r>
              <w:rPr>
                <w:sz w:val="4"/>
                <w:szCs w:val="4"/>
              </w:rPr>
            </w:r>
          </w:p>
        </w:tc>
        <w:tc>
          <w:tcPr>
            <w:tcW w:w="193" w:type="dxa"/>
            <w:tcBorders/>
            <w:shd w:fill="FFFFFF" w:val="cle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8"/>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Incorporated by Reference</w:t>
            </w:r>
          </w:p>
        </w:tc>
        <w:tc>
          <w:tcPr>
            <w:tcW w:w="193"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jc w:val="left"/>
              <w:rPr>
                <w:rFonts w:ascii="Arial" w:hAnsi="Arial"/>
                <w:b/>
                <w:color w:val="000000"/>
                <w:sz w:val="15"/>
              </w:rPr>
            </w:pPr>
            <w:r>
              <w:rPr>
                <w:rFonts w:ascii="Arial" w:hAnsi="Arial"/>
                <w:b/>
                <w:color w:val="000000"/>
                <w:sz w:val="15"/>
              </w:rPr>
              <w:t>Exhibit</w:t>
            </w:r>
          </w:p>
          <w:p>
            <w:pPr>
              <w:pStyle w:val="TableContents"/>
              <w:bidi w:val="0"/>
              <w:spacing w:before="0" w:after="283"/>
              <w:jc w:val="left"/>
              <w:rPr>
                <w:rFonts w:ascii="Arial" w:hAnsi="Arial"/>
                <w:b/>
                <w:color w:val="000000"/>
                <w:sz w:val="15"/>
              </w:rPr>
            </w:pPr>
            <w:r>
              <w:rPr>
                <w:rFonts w:ascii="Arial" w:hAnsi="Arial"/>
                <w:b/>
                <w:color w:val="000000"/>
                <w:sz w:val="15"/>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Filed</w:t>
            </w:r>
          </w:p>
          <w:p>
            <w:pPr>
              <w:pStyle w:val="TableContents"/>
              <w:bidi w:val="0"/>
              <w:spacing w:before="0" w:after="283"/>
              <w:jc w:val="center"/>
              <w:rPr>
                <w:rFonts w:ascii="Arial" w:hAnsi="Arial"/>
                <w:b/>
                <w:color w:val="000000"/>
                <w:sz w:val="15"/>
              </w:rPr>
            </w:pPr>
            <w:r>
              <w:rPr>
                <w:rFonts w:ascii="Arial" w:hAnsi="Arial"/>
                <w:b/>
                <w:color w:val="000000"/>
                <w:sz w:val="15"/>
              </w:rPr>
              <w:t>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Form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Period</w:t>
            </w:r>
          </w:p>
          <w:p>
            <w:pPr>
              <w:pStyle w:val="TableContents"/>
              <w:bidi w:val="0"/>
              <w:spacing w:before="0" w:after="283"/>
              <w:jc w:val="right"/>
              <w:rPr>
                <w:rFonts w:ascii="Arial" w:hAnsi="Arial"/>
                <w:b/>
                <w:color w:val="000000"/>
                <w:sz w:val="15"/>
              </w:rPr>
            </w:pPr>
            <w:r>
              <w:rPr>
                <w:rFonts w:ascii="Arial" w:hAnsi="Arial"/>
                <w:b/>
                <w:color w:val="000000"/>
                <w:sz w:val="15"/>
              </w:rPr>
              <w:t>Ending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Filing Date</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524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58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00"/>
                  <w:sz w:val="20"/>
                </w:rPr>
                <w:t>Amended and Restated Articles of Incorporation of Microsoft 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12/1/2016</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78"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00"/>
                  <w:sz w:val="20"/>
                </w:rPr>
                <w:t>Bylaws of Microsoft 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7/1/2025</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78"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00"/>
                  <w:sz w:val="20"/>
                </w:rPr>
                <w:t>Indenture, dated as of May 18, 2009, between Microsoft Corporation and The Bank of New York Mellon Trust Company, N.A., as Trustee (“Base Indenture”)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S-3ASR</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8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10/29/2015</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85"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00"/>
                  <w:sz w:val="20"/>
                </w:rPr>
                <w:t>Form of First Supplemental Indenture for 2.95% Notes due 2014, 4.20% Notes due 2019, and 5.20% Notes due 2039, dated as of May 18, 2009, between Microsoft Corporation and The Bank of New York Mellon Trust Company, N.A., as Trustee, to the Base Indenture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5/15/2009</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78"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40"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00"/>
                  <w:sz w:val="20"/>
                </w:rPr>
                <w:t>Form of Second Supplemental Indenture for 0.875% Notes due 2013, 1.625% Notes due 2015, 3.00% Notes due 2020, and 4.50% Notes due 2040, dated as of September 27, 2010, between Microsoft Corporation and The Bank of New York Mellon Trust Company, N.A., as Trustee, to the Indenture, dated as of May 18, 2009, between Microsoft Corporation and The Bank of New York Mellon Trust Company, N.A.,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8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9/27/2010</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16"/>
        </w:rPr>
      </w:pPr>
      <w:r>
        <w:rPr>
          <w:rFonts w:ascii="Arial" w:hAnsi="Arial"/>
          <w:color w:val="000000"/>
          <w:sz w:val="16"/>
        </w:rPr>
        <w:t>93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IV</w:t>
      </w:r>
    </w:p>
    <w:p>
      <w:pPr>
        <w:pStyle w:val="TextBody"/>
        <w:bidi w:val="0"/>
        <w:jc w:val="center"/>
        <w:rPr>
          <w:rFonts w:ascii="Arial" w:hAnsi="Arial"/>
          <w:color w:val="000000"/>
          <w:sz w:val="15"/>
        </w:rPr>
      </w:pPr>
      <w:r>
        <w:rPr>
          <w:rFonts w:ascii="Arial" w:hAnsi="Arial"/>
          <w:color w:val="000000"/>
          <w:sz w:val="15"/>
        </w:rPr>
        <w:t>Item 15</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1"/>
        <w:gridCol w:w="146"/>
        <w:gridCol w:w="5402"/>
        <w:gridCol w:w="146"/>
        <w:gridCol w:w="751"/>
        <w:gridCol w:w="146"/>
        <w:gridCol w:w="481"/>
        <w:gridCol w:w="146"/>
        <w:gridCol w:w="616"/>
        <w:gridCol w:w="146"/>
        <w:gridCol w:w="616"/>
        <w:gridCol w:w="146"/>
        <w:gridCol w:w="580"/>
        <w:gridCol w:w="192"/>
      </w:tblGrid>
      <w:tr>
        <w:trPr/>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0" w:type="dxa"/>
            <w:tcBorders/>
            <w:shd w:fill="FFFFFF" w:val="clear"/>
            <w:vAlign w:val="center"/>
          </w:tcPr>
          <w:p>
            <w:pPr>
              <w:pStyle w:val="TableContents"/>
              <w:bidi w:val="0"/>
              <w:spacing w:before="0" w:after="283"/>
              <w:jc w:val="left"/>
              <w:rPr>
                <w:sz w:val="4"/>
                <w:szCs w:val="4"/>
              </w:rPr>
            </w:pPr>
            <w:r>
              <w:rPr>
                <w:sz w:val="4"/>
                <w:szCs w:val="4"/>
              </w:rPr>
            </w:r>
          </w:p>
        </w:tc>
        <w:tc>
          <w:tcPr>
            <w:tcW w:w="192" w:type="dxa"/>
            <w:tcBorders/>
            <w:shd w:fill="FFFFFF" w:val="cle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8"/>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Incorporated by Reference</w:t>
            </w:r>
          </w:p>
        </w:tc>
        <w:tc>
          <w:tcPr>
            <w:tcW w:w="192"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jc w:val="left"/>
              <w:rPr>
                <w:rFonts w:ascii="Arial" w:hAnsi="Arial"/>
                <w:b/>
                <w:color w:val="000000"/>
                <w:sz w:val="15"/>
              </w:rPr>
            </w:pPr>
            <w:r>
              <w:rPr>
                <w:rFonts w:ascii="Arial" w:hAnsi="Arial"/>
                <w:b/>
                <w:color w:val="000000"/>
                <w:sz w:val="15"/>
              </w:rPr>
              <w:t>Exhibit</w:t>
            </w:r>
          </w:p>
          <w:p>
            <w:pPr>
              <w:pStyle w:val="TableContents"/>
              <w:bidi w:val="0"/>
              <w:spacing w:before="0" w:after="283"/>
              <w:jc w:val="left"/>
              <w:rPr>
                <w:rFonts w:ascii="Arial" w:hAnsi="Arial"/>
                <w:b/>
                <w:color w:val="000000"/>
                <w:sz w:val="15"/>
              </w:rPr>
            </w:pPr>
            <w:r>
              <w:rPr>
                <w:rFonts w:ascii="Arial" w:hAnsi="Arial"/>
                <w:b/>
                <w:color w:val="000000"/>
                <w:sz w:val="15"/>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Filed</w:t>
            </w:r>
          </w:p>
          <w:p>
            <w:pPr>
              <w:pStyle w:val="TableContents"/>
              <w:bidi w:val="0"/>
              <w:spacing w:before="0" w:after="283"/>
              <w:jc w:val="center"/>
              <w:rPr>
                <w:rFonts w:ascii="Arial" w:hAnsi="Arial"/>
                <w:b/>
                <w:color w:val="000000"/>
                <w:sz w:val="15"/>
              </w:rPr>
            </w:pPr>
            <w:r>
              <w:rPr>
                <w:rFonts w:ascii="Arial" w:hAnsi="Arial"/>
                <w:b/>
                <w:color w:val="000000"/>
                <w:sz w:val="15"/>
              </w:rPr>
              <w:t>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Form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Period</w:t>
            </w:r>
          </w:p>
          <w:p>
            <w:pPr>
              <w:pStyle w:val="TableContents"/>
              <w:bidi w:val="0"/>
              <w:spacing w:before="0" w:after="283"/>
              <w:jc w:val="right"/>
              <w:rPr>
                <w:rFonts w:ascii="Arial" w:hAnsi="Arial"/>
                <w:b/>
                <w:color w:val="000000"/>
                <w:sz w:val="15"/>
              </w:rPr>
            </w:pPr>
            <w:r>
              <w:rPr>
                <w:rFonts w:ascii="Arial" w:hAnsi="Arial"/>
                <w:b/>
                <w:color w:val="000000"/>
                <w:sz w:val="15"/>
              </w:rPr>
              <w:t>Ending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Filing Date</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5402"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58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Arial" w:hAnsi="Arial"/>
                  <w:color w:val="000000"/>
                  <w:sz w:val="20"/>
                </w:rPr>
                <w:t>Third Supplemental Indenture for 2.500% Notes due 2016, 4.000% Notes due 2021, and 5.300% Notes due 2041, dated as of February 8, 2011, between Microsoft Corporation and The Bank of New York Mellon Trust Company, N.A., as Trustee, to the Indenture, dated as of May 18, 2009, between Microsoft Corporation and The Bank of New York Mellon Trust Company, N.A.,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2/8/2011</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Arial" w:hAnsi="Arial"/>
                  <w:color w:val="000000"/>
                  <w:sz w:val="20"/>
                </w:rPr>
                <w:t>Fourth Supplemental Indenture for 0.875% Notes due 2017, 2.125% Notes due 2022, and 3.500% Notes due 2042, dated as of November 7, 2012, between Microsoft Corporation and The Bank of New York Mellon Trust Company, N.A., as Trustee, to the Indenture, dated as of May 18, 2009, between Microsoft Corporation and The Bank of New York Mellon Trust Company, N.A.,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11/7/2012</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Arial" w:hAnsi="Arial"/>
                  <w:color w:val="000000"/>
                  <w:sz w:val="20"/>
                </w:rPr>
                <w:t>Fifth Supplemental Indenture for 2.625% Notes due 2033, dated as of May 2, 2013, between Microsoft Corporation and The Bank of New York Mellon Trust Company, N.A., as Trustee, to the Indenture, dated as of May 18, 2009, between Microsoft Corporation and The Bank of New York Mellon Trust Company, N.A.,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5/1/2013</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2"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Arial" w:hAnsi="Arial"/>
                  <w:color w:val="000000"/>
                  <w:sz w:val="20"/>
                </w:rPr>
                <w:t>Sixth Supplemental Indenture for 1.000% Notes due 2018, 2.375% Notes due 2023, and 3.750% Notes due 2043, dated as of May 2, 2013, between Microsoft Corporation and The Bank of New York Mellon Trust Company, N.A., as Trustee, to the Indenture, dated as of May 18, 2009, between Microsoft Corporation and The Bank of New York Mellon Trust Company, N.A.,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5/1/2013</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2"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Arial" w:hAnsi="Arial"/>
                  <w:color w:val="000000"/>
                  <w:sz w:val="20"/>
                </w:rPr>
                <w:t>Seventh Supplemental Indenture for 2.125% Notes due 2021 and 3.125% Notes due 2028, dated as of December 6, 2013, between Microsoft Corporation and The Bank of New York Mellon Trust Company, N.A., as Trustee, to the Indenture, dated as of May 18, 2009, between Microsoft Corporation and The Bank of New York Mellon Trust Company, N.A.,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12/6/2013</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16"/>
        </w:rPr>
      </w:pPr>
      <w:r>
        <w:rPr>
          <w:rFonts w:ascii="Arial" w:hAnsi="Arial"/>
          <w:color w:val="000000"/>
          <w:sz w:val="16"/>
        </w:rPr>
        <w:t>94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IV</w:t>
      </w:r>
    </w:p>
    <w:p>
      <w:pPr>
        <w:pStyle w:val="TextBody"/>
        <w:bidi w:val="0"/>
        <w:jc w:val="center"/>
        <w:rPr>
          <w:rFonts w:ascii="Arial" w:hAnsi="Arial"/>
          <w:color w:val="000000"/>
          <w:sz w:val="15"/>
        </w:rPr>
      </w:pPr>
      <w:r>
        <w:rPr>
          <w:rFonts w:ascii="Arial" w:hAnsi="Arial"/>
          <w:color w:val="000000"/>
          <w:sz w:val="15"/>
        </w:rPr>
        <w:t>Item 15</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1"/>
        <w:gridCol w:w="146"/>
        <w:gridCol w:w="5411"/>
        <w:gridCol w:w="146"/>
        <w:gridCol w:w="751"/>
        <w:gridCol w:w="146"/>
        <w:gridCol w:w="481"/>
        <w:gridCol w:w="146"/>
        <w:gridCol w:w="616"/>
        <w:gridCol w:w="146"/>
        <w:gridCol w:w="616"/>
        <w:gridCol w:w="146"/>
        <w:gridCol w:w="571"/>
        <w:gridCol w:w="192"/>
      </w:tblGrid>
      <w:tr>
        <w:trPr/>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92" w:type="dxa"/>
            <w:tcBorders/>
            <w:shd w:fill="FFFFFF" w:val="cle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8"/>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Incorporated by Reference</w:t>
            </w:r>
          </w:p>
        </w:tc>
        <w:tc>
          <w:tcPr>
            <w:tcW w:w="192"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jc w:val="left"/>
              <w:rPr>
                <w:rFonts w:ascii="Arial" w:hAnsi="Arial"/>
                <w:b/>
                <w:color w:val="000000"/>
                <w:sz w:val="15"/>
              </w:rPr>
            </w:pPr>
            <w:r>
              <w:rPr>
                <w:rFonts w:ascii="Arial" w:hAnsi="Arial"/>
                <w:b/>
                <w:color w:val="000000"/>
                <w:sz w:val="15"/>
              </w:rPr>
              <w:t>Exhibit</w:t>
            </w:r>
          </w:p>
          <w:p>
            <w:pPr>
              <w:pStyle w:val="TableContents"/>
              <w:bidi w:val="0"/>
              <w:spacing w:before="0" w:after="283"/>
              <w:jc w:val="left"/>
              <w:rPr>
                <w:rFonts w:ascii="Arial" w:hAnsi="Arial"/>
                <w:b/>
                <w:color w:val="000000"/>
                <w:sz w:val="15"/>
              </w:rPr>
            </w:pPr>
            <w:r>
              <w:rPr>
                <w:rFonts w:ascii="Arial" w:hAnsi="Arial"/>
                <w:b/>
                <w:color w:val="000000"/>
                <w:sz w:val="15"/>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Filed</w:t>
            </w:r>
          </w:p>
          <w:p>
            <w:pPr>
              <w:pStyle w:val="TableContents"/>
              <w:bidi w:val="0"/>
              <w:spacing w:before="0" w:after="283"/>
              <w:jc w:val="center"/>
              <w:rPr>
                <w:rFonts w:ascii="Arial" w:hAnsi="Arial"/>
                <w:b/>
                <w:color w:val="000000"/>
                <w:sz w:val="15"/>
              </w:rPr>
            </w:pPr>
            <w:r>
              <w:rPr>
                <w:rFonts w:ascii="Arial" w:hAnsi="Arial"/>
                <w:b/>
                <w:color w:val="000000"/>
                <w:sz w:val="15"/>
              </w:rPr>
              <w:t>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Form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Period</w:t>
            </w:r>
          </w:p>
          <w:p>
            <w:pPr>
              <w:pStyle w:val="TableContents"/>
              <w:bidi w:val="0"/>
              <w:spacing w:before="0" w:after="283"/>
              <w:jc w:val="right"/>
              <w:rPr>
                <w:rFonts w:ascii="Arial" w:hAnsi="Arial"/>
                <w:b/>
                <w:color w:val="000000"/>
                <w:sz w:val="15"/>
              </w:rPr>
            </w:pPr>
            <w:r>
              <w:rPr>
                <w:rFonts w:ascii="Arial" w:hAnsi="Arial"/>
                <w:b/>
                <w:color w:val="000000"/>
                <w:sz w:val="15"/>
              </w:rPr>
              <w:t>Ending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Filing Date</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541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571"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3"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1"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Arial" w:hAnsi="Arial"/>
                  <w:color w:val="000000"/>
                  <w:sz w:val="20"/>
                </w:rPr>
                <w:t>Eighth Supplemental Indenture for 1.625% Notes due 2018, 3.625% Notes due 2023, and 4.875% Notes due 2043, dated as of December 6, 2013, between Microsoft Corporation and The Bank of New York Mellon Trust Company, N.A., as Trustee, to the Indenture, dated as of May 18, 2009, between Microsoft Corporation and The Bank of New York Mellon Trust Company, N.A.,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12/6/2013</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3"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1"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Arial" w:hAnsi="Arial"/>
                  <w:color w:val="000000"/>
                  <w:sz w:val="20"/>
                </w:rPr>
                <w:t>Ninth Supplemental Indenture for 1.850% Notes due 2020, 2.375% Notes due 2022, 2.700% Notes due 2025, 3.500% Notes due 2035, 3.750% Notes due 2045, and 4.000% Notes due 2055, dated as of February 12, 2015, between Microsoft Corporation and U.S. Bank National Association, as Trustee, to the Indenture, dated as of May 18, 2009, between Microsoft Corporation and The Bank of New York Mellon Trust Company, N.A.,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2/12/2015</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1"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Arial" w:hAnsi="Arial"/>
                  <w:color w:val="000000"/>
                  <w:sz w:val="20"/>
                </w:rPr>
                <w:t>Tenth Supplemental Indenture for 1.300% Notes due 2018, 2.000% Notes due 2020, 2.650% Notes due 2022, 3.125% Notes due 2025, 4.200% Notes due 2035, 4.450% Notes due 2045, and 4.750% Notes due 2055, dated as of November 3, 2015, between Microsoft Corporation and U.S. Bank National Association, as Trustee, to the Indenture, dated as of May 18, 2009, between Microsoft Corporation and The Bank of New York Mellon Trust Company, N.A.,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11/3/2015</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1"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Arial" w:hAnsi="Arial"/>
                  <w:color w:val="000000"/>
                  <w:sz w:val="20"/>
                </w:rPr>
                <w:t>Eleventh Supplemental Indenture for 1.100% Notes due 2019, 1.550% Notes due 2021, 2.000% Notes due 2023, 2.400% Notes due 2026, 3.450% Notes due 2036, 3.700% Notes due 2046, and 3.950% Notes due 2056, dated as of August 8, 2016, between Microsoft Corporation and U.S. Bank, National Association, as Trustee, to the Indenture, dated as of May 18, 2009, between Microsoft Corporation and The Bank of New York Mellon Trust Company, N.A.,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8/5/2016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16"/>
        </w:rPr>
      </w:pPr>
      <w:r>
        <w:rPr>
          <w:rFonts w:ascii="Arial" w:hAnsi="Arial"/>
          <w:color w:val="000000"/>
          <w:sz w:val="16"/>
        </w:rPr>
        <w:t>95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IV</w:t>
      </w:r>
    </w:p>
    <w:p>
      <w:pPr>
        <w:pStyle w:val="TextBody"/>
        <w:bidi w:val="0"/>
        <w:jc w:val="center"/>
        <w:rPr>
          <w:rFonts w:ascii="Arial" w:hAnsi="Arial"/>
          <w:color w:val="000000"/>
          <w:sz w:val="15"/>
        </w:rPr>
      </w:pPr>
      <w:r>
        <w:rPr>
          <w:rFonts w:ascii="Arial" w:hAnsi="Arial"/>
          <w:color w:val="000000"/>
          <w:sz w:val="15"/>
        </w:rPr>
        <w:t>Item 15</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1"/>
        <w:gridCol w:w="146"/>
        <w:gridCol w:w="5413"/>
        <w:gridCol w:w="146"/>
        <w:gridCol w:w="751"/>
        <w:gridCol w:w="146"/>
        <w:gridCol w:w="481"/>
        <w:gridCol w:w="146"/>
        <w:gridCol w:w="616"/>
        <w:gridCol w:w="146"/>
        <w:gridCol w:w="616"/>
        <w:gridCol w:w="146"/>
        <w:gridCol w:w="569"/>
        <w:gridCol w:w="192"/>
      </w:tblGrid>
      <w:tr>
        <w:trPr/>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1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92" w:type="dxa"/>
            <w:tcBorders/>
            <w:shd w:fill="FFFFFF" w:val="cle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8"/>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Incorporated by Reference</w:t>
            </w:r>
          </w:p>
        </w:tc>
        <w:tc>
          <w:tcPr>
            <w:tcW w:w="192"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jc w:val="left"/>
              <w:rPr>
                <w:rFonts w:ascii="Arial" w:hAnsi="Arial"/>
                <w:b/>
                <w:color w:val="000000"/>
                <w:sz w:val="15"/>
              </w:rPr>
            </w:pPr>
            <w:r>
              <w:rPr>
                <w:rFonts w:ascii="Arial" w:hAnsi="Arial"/>
                <w:b/>
                <w:color w:val="000000"/>
                <w:sz w:val="15"/>
              </w:rPr>
              <w:t>Exhibit</w:t>
            </w:r>
          </w:p>
          <w:p>
            <w:pPr>
              <w:pStyle w:val="TableContents"/>
              <w:bidi w:val="0"/>
              <w:spacing w:before="0" w:after="283"/>
              <w:jc w:val="left"/>
              <w:rPr>
                <w:rFonts w:ascii="Arial" w:hAnsi="Arial"/>
                <w:b/>
                <w:color w:val="000000"/>
                <w:sz w:val="15"/>
              </w:rPr>
            </w:pPr>
            <w:r>
              <w:rPr>
                <w:rFonts w:ascii="Arial" w:hAnsi="Arial"/>
                <w:b/>
                <w:color w:val="000000"/>
                <w:sz w:val="15"/>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Filed</w:t>
            </w:r>
          </w:p>
          <w:p>
            <w:pPr>
              <w:pStyle w:val="TableContents"/>
              <w:bidi w:val="0"/>
              <w:spacing w:before="0" w:after="283"/>
              <w:jc w:val="center"/>
              <w:rPr>
                <w:rFonts w:ascii="Arial" w:hAnsi="Arial"/>
                <w:b/>
                <w:color w:val="000000"/>
                <w:sz w:val="15"/>
              </w:rPr>
            </w:pPr>
            <w:r>
              <w:rPr>
                <w:rFonts w:ascii="Arial" w:hAnsi="Arial"/>
                <w:b/>
                <w:color w:val="000000"/>
                <w:sz w:val="15"/>
              </w:rPr>
              <w:t>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Form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Period</w:t>
            </w:r>
          </w:p>
          <w:p>
            <w:pPr>
              <w:pStyle w:val="TableContents"/>
              <w:bidi w:val="0"/>
              <w:spacing w:before="0" w:after="283"/>
              <w:jc w:val="right"/>
              <w:rPr>
                <w:rFonts w:ascii="Arial" w:hAnsi="Arial"/>
                <w:b/>
                <w:color w:val="000000"/>
                <w:sz w:val="15"/>
              </w:rPr>
            </w:pPr>
            <w:r>
              <w:rPr>
                <w:rFonts w:ascii="Arial" w:hAnsi="Arial"/>
                <w:b/>
                <w:color w:val="000000"/>
                <w:sz w:val="15"/>
              </w:rPr>
              <w:t>Ending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Filing Date</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5413"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569"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3"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Arial" w:hAnsi="Arial"/>
                  <w:color w:val="000000"/>
                  <w:sz w:val="20"/>
                </w:rPr>
                <w:t>Twelfth Supplemental Indenture for 1.850% Notes due 2020, 2.400% Notes due 2022, 2.875% Notes due 2024, 3.300% Notes due 2027, 4.100% Notes due 2037, 4.250% Notes due 2047, and 4.500% Notes due 2057, dated as of February 6, 2017, between Microsoft Corporation and The Bank of New York Mellon Trust Company, N.A., as Trustee, to the Indenture, dated as of May 18, 2009, between Microsoft Corporation and The Bank of New York Mellon Trust Company, N.A.,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2/3/2017</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1"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3"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Arial" w:hAnsi="Arial"/>
                  <w:color w:val="000000"/>
                  <w:sz w:val="20"/>
                </w:rPr>
                <w:t>Thirteenth Supplemental Indenture for 2.525% Notes due 2050 and 2.675% Notes due 2060, dated as of June 1, 2020, between Microsoft Corporation and U.S. Bank National Association, as Trustee, to the Indenture, dated as of May 18, 2009, between Microsoft Corporation and The Bank of New York Mellon Trust Company, N.A.,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6/1/2020</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3"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Arial" w:hAnsi="Arial"/>
                  <w:color w:val="000000"/>
                  <w:sz w:val="20"/>
                </w:rPr>
                <w:t>Fourteenth Supplemental Indenture for 2.921% Notes due 2052 and 3.041% Notes due 2062, dated as of March 17, 2021, between Microsoft Corporation and The Bank of New York Mellon Trust Company, N.A., as Trustee, to the Indenture, dated as of May 18, 2009, between Microsoft Corporation and The Bank of New York Mellon Trust Company, N.A.,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3/17/2021</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3"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Arial" w:hAnsi="Arial"/>
                  <w:color w:val="000000"/>
                  <w:sz w:val="20"/>
                </w:rPr>
                <w:t>Fifteenth Supplemental Indenture, dated as of November 6, 2023, by and between Microsoft Corporation and The Bank of New York Mellon Trust Company, N.A.,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11/6/2023</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3"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Arial" w:hAnsi="Arial"/>
                  <w:color w:val="000000"/>
                  <w:sz w:val="20"/>
                </w:rPr>
                <w:t>Indenture, dated as of September 19, 2016, by and between Activision Blizzard, Inc. and Wells Fargo Bank, National Association, as Trustee, with respect to Activision Blizzard, Inc.’s 3.400% Senior Notes due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11/6/2023</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3"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Arial" w:hAnsi="Arial"/>
                  <w:color w:val="000000"/>
                  <w:sz w:val="20"/>
                </w:rPr>
                <w:t>Base Indenture, dated as of May 26, 2017, by and between Activision Blizzard, Inc. and Wells Fargo Bank, National Association, as Trustee, with respect to Activision Blizzard, Inc.’s 3.400% Senior Notes due 2027, 1.350% Senior Notes due 2030, 4.500% Senior Notes due 2047 and 2.500% Senior Notes due 2050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11/6/2023</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16"/>
        </w:rPr>
      </w:pPr>
      <w:r>
        <w:rPr>
          <w:rFonts w:ascii="Arial" w:hAnsi="Arial"/>
          <w:color w:val="000000"/>
          <w:sz w:val="16"/>
        </w:rPr>
        <w:t>96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IV</w:t>
      </w:r>
    </w:p>
    <w:p>
      <w:pPr>
        <w:pStyle w:val="TextBody"/>
        <w:bidi w:val="0"/>
        <w:jc w:val="center"/>
        <w:rPr>
          <w:rFonts w:ascii="Arial" w:hAnsi="Arial"/>
          <w:color w:val="000000"/>
          <w:sz w:val="15"/>
        </w:rPr>
      </w:pPr>
      <w:r>
        <w:rPr>
          <w:rFonts w:ascii="Arial" w:hAnsi="Arial"/>
          <w:color w:val="000000"/>
          <w:sz w:val="15"/>
        </w:rPr>
        <w:t>Item 15</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1"/>
        <w:gridCol w:w="146"/>
        <w:gridCol w:w="4883"/>
        <w:gridCol w:w="146"/>
        <w:gridCol w:w="751"/>
        <w:gridCol w:w="146"/>
        <w:gridCol w:w="841"/>
        <w:gridCol w:w="146"/>
        <w:gridCol w:w="669"/>
        <w:gridCol w:w="146"/>
        <w:gridCol w:w="691"/>
        <w:gridCol w:w="146"/>
        <w:gridCol w:w="610"/>
        <w:gridCol w:w="193"/>
      </w:tblGrid>
      <w:tr>
        <w:trPr/>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8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0" w:type="dxa"/>
            <w:tcBorders/>
            <w:shd w:fill="FFFFFF" w:val="clear"/>
            <w:vAlign w:val="center"/>
          </w:tcPr>
          <w:p>
            <w:pPr>
              <w:pStyle w:val="TableContents"/>
              <w:bidi w:val="0"/>
              <w:spacing w:before="0" w:after="283"/>
              <w:jc w:val="left"/>
              <w:rPr>
                <w:sz w:val="4"/>
                <w:szCs w:val="4"/>
              </w:rPr>
            </w:pPr>
            <w:r>
              <w:rPr>
                <w:sz w:val="4"/>
                <w:szCs w:val="4"/>
              </w:rPr>
            </w:r>
          </w:p>
        </w:tc>
        <w:tc>
          <w:tcPr>
            <w:tcW w:w="193" w:type="dxa"/>
            <w:tcBorders/>
            <w:shd w:fill="FFFFFF" w:val="cle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8"/>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Incorporated by Reference</w:t>
            </w:r>
          </w:p>
        </w:tc>
        <w:tc>
          <w:tcPr>
            <w:tcW w:w="193"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jc w:val="left"/>
              <w:rPr>
                <w:rFonts w:ascii="Arial" w:hAnsi="Arial"/>
                <w:b/>
                <w:color w:val="000000"/>
                <w:sz w:val="15"/>
              </w:rPr>
            </w:pPr>
            <w:r>
              <w:rPr>
                <w:rFonts w:ascii="Arial" w:hAnsi="Arial"/>
                <w:b/>
                <w:color w:val="000000"/>
                <w:sz w:val="15"/>
              </w:rPr>
              <w:t>Exhibit</w:t>
            </w:r>
          </w:p>
          <w:p>
            <w:pPr>
              <w:pStyle w:val="TableContents"/>
              <w:bidi w:val="0"/>
              <w:spacing w:before="0" w:after="283"/>
              <w:jc w:val="left"/>
              <w:rPr>
                <w:rFonts w:ascii="Arial" w:hAnsi="Arial"/>
                <w:b/>
                <w:color w:val="000000"/>
                <w:sz w:val="15"/>
              </w:rPr>
            </w:pPr>
            <w:r>
              <w:rPr>
                <w:rFonts w:ascii="Arial" w:hAnsi="Arial"/>
                <w:b/>
                <w:color w:val="000000"/>
                <w:sz w:val="15"/>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Filed</w:t>
            </w:r>
          </w:p>
          <w:p>
            <w:pPr>
              <w:pStyle w:val="TableContents"/>
              <w:bidi w:val="0"/>
              <w:spacing w:before="0" w:after="283"/>
              <w:jc w:val="center"/>
              <w:rPr>
                <w:rFonts w:ascii="Arial" w:hAnsi="Arial"/>
                <w:b/>
                <w:color w:val="000000"/>
                <w:sz w:val="15"/>
              </w:rPr>
            </w:pPr>
            <w:r>
              <w:rPr>
                <w:rFonts w:ascii="Arial" w:hAnsi="Arial"/>
                <w:b/>
                <w:color w:val="000000"/>
                <w:sz w:val="15"/>
              </w:rPr>
              <w:t>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Form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Period</w:t>
            </w:r>
          </w:p>
          <w:p>
            <w:pPr>
              <w:pStyle w:val="TableContents"/>
              <w:bidi w:val="0"/>
              <w:spacing w:before="0" w:after="283"/>
              <w:jc w:val="right"/>
              <w:rPr>
                <w:rFonts w:ascii="Arial" w:hAnsi="Arial"/>
                <w:b/>
                <w:color w:val="000000"/>
                <w:sz w:val="15"/>
              </w:rPr>
            </w:pPr>
            <w:r>
              <w:rPr>
                <w:rFonts w:ascii="Arial" w:hAnsi="Arial"/>
                <w:b/>
                <w:color w:val="000000"/>
                <w:sz w:val="15"/>
              </w:rPr>
              <w:t>Ending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Filing Date</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4883"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669"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61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Arial" w:hAnsi="Arial"/>
                  <w:color w:val="000000"/>
                  <w:sz w:val="20"/>
                </w:rPr>
                <w:t>First Supplemental Indenture, dated as of May 26, 2017, by and between Activision Blizzard, Inc. and Wells Fargo Bank, National Association, as Trustee, with respect to Activision Blizzard, Inc.’s 3.400% Senior Notes due 2027 and 4.500% Senior Notes due 2047</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11/6/2023</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Arial" w:hAnsi="Arial"/>
                  <w:color w:val="000000"/>
                  <w:sz w:val="20"/>
                </w:rPr>
                <w:t>Second Supplemental Indenture, dated as of August 10, 2020, by and between Activision Blizzard, Inc. and Wells Fargo Bank, National Association, as Trustee, with respect to Activision Blizzard, Inc.’s 1.350% Senior Notes due 2030 and 2.500% Senior Notes due 2050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11/6/2023</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Arial" w:hAnsi="Arial"/>
                  <w:color w:val="000000"/>
                  <w:sz w:val="20"/>
                </w:rPr>
                <w:t>First Supplemental Indenture, dated as of October 27, 2023, by and between Activision Blizzard, Inc. and Computershare Trust Company, N.A., with respect to Activision Blizzard, Inc.’s 3.400% Senior Notes due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11/6/2023</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Arial" w:hAnsi="Arial"/>
                  <w:color w:val="000000"/>
                  <w:sz w:val="20"/>
                </w:rPr>
                <w:t>Third Supplemental Indenture, dated as of October 27, 2023, by and between Activision Blizzard, Inc. and Computershare Trust Company, N.A., with respect to Activision Blizzard, Inc.’s 3.400% Senior Notes due 2027 and 4.500% Senior Notes due 2047</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11/6/2023</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Arial" w:hAnsi="Arial"/>
                  <w:color w:val="000000"/>
                  <w:sz w:val="20"/>
                </w:rPr>
                <w:t>Fourth Supplemental Indenture, dated as of October 27, 2023, by and between Activision Blizzard, Inc. and Computershare Trust Company, N.A., with respect to Activision Blizzard, Inc.’s 1.350% Senior Notes due 2030 and 2.500% Senior Notes due 2050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11/6/2023</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Arial" w:hAnsi="Arial"/>
                  <w:color w:val="000000"/>
                  <w:sz w:val="20"/>
                </w:rPr>
                <w:t>Description of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6/30/2024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7/30/2024</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Arial" w:hAnsi="Arial"/>
                  <w:color w:val="000000"/>
                  <w:sz w:val="20"/>
                </w:rPr>
                <w:t>Microsoft Corporation 2001 Stock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9/30/2016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10/20/2016</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81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03"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Arial" w:hAnsi="Arial"/>
                  <w:color w:val="000000"/>
                  <w:sz w:val="20"/>
                </w:rPr>
                <w:t>Form of Executive Incentive Plan (Executive Officer SAs) Stock Award Agreement under the Microsoft Corporation 2001 Stock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9/30/2016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10/20/2016</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81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03"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Arial" w:hAnsi="Arial"/>
                  <w:color w:val="000000"/>
                  <w:sz w:val="20"/>
                </w:rPr>
                <w:t>Form of Executive Incentive Plan Performance Stock Award Agreement under the Microsoft Corporation 2001 Stock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9/30/2016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10/20/2016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rFonts w:ascii="Arial" w:hAnsi="Arial"/>
                <w:color w:val="000000"/>
              </w:rPr>
              <w:instrText xml:space="preserve"> HYPERLINK "https://www.sec.gov/Archives/edgar/data/789019/000119312521298757/d189481ddef14a.htm" \l "toc189481_51"</w:instrText>
            </w:r>
            <w:r>
              <w:rPr>
                <w:rStyle w:val="InternetLink"/>
                <w:sz w:val="20"/>
                <w:rFonts w:ascii="Arial" w:hAnsi="Arial"/>
                <w:color w:val="000000"/>
              </w:rPr>
              <w:fldChar w:fldCharType="separate"/>
            </w:r>
            <w:r>
              <w:rPr>
                <w:rStyle w:val="InternetLink"/>
                <w:rFonts w:ascii="Arial" w:hAnsi="Arial"/>
                <w:color w:val="000000"/>
                <w:sz w:val="20"/>
              </w:rPr>
              <w:t>Microsoft Corporation Employee Stock Purchase Plan</w:t>
            </w:r>
            <w:r>
              <w:rPr>
                <w:rStyle w:val="InternetLink"/>
                <w:sz w:val="20"/>
                <w:rFonts w:ascii="Arial" w:hAnsi="Arial"/>
                <w:color w:val="000000"/>
              </w:rPr>
              <w:fldChar w:fldCharType="end"/>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DEF14A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Annex 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10/14/2021</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rFonts w:ascii="Arial" w:hAnsi="Arial"/>
                <w:color w:val="000000"/>
              </w:rPr>
              <w:instrText xml:space="preserve"> HYPERLINK "https://www.sec.gov/Archives/edgar/data/789019/000119312517310951/d461626ddef14a.htm" \l "toc461626_86"</w:instrText>
            </w:r>
            <w:r>
              <w:rPr>
                <w:rStyle w:val="InternetLink"/>
                <w:sz w:val="20"/>
                <w:rFonts w:ascii="Arial" w:hAnsi="Arial"/>
                <w:color w:val="000000"/>
              </w:rPr>
              <w:fldChar w:fldCharType="separate"/>
            </w:r>
            <w:r>
              <w:rPr>
                <w:rStyle w:val="InternetLink"/>
                <w:rFonts w:ascii="Arial" w:hAnsi="Arial"/>
                <w:color w:val="000000"/>
                <w:sz w:val="20"/>
              </w:rPr>
              <w:t>Microsoft Corporation 2017 Stock Plan</w:t>
            </w:r>
            <w:r>
              <w:rPr>
                <w:rStyle w:val="InternetLink"/>
                <w:sz w:val="20"/>
                <w:rFonts w:ascii="Arial" w:hAnsi="Arial"/>
                <w:color w:val="000000"/>
              </w:rPr>
              <w:fldChar w:fldCharType="end"/>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DEF14A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Annex 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10/16/2017</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81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03"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Arial" w:hAnsi="Arial"/>
                  <w:color w:val="000000"/>
                  <w:sz w:val="20"/>
                </w:rPr>
                <w:t>Form of Stock Award Agreement Under the Microsoft Corporation 2017 Stock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3/31/2018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4/26/2018</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81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03"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Arial" w:hAnsi="Arial"/>
                  <w:color w:val="000000"/>
                  <w:sz w:val="20"/>
                </w:rPr>
                <w:t>Form of Performance Stock Award Agreement Under the Microsoft Corporation 2017 Stock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3/31/2018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4/26/2018</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Arial" w:hAnsi="Arial"/>
          <w:color w:val="000000"/>
          <w:sz w:val="16"/>
        </w:rPr>
      </w:pPr>
      <w:r>
        <w:rPr>
          <w:rFonts w:ascii="Arial" w:hAnsi="Arial"/>
          <w:color w:val="000000"/>
          <w:sz w:val="16"/>
        </w:rPr>
        <w:t>97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IV</w:t>
      </w:r>
    </w:p>
    <w:p>
      <w:pPr>
        <w:pStyle w:val="TextBody"/>
        <w:bidi w:val="0"/>
        <w:jc w:val="center"/>
        <w:rPr>
          <w:rFonts w:ascii="Arial" w:hAnsi="Arial"/>
          <w:color w:val="000000"/>
          <w:sz w:val="15"/>
        </w:rPr>
      </w:pPr>
      <w:r>
        <w:rPr>
          <w:rFonts w:ascii="Arial" w:hAnsi="Arial"/>
          <w:color w:val="000000"/>
          <w:sz w:val="15"/>
        </w:rPr>
        <w:t>Item 15</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1"/>
        <w:gridCol w:w="146"/>
        <w:gridCol w:w="5233"/>
        <w:gridCol w:w="146"/>
        <w:gridCol w:w="751"/>
        <w:gridCol w:w="146"/>
        <w:gridCol w:w="491"/>
        <w:gridCol w:w="146"/>
        <w:gridCol w:w="707"/>
        <w:gridCol w:w="146"/>
        <w:gridCol w:w="616"/>
        <w:gridCol w:w="146"/>
        <w:gridCol w:w="647"/>
        <w:gridCol w:w="193"/>
      </w:tblGrid>
      <w:tr>
        <w:trPr/>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3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7" w:type="dxa"/>
            <w:tcBorders/>
            <w:shd w:fill="FFFFFF" w:val="clear"/>
            <w:vAlign w:val="center"/>
          </w:tcPr>
          <w:p>
            <w:pPr>
              <w:pStyle w:val="TableContents"/>
              <w:bidi w:val="0"/>
              <w:spacing w:before="0" w:after="283"/>
              <w:jc w:val="left"/>
              <w:rPr>
                <w:sz w:val="4"/>
                <w:szCs w:val="4"/>
              </w:rPr>
            </w:pPr>
            <w:r>
              <w:rPr>
                <w:sz w:val="4"/>
                <w:szCs w:val="4"/>
              </w:rPr>
            </w:r>
          </w:p>
        </w:tc>
        <w:tc>
          <w:tcPr>
            <w:tcW w:w="193" w:type="dxa"/>
            <w:tcBorders/>
            <w:shd w:fill="FFFFFF" w:val="cle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8"/>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Incorporated by Reference</w:t>
            </w:r>
          </w:p>
        </w:tc>
        <w:tc>
          <w:tcPr>
            <w:tcW w:w="193"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jc w:val="left"/>
              <w:rPr>
                <w:rFonts w:ascii="Arial" w:hAnsi="Arial"/>
                <w:b/>
                <w:color w:val="000000"/>
                <w:sz w:val="15"/>
              </w:rPr>
            </w:pPr>
            <w:r>
              <w:rPr>
                <w:rFonts w:ascii="Arial" w:hAnsi="Arial"/>
                <w:b/>
                <w:color w:val="000000"/>
                <w:sz w:val="15"/>
              </w:rPr>
              <w:t>Exhibit</w:t>
            </w:r>
          </w:p>
          <w:p>
            <w:pPr>
              <w:pStyle w:val="TableContents"/>
              <w:bidi w:val="0"/>
              <w:spacing w:before="0" w:after="283"/>
              <w:jc w:val="left"/>
              <w:rPr>
                <w:rFonts w:ascii="Arial" w:hAnsi="Arial"/>
                <w:b/>
                <w:color w:val="000000"/>
                <w:sz w:val="15"/>
              </w:rPr>
            </w:pPr>
            <w:r>
              <w:rPr>
                <w:rFonts w:ascii="Arial" w:hAnsi="Arial"/>
                <w:b/>
                <w:color w:val="000000"/>
                <w:sz w:val="15"/>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Filed</w:t>
            </w:r>
          </w:p>
          <w:p>
            <w:pPr>
              <w:pStyle w:val="TableContents"/>
              <w:bidi w:val="0"/>
              <w:spacing w:before="0" w:after="283"/>
              <w:jc w:val="center"/>
              <w:rPr>
                <w:rFonts w:ascii="Arial" w:hAnsi="Arial"/>
                <w:b/>
                <w:color w:val="000000"/>
                <w:sz w:val="15"/>
              </w:rPr>
            </w:pPr>
            <w:r>
              <w:rPr>
                <w:rFonts w:ascii="Arial" w:hAnsi="Arial"/>
                <w:b/>
                <w:color w:val="000000"/>
                <w:sz w:val="15"/>
              </w:rPr>
              <w:t>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Form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Period</w:t>
            </w:r>
          </w:p>
          <w:p>
            <w:pPr>
              <w:pStyle w:val="TableContents"/>
              <w:bidi w:val="0"/>
              <w:spacing w:before="0" w:after="283"/>
              <w:jc w:val="right"/>
              <w:rPr>
                <w:rFonts w:ascii="Arial" w:hAnsi="Arial"/>
                <w:b/>
                <w:color w:val="000000"/>
                <w:sz w:val="15"/>
              </w:rPr>
            </w:pPr>
            <w:r>
              <w:rPr>
                <w:rFonts w:ascii="Arial" w:hAnsi="Arial"/>
                <w:b/>
                <w:color w:val="000000"/>
                <w:sz w:val="15"/>
              </w:rPr>
              <w:t>Ending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Filing Date</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5233"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707"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647"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3"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Arial" w:hAnsi="Arial"/>
                  <w:color w:val="000000"/>
                  <w:sz w:val="20"/>
                </w:rPr>
                <w:t>Microsoft Corporation 2026 Stock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3/31/2026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4/29/2026</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3"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Arial" w:hAnsi="Arial"/>
                  <w:color w:val="000000"/>
                  <w:sz w:val="20"/>
                </w:rPr>
                <w:t>Form of Stock Award Agreement Under the Microsoft Corporation 2026 Stock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3/31/2026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4/29/2026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Arial" w:hAnsi="Arial"/>
                  <w:color w:val="000000"/>
                  <w:sz w:val="20"/>
                </w:rPr>
                <w:t>Microsoft Corporation Executive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3/30/2026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4/29/2026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Arial" w:hAnsi="Arial"/>
                  <w:color w:val="000000"/>
                  <w:sz w:val="20"/>
                </w:rPr>
                <w:t>Microsoft Corporation Executive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9/30/2016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10/20/2016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Arial" w:hAnsi="Arial"/>
                  <w:color w:val="000000"/>
                  <w:sz w:val="20"/>
                </w:rPr>
                <w:t>Microsoft Corporation Deferred Compensation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6/30/2024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7/30/2024</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Arial" w:hAnsi="Arial"/>
                  <w:color w:val="000000"/>
                  <w:sz w:val="20"/>
                </w:rPr>
                <w:t>Microsoft Corporation Deferred Compensation Plan for Non-Employee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3/31/2026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4/29/2026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Arial" w:hAnsi="Arial"/>
                  <w:color w:val="000000"/>
                  <w:sz w:val="20"/>
                </w:rPr>
                <w:t>Senior Executive Severance Benefit Plan</w:t>
              </w:r>
            </w:hyperlink>
            <w:hyperlink r:id="rId40">
              <w:r>
                <w:rPr>
                  <w:rStyle w:val="InternetLink"/>
                  <w:rFonts w:ascii="Times New Roman" w:hAnsi="Times New Roman"/>
                  <w:color w:val="000000"/>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9/30/2016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10/20/2016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Arial" w:hAnsi="Arial"/>
                  <w:color w:val="000000"/>
                  <w:sz w:val="20"/>
                </w:rPr>
                <w:t>Amended and Restated Officers’ Indemnification Trust Agreement between Microsoft Corporation and The Bank of New York Mellon Trust Company, N.A.,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7/30/2025</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Arial" w:hAnsi="Arial"/>
                  <w:color w:val="000000"/>
                  <w:sz w:val="20"/>
                </w:rPr>
                <w:t>Form of Indemnification Agreement and Amended and Restated Directors’ Indemnification Trust Agreement between Microsoft Corporation and The Bank of New York Mellon Trust Company, N.A.,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7/30/2025</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Arial" w:hAnsi="Arial"/>
                  <w:color w:val="000000"/>
                  <w:sz w:val="20"/>
                </w:rPr>
                <w:t>Offer Letter, dated February 3, 2014, between Microsoft Corporation and Satya Nadella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2/4/2014</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hyperlink w:anchor="msft-ex19_1.htm">
              <w:r>
                <w:rPr>
                  <w:rStyle w:val="InternetLink"/>
                  <w:rFonts w:ascii="Arial" w:hAnsi="Arial"/>
                  <w:color w:val="000000"/>
                  <w:sz w:val="20"/>
                </w:rPr>
                <w:t>General Insider Trading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hyperlink w:anchor="msft-ex19_2.htm">
              <w:r>
                <w:rPr>
                  <w:rStyle w:val="InternetLink"/>
                  <w:rFonts w:ascii="Arial" w:hAnsi="Arial"/>
                  <w:color w:val="000000"/>
                  <w:sz w:val="20"/>
                </w:rPr>
                <w:t>Restricted Trading Window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hyperlink w:anchor="msft-ex19_3.htm">
              <w:r>
                <w:rPr>
                  <w:rStyle w:val="InternetLink"/>
                  <w:rFonts w:ascii="Arial" w:hAnsi="Arial"/>
                  <w:color w:val="000000"/>
                  <w:sz w:val="20"/>
                </w:rPr>
                <w:t>Insider Trading Compliance and Preclearance Policies for Section 16 Officers and Directors of Microsoft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3" w:type="dxa"/>
            <w:tcBorders/>
            <w:tcMar>
              <w:top w:w="0" w:type="dxa"/>
              <w:left w:w="0" w:type="dxa"/>
              <w:bottom w:w="0" w:type="dxa"/>
              <w:right w:w="0" w:type="dxa"/>
            </w:tcMar>
            <w:vAlign w:val="center"/>
          </w:tcPr>
          <w:p>
            <w:pPr>
              <w:pStyle w:val="TableContents"/>
              <w:bidi w:val="0"/>
              <w:spacing w:before="0" w:after="283"/>
              <w:jc w:val="left"/>
              <w:rPr/>
            </w:pPr>
            <w:hyperlink w:anchor="msft-ex21.htm">
              <w:r>
                <w:rPr>
                  <w:rStyle w:val="InternetLink"/>
                  <w:rFonts w:ascii="Arial" w:hAnsi="Arial"/>
                  <w:color w:val="000000"/>
                  <w:sz w:val="20"/>
                </w:rPr>
                <w:t>Subsidiaries of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63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3" w:type="dxa"/>
            <w:tcBorders/>
            <w:tcMar>
              <w:top w:w="0" w:type="dxa"/>
              <w:left w:w="0" w:type="dxa"/>
              <w:bottom w:w="0" w:type="dxa"/>
              <w:right w:w="0" w:type="dxa"/>
            </w:tcMar>
            <w:vAlign w:val="center"/>
          </w:tcPr>
          <w:p>
            <w:pPr>
              <w:pStyle w:val="TableContents"/>
              <w:bidi w:val="0"/>
              <w:spacing w:before="0" w:after="283"/>
              <w:jc w:val="left"/>
              <w:rPr/>
            </w:pPr>
            <w:hyperlink w:anchor="msft-ex23_1.htm">
              <w:r>
                <w:rPr>
                  <w:rStyle w:val="InternetLink"/>
                  <w:rFonts w:ascii="Arial" w:hAnsi="Arial"/>
                  <w:color w:val="000000"/>
                  <w:sz w:val="20"/>
                </w:rPr>
                <w:t>Consent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63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6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3" w:type="dxa"/>
            <w:tcBorders/>
            <w:tcMar>
              <w:top w:w="0" w:type="dxa"/>
              <w:left w:w="0" w:type="dxa"/>
              <w:bottom w:w="0" w:type="dxa"/>
              <w:right w:w="0" w:type="dxa"/>
            </w:tcMar>
            <w:vAlign w:val="center"/>
          </w:tcPr>
          <w:p>
            <w:pPr>
              <w:pStyle w:val="TableContents"/>
              <w:bidi w:val="0"/>
              <w:spacing w:before="0" w:after="283"/>
              <w:jc w:val="left"/>
              <w:rPr/>
            </w:pPr>
            <w:hyperlink w:anchor="msft-ex31_1.htm">
              <w:r>
                <w:rPr>
                  <w:rStyle w:val="InternetLink"/>
                  <w:rFonts w:ascii="Arial" w:hAnsi="Arial"/>
                  <w:color w:val="000000"/>
                  <w:sz w:val="20"/>
                </w:rPr>
                <w:t>Certification of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hyperlink w:anchor="msft-ex31_2.htm">
              <w:r>
                <w:rPr>
                  <w:rStyle w:val="InternetLink"/>
                  <w:rFonts w:ascii="Arial" w:hAnsi="Arial"/>
                  <w:color w:val="000000"/>
                  <w:sz w:val="20"/>
                </w:rPr>
                <w:t>Certification of Chief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hyperlink w:anchor="msft-ex32_1.htm">
              <w:r>
                <w:rPr>
                  <w:rStyle w:val="InternetLink"/>
                  <w:rFonts w:ascii="Arial" w:hAnsi="Arial"/>
                  <w:color w:val="000000"/>
                  <w:sz w:val="20"/>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hyperlink w:anchor="msft-ex32_2.htm">
              <w:r>
                <w:rPr>
                  <w:rStyle w:val="InternetLink"/>
                  <w:rFonts w:ascii="Arial" w:hAnsi="Arial"/>
                  <w:color w:val="000000"/>
                  <w:sz w:val="20"/>
                </w:rPr>
                <w:t>Certification of Chief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hyperlink w:anchor="msft-ex97_1.htm">
              <w:r>
                <w:rPr>
                  <w:rStyle w:val="InternetLink"/>
                  <w:rFonts w:ascii="Arial" w:hAnsi="Arial"/>
                  <w:color w:val="000000"/>
                  <w:sz w:val="20"/>
                </w:rPr>
                <w:t>Microsoft Corporation Executive Compensation Recovery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16"/>
        </w:rPr>
      </w:pPr>
      <w:r>
        <w:rPr>
          <w:rFonts w:ascii="Arial" w:hAnsi="Arial"/>
          <w:color w:val="000000"/>
          <w:sz w:val="16"/>
        </w:rPr>
        <w:t>98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IV</w:t>
      </w:r>
    </w:p>
    <w:p>
      <w:pPr>
        <w:pStyle w:val="TextBody"/>
        <w:bidi w:val="0"/>
        <w:jc w:val="center"/>
        <w:rPr>
          <w:rFonts w:ascii="Arial" w:hAnsi="Arial"/>
          <w:color w:val="000000"/>
          <w:sz w:val="15"/>
        </w:rPr>
      </w:pPr>
      <w:r>
        <w:rPr>
          <w:rFonts w:ascii="Arial" w:hAnsi="Arial"/>
          <w:color w:val="000000"/>
          <w:sz w:val="15"/>
        </w:rPr>
        <w:t>Item 15</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55"/>
        <w:gridCol w:w="146"/>
        <w:gridCol w:w="5293"/>
        <w:gridCol w:w="146"/>
        <w:gridCol w:w="751"/>
        <w:gridCol w:w="146"/>
        <w:gridCol w:w="481"/>
        <w:gridCol w:w="146"/>
        <w:gridCol w:w="616"/>
        <w:gridCol w:w="146"/>
        <w:gridCol w:w="616"/>
        <w:gridCol w:w="146"/>
        <w:gridCol w:w="625"/>
        <w:gridCol w:w="192"/>
      </w:tblGrid>
      <w:tr>
        <w:trPr/>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9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before="0" w:after="283"/>
              <w:jc w:val="left"/>
              <w:rPr>
                <w:sz w:val="4"/>
                <w:szCs w:val="4"/>
              </w:rPr>
            </w:pPr>
            <w:r>
              <w:rPr>
                <w:sz w:val="4"/>
                <w:szCs w:val="4"/>
              </w:rPr>
            </w:r>
          </w:p>
        </w:tc>
        <w:tc>
          <w:tcPr>
            <w:tcW w:w="192" w:type="dxa"/>
            <w:tcBorders/>
            <w:shd w:fill="FFFFFF" w:val="clear"/>
            <w:vAlign w:val="center"/>
          </w:tcPr>
          <w:p>
            <w:pPr>
              <w:pStyle w:val="TableContents"/>
              <w:bidi w:val="0"/>
              <w:spacing w:before="0" w:after="283"/>
              <w:jc w:val="left"/>
              <w:rPr>
                <w:sz w:val="4"/>
                <w:szCs w:val="4"/>
              </w:rPr>
            </w:pPr>
            <w:r>
              <w:rPr>
                <w:sz w:val="4"/>
                <w:szCs w:val="4"/>
              </w:rPr>
            </w:r>
          </w:p>
        </w:tc>
      </w:tr>
      <w:tr>
        <w:trPr/>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8"/>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Incorporated by Reference</w:t>
            </w:r>
          </w:p>
        </w:tc>
        <w:tc>
          <w:tcPr>
            <w:tcW w:w="192"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tcBorders/>
            <w:tcMar>
              <w:top w:w="0" w:type="dxa"/>
              <w:left w:w="0" w:type="dxa"/>
              <w:bottom w:w="0" w:type="dxa"/>
              <w:right w:w="0" w:type="dxa"/>
            </w:tcMar>
            <w:vAlign w:val="center"/>
          </w:tcPr>
          <w:p>
            <w:pPr>
              <w:pStyle w:val="TableContents"/>
              <w:bidi w:val="0"/>
              <w:jc w:val="left"/>
              <w:rPr>
                <w:rFonts w:ascii="Arial" w:hAnsi="Arial"/>
                <w:b/>
                <w:color w:val="000000"/>
                <w:sz w:val="15"/>
              </w:rPr>
            </w:pPr>
            <w:r>
              <w:rPr>
                <w:rFonts w:ascii="Arial" w:hAnsi="Arial"/>
                <w:b/>
                <w:color w:val="000000"/>
                <w:sz w:val="15"/>
              </w:rPr>
              <w:t>Exhibit</w:t>
            </w:r>
          </w:p>
          <w:p>
            <w:pPr>
              <w:pStyle w:val="TableContents"/>
              <w:bidi w:val="0"/>
              <w:spacing w:before="0" w:after="283"/>
              <w:jc w:val="left"/>
              <w:rPr>
                <w:rFonts w:ascii="Arial" w:hAnsi="Arial"/>
                <w:b/>
                <w:color w:val="000000"/>
                <w:sz w:val="15"/>
              </w:rPr>
            </w:pPr>
            <w:r>
              <w:rPr>
                <w:rFonts w:ascii="Arial" w:hAnsi="Arial"/>
                <w:b/>
                <w:color w:val="000000"/>
                <w:sz w:val="15"/>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Filed</w:t>
            </w:r>
          </w:p>
          <w:p>
            <w:pPr>
              <w:pStyle w:val="TableContents"/>
              <w:bidi w:val="0"/>
              <w:spacing w:before="0" w:after="283"/>
              <w:jc w:val="center"/>
              <w:rPr>
                <w:rFonts w:ascii="Arial" w:hAnsi="Arial"/>
                <w:b/>
                <w:color w:val="000000"/>
                <w:sz w:val="15"/>
              </w:rPr>
            </w:pPr>
            <w:r>
              <w:rPr>
                <w:rFonts w:ascii="Arial" w:hAnsi="Arial"/>
                <w:b/>
                <w:color w:val="000000"/>
                <w:sz w:val="15"/>
              </w:rPr>
              <w:t>Herewith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Form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Period</w:t>
            </w:r>
          </w:p>
          <w:p>
            <w:pPr>
              <w:pStyle w:val="TableContents"/>
              <w:bidi w:val="0"/>
              <w:spacing w:before="0" w:after="283"/>
              <w:jc w:val="right"/>
              <w:rPr>
                <w:rFonts w:ascii="Arial" w:hAnsi="Arial"/>
                <w:b/>
                <w:color w:val="000000"/>
                <w:sz w:val="15"/>
              </w:rPr>
            </w:pPr>
            <w:r>
              <w:rPr>
                <w:rFonts w:ascii="Arial" w:hAnsi="Arial"/>
                <w:b/>
                <w:color w:val="000000"/>
                <w:sz w:val="15"/>
              </w:rPr>
              <w:t>Ending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Filing Date</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5293"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625"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Inline XBRL Instance Document—the instance document does not appear in the Interactive Data File as its XBRL tags are embedded within the Inline XBRL document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25"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25"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25"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25"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25" w:type="dxa"/>
            <w:tcBorders/>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 xml:space="preserve">* </w:t>
      </w:r>
      <w:r>
        <w:rPr>
          <w:rFonts w:ascii="Arial" w:hAnsi="Arial"/>
          <w:i/>
          <w:color w:val="000000"/>
          <w:sz w:val="20"/>
        </w:rPr>
        <w:t>Indicates a management contract or compensatory plan or arrangement.</w:t>
      </w:r>
    </w:p>
    <w:p>
      <w:pPr>
        <w:pStyle w:val="TextBody"/>
        <w:bidi w:val="0"/>
        <w:jc w:val="both"/>
        <w:rPr>
          <w:rFonts w:ascii="Times New Roman" w:hAnsi="Times New Roman"/>
          <w:sz w:val="20"/>
        </w:rPr>
      </w:pPr>
      <w:r>
        <w:rPr>
          <w:rFonts w:ascii="Arial" w:hAnsi="Arial"/>
          <w:color w:val="000000"/>
          <w:sz w:val="20"/>
        </w:rPr>
        <w:t xml:space="preserve">** </w:t>
      </w:r>
      <w:r>
        <w:rPr>
          <w:rFonts w:ascii="Arial" w:hAnsi="Arial"/>
          <w:i/>
          <w:color w:val="000000"/>
          <w:sz w:val="20"/>
        </w:rPr>
        <w:t>Furnished, not filed.</w:t>
      </w:r>
    </w:p>
    <w:p>
      <w:pPr>
        <w:pStyle w:val="TextBody"/>
        <w:bidi w:val="0"/>
        <w:spacing w:before="240" w:after="283"/>
        <w:jc w:val="center"/>
        <w:rPr>
          <w:rFonts w:ascii="Arial" w:hAnsi="Arial"/>
          <w:color w:val="000000"/>
          <w:sz w:val="16"/>
        </w:rPr>
      </w:pPr>
      <w:r>
        <w:rPr>
          <w:rFonts w:ascii="Arial" w:hAnsi="Arial"/>
          <w:color w:val="000000"/>
          <w:sz w:val="16"/>
        </w:rPr>
        <w:t>99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IV</w:t>
      </w:r>
    </w:p>
    <w:p>
      <w:pPr>
        <w:pStyle w:val="TextBody"/>
        <w:bidi w:val="0"/>
        <w:jc w:val="center"/>
        <w:rPr>
          <w:rFonts w:ascii="Arial" w:hAnsi="Arial"/>
          <w:color w:val="000000"/>
          <w:sz w:val="15"/>
        </w:rPr>
      </w:pPr>
      <w:r>
        <w:rPr>
          <w:rFonts w:ascii="Arial" w:hAnsi="Arial"/>
          <w:color w:val="000000"/>
          <w:sz w:val="15"/>
        </w:rPr>
        <w:t>Item 16</w:t>
      </w:r>
    </w:p>
    <w:p>
      <w:pPr>
        <w:pStyle w:val="TextBody"/>
        <w:bidi w:val="0"/>
        <w:jc w:val="center"/>
        <w:rPr/>
      </w:pPr>
      <w:r>
        <w:rPr/>
        <w:t> </w:t>
      </w:r>
    </w:p>
    <w:p>
      <w:pPr>
        <w:pStyle w:val="TextBody"/>
        <w:bidi w:val="0"/>
        <w:jc w:val="center"/>
        <w:rPr>
          <w:rFonts w:ascii="Arial" w:hAnsi="Arial"/>
          <w:b/>
          <w:color w:val="000000"/>
          <w:sz w:val="24"/>
        </w:rPr>
      </w:pPr>
      <w:bookmarkStart w:id="36" w:name="item_16_form_10k_summary"/>
      <w:bookmarkEnd w:id="36"/>
      <w:r>
        <w:rPr>
          <w:rFonts w:ascii="Arial" w:hAnsi="Arial"/>
          <w:b/>
          <w:color w:val="000000"/>
          <w:sz w:val="24"/>
        </w:rPr>
        <w:t>ITEM 16. FORM 10-K SUMMARY</w:t>
      </w:r>
    </w:p>
    <w:p>
      <w:pPr>
        <w:pStyle w:val="TextBody"/>
        <w:bidi w:val="0"/>
        <w:spacing w:before="180" w:after="283"/>
        <w:jc w:val="both"/>
        <w:rPr>
          <w:rFonts w:ascii="Arial" w:hAnsi="Arial"/>
          <w:color w:val="000000"/>
          <w:sz w:val="20"/>
        </w:rPr>
      </w:pPr>
      <w:r>
        <w:rPr>
          <w:rFonts w:ascii="Arial" w:hAnsi="Arial"/>
          <w:color w:val="000000"/>
          <w:sz w:val="20"/>
        </w:rPr>
        <w:t>None.</w:t>
      </w:r>
    </w:p>
    <w:p>
      <w:pPr>
        <w:pStyle w:val="TextBody"/>
        <w:bidi w:val="0"/>
        <w:spacing w:before="240" w:after="283"/>
        <w:jc w:val="center"/>
        <w:rPr>
          <w:rFonts w:ascii="Arial" w:hAnsi="Arial"/>
          <w:color w:val="000000"/>
          <w:sz w:val="16"/>
        </w:rPr>
      </w:pPr>
      <w:r>
        <w:rPr>
          <w:rFonts w:ascii="Arial" w:hAnsi="Arial"/>
          <w:color w:val="000000"/>
          <w:sz w:val="16"/>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37" w:name="signatures"/>
      <w:bookmarkEnd w:id="37"/>
      <w:r>
        <w:rPr>
          <w:rFonts w:ascii="Arial" w:hAnsi="Arial"/>
          <w:b/>
          <w:color w:val="000000"/>
          <w:sz w:val="20"/>
        </w:rPr>
        <w:t>SIGNATURES</w:t>
      </w:r>
    </w:p>
    <w:p>
      <w:pPr>
        <w:pStyle w:val="TextBody"/>
        <w:bidi w:val="0"/>
        <w:spacing w:before="180" w:after="283"/>
        <w:jc w:val="both"/>
        <w:rPr>
          <w:rFonts w:ascii="Times New Roman" w:hAnsi="Times New Roman"/>
          <w:sz w:val="20"/>
        </w:rPr>
      </w:pPr>
      <w:r>
        <w:rPr>
          <w:rFonts w:ascii="Arial" w:hAnsi="Arial"/>
          <w:color w:val="000000"/>
          <w:sz w:val="20"/>
        </w:rPr>
        <w:t>Pursuant to the requirements of Section 13 or 15(d) of the Securities Exchange Act of 1934, the Registrant has duly caused this report to be signed on its behalf by the undersigned; thereunto duly authorized, in the City of Redmond, State of Washington, on July 29, 2026.</w:t>
      </w:r>
      <w:r>
        <w:rPr>
          <w:rFonts w:ascii="Times New Roman" w:hAnsi="Times New Roman"/>
          <w:color w:val="000000"/>
          <w:sz w:val="20"/>
        </w:rPr>
        <w:t xml:space="preserve"> </w:t>
      </w:r>
    </w:p>
    <w:p>
      <w:pPr>
        <w:pStyle w:val="TextBody"/>
        <w:bidi w:val="0"/>
        <w:jc w:val="left"/>
        <w:rPr/>
      </w:pPr>
      <w:r>
        <w:rPr/>
        <w:t> </w:t>
      </w:r>
    </w:p>
    <w:tbl>
      <w:tblPr>
        <w:tblW w:w="7516" w:type="dxa"/>
        <w:jc w:val="left"/>
        <w:tblInd w:w="0" w:type="dxa"/>
        <w:tblLayout w:type="fixed"/>
        <w:tblCellMar>
          <w:top w:w="28" w:type="dxa"/>
          <w:left w:w="28" w:type="dxa"/>
          <w:bottom w:w="28" w:type="dxa"/>
          <w:right w:w="28" w:type="dxa"/>
        </w:tblCellMar>
      </w:tblPr>
      <w:tblGrid>
        <w:gridCol w:w="7516"/>
      </w:tblGrid>
      <w:tr>
        <w:trPr/>
        <w:tc>
          <w:tcPr>
            <w:tcW w:w="7516" w:type="dxa"/>
            <w:tcBorders/>
            <w:vAlign w:val="center"/>
          </w:tcPr>
          <w:p>
            <w:pPr>
              <w:pStyle w:val="TableContents"/>
              <w:bidi w:val="0"/>
              <w:spacing w:before="0" w:after="283"/>
              <w:jc w:val="left"/>
              <w:rPr>
                <w:sz w:val="4"/>
                <w:szCs w:val="4"/>
              </w:rPr>
            </w:pPr>
            <w:r>
              <w:rPr>
                <w:sz w:val="4"/>
                <w:szCs w:val="4"/>
              </w:rPr>
            </w:r>
          </w:p>
        </w:tc>
      </w:tr>
      <w:tr>
        <w:trPr/>
        <w:tc>
          <w:tcPr>
            <w:tcW w:w="75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M</w:t>
            </w:r>
            <w:r>
              <w:rPr>
                <w:rFonts w:ascii="Arial" w:hAnsi="Arial"/>
                <w:color w:val="000000"/>
                <w:sz w:val="15"/>
              </w:rPr>
              <w:t>ICROSOFT</w:t>
            </w:r>
            <w:r>
              <w:rPr>
                <w:rFonts w:ascii="Times New Roman" w:hAnsi="Times New Roman"/>
                <w:color w:val="000000"/>
                <w:sz w:val="20"/>
              </w:rPr>
              <w:t> </w:t>
            </w:r>
            <w:r>
              <w:rPr>
                <w:rFonts w:ascii="Arial" w:hAnsi="Arial"/>
                <w:color w:val="000000"/>
                <w:sz w:val="20"/>
              </w:rPr>
              <w:t>C</w:t>
            </w:r>
            <w:r>
              <w:rPr>
                <w:rFonts w:ascii="Arial" w:hAnsi="Arial"/>
                <w:color w:val="000000"/>
                <w:sz w:val="15"/>
              </w:rPr>
              <w:t>ORPORATION</w:t>
            </w:r>
          </w:p>
        </w:tc>
      </w:tr>
      <w:tr>
        <w:trPr/>
        <w:tc>
          <w:tcPr>
            <w:tcW w:w="7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/s/ A</w:t>
            </w:r>
            <w:r>
              <w:rPr>
                <w:rFonts w:ascii="Arial" w:hAnsi="Arial"/>
                <w:color w:val="000000"/>
                <w:sz w:val="15"/>
              </w:rPr>
              <w:t>LICE</w:t>
            </w:r>
            <w:r>
              <w:rPr>
                <w:rFonts w:ascii="Times New Roman" w:hAnsi="Times New Roman"/>
                <w:color w:val="000000"/>
                <w:sz w:val="20"/>
              </w:rPr>
              <w:t> </w:t>
            </w:r>
            <w:r>
              <w:rPr>
                <w:rFonts w:ascii="Arial" w:hAnsi="Arial"/>
                <w:color w:val="000000"/>
                <w:sz w:val="20"/>
              </w:rPr>
              <w:t>L. J</w:t>
            </w:r>
            <w:r>
              <w:rPr>
                <w:rFonts w:ascii="Arial" w:hAnsi="Arial"/>
                <w:color w:val="000000"/>
                <w:sz w:val="15"/>
              </w:rPr>
              <w:t>OLLA</w:t>
            </w:r>
          </w:p>
        </w:tc>
      </w:tr>
      <w:tr>
        <w:trPr/>
        <w:tc>
          <w:tcPr>
            <w:tcW w:w="751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Alice L. Jolla</w:t>
            </w:r>
          </w:p>
        </w:tc>
      </w:tr>
      <w:tr>
        <w:trPr/>
        <w:tc>
          <w:tcPr>
            <w:tcW w:w="75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 Vice President and Chief Accounting Officer (Principal Accounting Officer)</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Pursuant to the requirements of the Securities Exchange Act of 1934, this report has been signed below by the following persons on behalf of Registrant and in the capacities indicated on July 29, 2026.</w:t>
      </w:r>
      <w:r>
        <w:rPr>
          <w:rFonts w:ascii="Times New Roman" w:hAnsi="Times New Roman"/>
          <w:color w:val="000000"/>
          <w:sz w:val="20"/>
        </w:rPr>
        <w:t xml:space="preserve"> </w:t>
      </w:r>
    </w:p>
    <w:p>
      <w:pPr>
        <w:pStyle w:val="TextBody"/>
        <w:bidi w:val="0"/>
        <w:jc w:val="left"/>
        <w:rPr/>
      </w:pPr>
      <w:r>
        <w:rPr/>
        <w:t> </w:t>
      </w:r>
    </w:p>
    <w:tbl>
      <w:tblPr>
        <w:tblW w:w="7468" w:type="dxa"/>
        <w:jc w:val="left"/>
        <w:tblInd w:w="0" w:type="dxa"/>
        <w:tblLayout w:type="fixed"/>
        <w:tblCellMar>
          <w:top w:w="28" w:type="dxa"/>
          <w:left w:w="28" w:type="dxa"/>
          <w:bottom w:w="28" w:type="dxa"/>
          <w:right w:w="28" w:type="dxa"/>
        </w:tblCellMar>
      </w:tblPr>
      <w:tblGrid>
        <w:gridCol w:w="2431"/>
        <w:gridCol w:w="146"/>
        <w:gridCol w:w="4891"/>
      </w:tblGrid>
      <w:tr>
        <w:trPr/>
        <w:tc>
          <w:tcPr>
            <w:tcW w:w="24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91" w:type="dxa"/>
            <w:tcBorders/>
            <w:shd w:fill="FFFFFF" w:val="clear"/>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Title</w:t>
            </w:r>
          </w:p>
        </w:tc>
      </w:tr>
      <w:tr>
        <w:trPr/>
        <w:tc>
          <w:tcPr>
            <w:tcW w:w="746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S</w:t>
            </w:r>
            <w:r>
              <w:rPr>
                <w:rFonts w:ascii="Arial" w:hAnsi="Arial"/>
                <w:color w:val="000000"/>
                <w:sz w:val="15"/>
              </w:rPr>
              <w:t>ATYA</w:t>
            </w:r>
            <w:r>
              <w:rPr>
                <w:rFonts w:ascii="Times New Roman" w:hAnsi="Times New Roman"/>
                <w:color w:val="000000"/>
                <w:sz w:val="20"/>
              </w:rPr>
              <w:t> </w:t>
            </w:r>
            <w:r>
              <w:rPr>
                <w:rFonts w:ascii="Arial" w:hAnsi="Arial"/>
                <w:color w:val="000000"/>
                <w:sz w:val="20"/>
              </w:rPr>
              <w:t>N</w:t>
            </w:r>
            <w:r>
              <w:rPr>
                <w:rFonts w:ascii="Arial" w:hAnsi="Arial"/>
                <w:color w:val="000000"/>
                <w:sz w:val="15"/>
              </w:rPr>
              <w:t>ADELLA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vMerge w:val="restart"/>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Chairman and Chief Executive Officer</w:t>
            </w:r>
          </w:p>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r>
      <w:tr>
        <w:trPr/>
        <w:tc>
          <w:tcPr>
            <w:tcW w:w="2431"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Arial" w:hAnsi="Arial"/>
                <w:color w:val="000000"/>
                <w:sz w:val="20"/>
              </w:rPr>
            </w:pPr>
            <w:r>
              <w:rPr>
                <w:rFonts w:ascii="Arial" w:hAnsi="Arial"/>
                <w:color w:val="000000"/>
                <w:sz w:val="20"/>
              </w:rPr>
              <w:t>Satya Nadella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vMerge w:val="continue"/>
            <w:tcBorders/>
            <w:tcMar>
              <w:top w:w="0" w:type="dxa"/>
              <w:left w:w="0" w:type="dxa"/>
              <w:bottom w:w="0" w:type="dxa"/>
              <w:right w:w="0" w:type="dxa"/>
            </w:tcMar>
            <w:vAlign w:val="center"/>
          </w:tcPr>
          <w:p>
            <w:pPr>
              <w:pStyle w:val="Normal"/>
              <w:bidi w:val="0"/>
              <w:jc w:val="left"/>
              <w:rPr/>
            </w:pPr>
            <w:r>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C</w:t>
            </w:r>
            <w:r>
              <w:rPr>
                <w:rFonts w:ascii="Arial" w:hAnsi="Arial"/>
                <w:color w:val="000000"/>
                <w:sz w:val="15"/>
              </w:rPr>
              <w:t>ARMINE</w:t>
            </w:r>
            <w:r>
              <w:rPr>
                <w:rFonts w:ascii="Times New Roman" w:hAnsi="Times New Roman"/>
                <w:color w:val="000000"/>
                <w:sz w:val="20"/>
              </w:rPr>
              <w:t> </w:t>
            </w:r>
            <w:r>
              <w:rPr>
                <w:rFonts w:ascii="Arial" w:hAnsi="Arial"/>
                <w:color w:val="000000"/>
                <w:sz w:val="20"/>
              </w:rPr>
              <w:t>D</w:t>
            </w:r>
            <w:r>
              <w:rPr>
                <w:rFonts w:ascii="Arial" w:hAnsi="Arial"/>
                <w:color w:val="000000"/>
                <w:sz w:val="15"/>
              </w:rPr>
              <w:t>I</w:t>
            </w:r>
            <w:r>
              <w:rPr>
                <w:rFonts w:ascii="Times New Roman" w:hAnsi="Times New Roman"/>
                <w:color w:val="000000"/>
                <w:sz w:val="20"/>
              </w:rPr>
              <w:t> </w:t>
            </w:r>
            <w:r>
              <w:rPr>
                <w:rFonts w:ascii="Arial" w:hAnsi="Arial"/>
                <w:color w:val="000000"/>
                <w:sz w:val="20"/>
              </w:rPr>
              <w:t>S</w:t>
            </w:r>
            <w:r>
              <w:rPr>
                <w:rFonts w:ascii="Arial" w:hAnsi="Arial"/>
                <w:color w:val="000000"/>
                <w:sz w:val="15"/>
              </w:rPr>
              <w:t>IBIO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91" w:type="dxa"/>
            <w:vMerge w:val="restart"/>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Carmine Di Sibio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vMerge w:val="continue"/>
            <w:tcBorders/>
            <w:tcMar>
              <w:top w:w="0" w:type="dxa"/>
              <w:left w:w="0" w:type="dxa"/>
              <w:bottom w:w="0" w:type="dxa"/>
              <w:right w:w="0" w:type="dxa"/>
            </w:tcMar>
            <w:vAlign w:val="center"/>
          </w:tcPr>
          <w:p>
            <w:pPr>
              <w:pStyle w:val="Normal"/>
              <w:bidi w:val="0"/>
              <w:jc w:val="left"/>
              <w:rPr/>
            </w:pPr>
            <w:r>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50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R</w:t>
            </w:r>
            <w:r>
              <w:rPr>
                <w:rFonts w:ascii="Arial" w:hAnsi="Arial"/>
                <w:color w:val="000000"/>
                <w:sz w:val="15"/>
              </w:rPr>
              <w:t>EID</w:t>
            </w:r>
            <w:r>
              <w:rPr>
                <w:rFonts w:ascii="Times New Roman" w:hAnsi="Times New Roman"/>
                <w:color w:val="000000"/>
                <w:sz w:val="20"/>
              </w:rPr>
              <w:t> </w:t>
            </w:r>
            <w:r>
              <w:rPr>
                <w:rFonts w:ascii="Arial" w:hAnsi="Arial"/>
                <w:color w:val="000000"/>
                <w:sz w:val="20"/>
              </w:rPr>
              <w:t>G. H</w:t>
            </w:r>
            <w:r>
              <w:rPr>
                <w:rFonts w:ascii="Arial" w:hAnsi="Arial"/>
                <w:color w:val="000000"/>
                <w:sz w:val="15"/>
              </w:rPr>
              <w:t>OFFMAN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vMerge w:val="restart"/>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431"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Arial" w:hAnsi="Arial"/>
                <w:color w:val="000000"/>
                <w:sz w:val="20"/>
              </w:rPr>
            </w:pPr>
            <w:r>
              <w:rPr>
                <w:rFonts w:ascii="Arial" w:hAnsi="Arial"/>
                <w:color w:val="000000"/>
                <w:sz w:val="20"/>
              </w:rPr>
              <w:t>Reid G. Hoffman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vMerge w:val="continue"/>
            <w:tcBorders/>
            <w:tcMar>
              <w:top w:w="0" w:type="dxa"/>
              <w:left w:w="0" w:type="dxa"/>
              <w:bottom w:w="0" w:type="dxa"/>
              <w:right w:w="0" w:type="dxa"/>
            </w:tcMar>
            <w:vAlign w:val="center"/>
          </w:tcPr>
          <w:p>
            <w:pPr>
              <w:pStyle w:val="Normal"/>
              <w:bidi w:val="0"/>
              <w:jc w:val="left"/>
              <w:rPr/>
            </w:pPr>
            <w:r>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H</w:t>
            </w:r>
            <w:r>
              <w:rPr>
                <w:rFonts w:ascii="Arial" w:hAnsi="Arial"/>
                <w:color w:val="000000"/>
                <w:sz w:val="15"/>
              </w:rPr>
              <w:t>UGH</w:t>
            </w:r>
            <w:r>
              <w:rPr>
                <w:rFonts w:ascii="Times New Roman" w:hAnsi="Times New Roman"/>
                <w:color w:val="000000"/>
                <w:sz w:val="20"/>
              </w:rPr>
              <w:t> </w:t>
            </w:r>
            <w:r>
              <w:rPr>
                <w:rFonts w:ascii="Arial" w:hAnsi="Arial"/>
                <w:color w:val="000000"/>
                <w:sz w:val="20"/>
              </w:rPr>
              <w:t>F. J</w:t>
            </w:r>
            <w:r>
              <w:rPr>
                <w:rFonts w:ascii="Arial" w:hAnsi="Arial"/>
                <w:color w:val="000000"/>
                <w:sz w:val="15"/>
              </w:rPr>
              <w:t>OHNSTON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vMerge w:val="restart"/>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431"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Arial" w:hAnsi="Arial"/>
                <w:color w:val="000000"/>
                <w:sz w:val="20"/>
              </w:rPr>
            </w:pPr>
            <w:r>
              <w:rPr>
                <w:rFonts w:ascii="Arial" w:hAnsi="Arial"/>
                <w:color w:val="000000"/>
                <w:sz w:val="20"/>
              </w:rPr>
              <w:t>Hugh F. Johnston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vMerge w:val="continue"/>
            <w:tcBorders/>
            <w:tcMar>
              <w:top w:w="0" w:type="dxa"/>
              <w:left w:w="0" w:type="dxa"/>
              <w:bottom w:w="0" w:type="dxa"/>
              <w:right w:w="0" w:type="dxa"/>
            </w:tcMar>
            <w:vAlign w:val="center"/>
          </w:tcPr>
          <w:p>
            <w:pPr>
              <w:pStyle w:val="Normal"/>
              <w:bidi w:val="0"/>
              <w:jc w:val="left"/>
              <w:rPr/>
            </w:pPr>
            <w:r>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T</w:t>
            </w:r>
            <w:r>
              <w:rPr>
                <w:rFonts w:ascii="Arial" w:hAnsi="Arial"/>
                <w:color w:val="000000"/>
                <w:sz w:val="15"/>
              </w:rPr>
              <w:t xml:space="preserve">ERI </w:t>
            </w:r>
            <w:r>
              <w:rPr>
                <w:rFonts w:ascii="Arial" w:hAnsi="Arial"/>
                <w:smallCaps/>
                <w:color w:val="000000"/>
                <w:sz w:val="20"/>
              </w:rPr>
              <w:t>L. L</w:t>
            </w:r>
            <w:r>
              <w:rPr>
                <w:rFonts w:ascii="Arial" w:hAnsi="Arial"/>
                <w:color w:val="000000"/>
                <w:sz w:val="15"/>
              </w:rPr>
              <w:t>IST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vMerge w:val="restart"/>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431"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Arial" w:hAnsi="Arial"/>
                <w:color w:val="000000"/>
                <w:sz w:val="20"/>
              </w:rPr>
            </w:pPr>
            <w:r>
              <w:rPr>
                <w:rFonts w:ascii="Arial" w:hAnsi="Arial"/>
                <w:color w:val="000000"/>
                <w:sz w:val="20"/>
              </w:rPr>
              <w:t>Teri L. List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vMerge w:val="continue"/>
            <w:tcBorders/>
            <w:tcMar>
              <w:top w:w="0" w:type="dxa"/>
              <w:left w:w="0" w:type="dxa"/>
              <w:bottom w:w="0" w:type="dxa"/>
              <w:right w:w="0" w:type="dxa"/>
            </w:tcMar>
            <w:vAlign w:val="center"/>
          </w:tcPr>
          <w:p>
            <w:pPr>
              <w:pStyle w:val="Normal"/>
              <w:bidi w:val="0"/>
              <w:jc w:val="left"/>
              <w:rPr/>
            </w:pPr>
            <w:r>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C</w:t>
            </w:r>
            <w:r>
              <w:rPr>
                <w:rFonts w:ascii="Arial" w:hAnsi="Arial"/>
                <w:smallCaps/>
                <w:color w:val="000000"/>
                <w:sz w:val="15"/>
              </w:rPr>
              <w:t>ATHERINE</w:t>
            </w:r>
            <w:r>
              <w:rPr>
                <w:rFonts w:ascii="Times New Roman" w:hAnsi="Times New Roman"/>
                <w:color w:val="000000"/>
                <w:sz w:val="20"/>
              </w:rPr>
              <w:t> </w:t>
            </w:r>
            <w:r>
              <w:rPr>
                <w:rFonts w:ascii="Arial" w:hAnsi="Arial"/>
                <w:color w:val="000000"/>
                <w:sz w:val="20"/>
              </w:rPr>
              <w:t>M</w:t>
            </w:r>
            <w:r>
              <w:rPr>
                <w:rFonts w:ascii="Arial" w:hAnsi="Arial"/>
                <w:smallCaps/>
                <w:color w:val="000000"/>
                <w:sz w:val="15"/>
              </w:rPr>
              <w:t>AC</w:t>
            </w:r>
            <w:r>
              <w:rPr>
                <w:rFonts w:ascii="Arial" w:hAnsi="Arial"/>
                <w:smallCaps/>
                <w:color w:val="000000"/>
                <w:sz w:val="20"/>
              </w:rPr>
              <w:t>G</w:t>
            </w:r>
            <w:r>
              <w:rPr>
                <w:rFonts w:ascii="Arial" w:hAnsi="Arial"/>
                <w:smallCaps/>
                <w:color w:val="000000"/>
                <w:sz w:val="15"/>
              </w:rPr>
              <w:t>REGOR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Catherine MacGregor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M</w:t>
            </w:r>
            <w:r>
              <w:rPr>
                <w:rFonts w:ascii="Arial" w:hAnsi="Arial"/>
                <w:color w:val="000000"/>
                <w:sz w:val="15"/>
              </w:rPr>
              <w:t>ARK</w:t>
            </w:r>
            <w:r>
              <w:rPr>
                <w:rFonts w:ascii="Times New Roman" w:hAnsi="Times New Roman"/>
                <w:smallCaps/>
                <w:color w:val="000000"/>
                <w:sz w:val="20"/>
              </w:rPr>
              <w:t> </w:t>
            </w:r>
            <w:r>
              <w:rPr>
                <w:rFonts w:ascii="Arial" w:hAnsi="Arial"/>
                <w:smallCaps/>
                <w:color w:val="000000"/>
                <w:sz w:val="20"/>
              </w:rPr>
              <w:t>A. L. M</w:t>
            </w:r>
            <w:r>
              <w:rPr>
                <w:rFonts w:ascii="Arial" w:hAnsi="Arial"/>
                <w:color w:val="000000"/>
                <w:sz w:val="15"/>
              </w:rPr>
              <w:t>ASON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A. L. Mason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S</w:t>
            </w:r>
            <w:r>
              <w:rPr>
                <w:rFonts w:ascii="Arial" w:hAnsi="Arial"/>
                <w:color w:val="000000"/>
                <w:sz w:val="15"/>
              </w:rPr>
              <w:t>ANDRA</w:t>
            </w:r>
            <w:r>
              <w:rPr>
                <w:rFonts w:ascii="Times New Roman" w:hAnsi="Times New Roman"/>
                <w:color w:val="000000"/>
                <w:sz w:val="20"/>
              </w:rPr>
              <w:t> </w:t>
            </w:r>
            <w:r>
              <w:rPr>
                <w:rFonts w:ascii="Arial" w:hAnsi="Arial"/>
                <w:color w:val="000000"/>
                <w:sz w:val="20"/>
              </w:rPr>
              <w:t>E. P</w:t>
            </w:r>
            <w:r>
              <w:rPr>
                <w:rFonts w:ascii="Arial" w:hAnsi="Arial"/>
                <w:color w:val="000000"/>
                <w:sz w:val="15"/>
              </w:rPr>
              <w:t>ETERSON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vMerge w:val="restart"/>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Lead Independent Director</w:t>
            </w:r>
          </w:p>
        </w:tc>
      </w:tr>
      <w:tr>
        <w:trPr/>
        <w:tc>
          <w:tcPr>
            <w:tcW w:w="2431"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Arial" w:hAnsi="Arial"/>
                <w:color w:val="000000"/>
                <w:sz w:val="20"/>
              </w:rPr>
            </w:pPr>
            <w:r>
              <w:rPr>
                <w:rFonts w:ascii="Arial" w:hAnsi="Arial"/>
                <w:color w:val="000000"/>
                <w:sz w:val="20"/>
              </w:rPr>
              <w:t>Sandra E. Peterson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vMerge w:val="continue"/>
            <w:tcBorders/>
            <w:tcMar>
              <w:top w:w="0" w:type="dxa"/>
              <w:left w:w="0" w:type="dxa"/>
              <w:bottom w:w="0" w:type="dxa"/>
              <w:right w:w="0" w:type="dxa"/>
            </w:tcMar>
            <w:vAlign w:val="center"/>
          </w:tcPr>
          <w:p>
            <w:pPr>
              <w:pStyle w:val="Normal"/>
              <w:bidi w:val="0"/>
              <w:jc w:val="left"/>
              <w:rPr/>
            </w:pPr>
            <w:r>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P</w:t>
            </w:r>
            <w:r>
              <w:rPr>
                <w:rFonts w:ascii="Arial" w:hAnsi="Arial"/>
                <w:color w:val="000000"/>
                <w:sz w:val="15"/>
              </w:rPr>
              <w:t xml:space="preserve">ENNY </w:t>
            </w:r>
            <w:r>
              <w:rPr>
                <w:rFonts w:ascii="Arial" w:hAnsi="Arial"/>
                <w:smallCaps/>
                <w:color w:val="000000"/>
                <w:sz w:val="20"/>
              </w:rPr>
              <w:t>S.</w:t>
            </w:r>
            <w:r>
              <w:rPr>
                <w:rFonts w:ascii="Times New Roman" w:hAnsi="Times New Roman"/>
                <w:color w:val="000000"/>
                <w:sz w:val="20"/>
              </w:rPr>
              <w:t xml:space="preserve"> </w:t>
            </w:r>
            <w:r>
              <w:rPr>
                <w:rFonts w:ascii="Arial" w:hAnsi="Arial"/>
                <w:smallCaps/>
                <w:color w:val="000000"/>
                <w:sz w:val="20"/>
              </w:rPr>
              <w:t>P</w:t>
            </w:r>
            <w:r>
              <w:rPr>
                <w:rFonts w:ascii="Arial" w:hAnsi="Arial"/>
                <w:color w:val="000000"/>
                <w:sz w:val="15"/>
              </w:rPr>
              <w:t>RITZKER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431"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Arial" w:hAnsi="Arial"/>
                <w:color w:val="000000"/>
                <w:sz w:val="20"/>
              </w:rPr>
            </w:pPr>
            <w:r>
              <w:rPr>
                <w:rFonts w:ascii="Arial" w:hAnsi="Arial"/>
                <w:color w:val="000000"/>
                <w:sz w:val="20"/>
              </w:rPr>
              <w:t>Penny S. Pritzker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J</w:t>
            </w:r>
            <w:r>
              <w:rPr>
                <w:rFonts w:ascii="Arial" w:hAnsi="Arial"/>
                <w:color w:val="000000"/>
                <w:sz w:val="15"/>
              </w:rPr>
              <w:t>OHN</w:t>
            </w:r>
            <w:r>
              <w:rPr>
                <w:rFonts w:ascii="Times New Roman" w:hAnsi="Times New Roman"/>
                <w:color w:val="000000"/>
                <w:sz w:val="20"/>
              </w:rPr>
              <w:t> </w:t>
            </w:r>
            <w:r>
              <w:rPr>
                <w:rFonts w:ascii="Arial" w:hAnsi="Arial"/>
                <w:color w:val="000000"/>
                <w:sz w:val="20"/>
              </w:rPr>
              <w:t>D</w:t>
            </w:r>
            <w:r>
              <w:rPr>
                <w:rFonts w:ascii="Arial" w:hAnsi="Arial"/>
                <w:color w:val="000000"/>
                <w:sz w:val="15"/>
              </w:rPr>
              <w:t>AVID</w:t>
            </w:r>
            <w:r>
              <w:rPr>
                <w:rFonts w:ascii="Times New Roman" w:hAnsi="Times New Roman"/>
                <w:color w:val="000000"/>
                <w:sz w:val="20"/>
              </w:rPr>
              <w:t> </w:t>
            </w:r>
            <w:r>
              <w:rPr>
                <w:rFonts w:ascii="Arial" w:hAnsi="Arial"/>
                <w:color w:val="000000"/>
                <w:sz w:val="20"/>
              </w:rPr>
              <w:t>R</w:t>
            </w:r>
            <w:r>
              <w:rPr>
                <w:rFonts w:ascii="Arial" w:hAnsi="Arial"/>
                <w:color w:val="000000"/>
                <w:sz w:val="15"/>
              </w:rPr>
              <w:t>AINEY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91" w:type="dxa"/>
            <w:vMerge w:val="restart"/>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John David Rainey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vMerge w:val="continue"/>
            <w:tcBorders/>
            <w:tcMar>
              <w:top w:w="0" w:type="dxa"/>
              <w:left w:w="0" w:type="dxa"/>
              <w:bottom w:w="0" w:type="dxa"/>
              <w:right w:w="0" w:type="dxa"/>
            </w:tcMar>
            <w:vAlign w:val="center"/>
          </w:tcPr>
          <w:p>
            <w:pPr>
              <w:pStyle w:val="Normal"/>
              <w:bidi w:val="0"/>
              <w:jc w:val="left"/>
              <w:rPr/>
            </w:pPr>
            <w:r>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C</w:t>
            </w:r>
            <w:r>
              <w:rPr>
                <w:rFonts w:ascii="Arial" w:hAnsi="Arial"/>
                <w:color w:val="000000"/>
                <w:sz w:val="15"/>
              </w:rPr>
              <w:t>HARLES</w:t>
            </w:r>
            <w:r>
              <w:rPr>
                <w:rFonts w:ascii="Times New Roman" w:hAnsi="Times New Roman"/>
                <w:smallCaps/>
                <w:color w:val="000000"/>
                <w:sz w:val="20"/>
              </w:rPr>
              <w:t> </w:t>
            </w:r>
            <w:r>
              <w:rPr>
                <w:rFonts w:ascii="Arial" w:hAnsi="Arial"/>
                <w:smallCaps/>
                <w:color w:val="000000"/>
                <w:sz w:val="20"/>
              </w:rPr>
              <w:t>W. S</w:t>
            </w:r>
            <w:r>
              <w:rPr>
                <w:rFonts w:ascii="Arial" w:hAnsi="Arial"/>
                <w:color w:val="000000"/>
                <w:sz w:val="15"/>
              </w:rPr>
              <w:t>CHARF</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vMerge w:val="restart"/>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431"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Arial" w:hAnsi="Arial"/>
                <w:color w:val="000000"/>
                <w:sz w:val="20"/>
              </w:rPr>
            </w:pPr>
            <w:r>
              <w:rPr>
                <w:rFonts w:ascii="Arial" w:hAnsi="Arial"/>
                <w:color w:val="000000"/>
                <w:sz w:val="20"/>
              </w:rPr>
              <w:t>Charles W. Scharf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vMerge w:val="continue"/>
            <w:tcBorders/>
            <w:tcMar>
              <w:top w:w="0" w:type="dxa"/>
              <w:left w:w="0" w:type="dxa"/>
              <w:bottom w:w="0" w:type="dxa"/>
              <w:right w:w="0" w:type="dxa"/>
            </w:tcMar>
            <w:vAlign w:val="center"/>
          </w:tcPr>
          <w:p>
            <w:pPr>
              <w:pStyle w:val="Normal"/>
              <w:bidi w:val="0"/>
              <w:jc w:val="left"/>
              <w:rPr/>
            </w:pPr>
            <w:r>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 </w:t>
            </w:r>
            <w:r>
              <w:rPr>
                <w:rFonts w:ascii="Arial" w:hAnsi="Arial"/>
                <w:smallCaps/>
                <w:color w:val="000000"/>
                <w:sz w:val="20"/>
              </w:rPr>
              <w:t>J</w:t>
            </w:r>
            <w:r>
              <w:rPr>
                <w:rFonts w:ascii="Arial" w:hAnsi="Arial"/>
                <w:color w:val="000000"/>
                <w:sz w:val="15"/>
              </w:rPr>
              <w:t>OHN</w:t>
            </w:r>
            <w:r>
              <w:rPr>
                <w:rFonts w:ascii="Times New Roman" w:hAnsi="Times New Roman"/>
                <w:smallCaps/>
                <w:color w:val="000000"/>
                <w:sz w:val="20"/>
              </w:rPr>
              <w:t> </w:t>
            </w:r>
            <w:r>
              <w:rPr>
                <w:rFonts w:ascii="Arial" w:hAnsi="Arial"/>
                <w:smallCaps/>
                <w:color w:val="000000"/>
                <w:sz w:val="20"/>
              </w:rPr>
              <w:t>W. S</w:t>
            </w:r>
            <w:r>
              <w:rPr>
                <w:rFonts w:ascii="Arial" w:hAnsi="Arial"/>
                <w:color w:val="000000"/>
                <w:sz w:val="15"/>
              </w:rPr>
              <w:t>TANTON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vMerge w:val="restart"/>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431"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Arial" w:hAnsi="Arial"/>
                <w:color w:val="000000"/>
                <w:sz w:val="20"/>
              </w:rPr>
            </w:pPr>
            <w:r>
              <w:rPr>
                <w:rFonts w:ascii="Arial" w:hAnsi="Arial"/>
                <w:color w:val="000000"/>
                <w:sz w:val="20"/>
              </w:rPr>
              <w:t>John W. Stanton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vMerge w:val="continue"/>
            <w:tcBorders/>
            <w:tcMar>
              <w:top w:w="0" w:type="dxa"/>
              <w:left w:w="0" w:type="dxa"/>
              <w:bottom w:w="0" w:type="dxa"/>
              <w:right w:w="0" w:type="dxa"/>
            </w:tcMar>
            <w:vAlign w:val="center"/>
          </w:tcPr>
          <w:p>
            <w:pPr>
              <w:pStyle w:val="Normal"/>
              <w:bidi w:val="0"/>
              <w:jc w:val="left"/>
              <w:rPr/>
            </w:pPr>
            <w:r>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E</w:t>
            </w:r>
            <w:r>
              <w:rPr>
                <w:rFonts w:ascii="Arial" w:hAnsi="Arial"/>
                <w:color w:val="000000"/>
                <w:sz w:val="15"/>
              </w:rPr>
              <w:t>MMA</w:t>
            </w:r>
            <w:r>
              <w:rPr>
                <w:rFonts w:ascii="Times New Roman" w:hAnsi="Times New Roman"/>
                <w:smallCaps/>
                <w:color w:val="000000"/>
                <w:sz w:val="20"/>
              </w:rPr>
              <w:t> </w:t>
            </w:r>
            <w:r>
              <w:rPr>
                <w:rFonts w:ascii="Arial" w:hAnsi="Arial"/>
                <w:smallCaps/>
                <w:color w:val="000000"/>
                <w:sz w:val="20"/>
              </w:rPr>
              <w:t>N. W</w:t>
            </w:r>
            <w:r>
              <w:rPr>
                <w:rFonts w:ascii="Arial" w:hAnsi="Arial"/>
                <w:color w:val="000000"/>
                <w:sz w:val="15"/>
              </w:rPr>
              <w:t>ALMSLEY</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vMerge w:val="restart"/>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431"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Arial" w:hAnsi="Arial"/>
                <w:color w:val="000000"/>
                <w:sz w:val="20"/>
              </w:rPr>
            </w:pPr>
            <w:r>
              <w:rPr>
                <w:rFonts w:ascii="Arial" w:hAnsi="Arial"/>
                <w:color w:val="000000"/>
                <w:sz w:val="20"/>
              </w:rPr>
              <w:t>Emma N. Walmsley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vMerge w:val="continue"/>
            <w:tcBorders/>
            <w:tcMar>
              <w:top w:w="0" w:type="dxa"/>
              <w:left w:w="0" w:type="dxa"/>
              <w:bottom w:w="0" w:type="dxa"/>
              <w:right w:w="0" w:type="dxa"/>
            </w:tcMar>
            <w:vAlign w:val="center"/>
          </w:tcPr>
          <w:p>
            <w:pPr>
              <w:pStyle w:val="Normal"/>
              <w:bidi w:val="0"/>
              <w:jc w:val="left"/>
              <w:rPr/>
            </w:pPr>
            <w:r>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A</w:t>
            </w:r>
            <w:r>
              <w:rPr>
                <w:rFonts w:ascii="Arial" w:hAnsi="Arial"/>
                <w:color w:val="000000"/>
                <w:sz w:val="15"/>
              </w:rPr>
              <w:t>MY</w:t>
            </w:r>
            <w:r>
              <w:rPr>
                <w:rFonts w:ascii="Times New Roman" w:hAnsi="Times New Roman"/>
                <w:color w:val="000000"/>
                <w:sz w:val="20"/>
              </w:rPr>
              <w:t> </w:t>
            </w:r>
            <w:r>
              <w:rPr>
                <w:rFonts w:ascii="Arial" w:hAnsi="Arial"/>
                <w:color w:val="000000"/>
                <w:sz w:val="20"/>
              </w:rPr>
              <w:t>E. H</w:t>
            </w:r>
            <w:r>
              <w:rPr>
                <w:rFonts w:ascii="Arial" w:hAnsi="Arial"/>
                <w:color w:val="000000"/>
                <w:sz w:val="15"/>
              </w:rPr>
              <w:t>OOD</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vMerge w:val="restart"/>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Executive Vice President and Chief Financial Officer</w:t>
            </w:r>
          </w:p>
          <w:p>
            <w:pPr>
              <w:pStyle w:val="TableContents"/>
              <w:bidi w:val="0"/>
              <w:spacing w:before="0" w:after="283"/>
              <w:jc w:val="left"/>
              <w:rPr>
                <w:rFonts w:ascii="Arial" w:hAnsi="Arial"/>
                <w:color w:val="000000"/>
                <w:sz w:val="20"/>
              </w:rPr>
            </w:pPr>
            <w:r>
              <w:rPr>
                <w:rFonts w:ascii="Arial" w:hAnsi="Arial"/>
                <w:color w:val="000000"/>
                <w:sz w:val="20"/>
              </w:rPr>
              <w:t>(Principal Financial Officer)</w:t>
            </w:r>
          </w:p>
        </w:tc>
      </w:tr>
      <w:tr>
        <w:trPr/>
        <w:tc>
          <w:tcPr>
            <w:tcW w:w="2431"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Arial" w:hAnsi="Arial"/>
                <w:color w:val="000000"/>
                <w:sz w:val="20"/>
              </w:rPr>
            </w:pPr>
            <w:r>
              <w:rPr>
                <w:rFonts w:ascii="Arial" w:hAnsi="Arial"/>
                <w:color w:val="000000"/>
                <w:sz w:val="20"/>
              </w:rPr>
              <w:t>Amy E. Hood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vMerge w:val="continue"/>
            <w:tcBorders/>
            <w:tcMar>
              <w:top w:w="0" w:type="dxa"/>
              <w:left w:w="0" w:type="dxa"/>
              <w:bottom w:w="0" w:type="dxa"/>
              <w:right w:w="0" w:type="dxa"/>
            </w:tcMar>
            <w:vAlign w:val="center"/>
          </w:tcPr>
          <w:p>
            <w:pPr>
              <w:pStyle w:val="Normal"/>
              <w:bidi w:val="0"/>
              <w:jc w:val="left"/>
              <w:rPr/>
            </w:pPr>
            <w:r>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A</w:t>
            </w:r>
            <w:r>
              <w:rPr>
                <w:rFonts w:ascii="Arial" w:hAnsi="Arial"/>
                <w:color w:val="000000"/>
                <w:sz w:val="15"/>
              </w:rPr>
              <w:t>LICE</w:t>
            </w:r>
            <w:r>
              <w:rPr>
                <w:rFonts w:ascii="Times New Roman" w:hAnsi="Times New Roman"/>
                <w:color w:val="000000"/>
                <w:sz w:val="20"/>
              </w:rPr>
              <w:t> </w:t>
            </w:r>
            <w:r>
              <w:rPr>
                <w:rFonts w:ascii="Arial" w:hAnsi="Arial"/>
                <w:color w:val="000000"/>
                <w:sz w:val="20"/>
              </w:rPr>
              <w:t>L. J</w:t>
            </w:r>
            <w:r>
              <w:rPr>
                <w:rFonts w:ascii="Arial" w:hAnsi="Arial"/>
                <w:color w:val="000000"/>
                <w:sz w:val="15"/>
              </w:rPr>
              <w:t>OLLA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vMerge w:val="restart"/>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Corporate Vice President and Chief Accounting Officer</w:t>
            </w:r>
          </w:p>
          <w:p>
            <w:pPr>
              <w:pStyle w:val="TableContents"/>
              <w:bidi w:val="0"/>
              <w:spacing w:before="0" w:after="283"/>
              <w:jc w:val="left"/>
              <w:rPr>
                <w:rFonts w:ascii="Arial" w:hAnsi="Arial"/>
                <w:color w:val="000000"/>
                <w:sz w:val="20"/>
              </w:rPr>
            </w:pPr>
            <w:r>
              <w:rPr>
                <w:rFonts w:ascii="Arial" w:hAnsi="Arial"/>
                <w:color w:val="000000"/>
                <w:sz w:val="20"/>
              </w:rPr>
              <w:t>(Principal Accounting Officer)</w:t>
            </w:r>
          </w:p>
        </w:tc>
      </w:tr>
      <w:tr>
        <w:trPr/>
        <w:tc>
          <w:tcPr>
            <w:tcW w:w="2431"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Arial" w:hAnsi="Arial"/>
                <w:color w:val="000000"/>
                <w:sz w:val="20"/>
              </w:rPr>
            </w:pPr>
            <w:r>
              <w:rPr>
                <w:rFonts w:ascii="Arial" w:hAnsi="Arial"/>
                <w:color w:val="000000"/>
                <w:sz w:val="20"/>
              </w:rPr>
              <w:t>Alice L. Jolla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101</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38" w:name="msft-ex19_1.htm"/>
      <w:bookmarkStart w:id="39" w:name="ksmsftex19_1"/>
      <w:bookmarkEnd w:id="38"/>
      <w:bookmarkEnd w:id="39"/>
      <w:r>
        <w:rPr>
          <w:rFonts w:ascii="Arial" w:hAnsi="Arial"/>
          <w:color w:val="000000"/>
          <w:sz w:val="20"/>
        </w:rPr>
        <w:t>Exhibit 19.1</w:t>
      </w:r>
      <w:r>
        <w:br w:type="page"/>
      </w:r>
    </w:p>
    <w:p>
      <w:pPr>
        <w:pStyle w:val="TextBody"/>
        <w:bidi w:val="0"/>
        <w:spacing w:before="220" w:after="283"/>
        <w:jc w:val="left"/>
        <w:rPr>
          <w:rFonts w:ascii="sans-serif" w:hAnsi="sans-serif"/>
          <w:b/>
          <w:color w:val="000000"/>
          <w:sz w:val="22"/>
        </w:rPr>
      </w:pPr>
      <w:r>
        <w:rPr>
          <w:rFonts w:ascii="sans-serif" w:hAnsi="sans-serif"/>
          <w:b/>
          <w:color w:val="000000"/>
          <w:sz w:val="22"/>
        </w:rPr>
        <w:t>General Insider Trading Policy</w:t>
      </w:r>
    </w:p>
    <w:p>
      <w:pPr>
        <w:pStyle w:val="TextBody"/>
        <w:bidi w:val="0"/>
        <w:spacing w:before="220" w:after="283"/>
        <w:jc w:val="left"/>
        <w:rPr>
          <w:rFonts w:ascii="sans-serif" w:hAnsi="sans-serif"/>
          <w:b/>
          <w:color w:val="000000"/>
          <w:sz w:val="22"/>
        </w:rPr>
      </w:pPr>
      <w:r>
        <w:rPr>
          <w:rFonts w:ascii="sans-serif" w:hAnsi="sans-serif"/>
          <w:b/>
          <w:color w:val="000000"/>
          <w:sz w:val="22"/>
        </w:rPr>
        <w:t>1. PURPOSE</w:t>
      </w:r>
    </w:p>
    <w:p>
      <w:pPr>
        <w:pStyle w:val="TextBody"/>
        <w:pBdr>
          <w:bottom w:val="single" w:sz="4" w:space="1" w:color="000000"/>
        </w:pBdr>
        <w:bidi w:val="0"/>
        <w:jc w:val="left"/>
        <w:rPr/>
      </w:pPr>
      <w:r>
        <w:rPr/>
        <w:t> </w:t>
      </w:r>
    </w:p>
    <w:p>
      <w:pPr>
        <w:pStyle w:val="TextBody"/>
        <w:bidi w:val="0"/>
        <w:spacing w:before="220" w:after="283"/>
        <w:jc w:val="left"/>
        <w:rPr>
          <w:rFonts w:ascii="sans-serif" w:hAnsi="sans-serif"/>
          <w:b/>
          <w:color w:val="000000"/>
          <w:sz w:val="22"/>
        </w:rPr>
      </w:pPr>
      <w:r>
        <w:rPr>
          <w:rFonts w:ascii="sans-serif" w:hAnsi="sans-serif"/>
          <w:b/>
          <w:color w:val="000000"/>
          <w:sz w:val="22"/>
        </w:rPr>
        <w:t>To prevent the misuse of material, nonpublic information about Microsoft or other publicly traded companies obtained by virtue of your position at Microsoft.</w:t>
      </w:r>
    </w:p>
    <w:p>
      <w:pPr>
        <w:pStyle w:val="TextBody"/>
        <w:bidi w:val="0"/>
        <w:spacing w:before="220" w:after="283"/>
        <w:jc w:val="left"/>
        <w:rPr>
          <w:rFonts w:ascii="sans-serif" w:hAnsi="sans-serif"/>
          <w:b/>
          <w:color w:val="000000"/>
          <w:sz w:val="22"/>
        </w:rPr>
      </w:pPr>
      <w:r>
        <w:rPr>
          <w:rFonts w:ascii="sans-serif" w:hAnsi="sans-serif"/>
          <w:b/>
          <w:color w:val="000000"/>
          <w:sz w:val="22"/>
        </w:rPr>
        <w:t>2. SUMMARY</w:t>
      </w:r>
    </w:p>
    <w:p>
      <w:pPr>
        <w:pStyle w:val="TextBody"/>
        <w:pBdr>
          <w:bottom w:val="single" w:sz="4" w:space="1" w:color="000000"/>
        </w:pBdr>
        <w:bidi w:val="0"/>
        <w:jc w:val="left"/>
        <w:rPr/>
      </w:pPr>
      <w:r>
        <w:rPr/>
        <w:t> </w:t>
      </w:r>
    </w:p>
    <w:p>
      <w:pPr>
        <w:pStyle w:val="TextBody"/>
        <w:bidi w:val="0"/>
        <w:spacing w:before="220" w:after="283"/>
        <w:jc w:val="left"/>
        <w:rPr>
          <w:rFonts w:ascii="Times New Roman" w:hAnsi="Times New Roman"/>
          <w:sz w:val="20"/>
        </w:rPr>
      </w:pPr>
      <w:r>
        <w:rPr>
          <w:rFonts w:ascii="sans-serif" w:hAnsi="sans-serif"/>
          <w:color w:val="000000"/>
          <w:sz w:val="22"/>
        </w:rPr>
        <w:t>This policy and applicable securities laws prohibit a person from trading in securities of a company when that person has material, nonpublic information relating to that company.</w:t>
      </w:r>
      <w:r>
        <w:rPr>
          <w:rFonts w:ascii="Times New Roman" w:hAnsi="Times New Roman"/>
          <w:color w:val="000000"/>
          <w:sz w:val="20"/>
        </w:rPr>
        <w:t xml:space="preserve"> </w:t>
      </w:r>
    </w:p>
    <w:p>
      <w:pPr>
        <w:pStyle w:val="TextBody"/>
        <w:bidi w:val="0"/>
        <w:spacing w:before="220" w:after="283"/>
        <w:jc w:val="left"/>
        <w:rPr>
          <w:rFonts w:ascii="sans-serif" w:hAnsi="sans-serif"/>
          <w:color w:val="000000"/>
          <w:sz w:val="22"/>
        </w:rPr>
      </w:pPr>
      <w:r>
        <w:rPr>
          <w:rFonts w:ascii="sans-serif" w:hAnsi="sans-serif"/>
          <w:color w:val="000000"/>
          <w:sz w:val="22"/>
        </w:rPr>
        <w:t>As an employee of Microsoft, you may have access to financial, business, or other information about Microsoft, or other companies through your role at Microsoft, that is both material and not available to the public. If you are in possession of such material, nonpublic information the securities laws and/or Microsoft prohibit you from trading in (or gifting) the securities of that company or engaging in other transactions that provide economic exposure to such company, including through prediction markets or event contracts. You also may not disclose the information to anyone else, except as specifically authorized in the performance of your job responsibilities.</w:t>
      </w:r>
    </w:p>
    <w:p>
      <w:pPr>
        <w:pStyle w:val="TextBody"/>
        <w:bidi w:val="0"/>
        <w:spacing w:before="220" w:after="283"/>
        <w:jc w:val="left"/>
        <w:rPr>
          <w:rFonts w:ascii="sans-serif" w:hAnsi="sans-serif"/>
          <w:color w:val="000000"/>
          <w:sz w:val="22"/>
        </w:rPr>
      </w:pPr>
      <w:r>
        <w:rPr>
          <w:rFonts w:ascii="sans-serif" w:hAnsi="sans-serif"/>
          <w:color w:val="000000"/>
          <w:sz w:val="22"/>
        </w:rPr>
        <w:t>This policy also applies to Microsoft securities that are beneficially owned by you. 'Beneficial ownership' is based on your direct or economic interest in the securities. Some common examples of relationships that may give rise to beneficial ownership include, but are not limited to:</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Microsoft shares owned by immediate family members who live with you or use your address as their regular address (e.g., spouse, domestic partner, minor children, college students, parents, grandparents, grandchildren, siblings and in-laws).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Microsoft shares held in a trust, if the Insider is: (1) a trustee who has or shares investment control of the trust securities and the Insider or a member of his or her immediate family (whether or not they live with you) has an economic interest in the trust securities; (2) a beneficiary who has or shares investment control; or (3) a person who has the power to revoke the trust.</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Microsoft shares held in the name of a partnership or other entity over which the Insider has a controlling influence.</w:t>
      </w:r>
    </w:p>
    <w:p>
      <w:pPr>
        <w:pStyle w:val="TextBody"/>
        <w:bidi w:val="0"/>
        <w:spacing w:before="220" w:after="283"/>
        <w:jc w:val="left"/>
        <w:rPr>
          <w:rFonts w:ascii="sans-serif" w:hAnsi="sans-serif"/>
          <w:color w:val="000000"/>
          <w:sz w:val="22"/>
        </w:rPr>
      </w:pPr>
      <w:r>
        <w:rPr>
          <w:rFonts w:ascii="sans-serif" w:hAnsi="sans-serif"/>
          <w:color w:val="000000"/>
          <w:sz w:val="22"/>
        </w:rPr>
        <w:t>You are responsible for assuring that individuals or entities who may have an interest in securities that are beneficially owned by you comply with this policy.</w:t>
      </w:r>
    </w:p>
    <w:p>
      <w:pPr>
        <w:pStyle w:val="TextBody"/>
        <w:bidi w:val="0"/>
        <w:spacing w:before="220" w:after="283"/>
        <w:jc w:val="left"/>
        <w:rPr>
          <w:rFonts w:ascii="sans-serif" w:hAnsi="sans-serif"/>
          <w:b/>
          <w:color w:val="000000"/>
          <w:sz w:val="22"/>
        </w:rPr>
      </w:pPr>
      <w:r>
        <w:rPr>
          <w:rFonts w:ascii="sans-serif" w:hAnsi="sans-serif"/>
          <w:b/>
          <w:color w:val="000000"/>
          <w:sz w:val="22"/>
        </w:rPr>
        <w:t>3. REQUIREMENTS</w:t>
      </w:r>
    </w:p>
    <w:p>
      <w:pPr>
        <w:pStyle w:val="TextBody"/>
        <w:pBdr>
          <w:bottom w:val="single" w:sz="4" w:space="1" w:color="000000"/>
        </w:pBdr>
        <w:bidi w:val="0"/>
        <w:jc w:val="left"/>
        <w:rPr/>
      </w:pPr>
      <w:r>
        <w:rPr/>
        <w:t> </w:t>
      </w:r>
    </w:p>
    <w:p>
      <w:pPr>
        <w:pStyle w:val="TextBody"/>
        <w:bidi w:val="0"/>
        <w:spacing w:before="220" w:after="283"/>
        <w:jc w:val="left"/>
        <w:rPr>
          <w:rFonts w:ascii="Times New Roman" w:hAnsi="Times New Roman"/>
          <w:sz w:val="20"/>
        </w:rPr>
      </w:pPr>
      <w:r>
        <w:rPr>
          <w:rFonts w:ascii="sans-serif" w:hAnsi="sans-serif"/>
          <w:b/>
          <w:color w:val="000000"/>
          <w:sz w:val="22"/>
        </w:rPr>
        <w:t>A.</w:t>
      </w:r>
      <w:r>
        <w:rPr>
          <w:rFonts w:ascii="Times New Roman" w:hAnsi="Times New Roman"/>
          <w:color w:val="000000"/>
          <w:sz w:val="20"/>
        </w:rPr>
        <w:t xml:space="preserve"> </w:t>
      </w:r>
      <w:r>
        <w:rPr>
          <w:rFonts w:ascii="sans-serif" w:hAnsi="sans-serif"/>
          <w:b/>
          <w:color w:val="000000"/>
          <w:sz w:val="22"/>
        </w:rPr>
        <w:t>Do Not Trade or Transact While in Possession of Material, Nonpublic Information</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sans-serif" w:hAnsi="sans-serif"/>
          <w:color w:val="000000"/>
          <w:sz w:val="22"/>
        </w:rPr>
        <w:t>As an employee of Microsoft, you may have access to financial, business and other information about Microsoft or other companies. When you possess information about Microsoft that is both material and nonpublic, the securities laws and Microsoft prohibit you from buying or selling (or gifting) Microsoft securities.</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sans-serif" w:hAnsi="sans-serif"/>
          <w:color w:val="000000"/>
          <w:sz w:val="22"/>
        </w:rPr>
        <w:t>Similarly, when you possess material, nonpublic information about any publicly traded company that you acquired through your role at Microsoft, including but not limited to a customer or partner of Microsoft or an economically-linked company such as a competitor of Microsoft, the securities laws and Microsoft prohibit you from buying or selling securities in that company.</w:t>
      </w:r>
      <w:r>
        <w:rPr>
          <w:rFonts w:ascii="Times New Roman" w:hAnsi="Times New Roman"/>
          <w:color w:val="000000"/>
          <w:sz w:val="20"/>
        </w:rPr>
        <w:t xml:space="preserve">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Information is 'material' if there is a substantial likelihood that a reasonable investor would consider it important in deciding whether to buy or sell that company's securities.</w:t>
      </w:r>
    </w:p>
    <w:p>
      <w:pPr>
        <w:pStyle w:val="HorizontalLine"/>
        <w:pBdr>
          <w:bottom w:val="double" w:sz="2" w:space="0" w:color="808080"/>
        </w:pBdr>
        <w:bidi w:val="0"/>
        <w:spacing w:before="0" w:after="283"/>
        <w:jc w:val="left"/>
        <w:rPr/>
      </w:pPr>
      <w:r>
        <w:rPr/>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 xml:space="preserve">Information is 'nonpublic' if it has not been broadly communicated to the marketplace in a manner making it generally available to the investing public. Rumors, even if true and widely reported in the media, do not constitute public disclosure unless publicly confirmed by the company to which it relates. </w:t>
      </w:r>
    </w:p>
    <w:p>
      <w:pPr>
        <w:pStyle w:val="TextBody"/>
        <w:bidi w:val="0"/>
        <w:spacing w:before="220" w:after="283"/>
        <w:jc w:val="left"/>
        <w:rPr>
          <w:rFonts w:ascii="sans-serif" w:hAnsi="sans-serif"/>
          <w:color w:val="000000"/>
          <w:sz w:val="22"/>
        </w:rPr>
      </w:pPr>
      <w:r>
        <w:rPr>
          <w:rFonts w:ascii="sans-serif" w:hAnsi="sans-serif"/>
          <w:color w:val="000000"/>
          <w:sz w:val="22"/>
        </w:rPr>
        <w:t>Common examples of material information may include:</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Financial results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Internal projections that significantly differ from external expectations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Significant proposed or pending acquisitions, dispositions, mergers or joint ventures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Changes in key executives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Significant plans, developments or problems related to important products and services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Changes in the terms of a significant contract with a major customer, or partner, or the acquisition or loss of such a contract</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Cybersecurity risks and incidents (including vulnerabilities and breaches)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Significant litigation or regulatory actions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 xml:space="preserve">Other notable transactions, events or developments outside the ordinary course of business </w:t>
      </w:r>
    </w:p>
    <w:p>
      <w:pPr>
        <w:pStyle w:val="TextBody"/>
        <w:bidi w:val="0"/>
        <w:spacing w:before="220" w:after="283"/>
        <w:jc w:val="left"/>
        <w:rPr>
          <w:rFonts w:ascii="sans-serif" w:hAnsi="sans-serif"/>
          <w:color w:val="000000"/>
          <w:sz w:val="22"/>
        </w:rPr>
      </w:pPr>
      <w:r>
        <w:rPr>
          <w:rFonts w:ascii="sans-serif" w:hAnsi="sans-serif"/>
          <w:color w:val="000000"/>
          <w:sz w:val="22"/>
        </w:rPr>
        <w:t>Material information can be good news or bad news, and can relate to any aspect of a company's business. Either way, the law prohibits making profits and avoiding losses by using material, nonpublic information.</w:t>
      </w:r>
    </w:p>
    <w:p>
      <w:pPr>
        <w:pStyle w:val="TextBody"/>
        <w:bidi w:val="0"/>
        <w:spacing w:before="220" w:after="283"/>
        <w:jc w:val="left"/>
        <w:rPr>
          <w:rFonts w:ascii="Times New Roman" w:hAnsi="Times New Roman"/>
          <w:sz w:val="20"/>
        </w:rPr>
      </w:pPr>
      <w:r>
        <w:rPr>
          <w:rFonts w:ascii="sans-serif" w:hAnsi="sans-serif"/>
          <w:b/>
          <w:color w:val="000000"/>
          <w:sz w:val="22"/>
        </w:rPr>
        <w:t>B.</w:t>
      </w:r>
      <w:r>
        <w:rPr>
          <w:rFonts w:ascii="Times New Roman" w:hAnsi="Times New Roman"/>
          <w:color w:val="000000"/>
          <w:sz w:val="20"/>
        </w:rPr>
        <w:t xml:space="preserve"> </w:t>
      </w:r>
      <w:r>
        <w:rPr>
          <w:rFonts w:ascii="sans-serif" w:hAnsi="sans-serif"/>
          <w:b/>
          <w:color w:val="000000"/>
          <w:sz w:val="22"/>
        </w:rPr>
        <w:t>Do Not Disclose Material, Nonpublic Information to Others</w:t>
      </w:r>
    </w:p>
    <w:p>
      <w:pPr>
        <w:pStyle w:val="TextBody"/>
        <w:bidi w:val="0"/>
        <w:spacing w:before="220" w:after="283"/>
        <w:jc w:val="left"/>
        <w:rPr>
          <w:rFonts w:ascii="Times New Roman" w:hAnsi="Times New Roman"/>
          <w:sz w:val="20"/>
        </w:rPr>
      </w:pPr>
      <w:r>
        <w:rPr>
          <w:rFonts w:ascii="sans-serif" w:hAnsi="sans-serif"/>
          <w:color w:val="000000"/>
          <w:sz w:val="22"/>
        </w:rPr>
        <w:t>Do not disclose material, nonpublic information about Microsoft, or another publicly traded company. This could be considered illegal 'tipping' and you could be held criminally liable under federal law even if you yourself did not make a trade.</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sans-serif" w:hAnsi="sans-serif"/>
          <w:color w:val="000000"/>
          <w:sz w:val="22"/>
        </w:rPr>
        <w:t>Do not recommend or suggest that anyone else trade the securities of any company about which you possess material, nonpublic information, including Microsoft, even if you do not disclose the material, nonpublic information.</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sans-serif" w:hAnsi="sans-serif"/>
          <w:b/>
          <w:color w:val="000000"/>
          <w:sz w:val="22"/>
        </w:rPr>
        <w:t>C.</w:t>
      </w:r>
      <w:r>
        <w:rPr>
          <w:rFonts w:ascii="Times New Roman" w:hAnsi="Times New Roman"/>
          <w:color w:val="000000"/>
          <w:sz w:val="20"/>
        </w:rPr>
        <w:t xml:space="preserve"> </w:t>
      </w:r>
      <w:r>
        <w:rPr>
          <w:rFonts w:ascii="sans-serif" w:hAnsi="sans-serif"/>
          <w:b/>
          <w:color w:val="000000"/>
          <w:sz w:val="22"/>
        </w:rPr>
        <w:t>Limited Exceptions to These Restrictions</w:t>
      </w:r>
    </w:p>
    <w:p>
      <w:pPr>
        <w:pStyle w:val="TextBody"/>
        <w:bidi w:val="0"/>
        <w:spacing w:before="220" w:after="283"/>
        <w:jc w:val="left"/>
        <w:rPr>
          <w:rFonts w:ascii="Times New Roman" w:hAnsi="Times New Roman"/>
          <w:sz w:val="20"/>
        </w:rPr>
      </w:pPr>
      <w:r>
        <w:rPr>
          <w:rFonts w:ascii="sans-serif" w:hAnsi="sans-serif"/>
          <w:color w:val="000000"/>
          <w:sz w:val="22"/>
        </w:rPr>
        <w:t>There are a few situations where transactions in securities are not prohibited even if you have material, nonpublic information.</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90" w:after="283"/>
        <w:jc w:val="left"/>
        <w:rPr>
          <w:rFonts w:ascii="sans-serif" w:hAnsi="sans-serif"/>
          <w:color w:val="000000"/>
          <w:sz w:val="22"/>
        </w:rPr>
      </w:pPr>
      <w:r>
        <w:rPr>
          <w:rFonts w:ascii="sans-serif" w:hAnsi="sans-serif"/>
          <w:color w:val="000000"/>
          <w:sz w:val="22"/>
        </w:rPr>
        <w:t xml:space="preserve">Purchases of Microsoft stock through an existing purchase election under the Employee Stock Purchase Plan (ESPP). However, you may sell your ESPP shares only at a time when you do not have material, nonpublic information. </w:t>
      </w:r>
    </w:p>
    <w:p>
      <w:pPr>
        <w:pStyle w:val="TextBody"/>
        <w:bidi w:val="0"/>
        <w:spacing w:before="9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90" w:after="283"/>
        <w:jc w:val="left"/>
        <w:rPr>
          <w:rFonts w:ascii="sans-serif" w:hAnsi="sans-serif"/>
          <w:color w:val="000000"/>
          <w:sz w:val="22"/>
        </w:rPr>
      </w:pPr>
      <w:r>
        <w:rPr>
          <w:rFonts w:ascii="sans-serif" w:hAnsi="sans-serif"/>
          <w:color w:val="000000"/>
          <w:sz w:val="22"/>
        </w:rPr>
        <w:t>Acquiring Microsoft stock through the vesting of employee Stock Awards. You may sell your Stock Award shares only at a time when you do not have material, nonpublic information.</w:t>
      </w:r>
    </w:p>
    <w:p>
      <w:pPr>
        <w:pStyle w:val="TextBody"/>
        <w:bidi w:val="0"/>
        <w:spacing w:before="9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90" w:after="283"/>
        <w:jc w:val="left"/>
        <w:rPr>
          <w:rFonts w:ascii="sans-serif" w:hAnsi="sans-serif"/>
          <w:color w:val="000000"/>
          <w:sz w:val="22"/>
        </w:rPr>
      </w:pPr>
      <w:r>
        <w:rPr>
          <w:rFonts w:ascii="sans-serif" w:hAnsi="sans-serif"/>
          <w:color w:val="000000"/>
          <w:sz w:val="22"/>
        </w:rPr>
        <w:t>Exercising options, if you pay the exercise price and withholding taxes in cash. Again, you may sell your shares only at a time when you do not have material, nonpublic information.</w:t>
      </w:r>
    </w:p>
    <w:p>
      <w:pPr>
        <w:pStyle w:val="TextBody"/>
        <w:bidi w:val="0"/>
        <w:spacing w:before="9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90" w:after="283"/>
        <w:jc w:val="left"/>
        <w:rPr>
          <w:rFonts w:ascii="sans-serif" w:hAnsi="sans-serif"/>
          <w:color w:val="000000"/>
          <w:sz w:val="22"/>
        </w:rPr>
      </w:pPr>
      <w:r>
        <w:rPr>
          <w:rFonts w:ascii="sans-serif" w:hAnsi="sans-serif"/>
          <w:color w:val="000000"/>
          <w:sz w:val="22"/>
        </w:rPr>
        <w:t>Trades made pursuant to a predetermined, written Rule 10b5-1 Trading Plan. For information on Trading Plans and the specific policies and procedures associated with them, please visit the Rule 10b5-1 Trading plans page.</w:t>
      </w:r>
    </w:p>
    <w:p>
      <w:pPr>
        <w:pStyle w:val="TextBody"/>
        <w:bidi w:val="0"/>
        <w:spacing w:before="220" w:after="283"/>
        <w:jc w:val="left"/>
        <w:rPr>
          <w:rFonts w:ascii="Times New Roman" w:hAnsi="Times New Roman"/>
          <w:sz w:val="20"/>
        </w:rPr>
      </w:pPr>
      <w:r>
        <w:rPr>
          <w:rFonts w:ascii="sans-serif" w:hAnsi="sans-serif"/>
          <w:b/>
          <w:color w:val="000000"/>
          <w:sz w:val="22"/>
        </w:rPr>
        <w:t>D.</w:t>
      </w:r>
      <w:r>
        <w:rPr>
          <w:rFonts w:ascii="Times New Roman" w:hAnsi="Times New Roman"/>
          <w:color w:val="000000"/>
          <w:sz w:val="20"/>
        </w:rPr>
        <w:t xml:space="preserve"> </w:t>
      </w:r>
      <w:r>
        <w:rPr>
          <w:rFonts w:ascii="sans-serif" w:hAnsi="sans-serif"/>
          <w:b/>
          <w:color w:val="000000"/>
          <w:sz w:val="22"/>
        </w:rPr>
        <w:t>Restrictions on Microsoft Officers and Other Designated Employees</w:t>
      </w:r>
    </w:p>
    <w:p>
      <w:pPr>
        <w:pStyle w:val="TextBody"/>
        <w:bidi w:val="0"/>
        <w:spacing w:before="220" w:after="283"/>
        <w:jc w:val="left"/>
        <w:rPr>
          <w:rFonts w:ascii="sans-serif" w:hAnsi="sans-serif"/>
          <w:color w:val="000000"/>
          <w:sz w:val="22"/>
        </w:rPr>
      </w:pPr>
      <w:r>
        <w:rPr>
          <w:rFonts w:ascii="sans-serif" w:hAnsi="sans-serif"/>
          <w:color w:val="000000"/>
          <w:sz w:val="22"/>
        </w:rPr>
        <w:t>Microsoft has a policy requiring certain officers of the company (corporate vice presidents and above) and other designated employees to only transact in Microsoft securities during specific times throughout the year, commonly referred to as 'trading windows'. Those officers and employees will be notified if they are subject to the Restricted Trading Window Policy.</w:t>
      </w:r>
    </w:p>
    <w:p>
      <w:pPr>
        <w:pStyle w:val="HorizontalLine"/>
        <w:pBdr>
          <w:bottom w:val="double" w:sz="2" w:space="0" w:color="808080"/>
        </w:pBdr>
        <w:bidi w:val="0"/>
        <w:spacing w:before="0" w:after="283"/>
        <w:jc w:val="left"/>
        <w:rPr/>
      </w:pPr>
      <w:r>
        <w:rPr/>
      </w:r>
    </w:p>
    <w:p>
      <w:pPr>
        <w:pStyle w:val="TextBody"/>
        <w:bidi w:val="0"/>
        <w:spacing w:before="220" w:after="283"/>
        <w:jc w:val="left"/>
        <w:rPr>
          <w:rFonts w:ascii="sans-serif" w:hAnsi="sans-serif"/>
          <w:b/>
          <w:color w:val="000000"/>
          <w:sz w:val="22"/>
        </w:rPr>
      </w:pPr>
      <w:r>
        <w:rPr>
          <w:rFonts w:ascii="sans-serif" w:hAnsi="sans-serif"/>
          <w:b/>
          <w:color w:val="000000"/>
          <w:sz w:val="22"/>
        </w:rPr>
        <w:t>E. Prohibition on Prediction Market Trading Using Confidential Information</w:t>
      </w:r>
    </w:p>
    <w:p>
      <w:pPr>
        <w:pStyle w:val="TextBody"/>
        <w:bidi w:val="0"/>
        <w:spacing w:before="220" w:after="283"/>
        <w:jc w:val="left"/>
        <w:rPr>
          <w:rFonts w:ascii="sans-serif" w:hAnsi="sans-serif"/>
          <w:color w:val="000000"/>
          <w:sz w:val="22"/>
        </w:rPr>
      </w:pPr>
      <w:r>
        <w:rPr>
          <w:rFonts w:ascii="sans-serif" w:hAnsi="sans-serif"/>
          <w:color w:val="000000"/>
          <w:sz w:val="22"/>
        </w:rPr>
        <w:t>You may not participate in third-party platforms, “prediction markets,” or similar platforms to bet, wager, or establish positions in event contracts when such activity is based on, or involves the use of, confidential information about Microsoft or any other company (including customers, vendors, or partners of Microsoft or an economically-linked company such as a competitor of Microsoft) obtained through your position at Microsoft. For the avoidance of doubt, confidential information includes, but is not limited to, material, nonpublic information.</w:t>
      </w:r>
    </w:p>
    <w:p>
      <w:pPr>
        <w:pStyle w:val="TextBody"/>
        <w:bidi w:val="0"/>
        <w:spacing w:before="220" w:after="283"/>
        <w:jc w:val="left"/>
        <w:rPr>
          <w:rFonts w:ascii="sans-serif" w:hAnsi="sans-serif"/>
          <w:color w:val="000000"/>
          <w:sz w:val="22"/>
        </w:rPr>
      </w:pPr>
      <w:r>
        <w:rPr>
          <w:rFonts w:ascii="sans-serif" w:hAnsi="sans-serif"/>
          <w:color w:val="000000"/>
          <w:sz w:val="22"/>
        </w:rPr>
        <w:t>This prohibition applies whether or not the activity technically constitutes securities trading under federal law.</w:t>
      </w:r>
    </w:p>
    <w:p>
      <w:pPr>
        <w:pStyle w:val="TextBody"/>
        <w:bidi w:val="0"/>
        <w:spacing w:before="220" w:after="283"/>
        <w:jc w:val="left"/>
        <w:rPr>
          <w:rFonts w:ascii="Times New Roman" w:hAnsi="Times New Roman"/>
          <w:sz w:val="20"/>
        </w:rPr>
      </w:pPr>
      <w:r>
        <w:rPr>
          <w:rFonts w:ascii="sans-serif" w:hAnsi="sans-serif"/>
          <w:b/>
          <w:color w:val="000000"/>
          <w:sz w:val="22"/>
        </w:rPr>
        <w:t>F.</w:t>
      </w:r>
      <w:r>
        <w:rPr>
          <w:rFonts w:ascii="Times New Roman" w:hAnsi="Times New Roman"/>
          <w:color w:val="000000"/>
          <w:sz w:val="20"/>
        </w:rPr>
        <w:t xml:space="preserve"> </w:t>
      </w:r>
      <w:r>
        <w:rPr>
          <w:rFonts w:ascii="sans-serif" w:hAnsi="sans-serif"/>
          <w:b/>
          <w:color w:val="000000"/>
          <w:sz w:val="22"/>
        </w:rPr>
        <w:t>Ask Questions</w:t>
      </w:r>
    </w:p>
    <w:p>
      <w:pPr>
        <w:pStyle w:val="TextBody"/>
        <w:bidi w:val="0"/>
        <w:spacing w:before="220" w:after="283"/>
        <w:jc w:val="left"/>
        <w:rPr>
          <w:rFonts w:ascii="sans-serif" w:hAnsi="sans-serif"/>
          <w:color w:val="000000"/>
          <w:sz w:val="22"/>
        </w:rPr>
      </w:pPr>
      <w:r>
        <w:rPr>
          <w:rFonts w:ascii="sans-serif" w:hAnsi="sans-serif"/>
          <w:color w:val="000000"/>
          <w:sz w:val="22"/>
        </w:rPr>
        <w:t>If you have any questions about this policy or how it applies under certain circumstances, please visit the Insider trading compliance site or contact (**)@microsoft.com.</w:t>
      </w:r>
    </w:p>
    <w:p>
      <w:pPr>
        <w:pStyle w:val="TextBody"/>
        <w:bidi w:val="0"/>
        <w:spacing w:before="220" w:after="283"/>
        <w:jc w:val="left"/>
        <w:rPr>
          <w:rFonts w:ascii="sans-serif" w:hAnsi="sans-serif"/>
          <w:b/>
          <w:color w:val="000000"/>
          <w:sz w:val="22"/>
        </w:rPr>
      </w:pPr>
      <w:r>
        <w:rPr>
          <w:rFonts w:ascii="sans-serif" w:hAnsi="sans-serif"/>
          <w:b/>
          <w:color w:val="000000"/>
          <w:sz w:val="22"/>
        </w:rPr>
        <w:t>4. PROCEDURE</w:t>
      </w:r>
    </w:p>
    <w:p>
      <w:pPr>
        <w:pStyle w:val="TextBody"/>
        <w:pBdr>
          <w:bottom w:val="single" w:sz="4" w:space="1" w:color="000000"/>
        </w:pBdr>
        <w:bidi w:val="0"/>
        <w:jc w:val="left"/>
        <w:rPr/>
      </w:pPr>
      <w:r>
        <w:rPr/>
        <w:t> </w:t>
      </w:r>
    </w:p>
    <w:p>
      <w:pPr>
        <w:pStyle w:val="TextBody"/>
        <w:bidi w:val="0"/>
        <w:spacing w:before="220" w:after="283"/>
        <w:jc w:val="left"/>
        <w:rPr>
          <w:rFonts w:ascii="sans-serif" w:hAnsi="sans-serif"/>
          <w:color w:val="000000"/>
          <w:sz w:val="22"/>
        </w:rPr>
      </w:pPr>
      <w:r>
        <w:rPr>
          <w:rFonts w:ascii="sans-serif" w:hAnsi="sans-serif"/>
          <w:color w:val="000000"/>
          <w:sz w:val="22"/>
        </w:rPr>
        <w:t>Any person who knows of, or believes there is, a violation of this policy must report the violation immediately to (**)@microsoft.com.</w:t>
      </w:r>
    </w:p>
    <w:p>
      <w:pPr>
        <w:pStyle w:val="TextBody"/>
        <w:bidi w:val="0"/>
        <w:spacing w:before="220" w:after="283"/>
        <w:jc w:val="left"/>
        <w:rPr>
          <w:rFonts w:ascii="sans-serif" w:hAnsi="sans-serif"/>
          <w:b/>
          <w:color w:val="000000"/>
          <w:sz w:val="22"/>
        </w:rPr>
      </w:pPr>
      <w:r>
        <w:rPr>
          <w:rFonts w:ascii="sans-serif" w:hAnsi="sans-serif"/>
          <w:b/>
          <w:color w:val="000000"/>
          <w:sz w:val="22"/>
        </w:rPr>
        <w:t>5. EXCEPTIONS</w:t>
      </w:r>
    </w:p>
    <w:p>
      <w:pPr>
        <w:pStyle w:val="TextBody"/>
        <w:pBdr>
          <w:bottom w:val="single" w:sz="4" w:space="1" w:color="000000"/>
        </w:pBdr>
        <w:bidi w:val="0"/>
        <w:jc w:val="left"/>
        <w:rPr/>
      </w:pPr>
      <w:r>
        <w:rPr/>
        <w:t> </w:t>
      </w:r>
    </w:p>
    <w:p>
      <w:pPr>
        <w:pStyle w:val="TextBody"/>
        <w:bidi w:val="0"/>
        <w:spacing w:before="220" w:after="283"/>
        <w:jc w:val="left"/>
        <w:rPr>
          <w:rFonts w:ascii="sans-serif" w:hAnsi="sans-serif"/>
          <w:color w:val="000000"/>
          <w:sz w:val="22"/>
        </w:rPr>
      </w:pPr>
      <w:r>
        <w:rPr>
          <w:rFonts w:ascii="sans-serif" w:hAnsi="sans-serif"/>
          <w:color w:val="000000"/>
          <w:sz w:val="22"/>
        </w:rPr>
        <w:t>There are no exceptions to this policy.</w:t>
      </w:r>
    </w:p>
    <w:p>
      <w:pPr>
        <w:pStyle w:val="TextBody"/>
        <w:bidi w:val="0"/>
        <w:spacing w:before="220" w:after="283"/>
        <w:jc w:val="left"/>
        <w:rPr>
          <w:rFonts w:ascii="sans-serif" w:hAnsi="sans-serif"/>
          <w:b/>
          <w:color w:val="000000"/>
          <w:sz w:val="22"/>
        </w:rPr>
      </w:pPr>
      <w:r>
        <w:rPr>
          <w:rFonts w:ascii="sans-serif" w:hAnsi="sans-serif"/>
          <w:b/>
          <w:color w:val="000000"/>
          <w:sz w:val="22"/>
        </w:rPr>
        <w:t>6. ENFORCEMENT</w:t>
      </w:r>
    </w:p>
    <w:p>
      <w:pPr>
        <w:pStyle w:val="TextBody"/>
        <w:pBdr>
          <w:bottom w:val="single" w:sz="4" w:space="1" w:color="000000"/>
        </w:pBdr>
        <w:bidi w:val="0"/>
        <w:jc w:val="left"/>
        <w:rPr/>
      </w:pPr>
      <w:r>
        <w:rPr/>
        <w:t> </w:t>
      </w:r>
    </w:p>
    <w:p>
      <w:pPr>
        <w:pStyle w:val="TextBody"/>
        <w:bidi w:val="0"/>
        <w:spacing w:before="220" w:after="283"/>
        <w:jc w:val="left"/>
        <w:rPr>
          <w:rFonts w:ascii="sans-serif" w:hAnsi="sans-serif"/>
          <w:color w:val="000000"/>
          <w:sz w:val="22"/>
        </w:rPr>
      </w:pPr>
      <w:r>
        <w:rPr>
          <w:rFonts w:ascii="sans-serif" w:hAnsi="sans-serif"/>
          <w:color w:val="000000"/>
          <w:sz w:val="22"/>
        </w:rPr>
        <w:t>Violation of this policy may result in disciplinary action, up to and including immediate termination of employment. Employees who engage in insider trading or tipping may also be subject to civil and criminal fines, as well as imprisonment.</w:t>
      </w:r>
    </w:p>
    <w:p>
      <w:pPr>
        <w:pStyle w:val="TextBody"/>
        <w:bidi w:val="0"/>
        <w:spacing w:before="220" w:after="283"/>
        <w:jc w:val="left"/>
        <w:rPr>
          <w:rFonts w:ascii="sans-serif" w:hAnsi="sans-serif"/>
          <w:b/>
          <w:color w:val="000000"/>
          <w:sz w:val="22"/>
        </w:rPr>
      </w:pPr>
      <w:r>
        <w:rPr>
          <w:rFonts w:ascii="sans-serif" w:hAnsi="sans-serif"/>
          <w:b/>
          <w:color w:val="000000"/>
          <w:sz w:val="22"/>
        </w:rPr>
        <w:t>7. APPLICATION</w:t>
      </w:r>
    </w:p>
    <w:p>
      <w:pPr>
        <w:pStyle w:val="TextBody"/>
        <w:pBdr>
          <w:bottom w:val="single" w:sz="4" w:space="1" w:color="000000"/>
        </w:pBdr>
        <w:bidi w:val="0"/>
        <w:jc w:val="left"/>
        <w:rPr/>
      </w:pPr>
      <w:r>
        <w:rPr/>
        <w:t> </w:t>
      </w:r>
    </w:p>
    <w:p>
      <w:pPr>
        <w:pStyle w:val="TextBody"/>
        <w:bidi w:val="0"/>
        <w:spacing w:before="220" w:after="283"/>
        <w:jc w:val="left"/>
        <w:rPr>
          <w:rFonts w:ascii="Times New Roman" w:hAnsi="Times New Roman"/>
          <w:sz w:val="20"/>
        </w:rPr>
      </w:pPr>
      <w:r>
        <w:rPr>
          <w:rFonts w:ascii="sans-serif" w:hAnsi="sans-serif"/>
          <w:color w:val="000000"/>
          <w:sz w:val="22"/>
        </w:rPr>
        <w:t>This policy applies to all employees.</w:t>
      </w:r>
      <w:r>
        <w:rPr>
          <w:rFonts w:ascii="Times New Roman" w:hAnsi="Times New Roman"/>
          <w:color w:val="000000"/>
          <w:sz w:val="20"/>
        </w:rPr>
        <w:t xml:space="preserve"> </w:t>
      </w:r>
    </w:p>
    <w:p>
      <w:pPr>
        <w:pStyle w:val="TextBody"/>
        <w:bidi w:val="0"/>
        <w:spacing w:before="220" w:after="283"/>
        <w:jc w:val="left"/>
        <w:rPr>
          <w:rFonts w:ascii="sans-serif" w:hAnsi="sans-serif"/>
          <w:b/>
          <w:color w:val="000000"/>
          <w:sz w:val="22"/>
        </w:rPr>
      </w:pPr>
      <w:r>
        <w:rPr>
          <w:rFonts w:ascii="sans-serif" w:hAnsi="sans-serif"/>
          <w:b/>
          <w:color w:val="000000"/>
          <w:sz w:val="22"/>
        </w:rPr>
        <w:t>8. COUNTRY OR BUSINESS UNIT SUPPLEMENT</w:t>
      </w:r>
    </w:p>
    <w:p>
      <w:pPr>
        <w:pStyle w:val="TextBody"/>
        <w:pBdr>
          <w:bottom w:val="single" w:sz="4" w:space="1" w:color="000000"/>
        </w:pBdr>
        <w:bidi w:val="0"/>
        <w:jc w:val="left"/>
        <w:rPr/>
      </w:pPr>
      <w:r>
        <w:rPr/>
        <w:t> </w:t>
      </w:r>
    </w:p>
    <w:p>
      <w:pPr>
        <w:pStyle w:val="TextBody"/>
        <w:bidi w:val="0"/>
        <w:spacing w:before="220" w:after="283"/>
        <w:jc w:val="left"/>
        <w:rPr>
          <w:rFonts w:ascii="sans-serif" w:hAnsi="sans-serif"/>
          <w:b/>
          <w:color w:val="000000"/>
          <w:sz w:val="22"/>
        </w:rPr>
      </w:pPr>
      <w:r>
        <w:rPr>
          <w:rFonts w:ascii="sans-serif" w:hAnsi="sans-serif"/>
          <w:b/>
          <w:color w:val="000000"/>
          <w:sz w:val="22"/>
        </w:rPr>
        <w:t>9. RELATED DOCUMENTS</w:t>
      </w:r>
    </w:p>
    <w:p>
      <w:pPr>
        <w:pStyle w:val="TextBody"/>
        <w:pBdr>
          <w:bottom w:val="single" w:sz="4" w:space="1" w:color="000000"/>
        </w:pBdr>
        <w:bidi w:val="0"/>
        <w:jc w:val="left"/>
        <w:rPr/>
      </w:pPr>
      <w:r>
        <w:rPr/>
        <w:t> </w:t>
      </w:r>
    </w:p>
    <w:p>
      <w:pPr>
        <w:pStyle w:val="TextBody"/>
        <w:bidi w:val="0"/>
        <w:spacing w:before="220" w:after="283"/>
        <w:jc w:val="left"/>
        <w:rPr>
          <w:rFonts w:ascii="sans-serif" w:hAnsi="sans-serif"/>
          <w:color w:val="000000"/>
          <w:sz w:val="22"/>
        </w:rPr>
      </w:pPr>
      <w:r>
        <w:rPr>
          <w:rFonts w:ascii="sans-serif" w:hAnsi="sans-serif"/>
          <w:color w:val="000000"/>
          <w:sz w:val="22"/>
        </w:rPr>
        <w:t>Restricted Trading Window Policy</w:t>
      </w:r>
    </w:p>
    <w:p>
      <w:pPr>
        <w:pStyle w:val="TextBody"/>
        <w:bidi w:val="0"/>
        <w:spacing w:before="220" w:after="283"/>
        <w:jc w:val="left"/>
        <w:rPr>
          <w:rFonts w:ascii="sans-serif" w:hAnsi="sans-serif"/>
          <w:b/>
          <w:color w:val="000000"/>
          <w:sz w:val="22"/>
        </w:rPr>
      </w:pPr>
      <w:r>
        <w:rPr>
          <w:rFonts w:ascii="sans-serif" w:hAnsi="sans-serif"/>
          <w:b/>
          <w:color w:val="000000"/>
          <w:sz w:val="22"/>
        </w:rPr>
        <w:t>10. TRANSLATIONS</w:t>
      </w:r>
    </w:p>
    <w:p>
      <w:pPr>
        <w:pStyle w:val="TextBody"/>
        <w:pBdr>
          <w:bottom w:val="single" w:sz="4" w:space="1" w:color="000000"/>
        </w:pBdr>
        <w:bidi w:val="0"/>
        <w:jc w:val="left"/>
        <w:rPr/>
      </w:pPr>
      <w:r>
        <w:rPr/>
        <w:t> </w:t>
      </w:r>
    </w:p>
    <w:p>
      <w:pPr>
        <w:pStyle w:val="TextBody"/>
        <w:bidi w:val="0"/>
        <w:spacing w:before="220" w:after="283"/>
        <w:jc w:val="left"/>
        <w:rPr>
          <w:rFonts w:ascii="sans-serif" w:hAnsi="sans-serif"/>
          <w:b/>
          <w:color w:val="000000"/>
          <w:sz w:val="22"/>
        </w:rPr>
      </w:pPr>
      <w:r>
        <w:rPr>
          <w:rFonts w:ascii="sans-serif" w:hAnsi="sans-serif"/>
          <w:b/>
          <w:color w:val="000000"/>
          <w:sz w:val="22"/>
        </w:rPr>
        <w:t>11. DOCUMENT HISTORY</w:t>
      </w:r>
    </w:p>
    <w:p>
      <w:pPr>
        <w:pStyle w:val="TextBody"/>
        <w:pBdr>
          <w:bottom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40" w:name="msft-ex19_2.htm"/>
      <w:bookmarkStart w:id="41" w:name="ksmsftex19_2"/>
      <w:bookmarkEnd w:id="40"/>
      <w:bookmarkEnd w:id="41"/>
      <w:r>
        <w:rPr>
          <w:rFonts w:ascii="Arial" w:hAnsi="Arial"/>
          <w:color w:val="000000"/>
          <w:sz w:val="20"/>
        </w:rPr>
        <w:t>Exhibit 19.2</w:t>
      </w:r>
      <w:r>
        <w:br w:type="page"/>
      </w:r>
    </w:p>
    <w:p>
      <w:pPr>
        <w:pStyle w:val="TextBody"/>
        <w:bidi w:val="0"/>
        <w:spacing w:before="220" w:after="283"/>
        <w:jc w:val="left"/>
        <w:rPr>
          <w:rFonts w:ascii="Times New Roman" w:hAnsi="Times New Roman"/>
          <w:sz w:val="20"/>
        </w:rPr>
      </w:pPr>
      <w:r>
        <w:rPr>
          <w:rFonts w:ascii="sans-serif" w:hAnsi="sans-serif"/>
          <w:b/>
          <w:color w:val="000000"/>
          <w:sz w:val="22"/>
        </w:rPr>
        <w:t>Restricted Trading Window Policy</w:t>
      </w:r>
      <w:r>
        <w:rPr>
          <w:rFonts w:ascii="Times New Roman" w:hAnsi="Times New Roman"/>
          <w:color w:val="000000"/>
          <w:sz w:val="20"/>
        </w:rPr>
        <w:t xml:space="preserve"> </w:t>
      </w:r>
    </w:p>
    <w:p>
      <w:pPr>
        <w:pStyle w:val="TextBody"/>
        <w:bidi w:val="0"/>
        <w:spacing w:before="220" w:after="220"/>
        <w:jc w:val="left"/>
        <w:rPr>
          <w:rFonts w:ascii="sans-serif" w:hAnsi="sans-serif"/>
          <w:b/>
          <w:color w:val="000000"/>
          <w:sz w:val="22"/>
        </w:rPr>
      </w:pPr>
      <w:r>
        <w:rPr>
          <w:rFonts w:ascii="sans-serif" w:hAnsi="sans-serif"/>
          <w:b/>
          <w:color w:val="000000"/>
          <w:sz w:val="22"/>
        </w:rPr>
        <w:t>1. PURPOSE</w:t>
      </w:r>
    </w:p>
    <w:p>
      <w:pPr>
        <w:pStyle w:val="TextBody"/>
        <w:pBdr>
          <w:top w:val="single" w:sz="4" w:space="1" w:color="000000"/>
        </w:pBdr>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This policy describes the restrictions on trading Microsoft securities that apply to Microsoft officers and other designated persons due to their regular access to material nonpublic information about Microsoft.</w:t>
      </w:r>
    </w:p>
    <w:p>
      <w:pPr>
        <w:pStyle w:val="TextBody"/>
        <w:bidi w:val="0"/>
        <w:spacing w:before="220" w:after="283"/>
        <w:jc w:val="left"/>
        <w:rPr>
          <w:rFonts w:ascii="sans-serif" w:hAnsi="sans-serif"/>
          <w:color w:val="000000"/>
          <w:sz w:val="22"/>
        </w:rPr>
      </w:pPr>
      <w:r>
        <w:rPr>
          <w:rFonts w:ascii="sans-serif" w:hAnsi="sans-serif"/>
          <w:color w:val="000000"/>
          <w:sz w:val="22"/>
        </w:rPr>
        <w:t>Certain senior officers are subject to an additional notification requirement described below.</w:t>
      </w:r>
    </w:p>
    <w:p>
      <w:pPr>
        <w:pStyle w:val="TextBody"/>
        <w:bidi w:val="0"/>
        <w:spacing w:before="220" w:after="220"/>
        <w:jc w:val="left"/>
        <w:rPr>
          <w:rFonts w:ascii="sans-serif" w:hAnsi="sans-serif"/>
          <w:b/>
          <w:color w:val="000000"/>
          <w:sz w:val="22"/>
        </w:rPr>
      </w:pPr>
      <w:r>
        <w:rPr>
          <w:rFonts w:ascii="sans-serif" w:hAnsi="sans-serif"/>
          <w:b/>
          <w:color w:val="000000"/>
          <w:sz w:val="22"/>
        </w:rPr>
        <w:t>2. SUMMARY</w:t>
      </w:r>
    </w:p>
    <w:p>
      <w:pPr>
        <w:pStyle w:val="TextBody"/>
        <w:pBdr>
          <w:top w:val="single" w:sz="4" w:space="1" w:color="000000"/>
        </w:pBdr>
        <w:bidi w:val="0"/>
        <w:jc w:val="left"/>
        <w:rPr/>
      </w:pPr>
      <w:r>
        <w:rPr/>
        <w:t> </w:t>
      </w:r>
    </w:p>
    <w:p>
      <w:pPr>
        <w:pStyle w:val="TextBody"/>
        <w:bidi w:val="0"/>
        <w:jc w:val="left"/>
        <w:rPr>
          <w:rFonts w:ascii="sans-serif" w:hAnsi="sans-serif"/>
          <w:color w:val="000000"/>
          <w:sz w:val="22"/>
        </w:rPr>
      </w:pPr>
      <w:r>
        <w:rPr>
          <w:rFonts w:ascii="sans-serif" w:hAnsi="sans-serif"/>
          <w:color w:val="000000"/>
          <w:sz w:val="22"/>
        </w:rPr>
        <w:t>Microsoft's officers and other designated employees are subject to additional trading restrictions for Microsoft securities to those set forth in the General Insider Trading Policy. In general, if you fall in this group you may only trade (or gift) Microsoft securities during an open window period when your trading status is designated as Trading Allowed in the Insider Trading Compliance Tool.</w:t>
      </w:r>
    </w:p>
    <w:p>
      <w:pPr>
        <w:pStyle w:val="TextBody"/>
        <w:bidi w:val="0"/>
        <w:spacing w:before="220" w:after="220"/>
        <w:jc w:val="left"/>
        <w:rPr>
          <w:rFonts w:ascii="sans-serif" w:hAnsi="sans-serif"/>
          <w:b/>
          <w:color w:val="000000"/>
          <w:sz w:val="22"/>
        </w:rPr>
      </w:pPr>
      <w:r>
        <w:rPr>
          <w:rFonts w:ascii="sans-serif" w:hAnsi="sans-serif"/>
          <w:b/>
          <w:color w:val="000000"/>
          <w:sz w:val="22"/>
        </w:rPr>
        <w:t>3. REQUIREMENTS</w:t>
      </w:r>
    </w:p>
    <w:p>
      <w:pPr>
        <w:pStyle w:val="TextBody"/>
        <w:pBdr>
          <w:top w:val="single" w:sz="4" w:space="1" w:color="000000"/>
        </w:pBdr>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 Application of the Policy</w:t>
      </w:r>
    </w:p>
    <w:p>
      <w:pPr>
        <w:pStyle w:val="TextBody"/>
        <w:bidi w:val="0"/>
        <w:spacing w:before="220" w:after="283"/>
        <w:jc w:val="left"/>
        <w:rPr>
          <w:rFonts w:ascii="sans-serif" w:hAnsi="sans-serif"/>
          <w:color w:val="000000"/>
          <w:sz w:val="22"/>
        </w:rPr>
      </w:pPr>
      <w:r>
        <w:rPr>
          <w:rFonts w:ascii="sans-serif" w:hAnsi="sans-serif"/>
          <w:color w:val="000000"/>
          <w:sz w:val="22"/>
        </w:rPr>
        <w:t>This policy applies to all transactions in Microsoft securities by Microsoft's officers and other employees with regular access to material, nonpublic information (collectively 'Insiders'). In general, you will know you are an Insider and subject to this policy because you will be notified. The requirements in this policy are in addition to the General Insider Trading Policy, which applies to all employees.</w:t>
      </w:r>
    </w:p>
    <w:p>
      <w:pPr>
        <w:pStyle w:val="TextBody"/>
        <w:bidi w:val="0"/>
        <w:spacing w:before="220" w:after="283"/>
        <w:jc w:val="left"/>
        <w:rPr>
          <w:rFonts w:ascii="sans-serif" w:hAnsi="sans-serif"/>
          <w:color w:val="000000"/>
          <w:sz w:val="22"/>
        </w:rPr>
      </w:pPr>
      <w:r>
        <w:rPr>
          <w:rFonts w:ascii="sans-serif" w:hAnsi="sans-serif"/>
          <w:color w:val="000000"/>
          <w:sz w:val="22"/>
        </w:rPr>
        <w:t>This policy applies to transactions involving Microsoft securities that are beneficially owned by Insiders. 'Beneficial ownership' is based on the Insider's direct or economic interest in the securities. Some common examples of relationships that may give rise to beneficial ownership include, but are not limited to:</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Microsoft shares owned by immediate family members who live with you or use your address as their regular address (e.g., spouse, domestic partner, minor children, college students, parents, grandparents, grandchildren, siblings and in-laws).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Microsoft shares held in a trust, if the Insider is: (1) a trustee who has or shares investment control of the trust securities and the Insider or a member of his or her immediate family (whether or not they live with you) has an economic interest in the trust securities; (2) a beneficiary who has or shares investment control; or (3) a person who has the power to revoke the trust.</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Microsoft shares held in the name of a partnership or other entity over which the Insider has a controlling influence.</w:t>
      </w:r>
    </w:p>
    <w:p>
      <w:pPr>
        <w:pStyle w:val="TextBody"/>
        <w:bidi w:val="0"/>
        <w:spacing w:before="220" w:after="283"/>
        <w:jc w:val="left"/>
        <w:rPr>
          <w:rFonts w:ascii="sans-serif" w:hAnsi="sans-serif"/>
          <w:color w:val="000000"/>
          <w:sz w:val="22"/>
        </w:rPr>
      </w:pPr>
      <w:r>
        <w:rPr>
          <w:rFonts w:ascii="sans-serif" w:hAnsi="sans-serif"/>
          <w:color w:val="000000"/>
          <w:sz w:val="22"/>
        </w:rPr>
        <w:t>Insiders are responsible for assuring that individuals or entities who may have an interest in securities that are beneficially owned by the Insider ('Covered Persons') comply with this policy. Accordingly, any reference below to 'Insiders' should be read to include 'Covered Persons.'</w:t>
      </w:r>
    </w:p>
    <w:p>
      <w:pPr>
        <w:pStyle w:val="TextBody"/>
        <w:bidi w:val="0"/>
        <w:spacing w:before="220" w:after="283"/>
        <w:jc w:val="left"/>
        <w:rPr>
          <w:rFonts w:ascii="sans-serif" w:hAnsi="sans-serif"/>
          <w:b/>
          <w:color w:val="000000"/>
          <w:sz w:val="22"/>
        </w:rPr>
      </w:pPr>
      <w:r>
        <w:rPr>
          <w:rFonts w:ascii="sans-serif" w:hAnsi="sans-serif"/>
          <w:b/>
          <w:color w:val="000000"/>
          <w:sz w:val="22"/>
        </w:rPr>
        <w:t>B. Open Trading Window</w:t>
      </w:r>
    </w:p>
    <w:p>
      <w:pPr>
        <w:pStyle w:val="TextBody"/>
        <w:bidi w:val="0"/>
        <w:spacing w:before="220" w:after="283"/>
        <w:jc w:val="left"/>
        <w:rPr>
          <w:rFonts w:ascii="sans-serif" w:hAnsi="sans-serif"/>
          <w:color w:val="000000"/>
          <w:sz w:val="22"/>
        </w:rPr>
      </w:pPr>
      <w:r>
        <w:rPr>
          <w:rFonts w:ascii="sans-serif" w:hAnsi="sans-serif"/>
          <w:color w:val="000000"/>
          <w:sz w:val="22"/>
        </w:rPr>
        <w:t>If you are an Insider, you may only trade (or gift) Microsoft securities during an Open Window Period and when your status is Trading Allowed in the Insider Trading Compliance Tool. However, even during an Open Window Period, you may not trade Microsoft securities if you possess material, nonpublic information about Microsoft. For more information about material, nonpublic information, see the General Insider Trading Policy.</w:t>
      </w:r>
    </w:p>
    <w:p>
      <w:pPr>
        <w:pStyle w:val="HorizontalLine"/>
        <w:pBdr>
          <w:bottom w:val="double" w:sz="2" w:space="0" w:color="808080"/>
        </w:pBdr>
        <w:bidi w:val="0"/>
        <w:spacing w:before="0" w:after="283"/>
        <w:jc w:val="left"/>
        <w:rPr/>
      </w:pPr>
      <w:r>
        <w:rPr/>
      </w:r>
    </w:p>
    <w:p>
      <w:pPr>
        <w:pStyle w:val="TextBody"/>
        <w:bidi w:val="0"/>
        <w:spacing w:before="220" w:after="283"/>
        <w:jc w:val="left"/>
        <w:rPr>
          <w:rFonts w:ascii="sans-serif" w:hAnsi="sans-serif"/>
          <w:color w:val="000000"/>
          <w:sz w:val="22"/>
        </w:rPr>
      </w:pPr>
      <w:r>
        <w:rPr>
          <w:rFonts w:ascii="sans-serif" w:hAnsi="sans-serif"/>
          <w:color w:val="000000"/>
          <w:sz w:val="22"/>
        </w:rPr>
        <w:t>An Open Window Period means a defined period of time following Microsoft's quarterly earnings release when the public has been apprised of all relevant material information about Microsoft's recent business and financial performance.</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sans-serif" w:hAnsi="sans-serif"/>
          <w:color w:val="000000"/>
          <w:sz w:val="22"/>
        </w:rPr>
        <w:t>Open Window Periods typically begin with the opening of trading on the second full trading day following Microsoft's public release of quarterly earnings, and end at the close of trading on the 10</w:t>
      </w:r>
      <w:r>
        <w:rPr>
          <w:rFonts w:ascii="sans-serif" w:hAnsi="sans-serif"/>
          <w:color w:val="000000"/>
          <w:sz w:val="15"/>
        </w:rPr>
        <w:t>th</w:t>
      </w:r>
      <w:r>
        <w:rPr>
          <w:color w:val="000000"/>
        </w:rPr>
        <w:t xml:space="preserve"> </w:t>
      </w:r>
      <w:r>
        <w:rPr>
          <w:rFonts w:ascii="sans-serif" w:hAnsi="sans-serif"/>
          <w:color w:val="000000"/>
          <w:sz w:val="22"/>
        </w:rPr>
        <w:t>calendar day of the third month of the fiscal quarter in which the earnings were released (or, if the 10</w:t>
      </w:r>
      <w:r>
        <w:rPr>
          <w:rFonts w:ascii="sans-serif" w:hAnsi="sans-serif"/>
          <w:color w:val="000000"/>
          <w:sz w:val="15"/>
        </w:rPr>
        <w:t>th</w:t>
      </w:r>
      <w:r>
        <w:rPr>
          <w:color w:val="000000"/>
        </w:rPr>
        <w:t xml:space="preserve"> </w:t>
      </w:r>
      <w:r>
        <w:rPr>
          <w:rFonts w:ascii="sans-serif" w:hAnsi="sans-serif"/>
          <w:color w:val="000000"/>
          <w:sz w:val="22"/>
        </w:rPr>
        <w:t xml:space="preserve">calendar day is not a business day, the business day following such date). </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sans-serif" w:hAnsi="sans-serif"/>
          <w:color w:val="000000"/>
          <w:sz w:val="22"/>
        </w:rPr>
        <w:t>For example, if Microsoft made an earnings announcement on a Wednesday, the Open Window Period would open on Friday, and would end at the close of the trading on the 10</w:t>
      </w:r>
      <w:r>
        <w:rPr>
          <w:rFonts w:ascii="sans-serif" w:hAnsi="sans-serif"/>
          <w:color w:val="000000"/>
          <w:sz w:val="15"/>
        </w:rPr>
        <w:t>th</w:t>
      </w:r>
      <w:r>
        <w:rPr>
          <w:color w:val="000000"/>
        </w:rPr>
        <w:t xml:space="preserve"> </w:t>
      </w:r>
      <w:r>
        <w:rPr>
          <w:rFonts w:ascii="sans-serif" w:hAnsi="sans-serif"/>
          <w:color w:val="000000"/>
          <w:sz w:val="22"/>
        </w:rPr>
        <w:t>calendar day (or the following business day) of the third month of that fiscal quarter.</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After you become subject to this Restricted Trading Window Policy, and as long as you have an active restriction reason, you will receive three emails each quarter from the insider trading compliance tool. (1) You will receive an email on the first business day after the public release of quarterly earnings to confirm the date the trading window will open and that your trading status will be Trading Allowed. (2) You will receive an email 14 calendar days before the trading window closes to let you know the date when your trading status will change to No Trading Allowed. (3) You will receive an email on the date the window closes to confirm that your trading status is No Trading Allowed.</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Occasionally, a quarterly window may be delayed, closed early, or skipped. You will be notified if this happens.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Microsoft may also institute additional 'blackout periods' during which no trades may be made, at which time you should receive notification of such restriction.</w:t>
      </w:r>
    </w:p>
    <w:p>
      <w:pPr>
        <w:pStyle w:val="TextBody"/>
        <w:bidi w:val="0"/>
        <w:spacing w:before="220" w:after="283"/>
        <w:jc w:val="left"/>
        <w:rPr>
          <w:rFonts w:ascii="sans-serif" w:hAnsi="sans-serif"/>
          <w:color w:val="000000"/>
          <w:sz w:val="22"/>
        </w:rPr>
      </w:pPr>
      <w:r>
        <w:rPr>
          <w:rFonts w:ascii="sans-serif" w:hAnsi="sans-serif"/>
          <w:color w:val="000000"/>
          <w:sz w:val="22"/>
        </w:rPr>
        <w:t>Do not make a trade in Microsoft securities until you receive notice that the Open Window Period has begun and you have confirmed that your status in the Insider Trading Compliance Tool is Trading Allowed.</w:t>
      </w:r>
    </w:p>
    <w:p>
      <w:pPr>
        <w:pStyle w:val="TextBody"/>
        <w:bidi w:val="0"/>
        <w:spacing w:before="220" w:after="283"/>
        <w:jc w:val="left"/>
        <w:rPr>
          <w:rFonts w:ascii="sans-serif" w:hAnsi="sans-serif"/>
          <w:color w:val="000000"/>
          <w:sz w:val="22"/>
        </w:rPr>
      </w:pPr>
      <w:r>
        <w:rPr>
          <w:rFonts w:ascii="sans-serif" w:hAnsi="sans-serif"/>
          <w:color w:val="000000"/>
          <w:sz w:val="22"/>
        </w:rPr>
        <w:t>If your employment with Microsoft ends during a blackout period, you will be subject to the remainder of that blackout period. If your employment with Microsoft ends during an Open Window Period, you will not be subject to the next blackout period. However, even if you are not subject to our blackout period after you leave Microsoft, you should not trade in Microsoft securities if you are aware of material, nonpublic information. That restriction stays with you as long as the information you possess is material and not publicly disseminated within the meaning of the General Insider Trading Policy.</w:t>
      </w:r>
    </w:p>
    <w:p>
      <w:pPr>
        <w:pStyle w:val="TextBody"/>
        <w:bidi w:val="0"/>
        <w:spacing w:before="220" w:after="283"/>
        <w:jc w:val="left"/>
        <w:rPr>
          <w:rFonts w:ascii="sans-serif" w:hAnsi="sans-serif"/>
          <w:b/>
          <w:color w:val="000000"/>
          <w:sz w:val="22"/>
        </w:rPr>
      </w:pPr>
      <w:r>
        <w:rPr>
          <w:rFonts w:ascii="sans-serif" w:hAnsi="sans-serif"/>
          <w:b/>
          <w:color w:val="000000"/>
          <w:sz w:val="22"/>
        </w:rPr>
        <w:t>C. Application of Trading Restrictions to Particular Situations</w:t>
      </w:r>
    </w:p>
    <w:p>
      <w:pPr>
        <w:pStyle w:val="TextBody"/>
        <w:bidi w:val="0"/>
        <w:spacing w:before="220" w:after="283"/>
        <w:jc w:val="left"/>
        <w:rPr>
          <w:rFonts w:ascii="Times New Roman" w:hAnsi="Times New Roman"/>
          <w:sz w:val="20"/>
        </w:rPr>
      </w:pPr>
      <w:r>
        <w:rPr>
          <w:rFonts w:ascii="sans-serif" w:hAnsi="sans-serif"/>
          <w:b/>
          <w:color w:val="000000"/>
          <w:sz w:val="22"/>
        </w:rPr>
        <w:t>1.</w:t>
      </w:r>
      <w:r>
        <w:rPr>
          <w:rFonts w:ascii="Times New Roman" w:hAnsi="Times New Roman"/>
          <w:color w:val="000000"/>
          <w:sz w:val="20"/>
        </w:rPr>
        <w:t xml:space="preserve"> </w:t>
      </w:r>
      <w:r>
        <w:rPr>
          <w:rFonts w:ascii="sans-serif" w:hAnsi="sans-serif"/>
          <w:b/>
          <w:color w:val="000000"/>
          <w:sz w:val="22"/>
        </w:rPr>
        <w:t>Stock Awards</w:t>
      </w:r>
    </w:p>
    <w:p>
      <w:pPr>
        <w:pStyle w:val="TextBody"/>
        <w:bidi w:val="0"/>
        <w:spacing w:before="220" w:after="283"/>
        <w:jc w:val="left"/>
        <w:rPr>
          <w:rFonts w:ascii="Times New Roman" w:hAnsi="Times New Roman"/>
          <w:sz w:val="20"/>
        </w:rPr>
      </w:pPr>
      <w:r>
        <w:rPr>
          <w:rFonts w:ascii="sans-serif" w:hAnsi="sans-serif"/>
          <w:color w:val="000000"/>
          <w:sz w:val="22"/>
        </w:rPr>
        <w:t>There is no impact to the grant or vest of stock awards. However, you may only sell Microsoft stock received pursuant to a Stock Award during an Open Window Period and your status in the Insider Trading Compliance Tool is Trading Allowed.</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sans-serif" w:hAnsi="sans-serif"/>
          <w:b/>
          <w:color w:val="000000"/>
          <w:sz w:val="22"/>
        </w:rPr>
        <w:t>2.</w:t>
      </w:r>
      <w:r>
        <w:rPr>
          <w:rFonts w:ascii="Times New Roman" w:hAnsi="Times New Roman"/>
          <w:color w:val="000000"/>
          <w:sz w:val="20"/>
        </w:rPr>
        <w:t xml:space="preserve"> </w:t>
      </w:r>
      <w:r>
        <w:rPr>
          <w:rFonts w:ascii="sans-serif" w:hAnsi="sans-serif"/>
          <w:b/>
          <w:color w:val="000000"/>
          <w:sz w:val="22"/>
        </w:rPr>
        <w:t>Gifts</w:t>
      </w:r>
    </w:p>
    <w:p>
      <w:pPr>
        <w:pStyle w:val="TextBody"/>
        <w:bidi w:val="0"/>
        <w:spacing w:before="220" w:after="283"/>
        <w:jc w:val="left"/>
        <w:rPr>
          <w:rFonts w:ascii="Times New Roman" w:hAnsi="Times New Roman"/>
          <w:sz w:val="20"/>
        </w:rPr>
      </w:pPr>
      <w:r>
        <w:rPr>
          <w:rFonts w:ascii="sans-serif" w:hAnsi="sans-serif"/>
          <w:color w:val="000000"/>
          <w:sz w:val="22"/>
        </w:rPr>
        <w:t>Gifts of Microsoft stock may be made only during an Open Window Period and your status in the Insider Trading Compliance Tool is Trading Allowed.</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sans-serif" w:hAnsi="sans-serif"/>
          <w:b/>
          <w:color w:val="000000"/>
          <w:sz w:val="22"/>
        </w:rPr>
        <w:t>3.</w:t>
      </w:r>
      <w:r>
        <w:rPr>
          <w:rFonts w:ascii="Times New Roman" w:hAnsi="Times New Roman"/>
          <w:color w:val="000000"/>
          <w:sz w:val="20"/>
        </w:rPr>
        <w:t xml:space="preserve"> </w:t>
      </w:r>
      <w:r>
        <w:rPr>
          <w:rFonts w:ascii="sans-serif" w:hAnsi="sans-serif"/>
          <w:b/>
          <w:color w:val="000000"/>
          <w:sz w:val="22"/>
        </w:rPr>
        <w:t>Employee Stock Purchase Plan</w:t>
      </w:r>
    </w:p>
    <w:p>
      <w:pPr>
        <w:pStyle w:val="TextBody"/>
        <w:bidi w:val="0"/>
        <w:spacing w:before="220" w:after="283"/>
        <w:jc w:val="left"/>
        <w:rPr>
          <w:rFonts w:ascii="Times New Roman" w:hAnsi="Times New Roman"/>
          <w:sz w:val="20"/>
        </w:rPr>
      </w:pPr>
      <w:r>
        <w:rPr>
          <w:rFonts w:ascii="sans-serif" w:hAnsi="sans-serif"/>
          <w:color w:val="000000"/>
          <w:sz w:val="22"/>
        </w:rPr>
        <w:t>You may purchase Microsoft stock under Microsoft's Employee Stock Purchase Plan (</w:t>
      </w:r>
      <w:r>
        <w:rPr>
          <w:rFonts w:ascii="sans-serif" w:hAnsi="sans-serif"/>
          <w:b/>
          <w:color w:val="000000"/>
          <w:sz w:val="22"/>
        </w:rPr>
        <w:t>'</w:t>
      </w:r>
      <w:r>
        <w:rPr>
          <w:rFonts w:ascii="sans-serif" w:hAnsi="sans-serif"/>
          <w:color w:val="000000"/>
          <w:sz w:val="22"/>
        </w:rPr>
        <w:t>ESPP') at any time. However, you may only sell Microsoft stock purchased pursuant to the ESPP during an Open Window Period and your status in the Insider Trading Compliance Tool is Trading Allowed.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220" w:after="283"/>
        <w:jc w:val="left"/>
        <w:rPr>
          <w:rFonts w:ascii="Times New Roman" w:hAnsi="Times New Roman"/>
          <w:sz w:val="20"/>
        </w:rPr>
      </w:pPr>
      <w:r>
        <w:rPr>
          <w:rFonts w:ascii="sans-serif" w:hAnsi="sans-serif"/>
          <w:b/>
          <w:color w:val="000000"/>
          <w:sz w:val="22"/>
        </w:rPr>
        <w:t>4.</w:t>
      </w:r>
      <w:r>
        <w:rPr>
          <w:rFonts w:ascii="Times New Roman" w:hAnsi="Times New Roman"/>
          <w:color w:val="000000"/>
          <w:sz w:val="20"/>
        </w:rPr>
        <w:t xml:space="preserve"> </w:t>
      </w:r>
      <w:r>
        <w:rPr>
          <w:rFonts w:ascii="sans-serif" w:hAnsi="sans-serif"/>
          <w:b/>
          <w:color w:val="000000"/>
          <w:sz w:val="22"/>
        </w:rPr>
        <w:t>Stock Options</w:t>
      </w:r>
    </w:p>
    <w:p>
      <w:pPr>
        <w:pStyle w:val="TextBody"/>
        <w:bidi w:val="0"/>
        <w:spacing w:before="220" w:after="283"/>
        <w:jc w:val="left"/>
        <w:rPr>
          <w:rFonts w:ascii="sans-serif" w:hAnsi="sans-serif"/>
          <w:color w:val="000000"/>
          <w:sz w:val="22"/>
        </w:rPr>
      </w:pPr>
      <w:r>
        <w:rPr>
          <w:rFonts w:ascii="sans-serif" w:hAnsi="sans-serif"/>
          <w:color w:val="000000"/>
          <w:sz w:val="22"/>
        </w:rPr>
        <w:t>You may exercise stock options outside an Open Window Period only if you pay the exercise price and withholding taxes in cash, and then hold the shares (known as an 'exercise and hold'). Any sale of stock as part of a broker-assisted cashless exercise of an option, any other market sale for the purpose of generating the cash needed to pay the exercise price of an option, or any delivery of shares to pay the exercise price (if permissible under the applicable stock plan) may only be done during an Open Window Period.</w:t>
      </w:r>
    </w:p>
    <w:p>
      <w:pPr>
        <w:pStyle w:val="TextBody"/>
        <w:bidi w:val="0"/>
        <w:spacing w:before="220" w:after="283"/>
        <w:jc w:val="left"/>
        <w:rPr>
          <w:rFonts w:ascii="Times New Roman" w:hAnsi="Times New Roman"/>
          <w:sz w:val="20"/>
        </w:rPr>
      </w:pPr>
      <w:r>
        <w:rPr>
          <w:rFonts w:ascii="sans-serif" w:hAnsi="sans-serif"/>
          <w:b/>
          <w:color w:val="000000"/>
          <w:sz w:val="22"/>
        </w:rPr>
        <w:t>5.</w:t>
      </w:r>
      <w:r>
        <w:rPr>
          <w:rFonts w:ascii="Times New Roman" w:hAnsi="Times New Roman"/>
          <w:color w:val="000000"/>
          <w:sz w:val="20"/>
        </w:rPr>
        <w:t xml:space="preserve"> </w:t>
      </w:r>
      <w:r>
        <w:rPr>
          <w:rFonts w:ascii="sans-serif" w:hAnsi="sans-serif"/>
          <w:b/>
          <w:color w:val="000000"/>
          <w:sz w:val="22"/>
        </w:rPr>
        <w:t>Transactions Pursuant to Rule 10b5-1 Plans</w:t>
      </w:r>
    </w:p>
    <w:p>
      <w:pPr>
        <w:pStyle w:val="TextBody"/>
        <w:bidi w:val="0"/>
        <w:spacing w:before="220" w:after="283"/>
        <w:jc w:val="left"/>
        <w:rPr>
          <w:rFonts w:ascii="sans-serif" w:hAnsi="sans-serif"/>
          <w:color w:val="000000"/>
          <w:sz w:val="22"/>
        </w:rPr>
      </w:pPr>
      <w:r>
        <w:rPr>
          <w:rFonts w:ascii="sans-serif" w:hAnsi="sans-serif"/>
          <w:color w:val="000000"/>
          <w:sz w:val="22"/>
        </w:rPr>
        <w:t>Sales of Microsoft stock outside of the Open Window Period or during a blackout period can only be made pursuant to an approved written trading plan (known as a '10b5-1 Plan') that you entered into at a time that sales could be made in accordance with the restrictions set forth in Section B above. To learn more, please visit the Rule 10b5-1 Trading plans page on CELAWeb or email (**)@microsoft.com.</w:t>
      </w:r>
    </w:p>
    <w:p>
      <w:pPr>
        <w:pStyle w:val="TextBody"/>
        <w:bidi w:val="0"/>
        <w:spacing w:before="220" w:after="283"/>
        <w:jc w:val="left"/>
        <w:rPr>
          <w:rFonts w:ascii="Times New Roman" w:hAnsi="Times New Roman"/>
          <w:sz w:val="20"/>
        </w:rPr>
      </w:pPr>
      <w:r>
        <w:rPr>
          <w:rFonts w:ascii="sans-serif" w:hAnsi="sans-serif"/>
          <w:b/>
          <w:color w:val="000000"/>
          <w:sz w:val="22"/>
        </w:rPr>
        <w:t>D. Senior Officer Advance Notification Requirement</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sans-serif" w:hAnsi="sans-serif"/>
          <w:color w:val="000000"/>
          <w:sz w:val="22"/>
        </w:rPr>
        <w:t>In addition to the requirements above, certain senior officers are also required to notify CELA in advance of transactions in Microsoft securities, including, but not limited to, option exercises, gifts, purchases, sales, and pledges of Microsoft stock or debt. It does not apply to purchases made pursuant to the ESPP or sales made pursuant to a 10b5-1 Plan, but does apply to the other scenarios described in Section C above. If you are a senior officer subject to preclearance, you will be notified.</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sans-serif" w:hAnsi="sans-serif"/>
          <w:color w:val="000000"/>
          <w:sz w:val="22"/>
        </w:rPr>
        <w:t>The notification must include a brief description of the nature of the transaction (e.g., exercise of stock option, purchase, sale, gift, pledge of stock for loan, etc.), the type of Microsoft securities involved, and the proposed date on which the Insider will enter into the transaction. Notifications should be given by sending email to (**)@microsoft.com, or by phoning any of the following individuals (‘Contacts’):</w:t>
      </w:r>
      <w:r>
        <w:rPr>
          <w:rFonts w:ascii="Times New Roman" w:hAnsi="Times New Roman"/>
          <w:color w:val="000000"/>
          <w:sz w:val="20"/>
        </w:rPr>
        <w:t xml:space="preserve"> </w:t>
      </w:r>
    </w:p>
    <w:p>
      <w:pPr>
        <w:pStyle w:val="TextBody"/>
        <w:bidi w:val="0"/>
        <w:spacing w:before="220" w:after="283"/>
        <w:jc w:val="left"/>
        <w:rPr>
          <w:rFonts w:ascii="sans-serif" w:hAnsi="sans-serif"/>
          <w:color w:val="000000"/>
          <w:sz w:val="22"/>
        </w:rPr>
      </w:pPr>
      <w:r>
        <w:rPr>
          <w:rFonts w:ascii="sans-serif" w:hAnsi="sans-serif"/>
          <w:color w:val="000000"/>
          <w:sz w:val="22"/>
        </w:rPr>
        <w:t>(**)</w:t>
      </w:r>
    </w:p>
    <w:p>
      <w:pPr>
        <w:pStyle w:val="TextBody"/>
        <w:bidi w:val="0"/>
        <w:spacing w:before="220" w:after="283"/>
        <w:jc w:val="left"/>
        <w:rPr>
          <w:rFonts w:ascii="Times New Roman" w:hAnsi="Times New Roman"/>
          <w:sz w:val="20"/>
        </w:rPr>
      </w:pPr>
      <w:r>
        <w:rPr>
          <w:rFonts w:ascii="sans-serif" w:hAnsi="sans-serif"/>
          <w:color w:val="000000"/>
          <w:sz w:val="22"/>
        </w:rPr>
        <w:t>Advance notification can be provided by the Insider or his or her broker.</w:t>
      </w:r>
      <w:r>
        <w:rPr>
          <w:rFonts w:ascii="Times New Roman" w:hAnsi="Times New Roman"/>
          <w:color w:val="000000"/>
          <w:sz w:val="20"/>
        </w:rPr>
        <w:t xml:space="preserve"> </w:t>
      </w:r>
    </w:p>
    <w:p>
      <w:pPr>
        <w:pStyle w:val="TextBody"/>
        <w:bidi w:val="0"/>
        <w:spacing w:before="220" w:after="283"/>
        <w:jc w:val="left"/>
        <w:rPr>
          <w:rFonts w:ascii="sans-serif" w:hAnsi="sans-serif"/>
          <w:color w:val="000000"/>
          <w:sz w:val="22"/>
        </w:rPr>
      </w:pPr>
      <w:r>
        <w:rPr>
          <w:rFonts w:ascii="sans-serif" w:hAnsi="sans-serif"/>
          <w:color w:val="000000"/>
          <w:sz w:val="22"/>
        </w:rPr>
        <w:t>As soon as possible following notification, one of the Contacts will review the transaction and advise the Insider whether he or she may proceed with the transaction. During this process, the Insider or his or her broker will be asked to answer some preclearance questions from a Preclearance Checklist. A copy of the Preclearance Checklist may be requested from (**)@microsoft.com. If advance notification of a transaction is provided via e-mail, the Insider may wish to attach a completed Preclearance Checklist for the proposed transaction.</w:t>
      </w:r>
    </w:p>
    <w:p>
      <w:pPr>
        <w:pStyle w:val="TextBody"/>
        <w:bidi w:val="0"/>
        <w:spacing w:before="220" w:after="283"/>
        <w:jc w:val="left"/>
        <w:rPr>
          <w:rFonts w:ascii="Times New Roman" w:hAnsi="Times New Roman"/>
          <w:sz w:val="20"/>
        </w:rPr>
      </w:pPr>
      <w:r>
        <w:rPr>
          <w:rFonts w:ascii="sans-serif" w:hAnsi="sans-serif"/>
          <w:b/>
          <w:color w:val="000000"/>
          <w:sz w:val="22"/>
        </w:rPr>
        <w:t>E</w:t>
      </w:r>
      <w:r>
        <w:rPr>
          <w:rFonts w:ascii="sans-serif" w:hAnsi="sans-serif"/>
          <w:color w:val="000000"/>
          <w:sz w:val="22"/>
        </w:rPr>
        <w:t xml:space="preserve">. </w:t>
      </w:r>
      <w:r>
        <w:rPr>
          <w:rFonts w:ascii="sans-serif" w:hAnsi="sans-serif"/>
          <w:b/>
          <w:color w:val="000000"/>
          <w:sz w:val="22"/>
        </w:rPr>
        <w:t>Questions</w:t>
      </w:r>
      <w:r>
        <w:rPr>
          <w:rFonts w:ascii="Times New Roman" w:hAnsi="Times New Roman"/>
          <w:color w:val="000000"/>
          <w:sz w:val="20"/>
        </w:rPr>
        <w:t xml:space="preserve"> </w:t>
      </w:r>
    </w:p>
    <w:p>
      <w:pPr>
        <w:pStyle w:val="TextBody"/>
        <w:bidi w:val="0"/>
        <w:spacing w:before="220" w:after="283"/>
        <w:jc w:val="left"/>
        <w:rPr>
          <w:rFonts w:ascii="Times New Roman" w:hAnsi="Times New Roman"/>
          <w:sz w:val="20"/>
        </w:rPr>
      </w:pPr>
      <w:r>
        <w:rPr>
          <w:rFonts w:ascii="sans-serif" w:hAnsi="sans-serif"/>
          <w:color w:val="000000"/>
          <w:sz w:val="22"/>
        </w:rPr>
        <w:t>If you have a question about this policy, its application in relation to a proposed transaction, or reporting responsibilities, you should email (**)@microsoft.com.</w:t>
      </w:r>
      <w:r>
        <w:rPr>
          <w:rFonts w:ascii="Times New Roman" w:hAnsi="Times New Roman"/>
          <w:color w:val="000000"/>
          <w:sz w:val="20"/>
        </w:rPr>
        <w:t xml:space="preserve"> </w:t>
      </w:r>
    </w:p>
    <w:p>
      <w:pPr>
        <w:pStyle w:val="TextBody"/>
        <w:bidi w:val="0"/>
        <w:spacing w:before="220" w:after="220"/>
        <w:jc w:val="left"/>
        <w:rPr>
          <w:rFonts w:ascii="sans-serif" w:hAnsi="sans-serif"/>
          <w:b/>
          <w:color w:val="000000"/>
          <w:sz w:val="22"/>
        </w:rPr>
      </w:pPr>
      <w:r>
        <w:rPr>
          <w:rFonts w:ascii="sans-serif" w:hAnsi="sans-serif"/>
          <w:b/>
          <w:color w:val="000000"/>
          <w:sz w:val="22"/>
        </w:rPr>
        <w:t>4. PROCEDURE</w:t>
      </w:r>
    </w:p>
    <w:p>
      <w:pPr>
        <w:pStyle w:val="TextBody"/>
        <w:pBdr>
          <w:top w:val="single" w:sz="4" w:space="1" w:color="000000"/>
        </w:pBdr>
        <w:bidi w:val="0"/>
        <w:jc w:val="left"/>
        <w:rPr/>
      </w:pPr>
      <w:r>
        <w:rPr/>
        <w:t> </w:t>
      </w:r>
    </w:p>
    <w:p>
      <w:pPr>
        <w:pStyle w:val="TextBody"/>
        <w:bidi w:val="0"/>
        <w:spacing w:before="0" w:after="220"/>
        <w:jc w:val="left"/>
        <w:rPr>
          <w:rFonts w:ascii="sans-serif" w:hAnsi="sans-serif"/>
          <w:b/>
          <w:color w:val="000000"/>
          <w:sz w:val="22"/>
        </w:rPr>
      </w:pPr>
      <w:r>
        <w:rPr>
          <w:rFonts w:ascii="sans-serif" w:hAnsi="sans-serif"/>
          <w:b/>
          <w:color w:val="000000"/>
          <w:sz w:val="22"/>
        </w:rPr>
        <w:t>5. EXCEPTIONS</w:t>
      </w:r>
    </w:p>
    <w:p>
      <w:pPr>
        <w:pStyle w:val="TextBody"/>
        <w:pBdr>
          <w:top w:val="single" w:sz="4" w:space="1" w:color="000000"/>
        </w:pBdr>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There are no exceptions to this policy.</w:t>
      </w:r>
    </w:p>
    <w:p>
      <w:pPr>
        <w:pStyle w:val="TextBody"/>
        <w:bidi w:val="0"/>
        <w:spacing w:before="220" w:after="220"/>
        <w:jc w:val="left"/>
        <w:rPr>
          <w:rFonts w:ascii="sans-serif" w:hAnsi="sans-serif"/>
          <w:b/>
          <w:color w:val="000000"/>
          <w:sz w:val="22"/>
        </w:rPr>
      </w:pPr>
      <w:r>
        <w:rPr>
          <w:rFonts w:ascii="sans-serif" w:hAnsi="sans-serif"/>
          <w:b/>
          <w:color w:val="000000"/>
          <w:sz w:val="22"/>
        </w:rPr>
        <w:t>6. ENFORCEMENT</w:t>
      </w:r>
    </w:p>
    <w:p>
      <w:pPr>
        <w:pStyle w:val="TextBody"/>
        <w:pBdr>
          <w:top w:val="single" w:sz="4" w:space="1" w:color="000000"/>
        </w:pBdr>
        <w:bidi w:val="0"/>
        <w:jc w:val="left"/>
        <w:rPr/>
      </w:pPr>
      <w:r>
        <w:rPr/>
        <w:t> </w:t>
      </w:r>
    </w:p>
    <w:p>
      <w:pPr>
        <w:pStyle w:val="TextBody"/>
        <w:bidi w:val="0"/>
        <w:jc w:val="left"/>
        <w:rPr>
          <w:rFonts w:ascii="Times New Roman" w:hAnsi="Times New Roman"/>
          <w:sz w:val="20"/>
        </w:rPr>
      </w:pPr>
      <w:r>
        <w:rPr>
          <w:rFonts w:ascii="sans-serif" w:hAnsi="sans-serif"/>
          <w:color w:val="000000"/>
          <w:sz w:val="22"/>
        </w:rPr>
        <w:t>Violation of this policy may result in disciplinary action, up to and including immediate termination of employment.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220" w:after="283"/>
        <w:jc w:val="left"/>
        <w:rPr>
          <w:rFonts w:ascii="sans-serif" w:hAnsi="sans-serif"/>
          <w:color w:val="000000"/>
          <w:sz w:val="22"/>
        </w:rPr>
      </w:pPr>
      <w:r>
        <w:rPr>
          <w:rFonts w:ascii="sans-serif" w:hAnsi="sans-serif"/>
          <w:color w:val="000000"/>
          <w:sz w:val="22"/>
        </w:rPr>
        <w:t>Insiders who engage in insider trading or tipping may also be subject to civil and criminal fines, as well as imprisonment.</w:t>
      </w:r>
    </w:p>
    <w:p>
      <w:pPr>
        <w:pStyle w:val="TextBody"/>
        <w:bidi w:val="0"/>
        <w:spacing w:before="220" w:after="220"/>
        <w:jc w:val="left"/>
        <w:rPr>
          <w:rFonts w:ascii="sans-serif" w:hAnsi="sans-serif"/>
          <w:b/>
          <w:color w:val="000000"/>
          <w:sz w:val="22"/>
        </w:rPr>
      </w:pPr>
      <w:r>
        <w:rPr>
          <w:rFonts w:ascii="sans-serif" w:hAnsi="sans-serif"/>
          <w:b/>
          <w:color w:val="000000"/>
          <w:sz w:val="22"/>
        </w:rPr>
        <w:t>7. APPLICATION</w:t>
      </w:r>
    </w:p>
    <w:p>
      <w:pPr>
        <w:pStyle w:val="TextBody"/>
        <w:pBdr>
          <w:top w:val="single" w:sz="4" w:space="1" w:color="000000"/>
        </w:pBdr>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This policy applies to Microsoft officers and other designated persons, and their Covered Persons.</w:t>
      </w:r>
    </w:p>
    <w:p>
      <w:pPr>
        <w:pStyle w:val="TextBody"/>
        <w:bidi w:val="0"/>
        <w:spacing w:before="220" w:after="220"/>
        <w:jc w:val="left"/>
        <w:rPr>
          <w:rFonts w:ascii="sans-serif" w:hAnsi="sans-serif"/>
          <w:b/>
          <w:color w:val="000000"/>
          <w:sz w:val="22"/>
        </w:rPr>
      </w:pPr>
      <w:r>
        <w:rPr>
          <w:rFonts w:ascii="sans-serif" w:hAnsi="sans-serif"/>
          <w:b/>
          <w:color w:val="000000"/>
          <w:sz w:val="22"/>
        </w:rPr>
        <w:t>8. COUNTRY OR BUSINESS UNIT SUPPLEMENT</w:t>
      </w:r>
    </w:p>
    <w:p>
      <w:pPr>
        <w:pStyle w:val="TextBody"/>
        <w:pBdr>
          <w:top w:val="single" w:sz="4" w:space="1" w:color="000000"/>
        </w:pBdr>
        <w:bidi w:val="0"/>
        <w:jc w:val="left"/>
        <w:rPr/>
      </w:pPr>
      <w:r>
        <w:rPr/>
        <w:t> </w:t>
      </w:r>
    </w:p>
    <w:p>
      <w:pPr>
        <w:pStyle w:val="TextBody"/>
        <w:bidi w:val="0"/>
        <w:spacing w:before="0" w:after="220"/>
        <w:jc w:val="left"/>
        <w:rPr>
          <w:rFonts w:ascii="sans-serif" w:hAnsi="sans-serif"/>
          <w:b/>
          <w:color w:val="000000"/>
          <w:sz w:val="22"/>
        </w:rPr>
      </w:pPr>
      <w:r>
        <w:rPr>
          <w:rFonts w:ascii="sans-serif" w:hAnsi="sans-serif"/>
          <w:b/>
          <w:color w:val="000000"/>
          <w:sz w:val="22"/>
        </w:rPr>
        <w:t>9. RELATED DOCUMENTS</w:t>
      </w:r>
    </w:p>
    <w:p>
      <w:pPr>
        <w:pStyle w:val="TextBody"/>
        <w:pBdr>
          <w:top w:val="single" w:sz="4" w:space="1" w:color="000000"/>
        </w:pBdr>
        <w:bidi w:val="0"/>
        <w:jc w:val="left"/>
        <w:rPr/>
      </w:pPr>
      <w:r>
        <w:rPr/>
        <w:t> </w:t>
      </w:r>
    </w:p>
    <w:p>
      <w:pPr>
        <w:pStyle w:val="TextBody"/>
        <w:bidi w:val="0"/>
        <w:jc w:val="left"/>
        <w:rPr>
          <w:rFonts w:ascii="Times New Roman" w:hAnsi="Times New Roman"/>
          <w:sz w:val="20"/>
        </w:rPr>
      </w:pPr>
      <w:r>
        <w:rPr>
          <w:rFonts w:ascii="sans-serif" w:hAnsi="sans-serif"/>
          <w:color w:val="000000"/>
          <w:sz w:val="22"/>
        </w:rPr>
        <w:t>Corporate Governance Guidelines</w:t>
      </w:r>
      <w:r>
        <w:rPr>
          <w:rFonts w:ascii="Times New Roman" w:hAnsi="Times New Roman"/>
          <w:color w:val="000000"/>
          <w:sz w:val="20"/>
        </w:rPr>
        <w:t xml:space="preserve"> </w:t>
      </w:r>
    </w:p>
    <w:p>
      <w:pPr>
        <w:pStyle w:val="TextBody"/>
        <w:bidi w:val="0"/>
        <w:spacing w:before="220" w:after="283"/>
        <w:jc w:val="left"/>
        <w:rPr>
          <w:rFonts w:ascii="sans-serif" w:hAnsi="sans-serif"/>
          <w:color w:val="000000"/>
          <w:sz w:val="22"/>
        </w:rPr>
      </w:pPr>
      <w:r>
        <w:rPr>
          <w:rFonts w:ascii="sans-serif" w:hAnsi="sans-serif"/>
          <w:color w:val="000000"/>
          <w:sz w:val="22"/>
        </w:rPr>
        <w:t>General Insider Trading Policy</w:t>
      </w:r>
    </w:p>
    <w:p>
      <w:pPr>
        <w:pStyle w:val="TextBody"/>
        <w:bidi w:val="0"/>
        <w:spacing w:before="220" w:after="220"/>
        <w:jc w:val="left"/>
        <w:rPr>
          <w:rFonts w:ascii="sans-serif" w:hAnsi="sans-serif"/>
          <w:b/>
          <w:color w:val="000000"/>
          <w:sz w:val="22"/>
        </w:rPr>
      </w:pPr>
      <w:r>
        <w:rPr>
          <w:rFonts w:ascii="sans-serif" w:hAnsi="sans-serif"/>
          <w:b/>
          <w:color w:val="000000"/>
          <w:sz w:val="22"/>
        </w:rPr>
        <w:t>10. TRANSLATIONS</w:t>
      </w:r>
    </w:p>
    <w:p>
      <w:pPr>
        <w:pStyle w:val="TextBody"/>
        <w:pBdr>
          <w:top w:val="single" w:sz="4" w:space="1" w:color="000000"/>
        </w:pBdr>
        <w:bidi w:val="0"/>
        <w:jc w:val="left"/>
        <w:rPr/>
      </w:pPr>
      <w:r>
        <w:rPr/>
        <w:t> </w:t>
      </w:r>
    </w:p>
    <w:p>
      <w:pPr>
        <w:pStyle w:val="TextBody"/>
        <w:bidi w:val="0"/>
        <w:spacing w:before="0" w:after="220"/>
        <w:jc w:val="left"/>
        <w:rPr>
          <w:rFonts w:ascii="sans-serif" w:hAnsi="sans-serif"/>
          <w:b/>
          <w:color w:val="000000"/>
          <w:sz w:val="22"/>
        </w:rPr>
      </w:pPr>
      <w:r>
        <w:rPr>
          <w:rFonts w:ascii="sans-serif" w:hAnsi="sans-serif"/>
          <w:b/>
          <w:color w:val="000000"/>
          <w:sz w:val="22"/>
        </w:rPr>
        <w:t>11. DOCUMENT HISTORY</w:t>
      </w:r>
    </w:p>
    <w:p>
      <w:pPr>
        <w:pStyle w:val="TextBody"/>
        <w:pBdr>
          <w:top w:val="sing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42" w:name="msft-ex19_3.htm"/>
      <w:bookmarkStart w:id="43" w:name="ksmsftex19_3"/>
      <w:bookmarkEnd w:id="42"/>
      <w:bookmarkEnd w:id="43"/>
      <w:r>
        <w:rPr>
          <w:rFonts w:ascii="Arial" w:hAnsi="Arial"/>
          <w:color w:val="000000"/>
          <w:sz w:val="20"/>
        </w:rPr>
        <w:t>Exhibit 19.3</w:t>
      </w:r>
      <w:r>
        <w:br w:type="page"/>
      </w:r>
    </w:p>
    <w:p>
      <w:pPr>
        <w:pStyle w:val="TextBody"/>
        <w:bidi w:val="0"/>
        <w:spacing w:before="240" w:after="283"/>
        <w:jc w:val="center"/>
        <w:rPr>
          <w:rFonts w:ascii="Times New Roman" w:hAnsi="Times New Roman"/>
          <w:sz w:val="20"/>
        </w:rPr>
      </w:pPr>
      <w:r>
        <w:rPr>
          <w:rFonts w:ascii="Arial" w:hAnsi="Arial"/>
          <w:b/>
          <w:color w:val="000000"/>
          <w:sz w:val="20"/>
        </w:rPr>
        <w:t>Insider Trading Compliance and Preclearance Policies for</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Section 16 Officers and Directors of Microsoft</w:t>
      </w:r>
    </w:p>
    <w:p>
      <w:pPr>
        <w:pStyle w:val="TextBody"/>
        <w:bidi w:val="0"/>
        <w:spacing w:before="240" w:after="283"/>
        <w:jc w:val="left"/>
        <w:rPr>
          <w:rFonts w:ascii="Arial" w:hAnsi="Arial"/>
          <w:color w:val="000000"/>
          <w:sz w:val="20"/>
        </w:rPr>
      </w:pPr>
      <w:r>
        <w:rPr>
          <w:rFonts w:ascii="Arial" w:hAnsi="Arial"/>
          <w:color w:val="000000"/>
          <w:sz w:val="20"/>
        </w:rPr>
        <w:t>This document sets forth the insider trading compliance policies that apply to transactions in Microsoft securities by Microsoft officers and directors who are subject to Section 16 of the Securities Exchange Act of 1934 (“Insiders”).</w:t>
      </w:r>
    </w:p>
    <w:p>
      <w:pPr>
        <w:pStyle w:val="TextBody"/>
        <w:bidi w:val="0"/>
        <w:spacing w:before="200" w:after="283"/>
        <w:jc w:val="left"/>
        <w:rPr>
          <w:rFonts w:ascii="Arial" w:hAnsi="Arial"/>
          <w:color w:val="000000"/>
          <w:sz w:val="20"/>
        </w:rPr>
      </w:pPr>
      <w:r>
        <w:rPr>
          <w:rFonts w:ascii="Arial" w:hAnsi="Arial"/>
          <w:color w:val="000000"/>
          <w:sz w:val="20"/>
        </w:rPr>
        <w:t>The policies contained in this document apply to all securities “beneficially owned” by Insiders. Insiders are responsible for assuring that other individuals or entities (“Covered Persons”) who may have an interest in securities that are “beneficially owned” by an Insider comply with these policies. For more information regarding beneficial ownership of securities and Covered Persons, please see Section 6 below.</w:t>
      </w:r>
    </w:p>
    <w:p>
      <w:pPr>
        <w:pStyle w:val="TextBody"/>
        <w:bidi w:val="0"/>
        <w:spacing w:before="200" w:after="283"/>
        <w:jc w:val="left"/>
        <w:rPr>
          <w:rFonts w:ascii="Times New Roman" w:hAnsi="Times New Roman"/>
          <w:sz w:val="20"/>
        </w:rPr>
      </w:pPr>
      <w:r>
        <w:rPr>
          <w:rFonts w:ascii="Arial" w:hAnsi="Arial"/>
          <w:color w:val="000000"/>
          <w:sz w:val="20"/>
        </w:rPr>
        <w:t>Covered Persons must comply with the policies below. Accordingly, any reference below to “Insiders” should be read to include Covered Persons. In addition to the policies below, all directors must comply with the Director stock ownership requirements located in the Corporate Governance Guidelines</w:t>
      </w:r>
      <w:r>
        <w:rPr>
          <w:rFonts w:ascii="Times New Roman" w:hAnsi="Times New Roman"/>
          <w:color w:val="FF0000"/>
          <w:sz w:val="20"/>
        </w:rPr>
        <w:t xml:space="preserve"> </w:t>
      </w:r>
      <w:r>
        <w:rPr>
          <w:rFonts w:ascii="Arial" w:hAnsi="Arial"/>
          <w:color w:val="000000"/>
          <w:sz w:val="20"/>
        </w:rPr>
        <w:t>and Executive Officers must comply with the Stock Ownership Requirements for Microsoft Corporation Executives.</w:t>
      </w:r>
    </w:p>
    <w:p>
      <w:pPr>
        <w:pStyle w:val="TextBody"/>
        <w:bidi w:val="0"/>
        <w:spacing w:before="200" w:after="283"/>
        <w:jc w:val="left"/>
        <w:rPr>
          <w:rFonts w:ascii="Times New Roman" w:hAnsi="Times New Roman"/>
          <w:sz w:val="20"/>
        </w:rPr>
      </w:pPr>
      <w:r>
        <w:rPr>
          <w:rFonts w:ascii="Arial" w:hAnsi="Arial"/>
          <w:b/>
          <w:color w:val="000000"/>
          <w:sz w:val="20"/>
        </w:rPr>
        <w:t xml:space="preserve">1. </w:t>
      </w:r>
      <w:r>
        <w:rPr>
          <w:rFonts w:ascii="Arial" w:hAnsi="Arial"/>
          <w:b/>
          <w:color w:val="000000"/>
          <w:sz w:val="20"/>
          <w:u w:val="single"/>
        </w:rPr>
        <w:t>Restrictions on Trading</w:t>
      </w:r>
    </w:p>
    <w:p>
      <w:pPr>
        <w:pStyle w:val="TextBody"/>
        <w:bidi w:val="0"/>
        <w:spacing w:before="200" w:after="283"/>
        <w:jc w:val="left"/>
        <w:rPr>
          <w:rFonts w:ascii="Arial" w:hAnsi="Arial"/>
          <w:color w:val="000000"/>
          <w:sz w:val="20"/>
        </w:rPr>
      </w:pPr>
      <w:r>
        <w:rPr>
          <w:rFonts w:ascii="Arial" w:hAnsi="Arial"/>
          <w:color w:val="000000"/>
          <w:sz w:val="20"/>
        </w:rPr>
        <w:t>A.</w:t>
      </w:r>
    </w:p>
    <w:p>
      <w:pPr>
        <w:pStyle w:val="TextBody"/>
        <w:bidi w:val="0"/>
        <w:spacing w:before="200" w:after="283"/>
        <w:jc w:val="left"/>
        <w:rPr/>
      </w:pPr>
      <w:r>
        <w:rPr>
          <w:rFonts w:ascii="Arial" w:hAnsi="Arial"/>
          <w:color w:val="000000"/>
          <w:sz w:val="20"/>
          <w:u w:val="single"/>
        </w:rPr>
        <w:t>Prohibition on Trading While in Possession of Material, Nonpublic Information</w:t>
      </w:r>
      <w:r>
        <w:rPr>
          <w:rFonts w:ascii="Arial" w:hAnsi="Arial"/>
          <w:color w:val="000000"/>
          <w:sz w:val="20"/>
        </w:rPr>
        <w:t>. Under Federal securities law and regulations, no Insider may trade in Microsoft securities while possessing material, nonpublic information concerning the Company, even if a quarterly window period described in Section 2 is open. The window period is not a safe harbor that eliminates the need for caution about whether an Insider should refrain from trading because he or she possesses material, nonpublic information about Microsoft. For more information, see the General Insider Trading Policy.</w:t>
      </w:r>
    </w:p>
    <w:p>
      <w:pPr>
        <w:pStyle w:val="TextBody"/>
        <w:bidi w:val="0"/>
        <w:spacing w:before="200" w:after="283"/>
        <w:jc w:val="left"/>
        <w:rPr>
          <w:rFonts w:ascii="Arial" w:hAnsi="Arial"/>
          <w:color w:val="000000"/>
          <w:sz w:val="20"/>
        </w:rPr>
      </w:pPr>
      <w:r>
        <w:rPr>
          <w:rFonts w:ascii="Arial" w:hAnsi="Arial"/>
          <w:color w:val="000000"/>
          <w:sz w:val="20"/>
        </w:rPr>
        <w:t>B.</w:t>
      </w:r>
    </w:p>
    <w:p>
      <w:pPr>
        <w:pStyle w:val="TextBody"/>
        <w:bidi w:val="0"/>
        <w:spacing w:before="200" w:after="283"/>
        <w:jc w:val="left"/>
        <w:rPr/>
      </w:pPr>
      <w:r>
        <w:rPr>
          <w:rFonts w:ascii="Arial" w:hAnsi="Arial"/>
          <w:color w:val="000000"/>
          <w:sz w:val="20"/>
          <w:u w:val="single"/>
        </w:rPr>
        <w:t>Trading Restricted to Open Window Periods</w:t>
      </w:r>
      <w:r>
        <w:rPr>
          <w:rFonts w:ascii="Arial" w:hAnsi="Arial"/>
          <w:color w:val="000000"/>
          <w:sz w:val="20"/>
        </w:rPr>
        <w:t>. No Insider may trade in Microsoft securities outside of an applicable Open Window Period described below in Section 2, or during any trading blackout periods designated by Microsoft, except pursuant to the terms of a Rule 10b5-1 Plan as outlined in Section 4.E below. For more information, see the Restricted Trading Window Policy.</w:t>
      </w:r>
    </w:p>
    <w:p>
      <w:pPr>
        <w:pStyle w:val="TextBody"/>
        <w:bidi w:val="0"/>
        <w:spacing w:before="200" w:after="283"/>
        <w:jc w:val="left"/>
        <w:rPr>
          <w:rFonts w:ascii="Arial" w:hAnsi="Arial"/>
          <w:color w:val="000000"/>
          <w:sz w:val="20"/>
        </w:rPr>
      </w:pPr>
      <w:r>
        <w:rPr>
          <w:rFonts w:ascii="Arial" w:hAnsi="Arial"/>
          <w:color w:val="000000"/>
          <w:sz w:val="20"/>
        </w:rPr>
        <w:t>C.</w:t>
      </w:r>
    </w:p>
    <w:p>
      <w:pPr>
        <w:pStyle w:val="TextBody"/>
        <w:bidi w:val="0"/>
        <w:spacing w:before="200" w:after="283"/>
        <w:jc w:val="left"/>
        <w:rPr/>
      </w:pPr>
      <w:r>
        <w:rPr>
          <w:rFonts w:ascii="Arial" w:hAnsi="Arial"/>
          <w:color w:val="000000"/>
          <w:sz w:val="20"/>
          <w:u w:val="single"/>
        </w:rPr>
        <w:t>Prohibition on Trading in Derivatives</w:t>
      </w:r>
      <w:r>
        <w:rPr>
          <w:rFonts w:ascii="Arial" w:hAnsi="Arial"/>
          <w:color w:val="000000"/>
          <w:sz w:val="20"/>
        </w:rPr>
        <w:t xml:space="preserve">. Trading in derivative securities (other than derivative securities issued by Microsoft specifically as compensation) related to Microsoft stock or debt such as options, puts, calls, warrants, or similar financial instruments may create the appearance among regulators and Microsoft shareholders that an Insider is engaging in short-term, speculative transactions or inappropriately hedging the risk of declines in Microsoft stock. For this reason, Insiders may not trade in options, puts, calls, or other derivative instruments related to Microsoft stock or debt. </w:t>
      </w:r>
    </w:p>
    <w:p>
      <w:pPr>
        <w:pStyle w:val="TextBody"/>
        <w:bidi w:val="0"/>
        <w:spacing w:before="200" w:after="283"/>
        <w:jc w:val="left"/>
        <w:rPr>
          <w:rFonts w:ascii="Arial" w:hAnsi="Arial"/>
          <w:color w:val="000000"/>
          <w:sz w:val="20"/>
        </w:rPr>
      </w:pPr>
      <w:r>
        <w:rPr>
          <w:rFonts w:ascii="Arial" w:hAnsi="Arial"/>
          <w:color w:val="000000"/>
          <w:sz w:val="20"/>
        </w:rPr>
        <w:t>D.</w:t>
      </w:r>
    </w:p>
    <w:p>
      <w:pPr>
        <w:pStyle w:val="TextBody"/>
        <w:bidi w:val="0"/>
        <w:spacing w:before="200" w:after="283"/>
        <w:jc w:val="left"/>
        <w:rPr/>
      </w:pPr>
      <w:r>
        <w:rPr>
          <w:rFonts w:ascii="Arial" w:hAnsi="Arial"/>
          <w:color w:val="000000"/>
          <w:sz w:val="20"/>
          <w:u w:val="single"/>
        </w:rPr>
        <w:t>Prohibition on Pledging</w:t>
      </w:r>
      <w:r>
        <w:rPr>
          <w:rFonts w:ascii="Arial" w:hAnsi="Arial"/>
          <w:color w:val="000000"/>
          <w:sz w:val="20"/>
        </w:rPr>
        <w:t>. No Insider may purchase Microsoft stock on margin, borrow against Microsoft stock held in a margin account, or pledge Microsoft stock as collateral for a loan.</w:t>
      </w:r>
    </w:p>
    <w:p>
      <w:pPr>
        <w:pStyle w:val="TextBody"/>
        <w:bidi w:val="0"/>
        <w:spacing w:before="200" w:after="283"/>
        <w:jc w:val="left"/>
        <w:rPr>
          <w:rFonts w:ascii="Arial" w:hAnsi="Arial"/>
          <w:color w:val="000000"/>
          <w:sz w:val="20"/>
        </w:rPr>
      </w:pPr>
      <w:r>
        <w:rPr>
          <w:rFonts w:ascii="Arial" w:hAnsi="Arial"/>
          <w:color w:val="000000"/>
          <w:sz w:val="20"/>
        </w:rPr>
        <w:t>E.</w:t>
      </w:r>
    </w:p>
    <w:p>
      <w:pPr>
        <w:pStyle w:val="TextBody"/>
        <w:bidi w:val="0"/>
        <w:spacing w:before="200" w:after="283"/>
        <w:jc w:val="left"/>
        <w:rPr/>
      </w:pPr>
      <w:r>
        <w:rPr>
          <w:rFonts w:ascii="Arial" w:hAnsi="Arial"/>
          <w:color w:val="000000"/>
          <w:sz w:val="20"/>
          <w:u w:val="single"/>
        </w:rPr>
        <w:t>Prohibition on Prediction Market Trading Using Confidential Information</w:t>
      </w:r>
      <w:r>
        <w:rPr>
          <w:rFonts w:ascii="Arial" w:hAnsi="Arial"/>
          <w:color w:val="000000"/>
          <w:sz w:val="20"/>
        </w:rPr>
        <w:t>. Insiders may not participate in third-party platforms, “prediction markets,” or similar platforms to bet, wager, or establish positions in event contracts when such activity is based on, or involves the use of, confidential information about Microsoft or any other company (including customers, vendors, or partners of Microsoft or an economically-linked company such as a competitor of Microsoft) obtained through an Insider’s position at Microsoft. For the avoidance of doubt, confidential information includes, but is not limited to, material, nonpublic information. This prohibition applies whether or not the activity technically constitutes securities trading under federal law.</w:t>
      </w:r>
    </w:p>
    <w:p>
      <w:pPr>
        <w:pStyle w:val="TextBody"/>
        <w:bidi w:val="0"/>
        <w:spacing w:before="200" w:after="283"/>
        <w:jc w:val="left"/>
        <w:rPr>
          <w:rFonts w:ascii="Times New Roman" w:hAnsi="Times New Roman"/>
          <w:sz w:val="20"/>
        </w:rPr>
      </w:pPr>
      <w:r>
        <w:rPr>
          <w:rFonts w:ascii="Arial" w:hAnsi="Arial"/>
          <w:b/>
          <w:color w:val="000000"/>
          <w:sz w:val="20"/>
        </w:rPr>
        <w:t xml:space="preserve">2. </w:t>
      </w:r>
      <w:r>
        <w:rPr>
          <w:rFonts w:ascii="Arial" w:hAnsi="Arial"/>
          <w:b/>
          <w:color w:val="000000"/>
          <w:sz w:val="20"/>
          <w:u w:val="single"/>
        </w:rPr>
        <w:t>Trading Window and Blackout Periods</w:t>
      </w:r>
    </w:p>
    <w:p>
      <w:pPr>
        <w:pStyle w:val="TextBody"/>
        <w:bidi w:val="0"/>
        <w:spacing w:before="200" w:after="283"/>
        <w:jc w:val="left"/>
        <w:rPr>
          <w:rFonts w:ascii="Arial" w:hAnsi="Arial"/>
          <w:color w:val="000000"/>
          <w:sz w:val="20"/>
        </w:rPr>
      </w:pPr>
      <w:r>
        <w:rPr>
          <w:rFonts w:ascii="Arial" w:hAnsi="Arial"/>
          <w:color w:val="000000"/>
          <w:sz w:val="20"/>
        </w:rPr>
        <w:t>A.</w:t>
      </w:r>
    </w:p>
    <w:p>
      <w:pPr>
        <w:pStyle w:val="TextBody"/>
        <w:bidi w:val="0"/>
        <w:spacing w:before="200" w:after="283"/>
        <w:jc w:val="left"/>
        <w:rPr>
          <w:rFonts w:ascii="Arial" w:hAnsi="Arial"/>
          <w:color w:val="000000"/>
          <w:sz w:val="20"/>
        </w:rPr>
      </w:pPr>
      <w:r>
        <w:rPr>
          <w:rFonts w:ascii="Arial" w:hAnsi="Arial"/>
          <w:color w:val="000000"/>
          <w:sz w:val="20"/>
        </w:rPr>
        <w:t xml:space="preserve">An Insider may trade in Microsoft securities only during quarterly window periods that follow each quarterly earnings announcement. This policy is intended to help prevent accusations of trading on material, nonpublic information. The window period generally begins on the commencement of trading on the second full trading day following Microsoft's public release of quarterly earnings, and ends at the close of trading on the 10th calendar day of the third month of the fiscal quarter in which the earnings are released (or, if the 10th calendar day is not a business day, the business day following such date) (the “Open Window Period”). If, for example, Microsoft made an earnings announcement on Wednesday, the trading window would be expected to open Friday. There are rare situations when a quarterly window period is delayed, closed early, or skipped. Microsoft employees and directors who are subject to the trading window policy are sent an email each quarter advising them of the first and last day of that quarter’s Open Window Period. If an Open Window Period is delayed, closed early or, skipped, Insiders will be sent an email alerting them to this development. An Insider should not trade unless he or she has received notice about the opening of the trading window.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Arial" w:hAnsi="Arial"/>
          <w:color w:val="000000"/>
          <w:sz w:val="20"/>
        </w:rPr>
      </w:pPr>
      <w:r>
        <w:rPr>
          <w:rFonts w:ascii="Arial" w:hAnsi="Arial"/>
          <w:color w:val="000000"/>
          <w:sz w:val="20"/>
        </w:rPr>
        <w:t>B.</w:t>
      </w:r>
    </w:p>
    <w:p>
      <w:pPr>
        <w:pStyle w:val="TextBody"/>
        <w:bidi w:val="0"/>
        <w:spacing w:before="200" w:after="283"/>
        <w:jc w:val="left"/>
        <w:rPr>
          <w:rFonts w:ascii="Arial" w:hAnsi="Arial"/>
          <w:color w:val="000000"/>
          <w:sz w:val="20"/>
        </w:rPr>
      </w:pPr>
      <w:r>
        <w:rPr>
          <w:rFonts w:ascii="Arial" w:hAnsi="Arial"/>
          <w:color w:val="000000"/>
          <w:sz w:val="20"/>
        </w:rPr>
        <w:t xml:space="preserve">Insiders who have material, nonpublic information concerning Microsoft may not trade in Microsoft securities even during Open Window Periods. </w:t>
      </w:r>
    </w:p>
    <w:p>
      <w:pPr>
        <w:pStyle w:val="TextBody"/>
        <w:bidi w:val="0"/>
        <w:spacing w:before="200" w:after="283"/>
        <w:jc w:val="left"/>
        <w:rPr>
          <w:rFonts w:ascii="Arial" w:hAnsi="Arial"/>
          <w:color w:val="000000"/>
          <w:sz w:val="20"/>
        </w:rPr>
      </w:pPr>
      <w:r>
        <w:rPr>
          <w:rFonts w:ascii="Arial" w:hAnsi="Arial"/>
          <w:color w:val="000000"/>
          <w:sz w:val="20"/>
        </w:rPr>
        <w:t>C.</w:t>
      </w:r>
    </w:p>
    <w:p>
      <w:pPr>
        <w:pStyle w:val="TextBody"/>
        <w:bidi w:val="0"/>
        <w:spacing w:before="200" w:after="283"/>
        <w:jc w:val="left"/>
        <w:rPr>
          <w:rFonts w:ascii="Arial" w:hAnsi="Arial"/>
          <w:color w:val="000000"/>
          <w:sz w:val="20"/>
        </w:rPr>
      </w:pPr>
      <w:r>
        <w:rPr>
          <w:rFonts w:ascii="Arial" w:hAnsi="Arial"/>
          <w:color w:val="000000"/>
          <w:sz w:val="20"/>
        </w:rPr>
        <w:t xml:space="preserve">Insiders may not trade in Microsoft securities outside of an Open Window Period or during any blackout period that Microsoft may designate. </w:t>
      </w:r>
    </w:p>
    <w:p>
      <w:pPr>
        <w:pStyle w:val="TextBody"/>
        <w:bidi w:val="0"/>
        <w:spacing w:before="200" w:after="283"/>
        <w:jc w:val="left"/>
        <w:rPr>
          <w:rFonts w:ascii="Times New Roman" w:hAnsi="Times New Roman"/>
          <w:sz w:val="20"/>
        </w:rPr>
      </w:pPr>
      <w:r>
        <w:rPr>
          <w:rFonts w:ascii="Arial" w:hAnsi="Arial"/>
          <w:b/>
          <w:color w:val="000000"/>
          <w:sz w:val="20"/>
        </w:rPr>
        <w:t xml:space="preserve">3. </w:t>
      </w:r>
      <w:r>
        <w:rPr>
          <w:rFonts w:ascii="Arial" w:hAnsi="Arial"/>
          <w:b/>
          <w:color w:val="000000"/>
          <w:sz w:val="20"/>
          <w:u w:val="single"/>
        </w:rPr>
        <w:t>Pre-Clearance Policies and Procedures</w:t>
      </w:r>
    </w:p>
    <w:p>
      <w:pPr>
        <w:pStyle w:val="TextBody"/>
        <w:bidi w:val="0"/>
        <w:spacing w:before="200" w:after="283"/>
        <w:jc w:val="left"/>
        <w:rPr>
          <w:rFonts w:ascii="Arial" w:hAnsi="Arial"/>
          <w:color w:val="000000"/>
          <w:sz w:val="20"/>
        </w:rPr>
      </w:pPr>
      <w:r>
        <w:rPr>
          <w:rFonts w:ascii="Arial" w:hAnsi="Arial"/>
          <w:color w:val="000000"/>
          <w:sz w:val="20"/>
        </w:rPr>
        <w:t>A.</w:t>
      </w:r>
    </w:p>
    <w:p>
      <w:pPr>
        <w:pStyle w:val="TextBody"/>
        <w:bidi w:val="0"/>
        <w:spacing w:before="200" w:after="283"/>
        <w:jc w:val="left"/>
        <w:rPr/>
      </w:pPr>
      <w:r>
        <w:rPr>
          <w:rFonts w:ascii="Arial" w:hAnsi="Arial"/>
          <w:color w:val="000000"/>
          <w:sz w:val="20"/>
          <w:u w:val="single"/>
        </w:rPr>
        <w:t>Potential Section 16(b) Liability</w:t>
      </w:r>
      <w:r>
        <w:rPr>
          <w:rFonts w:ascii="Arial" w:hAnsi="Arial"/>
          <w:color w:val="000000"/>
          <w:sz w:val="20"/>
        </w:rPr>
        <w:t>. Insiders are subject to the short-swing profit recapture rules of Section 16 of the Securities Exchange Act of 1934. Compliance with the law includes prompt reporting of an Insider’s transactions involving Microsoft securities. The Section 16 reporting requirements also apply to transactions in Microsoft securities owned by certain other individuals and entities related to an Insider, as explained in greater detail in Section 5 below. Any late or delinquent filings are required to be reported in Microsoft’s annual proxy statement. In order to assist Insiders in complying with these reporting requirements, the procedures described below have been adopted so that CELA, Corporate Legal Group, may prepare and file with the SEC on an Insider’s behalf the appropriate form reporting an Insider’s transactions.</w:t>
      </w:r>
    </w:p>
    <w:p>
      <w:pPr>
        <w:pStyle w:val="TextBody"/>
        <w:bidi w:val="0"/>
        <w:spacing w:before="200" w:after="283"/>
        <w:jc w:val="left"/>
        <w:rPr>
          <w:rFonts w:ascii="Arial" w:hAnsi="Arial"/>
          <w:color w:val="000000"/>
          <w:sz w:val="20"/>
        </w:rPr>
      </w:pPr>
      <w:r>
        <w:rPr>
          <w:rFonts w:ascii="Arial" w:hAnsi="Arial"/>
          <w:color w:val="000000"/>
          <w:sz w:val="20"/>
        </w:rPr>
        <w:t>The purpose of these filings with the SEC is to give any interested party the ability to examine the filings to determine whether an Insider has violated the so-called "short-swing profit" rules, which prohibit a specified officer or director of a public company from profiting on sales and purchases of stock that occur within 6 months of each other. Neither lack of familiarity with the rules nor inadvertent non-compliance will excuse a violation of the short-swing profit rules. Generally, this law should not present Insiders at Microsoft with a problem because Microsoft stock purchases that an Insider makes from the Company (e.g., stock received upon vesting of awards, stock acquired on exercise of stock options, and stock purchased under the Employee Stock Purchase Plan) are all exempt from short swing profit liability under SEC rules, and therefore any sales of stock an Insider undertakes typically would not have any non-exempt purchases of stock with which they could be matched. However, an Insider may potentially have a problem if the Insider purchases Microsoft shares in the open market or changes an investment election under the Microsoft 401(k) plan with respect to investing in Microsoft stock. The advance notification procedures described below are intended to help Insiders avoid transactions that would violate Section 16(b), as well as meet the 2-day filing deadline for reporting most Insider transactions in Microsoft securities. Insiders are expected to cooperate with the Company fully and promptly in disclosing their transactions involving Company securities.</w:t>
      </w:r>
    </w:p>
    <w:p>
      <w:pPr>
        <w:pStyle w:val="TextBody"/>
        <w:bidi w:val="0"/>
        <w:spacing w:before="200" w:after="283"/>
        <w:jc w:val="left"/>
        <w:rPr>
          <w:rFonts w:ascii="Arial" w:hAnsi="Arial"/>
          <w:color w:val="000000"/>
          <w:sz w:val="20"/>
        </w:rPr>
      </w:pPr>
      <w:r>
        <w:rPr>
          <w:rFonts w:ascii="Arial" w:hAnsi="Arial"/>
          <w:color w:val="000000"/>
          <w:sz w:val="20"/>
        </w:rPr>
        <w:t>B.</w:t>
      </w:r>
    </w:p>
    <w:p>
      <w:pPr>
        <w:pStyle w:val="TextBody"/>
        <w:bidi w:val="0"/>
        <w:spacing w:before="200" w:after="283"/>
        <w:jc w:val="left"/>
        <w:rPr/>
      </w:pPr>
      <w:r>
        <w:rPr>
          <w:rFonts w:ascii="Arial" w:hAnsi="Arial"/>
          <w:color w:val="000000"/>
          <w:sz w:val="20"/>
          <w:u w:val="single"/>
        </w:rPr>
        <w:t>Preclearance Requirement</w:t>
      </w:r>
      <w:r>
        <w:rPr>
          <w:rFonts w:ascii="Arial" w:hAnsi="Arial"/>
          <w:color w:val="000000"/>
          <w:sz w:val="20"/>
        </w:rPr>
        <w:t xml:space="preserve">. All Insiders are required to obtain approval from the CELA Corporate Legal Group </w:t>
      </w:r>
      <w:r>
        <w:rPr>
          <w:rFonts w:ascii="Arial" w:hAnsi="Arial"/>
          <w:color w:val="000000"/>
          <w:sz w:val="20"/>
          <w:u w:val="single"/>
        </w:rPr>
        <w:t>before</w:t>
      </w:r>
      <w:r>
        <w:rPr>
          <w:color w:val="000000"/>
        </w:rPr>
        <w:t xml:space="preserve"> </w:t>
      </w:r>
      <w:r>
        <w:rPr>
          <w:rFonts w:ascii="Arial" w:hAnsi="Arial"/>
          <w:color w:val="000000"/>
          <w:sz w:val="20"/>
        </w:rPr>
        <w:t xml:space="preserve">entering into any transaction involving Microsoft securities, including, but not limited to, option exercises, gifts, purchases, and sales of Microsoft stock or debt. Some very limited exceptions apply as described in Section 4 below. The Insider or his or her broker will be asked to answer some preclearance questions in a Preclearance Checklist, which includes a brief description of the nature of the transaction (e.g., exercise of stock option, purchase, sale, gift, etc.), the type and number of Microsoft securities involved, and the proposed date on which the Insider will enter into the transaction. A copy of the Preclearance Checklist may be requested from (**)@microsoft.com. </w:t>
      </w:r>
    </w:p>
    <w:p>
      <w:pPr>
        <w:pStyle w:val="TextBody"/>
        <w:bidi w:val="0"/>
        <w:spacing w:before="200" w:after="283"/>
        <w:jc w:val="left"/>
        <w:rPr>
          <w:rFonts w:ascii="Times New Roman" w:hAnsi="Times New Roman"/>
          <w:sz w:val="20"/>
        </w:rPr>
      </w:pPr>
      <w:r>
        <w:rPr>
          <w:rFonts w:ascii="Arial" w:hAnsi="Arial"/>
          <w:color w:val="000000"/>
          <w:sz w:val="20"/>
        </w:rPr>
        <w:t>Preclearance requests should be sent by email to (**)@microsoft.com. For questions, please call any of the following individuals (“Contacts”):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w:t>
      </w:r>
    </w:p>
    <w:p>
      <w:pPr>
        <w:pStyle w:val="TextBody"/>
        <w:bidi w:val="0"/>
        <w:spacing w:before="200" w:after="283"/>
        <w:jc w:val="left"/>
        <w:rPr>
          <w:rFonts w:ascii="Times New Roman" w:hAnsi="Times New Roman"/>
          <w:sz w:val="20"/>
        </w:rPr>
      </w:pPr>
      <w:r>
        <w:rPr>
          <w:rFonts w:ascii="Arial" w:hAnsi="Arial"/>
          <w:color w:val="000000"/>
          <w:sz w:val="20"/>
        </w:rPr>
        <w:t>As soon as possible following the preclearance request, one of the Contacts will review the transaction and advise the Insider whether he or she may proceed with the transaction.</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C.</w:t>
      </w:r>
    </w:p>
    <w:p>
      <w:pPr>
        <w:pStyle w:val="TextBody"/>
        <w:bidi w:val="0"/>
        <w:spacing w:before="200" w:after="283"/>
        <w:jc w:val="left"/>
        <w:rPr/>
      </w:pPr>
      <w:r>
        <w:rPr>
          <w:rFonts w:ascii="Arial" w:hAnsi="Arial"/>
          <w:color w:val="000000"/>
          <w:sz w:val="20"/>
          <w:u w:val="single"/>
        </w:rPr>
        <w:t>Confirmation of Transaction</w:t>
      </w:r>
      <w:r>
        <w:rPr>
          <w:rFonts w:ascii="Arial" w:hAnsi="Arial"/>
          <w:color w:val="000000"/>
          <w:sz w:val="20"/>
        </w:rPr>
        <w:t xml:space="preserve">. Immediately after the transaction is executed, the Insider or his or her broker must provide the details of the transaction to one or more of the Contacts, either by phone or email to (**)@microsoft.com. This information must include the following: </w:t>
      </w:r>
    </w:p>
    <w:p>
      <w:pPr>
        <w:pStyle w:val="TextBody"/>
        <w:bidi w:val="0"/>
        <w:spacing w:before="120" w:after="283"/>
        <w:jc w:val="left"/>
        <w:rPr>
          <w:rFonts w:ascii="Arial" w:hAnsi="Arial"/>
          <w:color w:val="000000"/>
          <w:sz w:val="20"/>
        </w:rPr>
      </w:pPr>
      <w:r>
        <w:rPr>
          <w:rFonts w:ascii="Arial" w:hAnsi="Arial"/>
          <w:color w:val="000000"/>
          <w:sz w:val="20"/>
        </w:rPr>
        <w:t>i.</w:t>
      </w:r>
    </w:p>
    <w:p>
      <w:pPr>
        <w:pStyle w:val="TextBody"/>
        <w:bidi w:val="0"/>
        <w:spacing w:before="120" w:after="283"/>
        <w:jc w:val="left"/>
        <w:rPr>
          <w:rFonts w:ascii="Arial" w:hAnsi="Arial"/>
          <w:color w:val="000000"/>
          <w:sz w:val="20"/>
        </w:rPr>
      </w:pPr>
      <w:r>
        <w:rPr>
          <w:rFonts w:ascii="Arial" w:hAnsi="Arial"/>
          <w:color w:val="000000"/>
          <w:sz w:val="20"/>
        </w:rPr>
        <w:t xml:space="preserve">type of Microsoft security involved; </w:t>
      </w:r>
    </w:p>
    <w:p>
      <w:pPr>
        <w:pStyle w:val="TextBody"/>
        <w:bidi w:val="0"/>
        <w:spacing w:before="120" w:after="283"/>
        <w:jc w:val="left"/>
        <w:rPr>
          <w:rFonts w:ascii="Arial" w:hAnsi="Arial"/>
          <w:color w:val="000000"/>
          <w:sz w:val="20"/>
        </w:rPr>
      </w:pPr>
      <w:r>
        <w:rPr>
          <w:rFonts w:ascii="Arial" w:hAnsi="Arial"/>
          <w:color w:val="000000"/>
          <w:sz w:val="20"/>
        </w:rPr>
        <w:t>ii.</w:t>
      </w:r>
    </w:p>
    <w:p>
      <w:pPr>
        <w:pStyle w:val="TextBody"/>
        <w:bidi w:val="0"/>
        <w:spacing w:before="120" w:after="283"/>
        <w:jc w:val="left"/>
        <w:rPr>
          <w:rFonts w:ascii="Arial" w:hAnsi="Arial"/>
          <w:color w:val="000000"/>
          <w:sz w:val="20"/>
        </w:rPr>
      </w:pPr>
      <w:r>
        <w:rPr>
          <w:rFonts w:ascii="Arial" w:hAnsi="Arial"/>
          <w:color w:val="000000"/>
          <w:sz w:val="20"/>
        </w:rPr>
        <w:t xml:space="preserve">a brief description of the nature of the transaction (e.g., purchase, sale, exercise, etc.); </w:t>
      </w:r>
    </w:p>
    <w:p>
      <w:pPr>
        <w:pStyle w:val="TextBody"/>
        <w:bidi w:val="0"/>
        <w:spacing w:before="120" w:after="283"/>
        <w:jc w:val="left"/>
        <w:rPr>
          <w:rFonts w:ascii="Arial" w:hAnsi="Arial"/>
          <w:color w:val="000000"/>
          <w:sz w:val="20"/>
        </w:rPr>
      </w:pPr>
      <w:r>
        <w:rPr>
          <w:rFonts w:ascii="Arial" w:hAnsi="Arial"/>
          <w:color w:val="000000"/>
          <w:sz w:val="20"/>
        </w:rPr>
        <w:t>iii.</w:t>
      </w:r>
    </w:p>
    <w:p>
      <w:pPr>
        <w:pStyle w:val="TextBody"/>
        <w:bidi w:val="0"/>
        <w:spacing w:before="120" w:after="283"/>
        <w:jc w:val="left"/>
        <w:rPr>
          <w:rFonts w:ascii="Arial" w:hAnsi="Arial"/>
          <w:color w:val="000000"/>
          <w:sz w:val="20"/>
        </w:rPr>
      </w:pPr>
      <w:r>
        <w:rPr>
          <w:rFonts w:ascii="Arial" w:hAnsi="Arial"/>
          <w:color w:val="000000"/>
          <w:sz w:val="20"/>
        </w:rPr>
        <w:t xml:space="preserve">number of shares involved; </w:t>
      </w:r>
    </w:p>
    <w:p>
      <w:pPr>
        <w:pStyle w:val="TextBody"/>
        <w:bidi w:val="0"/>
        <w:spacing w:before="120" w:after="283"/>
        <w:jc w:val="left"/>
        <w:rPr>
          <w:rFonts w:ascii="Arial" w:hAnsi="Arial"/>
          <w:color w:val="000000"/>
          <w:sz w:val="20"/>
        </w:rPr>
      </w:pPr>
      <w:r>
        <w:rPr>
          <w:rFonts w:ascii="Arial" w:hAnsi="Arial"/>
          <w:color w:val="000000"/>
          <w:sz w:val="20"/>
        </w:rPr>
        <w:t>iv.</w:t>
      </w:r>
    </w:p>
    <w:p>
      <w:pPr>
        <w:pStyle w:val="TextBody"/>
        <w:bidi w:val="0"/>
        <w:spacing w:before="120" w:after="283"/>
        <w:jc w:val="left"/>
        <w:rPr>
          <w:rFonts w:ascii="Arial" w:hAnsi="Arial"/>
          <w:color w:val="000000"/>
          <w:sz w:val="20"/>
        </w:rPr>
      </w:pPr>
      <w:r>
        <w:rPr>
          <w:rFonts w:ascii="Arial" w:hAnsi="Arial"/>
          <w:color w:val="000000"/>
          <w:sz w:val="20"/>
        </w:rPr>
        <w:t>price per share;</w:t>
      </w:r>
    </w:p>
    <w:p>
      <w:pPr>
        <w:pStyle w:val="TextBody"/>
        <w:bidi w:val="0"/>
        <w:spacing w:before="120" w:after="283"/>
        <w:jc w:val="left"/>
        <w:rPr>
          <w:rFonts w:ascii="Arial" w:hAnsi="Arial"/>
          <w:color w:val="000000"/>
          <w:sz w:val="20"/>
        </w:rPr>
      </w:pPr>
      <w:r>
        <w:rPr>
          <w:rFonts w:ascii="Arial" w:hAnsi="Arial"/>
          <w:color w:val="000000"/>
          <w:sz w:val="20"/>
        </w:rPr>
        <w:t>v.</w:t>
      </w:r>
    </w:p>
    <w:p>
      <w:pPr>
        <w:pStyle w:val="TextBody"/>
        <w:bidi w:val="0"/>
        <w:spacing w:before="120" w:after="283"/>
        <w:jc w:val="left"/>
        <w:rPr>
          <w:rFonts w:ascii="Arial" w:hAnsi="Arial"/>
          <w:color w:val="000000"/>
          <w:sz w:val="20"/>
        </w:rPr>
      </w:pPr>
      <w:r>
        <w:rPr>
          <w:rFonts w:ascii="Arial" w:hAnsi="Arial"/>
          <w:color w:val="000000"/>
          <w:sz w:val="20"/>
        </w:rPr>
        <w:t xml:space="preserve">the total aggregate price/value; and </w:t>
      </w:r>
    </w:p>
    <w:p>
      <w:pPr>
        <w:pStyle w:val="TextBody"/>
        <w:bidi w:val="0"/>
        <w:spacing w:before="120" w:after="283"/>
        <w:jc w:val="left"/>
        <w:rPr>
          <w:rFonts w:ascii="Arial" w:hAnsi="Arial"/>
          <w:color w:val="000000"/>
          <w:sz w:val="20"/>
        </w:rPr>
      </w:pPr>
      <w:r>
        <w:rPr>
          <w:rFonts w:ascii="Arial" w:hAnsi="Arial"/>
          <w:color w:val="000000"/>
          <w:sz w:val="20"/>
        </w:rPr>
        <w:t>vi.</w:t>
      </w:r>
    </w:p>
    <w:p>
      <w:pPr>
        <w:pStyle w:val="TextBody"/>
        <w:bidi w:val="0"/>
        <w:spacing w:before="120" w:after="283"/>
        <w:jc w:val="left"/>
        <w:rPr>
          <w:rFonts w:ascii="Arial" w:hAnsi="Arial"/>
          <w:color w:val="000000"/>
          <w:sz w:val="20"/>
        </w:rPr>
      </w:pPr>
      <w:r>
        <w:rPr>
          <w:rFonts w:ascii="Arial" w:hAnsi="Arial"/>
          <w:color w:val="000000"/>
          <w:sz w:val="20"/>
        </w:rPr>
        <w:t>the transaction date.</w:t>
      </w:r>
    </w:p>
    <w:p>
      <w:pPr>
        <w:pStyle w:val="TextBody"/>
        <w:bidi w:val="0"/>
        <w:spacing w:before="200" w:after="283"/>
        <w:jc w:val="left"/>
        <w:rPr>
          <w:rFonts w:ascii="Times New Roman" w:hAnsi="Times New Roman"/>
          <w:sz w:val="20"/>
        </w:rPr>
      </w:pPr>
      <w:r>
        <w:rPr>
          <w:rFonts w:ascii="Arial" w:hAnsi="Arial"/>
          <w:color w:val="000000"/>
          <w:sz w:val="20"/>
        </w:rPr>
        <w:t>Please note that this information must be provided on the date the transaction is executed (commonly referred to as the “trade date”), as opposed to on the date the transaction is settled. In nearly all cases, the trade date is the date that gives rise to the Section 16 reporting obligation.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sz w:val="20"/>
        </w:rPr>
      </w:pPr>
      <w:r>
        <w:rPr>
          <w:rFonts w:ascii="Arial" w:hAnsi="Arial"/>
          <w:b/>
          <w:color w:val="000000"/>
          <w:sz w:val="20"/>
        </w:rPr>
        <w:t xml:space="preserve">4. </w:t>
      </w:r>
      <w:r>
        <w:rPr>
          <w:rFonts w:ascii="Arial" w:hAnsi="Arial"/>
          <w:b/>
          <w:color w:val="000000"/>
          <w:sz w:val="20"/>
          <w:u w:val="single"/>
        </w:rPr>
        <w:t>Application of the Trading Restrictions and Preclearance Policies to Particular Situations</w:t>
      </w:r>
    </w:p>
    <w:p>
      <w:pPr>
        <w:pStyle w:val="TextBody"/>
        <w:bidi w:val="0"/>
        <w:spacing w:before="200" w:after="283"/>
        <w:jc w:val="left"/>
        <w:rPr>
          <w:rFonts w:ascii="Arial" w:hAnsi="Arial"/>
          <w:color w:val="000000"/>
          <w:sz w:val="20"/>
        </w:rPr>
      </w:pPr>
      <w:r>
        <w:rPr>
          <w:rFonts w:ascii="Arial" w:hAnsi="Arial"/>
          <w:color w:val="000000"/>
          <w:sz w:val="20"/>
        </w:rPr>
        <w:t>A.</w:t>
      </w:r>
    </w:p>
    <w:p>
      <w:pPr>
        <w:pStyle w:val="TextBody"/>
        <w:bidi w:val="0"/>
        <w:spacing w:before="200" w:after="283"/>
        <w:jc w:val="left"/>
        <w:rPr/>
      </w:pPr>
      <w:r>
        <w:rPr>
          <w:rFonts w:ascii="Arial" w:hAnsi="Arial"/>
          <w:color w:val="000000"/>
          <w:sz w:val="20"/>
          <w:u w:val="single"/>
        </w:rPr>
        <w:t>Stock Awards</w:t>
      </w:r>
      <w:r>
        <w:rPr>
          <w:rFonts w:ascii="Arial" w:hAnsi="Arial"/>
          <w:color w:val="000000"/>
          <w:sz w:val="20"/>
        </w:rPr>
        <w:t>.</w:t>
      </w:r>
    </w:p>
    <w:p>
      <w:pPr>
        <w:pStyle w:val="TextBody"/>
        <w:bidi w:val="0"/>
        <w:spacing w:before="200" w:after="283"/>
        <w:jc w:val="left"/>
        <w:rPr>
          <w:rFonts w:ascii="Arial" w:hAnsi="Arial"/>
          <w:color w:val="000000"/>
          <w:sz w:val="20"/>
        </w:rPr>
      </w:pPr>
      <w:r>
        <w:rPr>
          <w:rFonts w:ascii="Arial" w:hAnsi="Arial"/>
          <w:color w:val="000000"/>
          <w:sz w:val="20"/>
        </w:rPr>
        <w:t>i.</w:t>
      </w:r>
    </w:p>
    <w:p>
      <w:pPr>
        <w:pStyle w:val="TextBody"/>
        <w:bidi w:val="0"/>
        <w:spacing w:before="200" w:after="283"/>
        <w:jc w:val="left"/>
        <w:rPr/>
      </w:pPr>
      <w:r>
        <w:rPr>
          <w:rFonts w:ascii="Arial" w:hAnsi="Arial"/>
          <w:color w:val="000000"/>
          <w:sz w:val="20"/>
          <w:u w:val="single"/>
        </w:rPr>
        <w:t>Trading Restrictions</w:t>
      </w:r>
      <w:r>
        <w:rPr>
          <w:rFonts w:ascii="Arial" w:hAnsi="Arial"/>
          <w:color w:val="000000"/>
          <w:sz w:val="20"/>
        </w:rPr>
        <w:t>. Transactions involving Microsoft stock received by an Insider pursuant to a Stock Award may be made only in accordance with, and at times permitted by, the trading restrictions contained in Sections 1 and 2 above.</w:t>
      </w:r>
    </w:p>
    <w:p>
      <w:pPr>
        <w:pStyle w:val="TextBody"/>
        <w:bidi w:val="0"/>
        <w:spacing w:before="200" w:after="283"/>
        <w:jc w:val="left"/>
        <w:rPr>
          <w:rFonts w:ascii="Arial" w:hAnsi="Arial"/>
          <w:color w:val="000000"/>
          <w:sz w:val="20"/>
        </w:rPr>
      </w:pPr>
      <w:r>
        <w:rPr>
          <w:rFonts w:ascii="Arial" w:hAnsi="Arial"/>
          <w:color w:val="000000"/>
          <w:sz w:val="20"/>
        </w:rPr>
        <w:t>ii.</w:t>
      </w:r>
    </w:p>
    <w:p>
      <w:pPr>
        <w:pStyle w:val="TextBody"/>
        <w:bidi w:val="0"/>
        <w:spacing w:before="200" w:after="283"/>
        <w:jc w:val="left"/>
        <w:rPr/>
      </w:pPr>
      <w:r>
        <w:rPr>
          <w:rFonts w:ascii="Arial" w:hAnsi="Arial"/>
          <w:color w:val="000000"/>
          <w:sz w:val="20"/>
          <w:u w:val="single"/>
        </w:rPr>
        <w:t>Preclearance and Confirmation</w:t>
      </w:r>
      <w:r>
        <w:rPr>
          <w:rFonts w:ascii="Arial" w:hAnsi="Arial"/>
          <w:color w:val="000000"/>
          <w:sz w:val="20"/>
        </w:rPr>
        <w:t>. Insiders do not need to request preclearance or provide confirmation of receipt of a Stock Award. Insiders must request preclearance and provide confirmation of a transaction as outlined in Section 3 above for any sales of Microsoft stock received under a Stock Award.</w:t>
      </w:r>
    </w:p>
    <w:p>
      <w:pPr>
        <w:pStyle w:val="TextBody"/>
        <w:bidi w:val="0"/>
        <w:spacing w:before="200" w:after="283"/>
        <w:jc w:val="left"/>
        <w:rPr>
          <w:rFonts w:ascii="Arial" w:hAnsi="Arial"/>
          <w:color w:val="000000"/>
          <w:sz w:val="20"/>
        </w:rPr>
      </w:pPr>
      <w:r>
        <w:rPr>
          <w:rFonts w:ascii="Arial" w:hAnsi="Arial"/>
          <w:color w:val="000000"/>
          <w:sz w:val="20"/>
        </w:rPr>
        <w:t>B.</w:t>
      </w:r>
    </w:p>
    <w:p>
      <w:pPr>
        <w:pStyle w:val="TextBody"/>
        <w:bidi w:val="0"/>
        <w:spacing w:before="200" w:after="283"/>
        <w:jc w:val="left"/>
        <w:rPr/>
      </w:pPr>
      <w:r>
        <w:rPr>
          <w:rFonts w:ascii="Arial" w:hAnsi="Arial"/>
          <w:color w:val="000000"/>
          <w:sz w:val="20"/>
          <w:u w:val="single"/>
        </w:rPr>
        <w:t>Gifts</w:t>
      </w:r>
      <w:r>
        <w:rPr>
          <w:rFonts w:ascii="Arial" w:hAnsi="Arial"/>
          <w:color w:val="000000"/>
          <w:sz w:val="20"/>
        </w:rPr>
        <w:t>.</w:t>
      </w:r>
    </w:p>
    <w:p>
      <w:pPr>
        <w:pStyle w:val="TextBody"/>
        <w:bidi w:val="0"/>
        <w:spacing w:before="200" w:after="283"/>
        <w:jc w:val="left"/>
        <w:rPr>
          <w:rFonts w:ascii="Arial" w:hAnsi="Arial"/>
          <w:color w:val="000000"/>
          <w:sz w:val="20"/>
        </w:rPr>
      </w:pPr>
      <w:r>
        <w:rPr>
          <w:rFonts w:ascii="Arial" w:hAnsi="Arial"/>
          <w:color w:val="000000"/>
          <w:sz w:val="20"/>
        </w:rPr>
        <w:t>i.</w:t>
      </w:r>
    </w:p>
    <w:p>
      <w:pPr>
        <w:pStyle w:val="TextBody"/>
        <w:bidi w:val="0"/>
        <w:spacing w:before="200" w:after="283"/>
        <w:jc w:val="left"/>
        <w:rPr/>
      </w:pPr>
      <w:r>
        <w:rPr>
          <w:rFonts w:ascii="Arial" w:hAnsi="Arial"/>
          <w:color w:val="000000"/>
          <w:sz w:val="20"/>
          <w:u w:val="single"/>
        </w:rPr>
        <w:t>Trading Restrictions</w:t>
      </w:r>
      <w:r>
        <w:rPr>
          <w:rFonts w:ascii="Arial" w:hAnsi="Arial"/>
          <w:color w:val="000000"/>
          <w:sz w:val="20"/>
        </w:rPr>
        <w:t>. Gifts of Microsoft stock may be made only in accordance with, and at times permitted by, the trading restrictions contained in Sections 1 and 2 above.</w:t>
      </w:r>
    </w:p>
    <w:p>
      <w:pPr>
        <w:pStyle w:val="TextBody"/>
        <w:bidi w:val="0"/>
        <w:spacing w:before="200" w:after="283"/>
        <w:jc w:val="left"/>
        <w:rPr>
          <w:rFonts w:ascii="Arial" w:hAnsi="Arial"/>
          <w:color w:val="000000"/>
          <w:sz w:val="20"/>
        </w:rPr>
      </w:pPr>
      <w:r>
        <w:rPr>
          <w:rFonts w:ascii="Arial" w:hAnsi="Arial"/>
          <w:color w:val="000000"/>
          <w:sz w:val="20"/>
        </w:rPr>
        <w:t>ii.</w:t>
      </w:r>
    </w:p>
    <w:p>
      <w:pPr>
        <w:pStyle w:val="TextBody"/>
        <w:bidi w:val="0"/>
        <w:spacing w:before="200" w:after="283"/>
        <w:jc w:val="left"/>
        <w:rPr/>
      </w:pPr>
      <w:r>
        <w:rPr>
          <w:rFonts w:ascii="Arial" w:hAnsi="Arial"/>
          <w:color w:val="000000"/>
          <w:sz w:val="20"/>
          <w:u w:val="single"/>
        </w:rPr>
        <w:t>Preclearance and Confirmation</w:t>
      </w:r>
      <w:r>
        <w:rPr>
          <w:rFonts w:ascii="Arial" w:hAnsi="Arial"/>
          <w:color w:val="000000"/>
          <w:sz w:val="20"/>
        </w:rPr>
        <w:t xml:space="preserve">. Any gift is subject to the preclearance requirement and confirmation of the transaction as outlined in Section 3 above. </w:t>
      </w:r>
    </w:p>
    <w:p>
      <w:pPr>
        <w:pStyle w:val="TextBody"/>
        <w:bidi w:val="0"/>
        <w:spacing w:before="200" w:after="283"/>
        <w:jc w:val="left"/>
        <w:rPr>
          <w:rFonts w:ascii="Arial" w:hAnsi="Arial"/>
          <w:color w:val="000000"/>
          <w:sz w:val="20"/>
        </w:rPr>
      </w:pPr>
      <w:r>
        <w:rPr>
          <w:rFonts w:ascii="Arial" w:hAnsi="Arial"/>
          <w:color w:val="000000"/>
          <w:sz w:val="20"/>
        </w:rPr>
        <w:t>C.</w:t>
      </w:r>
    </w:p>
    <w:p>
      <w:pPr>
        <w:pStyle w:val="TextBody"/>
        <w:bidi w:val="0"/>
        <w:spacing w:before="200" w:after="283"/>
        <w:jc w:val="left"/>
        <w:rPr/>
      </w:pPr>
      <w:r>
        <w:rPr>
          <w:rFonts w:ascii="Arial" w:hAnsi="Arial"/>
          <w:color w:val="000000"/>
          <w:sz w:val="20"/>
          <w:u w:val="single"/>
        </w:rPr>
        <w:t>Employee Stock Purchase Plan</w:t>
      </w:r>
      <w:r>
        <w:rPr>
          <w:rFonts w:ascii="Arial" w:hAnsi="Arial"/>
          <w:color w:val="000000"/>
          <w:sz w:val="20"/>
        </w:rPr>
        <w:t>.</w:t>
      </w:r>
    </w:p>
    <w:p>
      <w:pPr>
        <w:pStyle w:val="TextBody"/>
        <w:bidi w:val="0"/>
        <w:spacing w:before="200" w:after="283"/>
        <w:jc w:val="left"/>
        <w:rPr>
          <w:rFonts w:ascii="Arial" w:hAnsi="Arial"/>
          <w:color w:val="000000"/>
          <w:sz w:val="20"/>
        </w:rPr>
      </w:pPr>
      <w:r>
        <w:rPr>
          <w:rFonts w:ascii="Arial" w:hAnsi="Arial"/>
          <w:color w:val="000000"/>
          <w:sz w:val="20"/>
        </w:rPr>
        <w:t>i.</w:t>
      </w:r>
    </w:p>
    <w:p>
      <w:pPr>
        <w:pStyle w:val="TextBody"/>
        <w:bidi w:val="0"/>
        <w:spacing w:before="200" w:after="283"/>
        <w:jc w:val="left"/>
        <w:rPr/>
      </w:pPr>
      <w:r>
        <w:rPr>
          <w:rFonts w:ascii="Arial" w:hAnsi="Arial"/>
          <w:color w:val="000000"/>
          <w:sz w:val="20"/>
          <w:u w:val="single"/>
        </w:rPr>
        <w:t>Trading Restrictions</w:t>
      </w:r>
      <w:r>
        <w:rPr>
          <w:rFonts w:ascii="Arial" w:hAnsi="Arial"/>
          <w:color w:val="000000"/>
          <w:sz w:val="20"/>
        </w:rPr>
        <w:t>. There is no restriction on purchases of Microsoft stock under Microsoft’s Employee Stock Purchase Plan (“ESPP”). However, an Insider’s sale of Microsoft stock purchased pursuant to the ESPP may be made only in accordance with, and at times permitted by, the trading restrictions contained in Sections 1 and 2 above.</w:t>
      </w:r>
    </w:p>
    <w:p>
      <w:pPr>
        <w:pStyle w:val="TextBody"/>
        <w:bidi w:val="0"/>
        <w:spacing w:before="200" w:after="283"/>
        <w:jc w:val="left"/>
        <w:rPr>
          <w:rFonts w:ascii="Arial" w:hAnsi="Arial"/>
          <w:color w:val="000000"/>
          <w:sz w:val="20"/>
        </w:rPr>
      </w:pPr>
      <w:r>
        <w:rPr>
          <w:rFonts w:ascii="Arial" w:hAnsi="Arial"/>
          <w:color w:val="000000"/>
          <w:sz w:val="20"/>
        </w:rPr>
        <w:t>ii.</w:t>
      </w:r>
    </w:p>
    <w:p>
      <w:pPr>
        <w:pStyle w:val="TextBody"/>
        <w:bidi w:val="0"/>
        <w:spacing w:before="200" w:after="283"/>
        <w:jc w:val="left"/>
        <w:rPr/>
      </w:pPr>
      <w:r>
        <w:rPr>
          <w:rFonts w:ascii="Arial" w:hAnsi="Arial"/>
          <w:color w:val="000000"/>
          <w:sz w:val="20"/>
          <w:u w:val="single"/>
        </w:rPr>
        <w:t>Preclearance and Confirmation</w:t>
      </w:r>
      <w:r>
        <w:rPr>
          <w:rFonts w:ascii="Arial" w:hAnsi="Arial"/>
          <w:color w:val="000000"/>
          <w:sz w:val="20"/>
        </w:rPr>
        <w:t>. Insiders do not need to request preclearance or provide confirmation of purchases of Microsoft stock pursuant to an election under the ESPP. However, Insiders must request preclearance and provide confirmation of the transaction as outlined in Section 3 above for any sales of Microsoft stock purchased pursuant to the ESPP.</w:t>
      </w:r>
    </w:p>
    <w:p>
      <w:pPr>
        <w:pStyle w:val="TextBody"/>
        <w:bidi w:val="0"/>
        <w:spacing w:before="200" w:after="283"/>
        <w:jc w:val="left"/>
        <w:rPr>
          <w:rFonts w:ascii="Arial" w:hAnsi="Arial"/>
          <w:color w:val="000000"/>
          <w:sz w:val="20"/>
        </w:rPr>
      </w:pPr>
      <w:r>
        <w:rPr>
          <w:rFonts w:ascii="Arial" w:hAnsi="Arial"/>
          <w:color w:val="000000"/>
          <w:sz w:val="20"/>
        </w:rPr>
        <w:t>D.</w:t>
      </w:r>
    </w:p>
    <w:p>
      <w:pPr>
        <w:pStyle w:val="TextBody"/>
        <w:bidi w:val="0"/>
        <w:spacing w:before="200" w:after="283"/>
        <w:jc w:val="left"/>
        <w:rPr/>
      </w:pPr>
      <w:r>
        <w:rPr>
          <w:rFonts w:ascii="Arial" w:hAnsi="Arial"/>
          <w:color w:val="000000"/>
          <w:sz w:val="20"/>
          <w:u w:val="single"/>
        </w:rPr>
        <w:t>Stock Options</w:t>
      </w:r>
      <w:r>
        <w:rPr>
          <w:rFonts w:ascii="Arial" w:hAnsi="Arial"/>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i.</w:t>
      </w:r>
    </w:p>
    <w:p>
      <w:pPr>
        <w:pStyle w:val="TextBody"/>
        <w:bidi w:val="0"/>
        <w:spacing w:before="200" w:after="283"/>
        <w:jc w:val="left"/>
        <w:rPr/>
      </w:pPr>
      <w:r>
        <w:rPr>
          <w:rFonts w:ascii="Arial" w:hAnsi="Arial"/>
          <w:color w:val="000000"/>
          <w:sz w:val="20"/>
          <w:u w:val="single"/>
        </w:rPr>
        <w:t>Trading Restrictions</w:t>
      </w:r>
      <w:r>
        <w:rPr>
          <w:rFonts w:ascii="Arial" w:hAnsi="Arial"/>
          <w:color w:val="000000"/>
          <w:sz w:val="20"/>
        </w:rPr>
        <w:t xml:space="preserve">. Stock options may be exercised outside an Open Window Period only if the Insider pays the exercise price and withholding taxes in cash, and then holds the shares (also known as an “exercise and hold”). Any sale of stock as part of a broker-assisted cashless exercise of an option, any other market sale for the purpose of generating the cash needed to pay the exercise price of an option, or any delivery of shares to pay the exercise price (if permissible under the applicable stock plan) may only be done in accordance with, and at times permitted by, the trading restrictions described in Section 1 and 2 above. </w:t>
      </w:r>
    </w:p>
    <w:p>
      <w:pPr>
        <w:pStyle w:val="TextBody"/>
        <w:bidi w:val="0"/>
        <w:spacing w:before="200" w:after="283"/>
        <w:jc w:val="left"/>
        <w:rPr>
          <w:rFonts w:ascii="Arial" w:hAnsi="Arial"/>
          <w:color w:val="000000"/>
          <w:sz w:val="20"/>
        </w:rPr>
      </w:pPr>
      <w:r>
        <w:rPr>
          <w:rFonts w:ascii="Arial" w:hAnsi="Arial"/>
          <w:color w:val="000000"/>
          <w:sz w:val="20"/>
        </w:rPr>
        <w:t>ii.</w:t>
      </w:r>
    </w:p>
    <w:p>
      <w:pPr>
        <w:pStyle w:val="TextBody"/>
        <w:bidi w:val="0"/>
        <w:spacing w:before="200" w:after="283"/>
        <w:jc w:val="left"/>
        <w:rPr/>
      </w:pPr>
      <w:r>
        <w:rPr>
          <w:rFonts w:ascii="Arial" w:hAnsi="Arial"/>
          <w:color w:val="000000"/>
          <w:sz w:val="20"/>
          <w:u w:val="single"/>
        </w:rPr>
        <w:t>Preclearance and Confirmation</w:t>
      </w:r>
      <w:r>
        <w:rPr>
          <w:rFonts w:ascii="Arial" w:hAnsi="Arial"/>
          <w:color w:val="000000"/>
          <w:sz w:val="20"/>
        </w:rPr>
        <w:t xml:space="preserve">. Any exercise of an employee stock option is subject to the preclearance requirement and confirmation of transaction process as outlined in Section 3 above. </w:t>
      </w:r>
    </w:p>
    <w:p>
      <w:pPr>
        <w:pStyle w:val="TextBody"/>
        <w:bidi w:val="0"/>
        <w:spacing w:before="200" w:after="283"/>
        <w:jc w:val="left"/>
        <w:rPr>
          <w:rFonts w:ascii="Arial" w:hAnsi="Arial"/>
          <w:color w:val="000000"/>
          <w:sz w:val="20"/>
        </w:rPr>
      </w:pPr>
      <w:r>
        <w:rPr>
          <w:rFonts w:ascii="Arial" w:hAnsi="Arial"/>
          <w:color w:val="000000"/>
          <w:sz w:val="20"/>
        </w:rPr>
        <w:t>E.</w:t>
      </w:r>
    </w:p>
    <w:p>
      <w:pPr>
        <w:pStyle w:val="TextBody"/>
        <w:bidi w:val="0"/>
        <w:spacing w:before="200" w:after="283"/>
        <w:jc w:val="left"/>
        <w:rPr/>
      </w:pPr>
      <w:r>
        <w:rPr>
          <w:rFonts w:ascii="Arial" w:hAnsi="Arial"/>
          <w:color w:val="000000"/>
          <w:sz w:val="20"/>
          <w:u w:val="single"/>
        </w:rPr>
        <w:t>Transactions in Microsoft Stock Pursuant to Rule 10b5-1 Plans</w:t>
      </w:r>
      <w:r>
        <w:rPr>
          <w:rFonts w:ascii="Arial" w:hAnsi="Arial"/>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i.</w:t>
      </w:r>
    </w:p>
    <w:p>
      <w:pPr>
        <w:pStyle w:val="TextBody"/>
        <w:bidi w:val="0"/>
        <w:spacing w:before="200" w:after="283"/>
        <w:jc w:val="left"/>
        <w:rPr/>
      </w:pPr>
      <w:r>
        <w:rPr>
          <w:rFonts w:ascii="Arial" w:hAnsi="Arial"/>
          <w:color w:val="000000"/>
          <w:sz w:val="20"/>
          <w:u w:val="single"/>
        </w:rPr>
        <w:t>Trading Restrictions</w:t>
      </w:r>
      <w:r>
        <w:rPr>
          <w:rFonts w:ascii="Arial" w:hAnsi="Arial"/>
          <w:color w:val="000000"/>
          <w:sz w:val="20"/>
        </w:rPr>
        <w:t>. SEC Rule 10b5-1 allows trading under certain circumstances by Insiders during periods when the Insider would otherwise be prohibited from trading (for example, during periods when the trading window is closed or the insider possesses material, nonpublic information). In order to qualify for the affirmative defense offered by this Rule, the plan must be contained in an agreement that meets certain requirements, and the Insider must not exercise any discretion regarding the transactions under the plan during a period when trading would otherwise be prohibited (typically referred to as a “10b5-1 Plan”). An Insider may make sales of Microsoft stock outside of the Open Window Period or during a blackout period only if such sales are made pursuant to a 10b5-1 Plan that consists of an agreement with the selling broker that has been prepared by a broker-dealer or a lawyer representing the Insider, reviewed and approved by the CELA Corporate Legal Group, and entered into by the Insider at a time that sales could be made in accordance with the restrictions set forth in Sections 1 and 2 above. For additional information regarding 10b5-1 Plans and the policies associated with them, please send email to (**)@microsoft.com.</w:t>
      </w:r>
    </w:p>
    <w:p>
      <w:pPr>
        <w:pStyle w:val="TextBody"/>
        <w:bidi w:val="0"/>
        <w:spacing w:before="200" w:after="283"/>
        <w:jc w:val="left"/>
        <w:rPr>
          <w:rFonts w:ascii="Arial" w:hAnsi="Arial"/>
          <w:color w:val="000000"/>
          <w:sz w:val="20"/>
        </w:rPr>
      </w:pPr>
      <w:r>
        <w:rPr>
          <w:rFonts w:ascii="Arial" w:hAnsi="Arial"/>
          <w:color w:val="000000"/>
          <w:sz w:val="20"/>
        </w:rPr>
        <w:t>ii.</w:t>
      </w:r>
    </w:p>
    <w:p>
      <w:pPr>
        <w:pStyle w:val="TextBody"/>
        <w:bidi w:val="0"/>
        <w:spacing w:before="200" w:after="283"/>
        <w:jc w:val="left"/>
        <w:rPr/>
      </w:pPr>
      <w:r>
        <w:rPr>
          <w:rFonts w:ascii="Arial" w:hAnsi="Arial"/>
          <w:color w:val="000000"/>
          <w:sz w:val="20"/>
          <w:u w:val="single"/>
        </w:rPr>
        <w:t>Preclearance and Confirmation</w:t>
      </w:r>
      <w:r>
        <w:rPr>
          <w:rFonts w:ascii="Arial" w:hAnsi="Arial"/>
          <w:color w:val="000000"/>
          <w:sz w:val="20"/>
        </w:rPr>
        <w:t>. Insiders engaging in transactions under an approved 10b5-1 Plan generally will not have an obligation to request preclearance of such transactions. However, Insiders (or their brokers) must immediately confirm a transaction as provided in Section 3 above upon execution of a transaction under a 10b5-1 Plan.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sz w:val="20"/>
        </w:rPr>
      </w:pPr>
      <w:r>
        <w:rPr>
          <w:rFonts w:ascii="Arial" w:hAnsi="Arial"/>
          <w:b/>
          <w:color w:val="000000"/>
          <w:sz w:val="20"/>
        </w:rPr>
        <w:t xml:space="preserve">5. </w:t>
      </w:r>
      <w:r>
        <w:rPr>
          <w:rFonts w:ascii="Arial" w:hAnsi="Arial"/>
          <w:b/>
          <w:color w:val="000000"/>
          <w:sz w:val="20"/>
          <w:u w:val="single"/>
        </w:rPr>
        <w:t>Tax Services from Microsoft Independent Auditors</w:t>
      </w:r>
    </w:p>
    <w:p>
      <w:pPr>
        <w:pStyle w:val="TextBody"/>
        <w:bidi w:val="0"/>
        <w:spacing w:before="200" w:after="283"/>
        <w:jc w:val="left"/>
        <w:rPr>
          <w:rFonts w:ascii="Times New Roman" w:hAnsi="Times New Roman"/>
          <w:sz w:val="20"/>
        </w:rPr>
      </w:pPr>
      <w:r>
        <w:rPr>
          <w:rFonts w:ascii="Arial" w:hAnsi="Arial"/>
          <w:color w:val="000000"/>
          <w:sz w:val="20"/>
        </w:rPr>
        <w:t>Microsoft’s independent auditor (currently Deloitte &amp; Touche LLP) is prohibited from providing tax services to individuals in a financial reporting oversight role at Microsoft, or immediate family members of such persons, who do not meet the exceptions provided by PCAOB Rule 3523.</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 xml:space="preserve">Employee Insiders not in a financial reporting oversight role and directors may use Microsoft’s independent auditor for individual tax services, after providing advance notice to and receiving approval from CELA (via the </w:t>
      </w:r>
      <w:r>
        <w:rPr>
          <w:rFonts w:ascii="Arial" w:hAnsi="Arial"/>
          <w:i/>
          <w:color w:val="000000"/>
          <w:sz w:val="20"/>
        </w:rPr>
        <w:t>audsvc</w:t>
      </w:r>
      <w:r>
        <w:rPr>
          <w:rFonts w:ascii="Times New Roman" w:hAnsi="Times New Roman"/>
          <w:color w:val="000000"/>
          <w:sz w:val="20"/>
        </w:rPr>
        <w:t xml:space="preserve"> </w:t>
      </w:r>
      <w:r>
        <w:rPr>
          <w:rFonts w:ascii="Arial" w:hAnsi="Arial"/>
          <w:color w:val="000000"/>
          <w:sz w:val="20"/>
        </w:rPr>
        <w:t>alias).</w:t>
      </w:r>
    </w:p>
    <w:p>
      <w:pPr>
        <w:pStyle w:val="TextBody"/>
        <w:bidi w:val="0"/>
        <w:spacing w:before="200" w:after="283"/>
        <w:jc w:val="left"/>
        <w:rPr>
          <w:rFonts w:ascii="Times New Roman" w:hAnsi="Times New Roman"/>
          <w:sz w:val="20"/>
        </w:rPr>
      </w:pPr>
      <w:r>
        <w:rPr>
          <w:rFonts w:ascii="Arial" w:hAnsi="Arial"/>
          <w:color w:val="000000"/>
          <w:sz w:val="20"/>
        </w:rPr>
        <w:t>If you are uncertain whether you a person in a financial reporting oversight role covered by this policy or are otherwise prohibited from using Microsoft’s independent auditor for tax services, you may contact (**)@microsoft.com.</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color w:val="000000"/>
          <w:sz w:val="20"/>
        </w:rPr>
        <w:t xml:space="preserve">6. </w:t>
      </w:r>
      <w:r>
        <w:rPr>
          <w:rFonts w:ascii="Arial" w:hAnsi="Arial"/>
          <w:b/>
          <w:color w:val="000000"/>
          <w:sz w:val="20"/>
          <w:u w:val="single"/>
        </w:rPr>
        <w:t>Covered Persons</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Insiders are subject to the Section 16 reporting requirements with respect to all Microsoft securities that they beneficially own. The determination of “beneficial ownership” is based on the Insider’s direct or economic interest in the securities. Although not exhaustive, we have listed below the primary types of relationships that may give rise to beneficial ownership, thus triggering the Section 16 reporting requirement.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Microsoft shares owned by immediate family members who live with the Insider or use the Insider’s address as their regular address (e.g., spouse, domestic partner, minor children, college students, parents, grandparents, grandchildren, siblings and in-laws).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Microsoft shares held in a trust, if the Insider is: (1) a trustee who has or shares investment control of the trust securities and the Insider or a member of his or her immediate family (whether or not they share the same household) has an economic interest in the trust securities; (2) a beneficiary and has or shares investment control; or (3) a person who has the power to revoke the trust.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Microsoft shares held in the name of a partnership or other entity over which the Insider has a controlling influence.</w:t>
      </w:r>
    </w:p>
    <w:p>
      <w:pPr>
        <w:pStyle w:val="TextBody"/>
        <w:bidi w:val="0"/>
        <w:spacing w:before="200" w:after="283"/>
        <w:jc w:val="left"/>
        <w:rPr>
          <w:rFonts w:ascii="Arial" w:hAnsi="Arial"/>
          <w:color w:val="000000"/>
          <w:sz w:val="20"/>
        </w:rPr>
      </w:pPr>
      <w:r>
        <w:rPr>
          <w:rFonts w:ascii="Arial" w:hAnsi="Arial"/>
          <w:color w:val="000000"/>
          <w:sz w:val="20"/>
        </w:rPr>
        <w:t>Insiders may wish to consult with a Contact or send email to (**)@microsoft.com to clarify reporting responsibilities with respect to any Microsoft securities over which the Insider has voting control or in which the Insider has an economic interest.</w:t>
      </w:r>
    </w:p>
    <w:p>
      <w:pPr>
        <w:pStyle w:val="TextBody"/>
        <w:bidi w:val="0"/>
        <w:spacing w:before="200" w:after="283"/>
        <w:jc w:val="left"/>
        <w:rPr>
          <w:rFonts w:ascii="Times New Roman" w:hAnsi="Times New Roman"/>
          <w:sz w:val="20"/>
        </w:rPr>
      </w:pPr>
      <w:r>
        <w:rPr>
          <w:rFonts w:ascii="Arial" w:hAnsi="Arial"/>
          <w:b/>
          <w:color w:val="000000"/>
          <w:sz w:val="20"/>
        </w:rPr>
        <w:t xml:space="preserve">7. </w:t>
      </w:r>
      <w:r>
        <w:rPr>
          <w:rFonts w:ascii="Arial" w:hAnsi="Arial"/>
          <w:b/>
          <w:color w:val="000000"/>
          <w:sz w:val="20"/>
          <w:u w:val="single"/>
        </w:rPr>
        <w:t>Enforcement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Persons who are found to have traded on material, nonpublic information can face serious criminal and civil penalties. Insiders that violate the prohibition on short-swing profit transactions will be required to disgorge the deemed profit from the transaction to the Company. Any late or delinquent filings are required to be reported in Microsoft’s annual proxy statement. In addition, the SEC has broad authority to seek sanctions from late filers; these sanctions may include significant fines and other penalties. Violation of these policies may result in disciplinary action up to and including immediate termination of employment. Violation of these policies also may be reported in Company filings with the SEC.</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b/>
          <w:color w:val="000000"/>
          <w:sz w:val="20"/>
        </w:rPr>
        <w:t xml:space="preserve">8. </w:t>
      </w:r>
      <w:r>
        <w:rPr>
          <w:rFonts w:ascii="Arial" w:hAnsi="Arial"/>
          <w:b/>
          <w:color w:val="000000"/>
          <w:sz w:val="20"/>
          <w:u w:val="single"/>
        </w:rPr>
        <w:t>Questions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20"/>
        </w:rPr>
        <w:t>Anyone with questions about these policies and procedures, or the application of them to a proposed transaction, may obtain additional guidance by sending email to (**)@microsoft.com. The ultimate responsibility for adhering to these policies and avoiding unlawful transactions rests with the Insider.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msft-ex21.htm"/>
      <w:bookmarkStart w:id="45" w:name="ksmsftex21"/>
      <w:bookmarkEnd w:id="44"/>
      <w:bookmarkEnd w:id="45"/>
      <w:r>
        <w:rPr/>
        <w:t> </w:t>
      </w:r>
      <w:r>
        <w:br w:type="page"/>
      </w:r>
    </w:p>
    <w:p>
      <w:pPr>
        <w:pStyle w:val="TextBody"/>
        <w:bidi w:val="0"/>
        <w:jc w:val="right"/>
        <w:rPr>
          <w:rFonts w:ascii="Arial" w:hAnsi="Arial"/>
          <w:color w:val="000000"/>
          <w:sz w:val="20"/>
        </w:rPr>
      </w:pPr>
      <w:r>
        <w:rPr>
          <w:rFonts w:ascii="Arial" w:hAnsi="Arial"/>
          <w:color w:val="000000"/>
          <w:sz w:val="20"/>
        </w:rPr>
        <w:t>Exhibit 21</w:t>
      </w:r>
    </w:p>
    <w:p>
      <w:pPr>
        <w:pStyle w:val="TextBody"/>
        <w:bidi w:val="0"/>
        <w:spacing w:before="270" w:after="283"/>
        <w:jc w:val="center"/>
        <w:rPr>
          <w:rFonts w:ascii="Times New Roman" w:hAnsi="Times New Roman"/>
          <w:sz w:val="20"/>
        </w:rPr>
      </w:pPr>
      <w:r>
        <w:rPr>
          <w:rFonts w:ascii="Arial" w:hAnsi="Arial"/>
          <w:b/>
          <w:color w:val="000000"/>
          <w:sz w:val="20"/>
        </w:rPr>
        <w:t>SUBSIDIARIES OF REGISTRANT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following is a list of subsidiaries of Microsoft Corporation as of June 30, 2026, omitting subsidiaries which, considered in the aggregate, would not constitute a significant subsidiary.</w:t>
      </w:r>
      <w:r>
        <w:rPr>
          <w:rFonts w:ascii="Times New Roman" w:hAnsi="Times New Roman"/>
          <w:color w:val="000000"/>
          <w:sz w:val="20"/>
        </w:rPr>
        <w:t xml:space="preserve"> </w:t>
      </w:r>
    </w:p>
    <w:p>
      <w:pPr>
        <w:pStyle w:val="TextBody"/>
        <w:bidi w:val="0"/>
        <w:jc w:val="both"/>
        <w:rPr/>
      </w:pPr>
      <w:r>
        <w:rPr/>
        <w:t> </w:t>
      </w:r>
    </w:p>
    <w:tbl>
      <w:tblPr>
        <w:tblW w:w="5953" w:type="dxa"/>
        <w:jc w:val="left"/>
        <w:tblInd w:w="0" w:type="dxa"/>
        <w:tblLayout w:type="fixed"/>
        <w:tblCellMar>
          <w:top w:w="28" w:type="dxa"/>
          <w:left w:w="28" w:type="dxa"/>
          <w:bottom w:w="28" w:type="dxa"/>
          <w:right w:w="28" w:type="dxa"/>
        </w:tblCellMar>
      </w:tblPr>
      <w:tblGrid>
        <w:gridCol w:w="4216"/>
        <w:gridCol w:w="146"/>
        <w:gridCol w:w="1591"/>
      </w:tblGrid>
      <w:tr>
        <w:trPr/>
        <w:tc>
          <w:tcPr>
            <w:tcW w:w="42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before="0" w:after="283"/>
              <w:jc w:val="left"/>
              <w:rPr>
                <w:sz w:val="4"/>
                <w:szCs w:val="4"/>
              </w:rPr>
            </w:pPr>
            <w:r>
              <w:rPr>
                <w:sz w:val="4"/>
                <w:szCs w:val="4"/>
              </w:rPr>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Where Incorporated</w:t>
            </w:r>
          </w:p>
        </w:tc>
      </w:tr>
      <w:tr>
        <w:trPr/>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7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Microsoft Ireland Research Unlimited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Ireland</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Microsoft Global Finance Unlimited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Ireland</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Microsoft Ireland Operations Limited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Ireland</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Microsoft Online,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LinkedIn 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LinkedIn Ireland Unlimited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Ireland</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Activision Blizzard,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Activision Publishing,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r>
    </w:tbl>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6" w:name="msft-ex23_1.htm"/>
      <w:bookmarkStart w:id="47" w:name="ksmsftex23_1"/>
      <w:bookmarkEnd w:id="46"/>
      <w:bookmarkEnd w:id="47"/>
      <w:r>
        <w:rPr/>
        <w:t> </w:t>
      </w:r>
      <w:r>
        <w:br w:type="page"/>
      </w:r>
    </w:p>
    <w:p>
      <w:pPr>
        <w:pStyle w:val="TextBody"/>
        <w:bidi w:val="0"/>
        <w:jc w:val="left"/>
        <w:rPr/>
      </w:pPr>
      <w:r>
        <w:rPr/>
        <w:t> </w:t>
      </w:r>
    </w:p>
    <w:p>
      <w:pPr>
        <w:pStyle w:val="TextBody"/>
        <w:bidi w:val="0"/>
        <w:jc w:val="right"/>
        <w:rPr>
          <w:rFonts w:ascii="Times New Roman" w:hAnsi="Times New Roman"/>
          <w:sz w:val="20"/>
        </w:rPr>
      </w:pPr>
      <w:r>
        <w:rPr>
          <w:rFonts w:ascii="Arial" w:hAnsi="Arial"/>
          <w:color w:val="000000"/>
          <w:sz w:val="20"/>
        </w:rPr>
        <w:t>Exhibit 23.1</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CONSENT OF INDEPENDENT REGISTERED PUBLIC ACCOUNTING FIRM</w:t>
      </w:r>
      <w:r>
        <w:rPr>
          <w:rFonts w:ascii="Times New Roman" w:hAnsi="Times New Roman"/>
          <w:color w:val="000000"/>
          <w:sz w:val="20"/>
        </w:rPr>
        <w:t xml:space="preserve"> </w:t>
      </w:r>
    </w:p>
    <w:p>
      <w:pPr>
        <w:pStyle w:val="TextBody"/>
        <w:bidi w:val="0"/>
        <w:spacing w:before="360" w:after="180"/>
        <w:jc w:val="both"/>
        <w:rPr>
          <w:rFonts w:ascii="Arial" w:hAnsi="Arial"/>
          <w:color w:val="000000"/>
          <w:sz w:val="20"/>
        </w:rPr>
      </w:pPr>
      <w:r>
        <w:rPr>
          <w:rFonts w:ascii="Arial" w:hAnsi="Arial"/>
          <w:color w:val="000000"/>
          <w:sz w:val="20"/>
        </w:rPr>
        <w:t>We consent to the incorporation by reference in Registration Statement Nos. 333-109185, 333-118764, 333-52852, 333-132100, 333-161516, 333-75243, 333-185757, 333-221833, 333-292490, and 333-292496 on Form S-8 and Registration Statement No. 333-283760 on Form S-3 of our reports dated July 29, 2026, relating to the financial statements of Microsoft Corporation and the effectiveness of Microsoft Corporation’s internal control over financial reporting appearing in this Annual Report on Form 10-K of Microsoft Corporation for the year ended June 30, 2026.</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 D</w:t>
      </w:r>
      <w:r>
        <w:rPr>
          <w:rFonts w:ascii="Arial" w:hAnsi="Arial"/>
          <w:color w:val="000000"/>
          <w:sz w:val="15"/>
        </w:rPr>
        <w:t>ELOITTE</w:t>
      </w:r>
      <w:r>
        <w:rPr>
          <w:rFonts w:ascii="Times New Roman" w:hAnsi="Times New Roman"/>
          <w:color w:val="000000"/>
          <w:sz w:val="20"/>
        </w:rPr>
        <w:t xml:space="preserve"> </w:t>
      </w:r>
      <w:r>
        <w:rPr>
          <w:rFonts w:ascii="Arial" w:hAnsi="Arial"/>
          <w:color w:val="000000"/>
          <w:sz w:val="20"/>
        </w:rPr>
        <w:t>&amp; T</w:t>
      </w:r>
      <w:r>
        <w:rPr>
          <w:rFonts w:ascii="Arial" w:hAnsi="Arial"/>
          <w:color w:val="000000"/>
          <w:sz w:val="15"/>
        </w:rPr>
        <w:t>OUCHE</w:t>
      </w:r>
      <w:r>
        <w:rPr>
          <w:rFonts w:ascii="Times New Roman" w:hAnsi="Times New Roman"/>
          <w:color w:val="000000"/>
          <w:sz w:val="20"/>
        </w:rPr>
        <w:t xml:space="preserve"> </w:t>
      </w:r>
      <w:r>
        <w:rPr>
          <w:rFonts w:ascii="Arial" w:hAnsi="Arial"/>
          <w:color w:val="000000"/>
          <w:sz w:val="20"/>
        </w:rPr>
        <w:t>LLP</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Seattle, Washington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July 29, 2026</w:t>
      </w:r>
      <w:r>
        <w:rPr>
          <w:rFonts w:ascii="Times New Roman" w:hAnsi="Times New Roman"/>
          <w:color w:val="000000"/>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msft-ex31_1.htm"/>
      <w:bookmarkStart w:id="49" w:name="ksmsftex31_1"/>
      <w:bookmarkEnd w:id="48"/>
      <w:bookmarkEnd w:id="49"/>
      <w:r>
        <w:rPr/>
        <w:t> </w:t>
      </w:r>
      <w:r>
        <w:br w:type="page"/>
      </w:r>
    </w:p>
    <w:p>
      <w:pPr>
        <w:pStyle w:val="TextBody"/>
        <w:bidi w:val="0"/>
        <w:jc w:val="right"/>
        <w:rPr>
          <w:rFonts w:ascii="Arial" w:hAnsi="Arial"/>
          <w:color w:val="000000"/>
          <w:sz w:val="20"/>
        </w:rPr>
      </w:pPr>
      <w:r>
        <w:rPr>
          <w:rFonts w:ascii="Arial" w:hAnsi="Arial"/>
          <w:color w:val="000000"/>
          <w:sz w:val="20"/>
        </w:rPr>
        <w:t>Exhibit 31.1</w:t>
      </w:r>
    </w:p>
    <w:p>
      <w:pPr>
        <w:pStyle w:val="TextBody"/>
        <w:bidi w:val="0"/>
        <w:spacing w:before="180" w:after="283"/>
        <w:jc w:val="center"/>
        <w:rPr>
          <w:rFonts w:ascii="Arial" w:hAnsi="Arial"/>
          <w:b/>
          <w:color w:val="000000"/>
          <w:sz w:val="20"/>
        </w:rPr>
      </w:pPr>
      <w:r>
        <w:rPr>
          <w:rFonts w:ascii="Arial" w:hAnsi="Arial"/>
          <w:b/>
          <w:color w:val="000000"/>
          <w:sz w:val="20"/>
        </w:rPr>
        <w:t>CERTIFICATION</w:t>
      </w:r>
    </w:p>
    <w:p>
      <w:pPr>
        <w:pStyle w:val="TextBody"/>
        <w:bidi w:val="0"/>
        <w:spacing w:before="180" w:after="283"/>
        <w:jc w:val="both"/>
        <w:rPr>
          <w:rFonts w:ascii="Times New Roman" w:hAnsi="Times New Roman"/>
          <w:sz w:val="20"/>
        </w:rPr>
      </w:pPr>
      <w:r>
        <w:rPr>
          <w:rFonts w:ascii="Arial" w:hAnsi="Arial"/>
          <w:color w:val="000000"/>
          <w:sz w:val="20"/>
        </w:rPr>
        <w:t>I, Satya Nadella, certify that: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I have reviewed this annual report on Form 10-K of Microsoft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both"/>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S</w:t>
            </w:r>
            <w:r>
              <w:rPr>
                <w:rFonts w:ascii="Arial" w:hAnsi="Arial"/>
                <w:color w:val="000000"/>
                <w:sz w:val="15"/>
              </w:rPr>
              <w:t>ATYA</w:t>
            </w:r>
            <w:r>
              <w:rPr>
                <w:rFonts w:ascii="Times New Roman" w:hAnsi="Times New Roman"/>
                <w:color w:val="000000"/>
                <w:sz w:val="20"/>
              </w:rPr>
              <w:t> </w:t>
            </w:r>
            <w:r>
              <w:rPr>
                <w:rFonts w:ascii="Arial" w:hAnsi="Arial"/>
                <w:color w:val="000000"/>
                <w:sz w:val="20"/>
              </w:rPr>
              <w:t>N</w:t>
            </w:r>
            <w:r>
              <w:rPr>
                <w:rFonts w:ascii="Arial" w:hAnsi="Arial"/>
                <w:color w:val="000000"/>
                <w:sz w:val="15"/>
              </w:rPr>
              <w:t>ADELLA</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Satya Nadella</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spacing w:before="180" w:after="283"/>
        <w:jc w:val="both"/>
        <w:rPr>
          <w:rFonts w:ascii="Times New Roman" w:hAnsi="Times New Roman"/>
          <w:sz w:val="20"/>
        </w:rPr>
      </w:pPr>
      <w:r>
        <w:rPr>
          <w:rFonts w:ascii="Arial" w:hAnsi="Arial"/>
          <w:color w:val="000000"/>
          <w:sz w:val="20"/>
        </w:rPr>
        <w:t>July 29, 2026</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0" w:name="msft-ex31_2.htm"/>
      <w:bookmarkStart w:id="51" w:name="ksmsftex31_2"/>
      <w:bookmarkEnd w:id="50"/>
      <w:bookmarkEnd w:id="51"/>
      <w:r>
        <w:rPr/>
        <w:t> </w:t>
      </w:r>
      <w:r>
        <w:br w:type="page"/>
      </w:r>
    </w:p>
    <w:p>
      <w:pPr>
        <w:pStyle w:val="TextBody"/>
        <w:bidi w:val="0"/>
        <w:jc w:val="right"/>
        <w:rPr>
          <w:rFonts w:ascii="Arial" w:hAnsi="Arial"/>
          <w:color w:val="000000"/>
          <w:sz w:val="20"/>
        </w:rPr>
      </w:pPr>
      <w:r>
        <w:rPr>
          <w:rFonts w:ascii="Arial" w:hAnsi="Arial"/>
          <w:color w:val="000000"/>
          <w:sz w:val="20"/>
        </w:rPr>
        <w:t>Exhibit 31.2</w:t>
      </w:r>
    </w:p>
    <w:p>
      <w:pPr>
        <w:pStyle w:val="TextBody"/>
        <w:bidi w:val="0"/>
        <w:spacing w:before="180" w:after="283"/>
        <w:jc w:val="center"/>
        <w:rPr>
          <w:rFonts w:ascii="Arial" w:hAnsi="Arial"/>
          <w:b/>
          <w:color w:val="000000"/>
          <w:sz w:val="20"/>
        </w:rPr>
      </w:pPr>
      <w:r>
        <w:rPr>
          <w:rFonts w:ascii="Arial" w:hAnsi="Arial"/>
          <w:b/>
          <w:color w:val="000000"/>
          <w:sz w:val="20"/>
        </w:rPr>
        <w:t>CERTIFICATION</w:t>
      </w:r>
    </w:p>
    <w:p>
      <w:pPr>
        <w:pStyle w:val="TextBody"/>
        <w:bidi w:val="0"/>
        <w:spacing w:before="180" w:after="283"/>
        <w:jc w:val="both"/>
        <w:rPr>
          <w:rFonts w:ascii="Times New Roman" w:hAnsi="Times New Roman"/>
          <w:sz w:val="20"/>
        </w:rPr>
      </w:pPr>
      <w:r>
        <w:rPr>
          <w:rFonts w:ascii="Arial" w:hAnsi="Arial"/>
          <w:color w:val="000000"/>
          <w:sz w:val="20"/>
        </w:rPr>
        <w:t>I, Amy E. Hood, certify that: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I have reviewed this annual report on Form 10-K of Microsoft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both"/>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283"/>
              <w:jc w:val="left"/>
              <w:rPr>
                <w:sz w:val="4"/>
                <w:szCs w:val="4"/>
              </w:rPr>
            </w:pPr>
            <w:r>
              <w:rPr>
                <w:sz w:val="4"/>
                <w:szCs w:val="4"/>
              </w:rPr>
            </w:r>
          </w:p>
        </w:tc>
      </w:tr>
      <w:tr>
        <w:trPr/>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A</w:t>
            </w:r>
            <w:r>
              <w:rPr>
                <w:rFonts w:ascii="Arial" w:hAnsi="Arial"/>
                <w:color w:val="000000"/>
                <w:sz w:val="15"/>
              </w:rPr>
              <w:t>MY</w:t>
            </w:r>
            <w:r>
              <w:rPr>
                <w:rFonts w:ascii="Times New Roman" w:hAnsi="Times New Roman"/>
                <w:color w:val="000000"/>
                <w:sz w:val="20"/>
              </w:rPr>
              <w:t> </w:t>
            </w:r>
            <w:r>
              <w:rPr>
                <w:rFonts w:ascii="Arial" w:hAnsi="Arial"/>
                <w:color w:val="000000"/>
                <w:sz w:val="20"/>
              </w:rPr>
              <w:t>E. H</w:t>
            </w:r>
            <w:r>
              <w:rPr>
                <w:rFonts w:ascii="Arial" w:hAnsi="Arial"/>
                <w:color w:val="000000"/>
                <w:sz w:val="15"/>
              </w:rPr>
              <w:t>OOD</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Amy E. Hood</w:t>
            </w:r>
          </w:p>
        </w:tc>
      </w:tr>
      <w:tr>
        <w:trPr/>
        <w:tc>
          <w:tcPr>
            <w:tcW w:w="274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Executive Vice President and</w:t>
            </w:r>
          </w:p>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spacing w:before="180" w:after="283"/>
        <w:jc w:val="both"/>
        <w:rPr>
          <w:rFonts w:ascii="Times New Roman" w:hAnsi="Times New Roman"/>
          <w:sz w:val="20"/>
        </w:rPr>
      </w:pPr>
      <w:r>
        <w:rPr>
          <w:rFonts w:ascii="Arial" w:hAnsi="Arial"/>
          <w:color w:val="000000"/>
          <w:sz w:val="20"/>
        </w:rPr>
        <w:t>July 29, 2026</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2" w:name="msft-ex32_1.htm"/>
      <w:bookmarkStart w:id="53" w:name="ksmsftex32_1"/>
      <w:bookmarkEnd w:id="52"/>
      <w:bookmarkEnd w:id="53"/>
      <w:r>
        <w:rPr/>
        <w:t> </w:t>
      </w:r>
      <w:r>
        <w:br w:type="page"/>
      </w:r>
    </w:p>
    <w:p>
      <w:pPr>
        <w:pStyle w:val="TextBody"/>
        <w:bidi w:val="0"/>
        <w:jc w:val="right"/>
        <w:rPr>
          <w:rFonts w:ascii="Times New Roman" w:hAnsi="Times New Roman"/>
          <w:sz w:val="20"/>
        </w:rPr>
      </w:pPr>
      <w:r>
        <w:rPr>
          <w:rFonts w:ascii="Arial" w:hAnsi="Arial"/>
          <w:color w:val="000000"/>
          <w:sz w:val="20"/>
        </w:rPr>
        <w:t>Exhibit 32.1</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connection with the Annual Report of Microsoft Corporation, a Washington corporation (the “Company”), on Form 10-K for the year ended June 30, 2026, as filed with the Securities and Exchange Commission (the “Report”), Satya Nadella, Chief Executive Officer of the Company, does hereby certify, pursuant to § 906 of the Sarbanes-Oxley Act of 2002 (18 U.S.C. § 1350), that to his knowledge: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both"/>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S</w:t>
            </w:r>
            <w:r>
              <w:rPr>
                <w:rFonts w:ascii="Arial" w:hAnsi="Arial"/>
                <w:color w:val="000000"/>
                <w:sz w:val="15"/>
              </w:rPr>
              <w:t>ATYA</w:t>
            </w:r>
            <w:r>
              <w:rPr>
                <w:rFonts w:ascii="Times New Roman" w:hAnsi="Times New Roman"/>
                <w:color w:val="000000"/>
                <w:sz w:val="20"/>
              </w:rPr>
              <w:t> </w:t>
            </w:r>
            <w:r>
              <w:rPr>
                <w:rFonts w:ascii="Arial" w:hAnsi="Arial"/>
                <w:color w:val="000000"/>
                <w:sz w:val="20"/>
              </w:rPr>
              <w:t>N</w:t>
            </w:r>
            <w:r>
              <w:rPr>
                <w:rFonts w:ascii="Arial" w:hAnsi="Arial"/>
                <w:color w:val="000000"/>
                <w:sz w:val="15"/>
              </w:rPr>
              <w:t>ADELLA</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Satya Nadella</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spacing w:before="180" w:after="283"/>
        <w:jc w:val="both"/>
        <w:rPr>
          <w:rFonts w:ascii="Times New Roman" w:hAnsi="Times New Roman"/>
          <w:sz w:val="20"/>
        </w:rPr>
      </w:pPr>
      <w:r>
        <w:rPr>
          <w:rFonts w:ascii="Arial" w:hAnsi="Arial"/>
          <w:color w:val="000000"/>
          <w:sz w:val="20"/>
        </w:rPr>
        <w:t>July 29, 2026</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signed original of this written statement required by Section 906 has been provided to Microsoft Corporation and will be retained by Microsoft Corporation and furnished to the Securities and Exchange Commission or its staff upon request.]</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4" w:name="msft-ex32_2.htm"/>
      <w:bookmarkStart w:id="55" w:name="ksmsftex32_2"/>
      <w:bookmarkEnd w:id="54"/>
      <w:bookmarkEnd w:id="55"/>
      <w:r>
        <w:rPr/>
        <w:t> </w:t>
      </w:r>
      <w:r>
        <w:br w:type="page"/>
      </w:r>
    </w:p>
    <w:p>
      <w:pPr>
        <w:pStyle w:val="TextBody"/>
        <w:bidi w:val="0"/>
        <w:jc w:val="right"/>
        <w:rPr>
          <w:rFonts w:ascii="Times New Roman" w:hAnsi="Times New Roman"/>
          <w:sz w:val="20"/>
        </w:rPr>
      </w:pPr>
      <w:r>
        <w:rPr>
          <w:rFonts w:ascii="Arial" w:hAnsi="Arial"/>
          <w:color w:val="000000"/>
          <w:sz w:val="20"/>
        </w:rPr>
        <w:t>Exhibit 32.2</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connection with the Annual Report of Microsoft Corporation, a Washington corporation (the “Company”), on Form 10-K for the year ended June 30, 2026, as filed with the Securities and Exchange Commission (the “Report”), Amy E. Hood, Chief Financial Officer of the Company, does hereby certify, pursuant to § 906 of the Sarbanes-Oxley Act of 2002 (18 U.S.C. § 1350), that to her knowledge: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283"/>
              <w:jc w:val="left"/>
              <w:rPr>
                <w:sz w:val="4"/>
                <w:szCs w:val="4"/>
              </w:rPr>
            </w:pPr>
            <w:r>
              <w:rPr>
                <w:sz w:val="4"/>
                <w:szCs w:val="4"/>
              </w:rPr>
            </w:r>
          </w:p>
        </w:tc>
      </w:tr>
      <w:tr>
        <w:trPr/>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A</w:t>
            </w:r>
            <w:r>
              <w:rPr>
                <w:rFonts w:ascii="Arial" w:hAnsi="Arial"/>
                <w:color w:val="000000"/>
                <w:sz w:val="15"/>
              </w:rPr>
              <w:t>MY</w:t>
            </w:r>
            <w:r>
              <w:rPr>
                <w:rFonts w:ascii="Times New Roman" w:hAnsi="Times New Roman"/>
                <w:color w:val="000000"/>
                <w:sz w:val="20"/>
              </w:rPr>
              <w:t> </w:t>
            </w:r>
            <w:r>
              <w:rPr>
                <w:rFonts w:ascii="Arial" w:hAnsi="Arial"/>
                <w:color w:val="000000"/>
                <w:sz w:val="20"/>
              </w:rPr>
              <w:t>E. H</w:t>
            </w:r>
            <w:r>
              <w:rPr>
                <w:rFonts w:ascii="Arial" w:hAnsi="Arial"/>
                <w:color w:val="000000"/>
                <w:sz w:val="15"/>
              </w:rPr>
              <w:t>OOD</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Amy E. Hood</w:t>
            </w:r>
          </w:p>
        </w:tc>
      </w:tr>
      <w:tr>
        <w:trPr/>
        <w:tc>
          <w:tcPr>
            <w:tcW w:w="2746" w:type="dxa"/>
            <w:tcBorders/>
            <w:tcMar>
              <w:top w:w="0" w:type="dxa"/>
              <w:left w:w="0" w:type="dxa"/>
              <w:bottom w:w="0" w:type="dxa"/>
              <w:right w:w="0" w:type="dxa"/>
            </w:tcMar>
            <w:vAlign w:val="center"/>
          </w:tcPr>
          <w:p>
            <w:pPr>
              <w:pStyle w:val="TableContents"/>
              <w:bidi w:val="0"/>
              <w:jc w:val="both"/>
              <w:rPr>
                <w:rFonts w:ascii="Arial" w:hAnsi="Arial"/>
                <w:color w:val="000000"/>
                <w:sz w:val="20"/>
              </w:rPr>
            </w:pPr>
            <w:r>
              <w:rPr>
                <w:rFonts w:ascii="Arial" w:hAnsi="Arial"/>
                <w:color w:val="000000"/>
                <w:sz w:val="20"/>
              </w:rPr>
              <w:t>Executive Vice President and</w:t>
            </w:r>
          </w:p>
          <w:p>
            <w:pPr>
              <w:pStyle w:val="TableContents"/>
              <w:bidi w:val="0"/>
              <w:spacing w:before="0" w:after="283"/>
              <w:jc w:val="both"/>
              <w:rPr>
                <w:rFonts w:ascii="Arial" w:hAnsi="Arial"/>
                <w:color w:val="000000"/>
                <w:sz w:val="20"/>
              </w:rPr>
            </w:pPr>
            <w:r>
              <w:rPr>
                <w:rFonts w:ascii="Arial" w:hAnsi="Arial"/>
                <w:color w:val="000000"/>
                <w:sz w:val="20"/>
              </w:rPr>
              <w:t>Chief Financial Officer</w:t>
            </w:r>
          </w:p>
        </w:tc>
      </w:tr>
    </w:tbl>
    <w:p>
      <w:pPr>
        <w:pStyle w:val="TextBody"/>
        <w:bidi w:val="0"/>
        <w:spacing w:before="180" w:after="283"/>
        <w:jc w:val="both"/>
        <w:rPr>
          <w:rFonts w:ascii="Times New Roman" w:hAnsi="Times New Roman"/>
          <w:sz w:val="20"/>
        </w:rPr>
      </w:pPr>
      <w:r>
        <w:rPr>
          <w:rFonts w:ascii="Arial" w:hAnsi="Arial"/>
          <w:color w:val="000000"/>
          <w:sz w:val="20"/>
        </w:rPr>
        <w:t>July 29, 2026</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 signed original of this written statement required by Section 906 has been provided to Microsoft Corporation and will be retained by Microsoft Corporation and furnished to the Securities and Exchange Commission or its staff upon request.]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6" w:name="msft-ex97_1.htm"/>
      <w:bookmarkStart w:id="57" w:name="ksmsftex97_1"/>
      <w:bookmarkEnd w:id="56"/>
      <w:bookmarkEnd w:id="57"/>
      <w:r>
        <w:rPr/>
        <w:t> </w:t>
      </w:r>
      <w:r>
        <w:br w:type="page"/>
      </w:r>
    </w:p>
    <w:p>
      <w:pPr>
        <w:pStyle w:val="TextBody"/>
        <w:bidi w:val="0"/>
        <w:jc w:val="right"/>
        <w:rPr>
          <w:rFonts w:ascii="Arial" w:hAnsi="Arial"/>
          <w:color w:val="000000"/>
          <w:sz w:val="20"/>
        </w:rPr>
      </w:pPr>
      <w:r>
        <w:rPr>
          <w:rFonts w:ascii="Arial" w:hAnsi="Arial"/>
          <w:color w:val="000000"/>
          <w:sz w:val="20"/>
        </w:rPr>
        <w:t>Exhibit 97.1</w:t>
      </w:r>
    </w:p>
    <w:p>
      <w:pPr>
        <w:pStyle w:val="TextBody"/>
        <w:bidi w:val="0"/>
        <w:spacing w:before="220" w:after="283"/>
        <w:jc w:val="center"/>
        <w:rPr>
          <w:rFonts w:ascii="Aptos;sans-serif" w:hAnsi="Aptos;sans-serif"/>
          <w:b/>
          <w:color w:val="000000"/>
          <w:sz w:val="22"/>
        </w:rPr>
      </w:pPr>
      <w:r>
        <w:rPr>
          <w:rFonts w:ascii="Aptos;sans-serif" w:hAnsi="Aptos;sans-serif"/>
          <w:b/>
          <w:color w:val="000000"/>
          <w:sz w:val="22"/>
        </w:rPr>
        <w:t>Microsoft Corporation</w:t>
      </w:r>
    </w:p>
    <w:p>
      <w:pPr>
        <w:pStyle w:val="TextBody"/>
        <w:bidi w:val="0"/>
        <w:jc w:val="center"/>
        <w:rPr>
          <w:rFonts w:ascii="Aptos;sans-serif" w:hAnsi="Aptos;sans-serif"/>
          <w:b/>
          <w:color w:val="000000"/>
          <w:sz w:val="22"/>
        </w:rPr>
      </w:pPr>
      <w:r>
        <w:rPr>
          <w:rFonts w:ascii="Aptos;sans-serif" w:hAnsi="Aptos;sans-serif"/>
          <w:b/>
          <w:color w:val="000000"/>
          <w:sz w:val="22"/>
        </w:rPr>
        <w:t>Executive Compensation Recovery Policy</w:t>
      </w:r>
    </w:p>
    <w:p>
      <w:pPr>
        <w:pStyle w:val="TextBody"/>
        <w:bidi w:val="0"/>
        <w:spacing w:before="220" w:after="283"/>
        <w:jc w:val="left"/>
        <w:rPr>
          <w:rFonts w:ascii="Times New Roman" w:hAnsi="Times New Roman"/>
          <w:sz w:val="20"/>
        </w:rPr>
      </w:pPr>
      <w:r>
        <w:rPr>
          <w:rFonts w:ascii="Aptos;sans-serif" w:hAnsi="Aptos;sans-serif"/>
          <w:color w:val="000000"/>
          <w:sz w:val="22"/>
        </w:rPr>
        <w:t xml:space="preserve">This policy covers Microsoft’s Covered Officers and explains when Microsoft will be required or authorized, as applicable, to seek recovery of Incentive Compensation awarded or paid to Covered Officers. Please refer to </w:t>
      </w:r>
      <w:r>
        <w:rPr>
          <w:rFonts w:ascii="Aptos;sans-serif" w:hAnsi="Aptos;sans-serif"/>
          <w:color w:val="000000"/>
          <w:sz w:val="22"/>
          <w:u w:val="single"/>
        </w:rPr>
        <w:t>Exhibit A</w:t>
      </w:r>
      <w:r>
        <w:rPr>
          <w:rFonts w:ascii="Times New Roman" w:hAnsi="Times New Roman"/>
          <w:color w:val="000000"/>
          <w:sz w:val="20"/>
        </w:rPr>
        <w:t xml:space="preserve"> </w:t>
      </w:r>
      <w:r>
        <w:rPr>
          <w:rFonts w:ascii="Aptos;sans-serif" w:hAnsi="Aptos;sans-serif"/>
          <w:color w:val="000000"/>
          <w:sz w:val="22"/>
        </w:rPr>
        <w:t>attached hereto (the “</w:t>
      </w:r>
      <w:r>
        <w:rPr>
          <w:rFonts w:ascii="Aptos;sans-serif" w:hAnsi="Aptos;sans-serif"/>
          <w:color w:val="000000"/>
          <w:sz w:val="22"/>
          <w:u w:val="single"/>
        </w:rPr>
        <w:t>Definitions Exhibit</w:t>
      </w:r>
      <w:r>
        <w:rPr>
          <w:rFonts w:ascii="Times New Roman" w:hAnsi="Times New Roman"/>
          <w:color w:val="000000"/>
          <w:sz w:val="20"/>
        </w:rPr>
        <w:t>”</w:t>
      </w:r>
      <w:r>
        <w:rPr>
          <w:rFonts w:ascii="Aptos;sans-serif" w:hAnsi="Aptos;sans-serif"/>
          <w:color w:val="000000"/>
          <w:sz w:val="22"/>
        </w:rPr>
        <w:t>) for the definitions of capitalized terms used throughout this Policy.</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1.</w:t>
      </w:r>
    </w:p>
    <w:p>
      <w:pPr>
        <w:pStyle w:val="TextBody"/>
        <w:bidi w:val="0"/>
        <w:spacing w:before="220" w:after="283"/>
        <w:jc w:val="left"/>
        <w:rPr/>
      </w:pPr>
      <w:r>
        <w:rPr>
          <w:rFonts w:ascii="Aptos;sans-serif" w:hAnsi="Aptos;sans-serif"/>
          <w:b/>
          <w:color w:val="000000"/>
          <w:sz w:val="22"/>
        </w:rPr>
        <w:t xml:space="preserve">Miscalculation of Financial Performance Measure Results. </w:t>
      </w:r>
      <w:r>
        <w:rPr>
          <w:rFonts w:ascii="Aptos;sans-serif" w:hAnsi="Aptos;sans-serif"/>
          <w:color w:val="000000"/>
          <w:sz w:val="22"/>
        </w:rPr>
        <w:t>In the event of a Restatement,</w:t>
      </w:r>
      <w:r>
        <w:rPr>
          <w:color w:val="000000"/>
        </w:rPr>
        <w:t xml:space="preserve"> </w:t>
      </w:r>
      <w:r>
        <w:rPr>
          <w:rFonts w:ascii="Aptos;sans-serif" w:hAnsi="Aptos;sans-serif"/>
          <w:color w:val="000000"/>
          <w:sz w:val="22"/>
        </w:rPr>
        <w:t>Microsoft will seek to recover, reasonably promptly, all Recoverable Incentive Compensation from a Covered Officer during the Applicable Period. Such recovery, in the case of a Restatement, will be made without regard to any individual knowledge or responsibility related to the Restatement or the Recoverable Incentive Compensation. Notwithstanding the foregoing, if Microsoft is required to undertake a Restatement, Microsoft will not be required to recover the Recoverable Incentive Compensation if the Compensation Committee determines it Impracticable to do so, after exercising a normal due process review of all the relevant facts and circumstances.</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Microsoft will seek to recover all Recoverable Incentive Compensation that was awarded or paid in accordance with the definition of “Recoverable Incentive Compensation” set forth on the Definitions Exhibit. If such Recoverable Incentive Compensation was not awarded or paid on a formulaic basis, Microsoft will seek to recover the amount that the Compensation Committee determines in good faith should be recouped.</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2.</w:t>
      </w:r>
    </w:p>
    <w:p>
      <w:pPr>
        <w:pStyle w:val="TextBody"/>
        <w:bidi w:val="0"/>
        <w:spacing w:before="220" w:after="283"/>
        <w:jc w:val="left"/>
        <w:rPr/>
      </w:pPr>
      <w:r>
        <w:rPr>
          <w:rFonts w:ascii="Aptos;sans-serif" w:hAnsi="Aptos;sans-serif"/>
          <w:b/>
          <w:color w:val="000000"/>
          <w:sz w:val="22"/>
        </w:rPr>
        <w:t>Legal and Compliance Violations</w:t>
      </w:r>
      <w:r>
        <w:rPr>
          <w:rFonts w:ascii="Aptos;sans-serif" w:hAnsi="Aptos;sans-serif"/>
          <w:color w:val="000000"/>
          <w:sz w:val="22"/>
        </w:rPr>
        <w:t>. Compliance with the law and Microsoft’s Standards of Business Conduct and other corporate policies is a pre-condition to earning Incentive Compensation. If Microsoft in its sole discretion concludes that a Covered Officer (1) committed a significant legal or compliance violation in connection with the Covered Officer’s employment, including a violation of Microsoft’s corporate policies or Microsoft’s Standards of Business Conduct (each, “</w:t>
      </w:r>
      <w:r>
        <w:rPr>
          <w:rFonts w:ascii="Aptos;sans-serif" w:hAnsi="Aptos;sans-serif"/>
          <w:color w:val="000000"/>
          <w:sz w:val="22"/>
          <w:u w:val="single"/>
        </w:rPr>
        <w:t>Misconduct</w:t>
      </w:r>
      <w:r>
        <w:rPr>
          <w:color w:val="000000"/>
        </w:rPr>
        <w:t>”</w:t>
      </w:r>
      <w:r>
        <w:rPr>
          <w:rFonts w:ascii="Aptos;sans-serif" w:hAnsi="Aptos;sans-serif"/>
          <w:color w:val="000000"/>
          <w:sz w:val="22"/>
        </w:rPr>
        <w:t>), or (2) was aware of or willfully blind to Misconduct that occurred in an area over which the Covered Officer had supervisory authority, Microsoft may, at the direction of the Compensation Committee, seek recovery of all or a portion of the Recoverable Incentive Compensation awarded or paid to the Covered Officer for the Applicable Period in which the violation occurred. In addition, Microsoft may, at the direction of the Compensation Committee, conclude that any unpaid or unvested Incentive Compensation has not been earned and must be forfeited.</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In the event of Misconduct, Microsoft may seek recovery of Recoverable Incentive Compensation even if the Misconduct did not result in an award or payment greater than would have been awarded or paid absent the Misconduct.</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In the event of Misconduct, in determining whether to seek recovery and the amount, if any, by which the payment or award should be reduced, the Compensation Committee may consider—among other things— the seriousness of the Misconduct, whether the Covered Officer was unjustly enriched, whether seeking the recovery would prejudice Microsoft’s interests in any way, including in a proceeding or investigation, and any other factors it deems relevant to the determination.</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3.</w:t>
      </w:r>
    </w:p>
    <w:p>
      <w:pPr>
        <w:pStyle w:val="TextBody"/>
        <w:bidi w:val="0"/>
        <w:spacing w:before="220" w:after="283"/>
        <w:jc w:val="left"/>
        <w:rPr/>
      </w:pPr>
      <w:r>
        <w:rPr>
          <w:rFonts w:ascii="Aptos;sans-serif" w:hAnsi="Aptos;sans-serif"/>
          <w:b/>
          <w:color w:val="000000"/>
          <w:sz w:val="22"/>
        </w:rPr>
        <w:t>Other Actions</w:t>
      </w:r>
      <w:r>
        <w:rPr>
          <w:rFonts w:ascii="Aptos;sans-serif" w:hAnsi="Aptos;sans-serif"/>
          <w:color w:val="000000"/>
          <w:sz w:val="22"/>
        </w:rPr>
        <w:t>. The Compensation Committee may, subject to applicable law, seek recovery in the manner it chooses, including by seeking reimbursement from the Covered Officer of all or part of the compensation awarded or paid, by electing to withhold unpaid compensation, by set-off, or by rescinding or canceling unvested stock.</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In the reasonable exercise of its business judgment under this Policy, the Compensation Committee may in its sole discretion determine whether and to what extent additional action is appropriate to address the circumstances surrounding a Restatement or Misconduct to minimize the likelihood of any recurrence and to impose such other discipline as it deems appropriate.</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4.</w:t>
      </w:r>
    </w:p>
    <w:p>
      <w:pPr>
        <w:pStyle w:val="TextBody"/>
        <w:bidi w:val="0"/>
        <w:spacing w:before="220" w:after="283"/>
        <w:jc w:val="left"/>
        <w:rPr/>
      </w:pPr>
      <w:r>
        <w:rPr>
          <w:rFonts w:ascii="Aptos;sans-serif" w:hAnsi="Aptos;sans-serif"/>
          <w:b/>
          <w:color w:val="000000"/>
          <w:sz w:val="22"/>
        </w:rPr>
        <w:t>No Indemnification or Reimbursement</w:t>
      </w:r>
      <w:r>
        <w:rPr>
          <w:rFonts w:ascii="Aptos;sans-serif" w:hAnsi="Aptos;sans-serif"/>
          <w:color w:val="000000"/>
          <w:sz w:val="22"/>
        </w:rPr>
        <w:t>. Notwithstanding the terms of any other policy, program, agreement or arrangement, in no event will Microsoft or any of its affiliates indemnify or reimburse a Covered Officer for any loss under this Policy and in no event will Microsoft or any of its affiliates pay premiums on any insurance policy that would cover a Covered Officer’s potential obligations with respect to Recoverable Incentive Compensation under this Policy.</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5.</w:t>
      </w:r>
    </w:p>
    <w:p>
      <w:pPr>
        <w:pStyle w:val="TextBody"/>
        <w:bidi w:val="0"/>
        <w:spacing w:before="220" w:after="283"/>
        <w:jc w:val="left"/>
        <w:rPr/>
      </w:pPr>
      <w:r>
        <w:rPr>
          <w:rFonts w:ascii="Aptos;sans-serif" w:hAnsi="Aptos;sans-serif"/>
          <w:b/>
          <w:color w:val="000000"/>
          <w:sz w:val="22"/>
        </w:rPr>
        <w:t>Administration of Policy</w:t>
      </w:r>
      <w:r>
        <w:rPr>
          <w:rFonts w:ascii="Aptos;sans-serif" w:hAnsi="Aptos;sans-serif"/>
          <w:color w:val="000000"/>
          <w:sz w:val="22"/>
        </w:rPr>
        <w:t>. The Compensation Committee will have full authority to administer this Policy. Actions of the Compensation Committee pursuant to this Policy will be taken by the vote of a majority of its members. The Compensation Committee will, subject to the provisions of this Policy and Rule 10D-1 of the Securities Exchange Act of 1934, as amended (the “</w:t>
      </w:r>
      <w:r>
        <w:rPr>
          <w:rFonts w:ascii="Aptos;sans-serif" w:hAnsi="Aptos;sans-serif"/>
          <w:color w:val="000000"/>
          <w:sz w:val="22"/>
          <w:u w:val="single"/>
        </w:rPr>
        <w:t>Exchange Act</w:t>
      </w:r>
      <w:r>
        <w:rPr>
          <w:color w:val="000000"/>
        </w:rPr>
        <w:t>”</w:t>
      </w:r>
      <w:r>
        <w:rPr>
          <w:rFonts w:ascii="Aptos;sans-serif" w:hAnsi="Aptos;sans-serif"/>
          <w:color w:val="000000"/>
          <w:sz w:val="22"/>
        </w:rPr>
        <w:t>), and Microsoft’s applicable exchange listing standards, make such determinations and interpretations and take such actions in connection with this Policy as it deems necessary, appropriate or advisable. All determinations and interpretations made by the Compensation Committee will be final, binding and conclusive.</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6.</w:t>
      </w:r>
    </w:p>
    <w:p>
      <w:pPr>
        <w:pStyle w:val="TextBody"/>
        <w:bidi w:val="0"/>
        <w:spacing w:before="220" w:after="283"/>
        <w:jc w:val="left"/>
        <w:rPr/>
      </w:pPr>
      <w:r>
        <w:rPr>
          <w:rFonts w:ascii="Aptos;sans-serif" w:hAnsi="Aptos;sans-serif"/>
          <w:b/>
          <w:color w:val="000000"/>
          <w:sz w:val="22"/>
        </w:rPr>
        <w:t>Other Claims and Rights</w:t>
      </w:r>
      <w:r>
        <w:rPr>
          <w:rFonts w:ascii="Aptos;sans-serif" w:hAnsi="Aptos;sans-serif"/>
          <w:color w:val="000000"/>
          <w:sz w:val="22"/>
        </w:rPr>
        <w:t>. The remedies under this Policy are in addition to, and not in lieu of, any legal and equitable claims Microsoft or any of its affiliates may have or any actions that may be imposed by law enforcement agencies, regulators, administrative bodies, or other authorities. Further, the exercise by the Compensation Committee of any rights pursuant to this Policy will not impact any other rights that Microsoft or any of its affiliates may have with respect to any Covered Officer subject to this Policy.</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7.</w:t>
      </w:r>
    </w:p>
    <w:p>
      <w:pPr>
        <w:pStyle w:val="TextBody"/>
        <w:bidi w:val="0"/>
        <w:spacing w:before="220" w:after="283"/>
        <w:jc w:val="left"/>
        <w:rPr/>
      </w:pPr>
      <w:r>
        <w:rPr>
          <w:rFonts w:ascii="Aptos;sans-serif" w:hAnsi="Aptos;sans-serif"/>
          <w:b/>
          <w:color w:val="000000"/>
          <w:sz w:val="22"/>
        </w:rPr>
        <w:t>Condition to Eligibility for Incentive Compensation</w:t>
      </w:r>
      <w:r>
        <w:rPr>
          <w:rFonts w:ascii="Aptos;sans-serif" w:hAnsi="Aptos;sans-serif"/>
          <w:color w:val="000000"/>
          <w:sz w:val="22"/>
        </w:rPr>
        <w:t>. All Incentive Compensation subject to this Policy will not be earned, even if already paid, until the Policy ceases to apply to such Incentive Compensation and any other vesting conditions applicable to such Incentive Compensation are satisfied.</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8.</w:t>
      </w:r>
    </w:p>
    <w:p>
      <w:pPr>
        <w:pStyle w:val="TextBody"/>
        <w:bidi w:val="0"/>
        <w:spacing w:before="220" w:after="283"/>
        <w:jc w:val="left"/>
        <w:rPr/>
      </w:pPr>
      <w:r>
        <w:rPr>
          <w:rFonts w:ascii="Aptos;sans-serif" w:hAnsi="Aptos;sans-serif"/>
          <w:b/>
          <w:color w:val="000000"/>
          <w:sz w:val="22"/>
        </w:rPr>
        <w:t>Amendment; Termination</w:t>
      </w:r>
      <w:r>
        <w:rPr>
          <w:rFonts w:ascii="Aptos;sans-serif" w:hAnsi="Aptos;sans-serif"/>
          <w:color w:val="000000"/>
          <w:sz w:val="22"/>
        </w:rPr>
        <w:t>. The Board or the Compensation Committee may amend or terminate this Policy at any time.</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9.</w:t>
      </w:r>
    </w:p>
    <w:p>
      <w:pPr>
        <w:pStyle w:val="TextBody"/>
        <w:bidi w:val="0"/>
        <w:spacing w:before="220" w:after="283"/>
        <w:jc w:val="left"/>
        <w:rPr/>
      </w:pPr>
      <w:r>
        <w:rPr>
          <w:rFonts w:ascii="Aptos;sans-serif" w:hAnsi="Aptos;sans-serif"/>
          <w:b/>
          <w:color w:val="000000"/>
          <w:sz w:val="22"/>
        </w:rPr>
        <w:t>Effectiveness</w:t>
      </w:r>
      <w:r>
        <w:rPr>
          <w:rFonts w:ascii="Aptos;sans-serif" w:hAnsi="Aptos;sans-serif"/>
          <w:color w:val="000000"/>
          <w:sz w:val="22"/>
        </w:rPr>
        <w:t>. Except as otherwise determined in writing by the Compensation Committee, this Policy will apply to any Incentive Compensation that (a) in the case of any Restatement, is Received by Covered Officers prior to, on or following the Effective Date, and (b) in the case of Misconduct, is awarded or paid to a Covered Officer on or after the Effective Date. This Policy will survive and continue notwithstanding any termination of a Covered Officer’s employment with Microsoft and its affiliates.</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10.</w:t>
      </w:r>
    </w:p>
    <w:p>
      <w:pPr>
        <w:pStyle w:val="TextBody"/>
        <w:bidi w:val="0"/>
        <w:spacing w:before="220" w:after="283"/>
        <w:jc w:val="left"/>
        <w:rPr/>
      </w:pPr>
      <w:r>
        <w:rPr>
          <w:rFonts w:ascii="Aptos;sans-serif" w:hAnsi="Aptos;sans-serif"/>
          <w:b/>
          <w:color w:val="000000"/>
          <w:sz w:val="22"/>
        </w:rPr>
        <w:t>Successors</w:t>
      </w:r>
      <w:r>
        <w:rPr>
          <w:rFonts w:ascii="Aptos;sans-serif" w:hAnsi="Aptos;sans-serif"/>
          <w:color w:val="000000"/>
          <w:sz w:val="22"/>
        </w:rPr>
        <w:t>. This Policy shall be binding and enforceable against all Covered Officers and their successors, beneficiaries, heirs, executors, administrators, or other legal representatives.</w:t>
      </w:r>
    </w:p>
    <w:p>
      <w:pPr>
        <w:pStyle w:val="TextBody"/>
        <w:bidi w:val="0"/>
        <w:spacing w:before="220" w:after="283"/>
        <w:jc w:val="left"/>
        <w:rPr>
          <w:rFonts w:ascii="Aptos;sans-serif" w:hAnsi="Aptos;sans-serif"/>
          <w:b/>
          <w:color w:val="000000"/>
          <w:sz w:val="22"/>
        </w:rPr>
      </w:pPr>
      <w:r>
        <w:rPr>
          <w:rFonts w:ascii="Aptos;sans-serif" w:hAnsi="Aptos;sans-serif"/>
          <w:b/>
          <w:color w:val="000000"/>
          <w:sz w:val="22"/>
        </w:rPr>
        <w:t>11.</w:t>
      </w:r>
    </w:p>
    <w:p>
      <w:pPr>
        <w:pStyle w:val="TextBody"/>
        <w:bidi w:val="0"/>
        <w:spacing w:before="220" w:after="283"/>
        <w:jc w:val="left"/>
        <w:rPr/>
      </w:pPr>
      <w:r>
        <w:rPr>
          <w:rFonts w:ascii="Aptos;sans-serif" w:hAnsi="Aptos;sans-serif"/>
          <w:b/>
          <w:color w:val="000000"/>
          <w:sz w:val="22"/>
        </w:rPr>
        <w:t>Governing Law</w:t>
      </w:r>
      <w:r>
        <w:rPr>
          <w:rFonts w:ascii="Aptos;sans-serif" w:hAnsi="Aptos;sans-serif"/>
          <w:color w:val="000000"/>
          <w:sz w:val="22"/>
        </w:rPr>
        <w:t>. To the extent not preempted by U.S. federal law, this Policy will be governed by and construed in accordance with the laws of the State of Washington, without reference to principles of conflict of laws.</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center"/>
        <w:rPr>
          <w:rFonts w:ascii="Aptos;sans-serif" w:hAnsi="Aptos;sans-serif"/>
          <w:b/>
          <w:color w:val="000000"/>
          <w:sz w:val="22"/>
          <w:u w:val="single"/>
        </w:rPr>
      </w:pPr>
      <w:r>
        <w:rPr>
          <w:rFonts w:ascii="Aptos;sans-serif" w:hAnsi="Aptos;sans-serif"/>
          <w:b/>
          <w:color w:val="000000"/>
          <w:sz w:val="22"/>
          <w:u w:val="single"/>
        </w:rPr>
        <w:t>EXHIBIT A</w:t>
      </w:r>
    </w:p>
    <w:p>
      <w:pPr>
        <w:pStyle w:val="TextBody"/>
        <w:bidi w:val="0"/>
        <w:spacing w:before="220" w:after="283"/>
        <w:jc w:val="center"/>
        <w:rPr>
          <w:rFonts w:ascii="Aptos;sans-serif" w:hAnsi="Aptos;sans-serif"/>
          <w:b/>
          <w:color w:val="000000"/>
          <w:sz w:val="22"/>
          <w:u w:val="single"/>
        </w:rPr>
      </w:pPr>
      <w:r>
        <w:rPr>
          <w:rFonts w:ascii="Aptos;sans-serif" w:hAnsi="Aptos;sans-serif"/>
          <w:b/>
          <w:color w:val="000000"/>
          <w:sz w:val="22"/>
          <w:u w:val="single"/>
        </w:rPr>
        <w:t>DEFINITIONS</w:t>
      </w:r>
    </w:p>
    <w:p>
      <w:pPr>
        <w:pStyle w:val="TextBody"/>
        <w:bidi w:val="0"/>
        <w:spacing w:before="220" w:after="283"/>
        <w:jc w:val="left"/>
        <w:rPr/>
      </w:pPr>
      <w:r>
        <w:rPr>
          <w:color w:val="000000"/>
        </w:rPr>
        <w:t>“</w:t>
      </w:r>
      <w:r>
        <w:rPr>
          <w:rFonts w:ascii="Aptos;sans-serif" w:hAnsi="Aptos;sans-serif"/>
          <w:color w:val="000000"/>
          <w:sz w:val="22"/>
          <w:u w:val="single"/>
        </w:rPr>
        <w:t>Applicable Period</w:t>
      </w:r>
      <w:r>
        <w:rPr>
          <w:rFonts w:ascii="Times New Roman" w:hAnsi="Times New Roman"/>
          <w:color w:val="000000"/>
          <w:sz w:val="20"/>
        </w:rPr>
        <w:t xml:space="preserve">” </w:t>
      </w:r>
      <w:r>
        <w:rPr>
          <w:rFonts w:ascii="Aptos;sans-serif" w:hAnsi="Aptos;sans-serif"/>
          <w:color w:val="000000"/>
          <w:sz w:val="22"/>
        </w:rPr>
        <w:t>means (a) in the case of any Restatement, the three completed fiscal years of Microsoft immediately preceding the earlier of (i) the date the Board, a committee of the Board, or the officer or officers of Microsoft authorized to take such action if Board action is not required, concludes (or reasonably should have concluded) that a Restatement is required or (ii) the date a regulator, court or other legally authorized entity directs Microsoft to undertake a Restatement, and (b) in the case of any Misconduct, such period as the Compensation Committee or Board determines to be appropriate in light of the scope and nature of the Misconduct. The “Applicable Period” also includes any transition period (that results from a change in Microsoft’s fiscal year) within or immediately following the three completed fiscal years identified in the preceding sentence.</w:t>
      </w:r>
    </w:p>
    <w:p>
      <w:pPr>
        <w:pStyle w:val="TextBody"/>
        <w:bidi w:val="0"/>
        <w:spacing w:before="220" w:after="283"/>
        <w:jc w:val="left"/>
        <w:rPr/>
      </w:pPr>
      <w:r>
        <w:rPr>
          <w:color w:val="000000"/>
        </w:rPr>
        <w:t>“</w:t>
      </w:r>
      <w:r>
        <w:rPr>
          <w:rFonts w:ascii="Aptos;sans-serif" w:hAnsi="Aptos;sans-serif"/>
          <w:color w:val="000000"/>
          <w:sz w:val="22"/>
          <w:u w:val="single"/>
        </w:rPr>
        <w:t>Board</w:t>
      </w:r>
      <w:r>
        <w:rPr>
          <w:rFonts w:ascii="Times New Roman" w:hAnsi="Times New Roman"/>
          <w:color w:val="000000"/>
          <w:sz w:val="20"/>
        </w:rPr>
        <w:t xml:space="preserve">” </w:t>
      </w:r>
      <w:r>
        <w:rPr>
          <w:rFonts w:ascii="Aptos;sans-serif" w:hAnsi="Aptos;sans-serif"/>
          <w:color w:val="000000"/>
          <w:sz w:val="22"/>
        </w:rPr>
        <w:t>means the Board of Directors of Microsoft.</w:t>
      </w:r>
    </w:p>
    <w:p>
      <w:pPr>
        <w:pStyle w:val="TextBody"/>
        <w:bidi w:val="0"/>
        <w:spacing w:before="220" w:after="283"/>
        <w:jc w:val="left"/>
        <w:rPr/>
      </w:pPr>
      <w:r>
        <w:rPr>
          <w:color w:val="000000"/>
        </w:rPr>
        <w:t>“</w:t>
      </w:r>
      <w:r>
        <w:rPr>
          <w:rFonts w:ascii="Aptos;sans-serif" w:hAnsi="Aptos;sans-serif"/>
          <w:color w:val="000000"/>
          <w:sz w:val="22"/>
          <w:u w:val="single"/>
        </w:rPr>
        <w:t>Compensation Committee</w:t>
      </w:r>
      <w:r>
        <w:rPr>
          <w:rFonts w:ascii="Times New Roman" w:hAnsi="Times New Roman"/>
          <w:color w:val="000000"/>
          <w:sz w:val="20"/>
        </w:rPr>
        <w:t xml:space="preserve">” </w:t>
      </w:r>
      <w:r>
        <w:rPr>
          <w:rFonts w:ascii="Aptos;sans-serif" w:hAnsi="Aptos;sans-serif"/>
          <w:color w:val="000000"/>
          <w:sz w:val="22"/>
        </w:rPr>
        <w:t>means Microsoft’s committee of independent directors responsible for executive compensation decisions, or in the absence of such a committee, a majority of the independent directors serving on the Board.</w:t>
      </w:r>
    </w:p>
    <w:p>
      <w:pPr>
        <w:pStyle w:val="TextBody"/>
        <w:bidi w:val="0"/>
        <w:spacing w:before="220" w:after="283"/>
        <w:jc w:val="left"/>
        <w:rPr/>
      </w:pPr>
      <w:r>
        <w:rPr>
          <w:color w:val="000000"/>
        </w:rPr>
        <w:t>“</w:t>
      </w:r>
      <w:r>
        <w:rPr>
          <w:rFonts w:ascii="Aptos;sans-serif" w:hAnsi="Aptos;sans-serif"/>
          <w:color w:val="000000"/>
          <w:sz w:val="22"/>
          <w:u w:val="single"/>
        </w:rPr>
        <w:t>Covered Officer</w:t>
      </w:r>
      <w:r>
        <w:rPr>
          <w:rFonts w:ascii="Times New Roman" w:hAnsi="Times New Roman"/>
          <w:color w:val="000000"/>
          <w:sz w:val="20"/>
        </w:rPr>
        <w:t xml:space="preserve">” </w:t>
      </w:r>
      <w:r>
        <w:rPr>
          <w:rFonts w:ascii="Aptos;sans-serif" w:hAnsi="Aptos;sans-serif"/>
          <w:color w:val="000000"/>
          <w:sz w:val="22"/>
        </w:rPr>
        <w:t>means (a) in the case of any Restatement, any person who is, or was at any time, during the Applicable Period, an Executive Officer of Microsoft or an EIP Participant, and (b) in the case of any Misconduct, any person who was an Executive Officer or an EIP Participant at the time of the Misconduct. For the avoidance of doubt, a Covered Officer may include a former Executive Officer or EIP Participant that left Microsoft, retired, or transitioned to an employee role (including after serving as an Executive Officer in an interim capacity) during the Applicable Period.</w:t>
      </w:r>
    </w:p>
    <w:p>
      <w:pPr>
        <w:pStyle w:val="TextBody"/>
        <w:bidi w:val="0"/>
        <w:spacing w:before="220" w:after="283"/>
        <w:jc w:val="left"/>
        <w:rPr/>
      </w:pPr>
      <w:r>
        <w:rPr>
          <w:color w:val="000000"/>
        </w:rPr>
        <w:t>“</w:t>
      </w:r>
      <w:r>
        <w:rPr>
          <w:rFonts w:ascii="Aptos;sans-serif" w:hAnsi="Aptos;sans-serif"/>
          <w:color w:val="000000"/>
          <w:sz w:val="22"/>
          <w:u w:val="single"/>
        </w:rPr>
        <w:t>Effective Date</w:t>
      </w:r>
      <w:r>
        <w:rPr>
          <w:rFonts w:ascii="Times New Roman" w:hAnsi="Times New Roman"/>
          <w:color w:val="000000"/>
          <w:sz w:val="20"/>
        </w:rPr>
        <w:t xml:space="preserve">” </w:t>
      </w:r>
      <w:r>
        <w:rPr>
          <w:rFonts w:ascii="Aptos;sans-serif" w:hAnsi="Aptos;sans-serif"/>
          <w:color w:val="000000"/>
          <w:sz w:val="22"/>
        </w:rPr>
        <w:t>means July 1, 2023.</w:t>
      </w:r>
    </w:p>
    <w:p>
      <w:pPr>
        <w:pStyle w:val="TextBody"/>
        <w:bidi w:val="0"/>
        <w:spacing w:before="220" w:after="283"/>
        <w:jc w:val="left"/>
        <w:rPr/>
      </w:pPr>
      <w:r>
        <w:rPr>
          <w:color w:val="000000"/>
        </w:rPr>
        <w:t>“</w:t>
      </w:r>
      <w:r>
        <w:rPr>
          <w:rFonts w:ascii="Aptos;sans-serif" w:hAnsi="Aptos;sans-serif"/>
          <w:color w:val="000000"/>
          <w:sz w:val="22"/>
          <w:u w:val="single"/>
        </w:rPr>
        <w:t>EIP Participant</w:t>
      </w:r>
      <w:r>
        <w:rPr>
          <w:rFonts w:ascii="Times New Roman" w:hAnsi="Times New Roman"/>
          <w:color w:val="000000"/>
          <w:sz w:val="20"/>
        </w:rPr>
        <w:t xml:space="preserve">” </w:t>
      </w:r>
      <w:r>
        <w:rPr>
          <w:rFonts w:ascii="Aptos;sans-serif" w:hAnsi="Aptos;sans-serif"/>
          <w:color w:val="000000"/>
          <w:sz w:val="22"/>
        </w:rPr>
        <w:t>means any person who participates in Microsoft’s Executive Incentive Plan, other than an Executive Officer.</w:t>
      </w:r>
      <w:r>
        <w:rPr>
          <w:rFonts w:ascii="Times New Roman" w:hAnsi="Times New Roman"/>
          <w:color w:val="000000"/>
          <w:sz w:val="20"/>
        </w:rPr>
        <w:t xml:space="preserve"> </w:t>
      </w:r>
    </w:p>
    <w:p>
      <w:pPr>
        <w:pStyle w:val="TextBody"/>
        <w:bidi w:val="0"/>
        <w:spacing w:before="220" w:after="283"/>
        <w:jc w:val="left"/>
        <w:rPr>
          <w:color w:val="000000"/>
        </w:rPr>
      </w:pPr>
      <w:r>
        <w:rPr>
          <w:color w:val="000000"/>
        </w:rPr>
        <w:t>“</w:t>
      </w:r>
      <w:r>
        <w:rPr>
          <w:rFonts w:ascii="Aptos;sans-serif" w:hAnsi="Aptos;sans-serif"/>
          <w:color w:val="000000"/>
          <w:sz w:val="22"/>
        </w:rPr>
        <w:t>Executive Incentive Plan” means the Microsoft Executive Incentive Plan, as may be amended from time to time.</w:t>
      </w:r>
    </w:p>
    <w:p>
      <w:pPr>
        <w:pStyle w:val="TextBody"/>
        <w:bidi w:val="0"/>
        <w:spacing w:before="220" w:after="283"/>
        <w:jc w:val="left"/>
        <w:rPr/>
      </w:pPr>
      <w:r>
        <w:rPr>
          <w:color w:val="000000"/>
        </w:rPr>
        <w:t>“</w:t>
      </w:r>
      <w:r>
        <w:rPr>
          <w:rFonts w:ascii="Aptos;sans-serif" w:hAnsi="Aptos;sans-serif"/>
          <w:color w:val="000000"/>
          <w:sz w:val="22"/>
          <w:u w:val="single"/>
        </w:rPr>
        <w:t>Executive Officer</w:t>
      </w:r>
      <w:r>
        <w:rPr>
          <w:rFonts w:ascii="Times New Roman" w:hAnsi="Times New Roman"/>
          <w:color w:val="000000"/>
          <w:sz w:val="20"/>
        </w:rPr>
        <w:t xml:space="preserve">” </w:t>
      </w:r>
      <w:r>
        <w:rPr>
          <w:rFonts w:ascii="Aptos;sans-serif" w:hAnsi="Aptos;sans-serif"/>
          <w:color w:val="000000"/>
          <w:sz w:val="22"/>
        </w:rPr>
        <w:t>means Microsoft’s president, principal financial officer, principal accounting officer (or if there is no such accounting officer, the controller), any vice-president in charge of a principal business unit, division, or function (such as sales, administration, or finance), any other officer who performs a policy-making function, or any other person (including an officer of Microsoft’s parent(s) or subsidiaries) who performs similar policy-making functions for Microsoft.</w:t>
      </w:r>
    </w:p>
    <w:p>
      <w:pPr>
        <w:pStyle w:val="TextBody"/>
        <w:bidi w:val="0"/>
        <w:spacing w:before="220" w:after="283"/>
        <w:jc w:val="left"/>
        <w:rPr/>
      </w:pPr>
      <w:r>
        <w:rPr>
          <w:color w:val="000000"/>
        </w:rPr>
        <w:t>“</w:t>
      </w:r>
      <w:r>
        <w:rPr>
          <w:rFonts w:ascii="Aptos;sans-serif" w:hAnsi="Aptos;sans-serif"/>
          <w:color w:val="000000"/>
          <w:sz w:val="22"/>
          <w:u w:val="single"/>
        </w:rPr>
        <w:t>Financial Performance Measure</w:t>
      </w:r>
      <w:r>
        <w:rPr>
          <w:rFonts w:ascii="Times New Roman" w:hAnsi="Times New Roman"/>
          <w:color w:val="000000"/>
          <w:sz w:val="20"/>
        </w:rPr>
        <w:t xml:space="preserve">” </w:t>
      </w:r>
      <w:r>
        <w:rPr>
          <w:rFonts w:ascii="Aptos;sans-serif" w:hAnsi="Aptos;sans-serif"/>
          <w:color w:val="000000"/>
          <w:sz w:val="22"/>
        </w:rPr>
        <w:t>means a measure that is determined and presented in accordance with the accounting principles used in preparing Microsoft’s financial statements (including “non-GAAP” financial measures, such as those appearing in Microsoft’s earnings releases or Management Discussion and Analysis), and any measure that is derived wholly or in part from such measure. Stock price and total shareholder return (and any measures derived wholly or in part therefrom) shall be considered Financial Performance Measures.</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pPr>
      <w:r>
        <w:rPr>
          <w:color w:val="000000"/>
        </w:rPr>
        <w:t>“</w:t>
      </w:r>
      <w:r>
        <w:rPr>
          <w:rFonts w:ascii="Aptos;sans-serif" w:hAnsi="Aptos;sans-serif"/>
          <w:color w:val="000000"/>
          <w:sz w:val="22"/>
          <w:u w:val="single"/>
        </w:rPr>
        <w:t>Impracticable</w:t>
      </w:r>
      <w:r>
        <w:rPr>
          <w:rFonts w:ascii="Times New Roman" w:hAnsi="Times New Roman"/>
          <w:color w:val="000000"/>
          <w:sz w:val="20"/>
        </w:rPr>
        <w:t xml:space="preserve">” </w:t>
      </w:r>
      <w:r>
        <w:rPr>
          <w:rFonts w:ascii="Aptos;sans-serif" w:hAnsi="Aptos;sans-serif"/>
          <w:color w:val="000000"/>
          <w:sz w:val="22"/>
        </w:rPr>
        <w:t>The Compensation Committee may determine in good faith that recovery of Recoverable Incentive Compensation is “Impracticable” (a) in the case of any Restatement, if: (i) pursuing such recovery would violate home country law of the jurisdiction of incorporation of the Company where that law was adopted prior to November 28, 2022 and Microsoft provides an opinion of counsel to that effect acceptable to Microsoft’s listing exchange; (ii) the direct expense paid to a third party to assist in enforcing this Policy would exceed the Recoverable Incentive Compensation and Microsoft has (A) made a reasonable attempt to recover such amounts and (B) provided documentation of such attempts to recover to Microsoft’s applicable listing exchange; or (iii) recovery would likely cause an otherwise tax-qualified retirement plan, under which benefits are broadly available to employees of Microsoft, to fail to meet the requirements of the Internal Revenue Code of 1986, as amended, and (b) in the case of any Misconduct, in its sole discretion, in light of the scope and nature of the Misconduct.</w:t>
      </w:r>
      <w:r>
        <w:rPr>
          <w:rFonts w:ascii="Times New Roman" w:hAnsi="Times New Roman"/>
          <w:color w:val="000000"/>
          <w:sz w:val="20"/>
        </w:rPr>
        <w:t xml:space="preserve"> </w:t>
      </w:r>
    </w:p>
    <w:p>
      <w:pPr>
        <w:pStyle w:val="TextBody"/>
        <w:bidi w:val="0"/>
        <w:spacing w:before="220" w:after="283"/>
        <w:jc w:val="left"/>
        <w:rPr/>
      </w:pPr>
      <w:r>
        <w:rPr>
          <w:color w:val="000000"/>
        </w:rPr>
        <w:t>“</w:t>
      </w:r>
      <w:r>
        <w:rPr>
          <w:rFonts w:ascii="Aptos;sans-serif" w:hAnsi="Aptos;sans-serif"/>
          <w:color w:val="000000"/>
          <w:sz w:val="22"/>
          <w:u w:val="single"/>
        </w:rPr>
        <w:t>Incentive Compensation</w:t>
      </w:r>
      <w:r>
        <w:rPr>
          <w:rFonts w:ascii="Times New Roman" w:hAnsi="Times New Roman"/>
          <w:color w:val="000000"/>
          <w:sz w:val="20"/>
        </w:rPr>
        <w:t xml:space="preserve">” </w:t>
      </w:r>
      <w:r>
        <w:rPr>
          <w:rFonts w:ascii="Aptos;sans-serif" w:hAnsi="Aptos;sans-serif"/>
          <w:color w:val="000000"/>
          <w:sz w:val="22"/>
        </w:rPr>
        <w:t>means any compensation that is granted, earned, or vested based wholly or in part upon the attainment of a Financial Performance Measure. Incentive Compensation does not include any base salaries (except with respect to any salary increases earned wholly or in part based on the attainment of a Financial Performance Measure performance goal); bonuses paid solely at the discretion of the Compensation Committee or Board that are not paid from a “bonus pool” that is determined by satisfying a Financial Performance Measure performance goal; bonuses paid solely upon satisfying one or more subjective standards and/or completion of a specified employment period; non-equity incentive plan awards earned solely upon satisfying one or more strategic measures or operational measures; and equity awards that vest solely based on the passage of time and/or attaining one or more non-Financial Performance Measures. Notwithstanding the foregoing, in the case of any Misconduct, Incentive Compensation will include all forms of cash and equity incentive compensation, including, without limitation, cash bonuses and equity awards that are received or vest solely based on the passage of time and/or attaining one or more non-Financial Performance Measures.</w:t>
      </w:r>
    </w:p>
    <w:p>
      <w:pPr>
        <w:pStyle w:val="TextBody"/>
        <w:bidi w:val="0"/>
        <w:spacing w:before="220" w:after="283"/>
        <w:jc w:val="left"/>
        <w:rPr/>
      </w:pPr>
      <w:r>
        <w:rPr>
          <w:color w:val="000000"/>
        </w:rPr>
        <w:t>“</w:t>
      </w:r>
      <w:r>
        <w:rPr>
          <w:rFonts w:ascii="Aptos;sans-serif" w:hAnsi="Aptos;sans-serif"/>
          <w:color w:val="000000"/>
          <w:sz w:val="22"/>
          <w:u w:val="single"/>
        </w:rPr>
        <w:t>Received</w:t>
      </w:r>
      <w:r>
        <w:rPr>
          <w:rFonts w:ascii="Times New Roman" w:hAnsi="Times New Roman"/>
          <w:color w:val="000000"/>
          <w:sz w:val="20"/>
        </w:rPr>
        <w:t xml:space="preserve">” </w:t>
      </w:r>
      <w:r>
        <w:rPr>
          <w:rFonts w:ascii="Aptos;sans-serif" w:hAnsi="Aptos;sans-serif"/>
          <w:color w:val="000000"/>
          <w:sz w:val="22"/>
        </w:rPr>
        <w:t>Incentive Compensation is deemed “Received” in Microsoft’s fiscal period during which the Financial Performance Measure specified in the Incentive Compensation award is attained, even if the payment or grant of the Incentive Compensation occurs after the end of that period.</w:t>
      </w:r>
    </w:p>
    <w:p>
      <w:pPr>
        <w:pStyle w:val="TextBody"/>
        <w:bidi w:val="0"/>
        <w:spacing w:before="220" w:after="283"/>
        <w:jc w:val="left"/>
        <w:rPr/>
      </w:pPr>
      <w:r>
        <w:rPr>
          <w:color w:val="000000"/>
        </w:rPr>
        <w:t>“</w:t>
      </w:r>
      <w:r>
        <w:rPr>
          <w:rFonts w:ascii="Aptos;sans-serif" w:hAnsi="Aptos;sans-serif"/>
          <w:color w:val="000000"/>
          <w:sz w:val="22"/>
          <w:u w:val="single"/>
        </w:rPr>
        <w:t>Recoverable Incentive Compensation</w:t>
      </w:r>
      <w:r>
        <w:rPr>
          <w:rFonts w:ascii="Times New Roman" w:hAnsi="Times New Roman"/>
          <w:color w:val="000000"/>
          <w:sz w:val="20"/>
        </w:rPr>
        <w:t xml:space="preserve">” </w:t>
      </w:r>
      <w:r>
        <w:rPr>
          <w:rFonts w:ascii="Aptos;sans-serif" w:hAnsi="Aptos;sans-serif"/>
          <w:color w:val="000000"/>
          <w:sz w:val="22"/>
        </w:rPr>
        <w:t>means (a) in the case of any Restatement, the amount of any Incentive Compensation (calculated on a pre-tax basis) Received by a Covered Officer during the Applicable Period that is in excess of the amount that otherwise would have been Received if the calculation were based on the Restatement, and (b) in the case of any Misconduct, the amount of any Incentive Compensation (calculated on a pre-tax basis) awarded or paid to a Covered Officer during the Applicable Period that the Compensation Committee determines, in its sole discretion, to be appropriate in light of the scope and nature of the Misconduct. For the avoidance of doubt, in the case of any Restatement, Recoverable Incentive Compensation does not include any Incentive Compensation Received by a person (i) before such person began service as a Covered Officer and (ii) who did not serve as a Covered Officer at any time during the performance period for that Incentive Compensation. For the avoidance of doubt, in the case of any Restatement, Recoverable Incentive Compensation may include Incentive Compensation Received by a person while serving as an employee if such person previously served as a Covered Officer and then transitioned to an employee role. For Incentive Compensation based on (or derived from) stock price or total shareholder return where the amount of Recoverable Incentive Compensation is not subject to mathematical recalculation directly from the information in the applicable Restatement, the amount will be determined by the Compensation Committee based on a reasonable estimate of the effect of the Restatement on the stock price or total shareholder return upon which the Incentive Compensation was Received (in which case, Microsoft will maintain documentation of such determination of that reasonable estimate and provide such documentation to Microsoft’s applicable listing exchange).</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20" w:after="283"/>
        <w:jc w:val="left"/>
        <w:rPr/>
      </w:pPr>
      <w:r>
        <w:rPr>
          <w:color w:val="000000"/>
        </w:rPr>
        <w:t>“</w:t>
      </w:r>
      <w:r>
        <w:rPr>
          <w:rFonts w:ascii="Aptos;sans-serif" w:hAnsi="Aptos;sans-serif"/>
          <w:color w:val="000000"/>
          <w:sz w:val="22"/>
          <w:u w:val="single"/>
        </w:rPr>
        <w:t>Restatement</w:t>
      </w:r>
      <w:r>
        <w:rPr>
          <w:rFonts w:ascii="Times New Roman" w:hAnsi="Times New Roman"/>
          <w:color w:val="000000"/>
          <w:sz w:val="20"/>
        </w:rPr>
        <w:t xml:space="preserve">” </w:t>
      </w:r>
      <w:r>
        <w:rPr>
          <w:rFonts w:ascii="Aptos;sans-serif" w:hAnsi="Aptos;sans-serif"/>
          <w:color w:val="000000"/>
          <w:sz w:val="22"/>
        </w:rPr>
        <w:t>means an accounting restatement of any of Microsoft’s financial statements filed with the Securities and Exchange Commission under the Exchange Act, or the Securities Act of 1933, as amended, due to Microsoft’s material noncompliance with any financial reporting requirement under U.S. securities laws, regardless of whether Microsoft or Covered Officer misconduct was the cause for such restatement. “Restatement” includes any required accounting restatement to correct an error in previously issued financial statements that is material to the previously issued financial statements (commonly referred to as “Big R” restatements), or that would result in a material misstatement if the error were corrected in the current period or left uncorrected in the current period (commonly referred to as “little r” restatements).</w:t>
      </w:r>
      <w:r>
        <w:rPr>
          <w:rFonts w:ascii="Times New Roman" w:hAnsi="Times New Roman"/>
          <w:color w:val="000000"/>
          <w:sz w:val="20"/>
        </w:rPr>
        <w:t xml:space="preserve"> </w:t>
      </w:r>
    </w:p>
    <w:p>
      <w:pPr>
        <w:pStyle w:val="TextBody"/>
        <w:bidi w:val="0"/>
        <w:spacing w:before="220" w:after="283"/>
        <w:jc w:val="left"/>
        <w:rPr>
          <w:rFonts w:ascii="Aptos;sans-serif" w:hAnsi="Aptos;sans-serif"/>
          <w:color w:val="000000"/>
          <w:sz w:val="22"/>
        </w:rPr>
      </w:pPr>
      <w:r>
        <w:rPr>
          <w:rFonts w:ascii="Aptos;sans-serif" w:hAnsi="Aptos;sans-serif"/>
          <w:color w:val="000000"/>
          <w:sz w:val="22"/>
        </w:rPr>
        <w:t>Updated July 1, 2026</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89019/000119312516782569/d305147dex31.htm" TargetMode="External"/><Relationship Id="rId3" Type="http://schemas.openxmlformats.org/officeDocument/2006/relationships/hyperlink" Target="https://www.sec.gov/Archives/edgar/data/789019/000119312525154103/d84624dex32.htm" TargetMode="External"/><Relationship Id="rId4" Type="http://schemas.openxmlformats.org/officeDocument/2006/relationships/hyperlink" Target="https://www.sec.gov/Archives/edgar/data/789019/000119312515357088/d97665dex41.htm" TargetMode="External"/><Relationship Id="rId5" Type="http://schemas.openxmlformats.org/officeDocument/2006/relationships/hyperlink" Target="https://www.sec.gov/Archives/edgar/data/789019/000119312509113054/dex42.htm" TargetMode="External"/><Relationship Id="rId6" Type="http://schemas.openxmlformats.org/officeDocument/2006/relationships/hyperlink" Target="https://www.sec.gov/Archives/edgar/data/789019/000119312510216531/dex42.htm" TargetMode="External"/><Relationship Id="rId7" Type="http://schemas.openxmlformats.org/officeDocument/2006/relationships/hyperlink" Target="https://www.sec.gov/Archives/edgar/data/789019/000119312511026916/dex42.htm" TargetMode="External"/><Relationship Id="rId8" Type="http://schemas.openxmlformats.org/officeDocument/2006/relationships/hyperlink" Target="https://www.sec.gov/Archives/edgar/data/789019/000119312512456267/d433368dex41.htm" TargetMode="External"/><Relationship Id="rId9" Type="http://schemas.openxmlformats.org/officeDocument/2006/relationships/hyperlink" Target="https://www.sec.gov/Archives/edgar/data/789019/000119312513192843/d531397dex41.htm" TargetMode="External"/><Relationship Id="rId10" Type="http://schemas.openxmlformats.org/officeDocument/2006/relationships/hyperlink" Target="https://www.sec.gov/Archives/edgar/data/789019/000119312513192843/d531397dex42.htm" TargetMode="External"/><Relationship Id="rId11" Type="http://schemas.openxmlformats.org/officeDocument/2006/relationships/hyperlink" Target="https://www.sec.gov/Archives/edgar/data/789019/000119312513464138/d638276dex41.htm" TargetMode="External"/><Relationship Id="rId12" Type="http://schemas.openxmlformats.org/officeDocument/2006/relationships/hyperlink" Target="https://www.sec.gov/Archives/edgar/data/789019/000119312513464138/d638276dex42.htm" TargetMode="External"/><Relationship Id="rId13" Type="http://schemas.openxmlformats.org/officeDocument/2006/relationships/hyperlink" Target="https://www.sec.gov/Archives/edgar/data/789019/000119312515045564/d871136dex41.htm" TargetMode="External"/><Relationship Id="rId14" Type="http://schemas.openxmlformats.org/officeDocument/2006/relationships/hyperlink" Target="https://www.sec.gov/Archives/edgar/data/789019/000119312515363226/d88549dex41.htm" TargetMode="External"/><Relationship Id="rId15" Type="http://schemas.openxmlformats.org/officeDocument/2006/relationships/hyperlink" Target="https://www.sec.gov/Archives/edgar/data/789019/000119312516673577/d236874dex41.htm" TargetMode="External"/><Relationship Id="rId16" Type="http://schemas.openxmlformats.org/officeDocument/2006/relationships/hyperlink" Target="https://www.sec.gov/Archives/edgar/data/789019/000119312517030734/d270302dex41.htm" TargetMode="External"/><Relationship Id="rId17" Type="http://schemas.openxmlformats.org/officeDocument/2006/relationships/hyperlink" Target="https://www.sec.gov/Archives/edgar/data/789019/000119312520157234/d829164dex41.htm" TargetMode="External"/><Relationship Id="rId18" Type="http://schemas.openxmlformats.org/officeDocument/2006/relationships/hyperlink" Target="https://www.sec.gov/Archives/edgar/data/789019/000119312521084239/d130687dex41.htm" TargetMode="External"/><Relationship Id="rId19" Type="http://schemas.openxmlformats.org/officeDocument/2006/relationships/hyperlink" Target="https://www.sec.gov/Archives/edgar/data/789019/000119312523271376/d566386dex42.htm" TargetMode="External"/><Relationship Id="rId20" Type="http://schemas.openxmlformats.org/officeDocument/2006/relationships/hyperlink" Target="https://www.sec.gov/Archives/edgar/data/789019/000119312523271376/d566386dex49.htm" TargetMode="External"/><Relationship Id="rId21" Type="http://schemas.openxmlformats.org/officeDocument/2006/relationships/hyperlink" Target="https://www.sec.gov/Archives/edgar/data/789019/000119312523271376/d566386dex410.htm" TargetMode="External"/><Relationship Id="rId22" Type="http://schemas.openxmlformats.org/officeDocument/2006/relationships/hyperlink" Target="https://www.sec.gov/Archives/edgar/data/789019/000119312523271376/d566386dex411.htm" TargetMode="External"/><Relationship Id="rId23" Type="http://schemas.openxmlformats.org/officeDocument/2006/relationships/hyperlink" Target="https://www.sec.gov/Archives/edgar/data/789019/000119312523271376/d566386dex412.htm" TargetMode="External"/><Relationship Id="rId24" Type="http://schemas.openxmlformats.org/officeDocument/2006/relationships/hyperlink" Target="https://www.sec.gov/Archives/edgar/data/789019/000119312523271376/d566386dex413.htm" TargetMode="External"/><Relationship Id="rId25" Type="http://schemas.openxmlformats.org/officeDocument/2006/relationships/hyperlink" Target="https://www.sec.gov/Archives/edgar/data/789019/000119312523271376/d566386dex414.htm" TargetMode="External"/><Relationship Id="rId26" Type="http://schemas.openxmlformats.org/officeDocument/2006/relationships/hyperlink" Target="https://www.sec.gov/Archives/edgar/data/789019/000119312523271376/d566386dex415.htm" TargetMode="External"/><Relationship Id="rId27" Type="http://schemas.openxmlformats.org/officeDocument/2006/relationships/hyperlink" Target="https://www.sec.gov/Archives/edgar/data/789019/000095017024087843/msft-ex4_26.htm" TargetMode="External"/><Relationship Id="rId28" Type="http://schemas.openxmlformats.org/officeDocument/2006/relationships/hyperlink" Target="https://www.sec.gov/Archives/edgar/data/789019/000119312516742796/d245252dex101.htm" TargetMode="External"/><Relationship Id="rId29" Type="http://schemas.openxmlformats.org/officeDocument/2006/relationships/hyperlink" Target="https://www.sec.gov/Archives/edgar/data/789019/000119312516742796/d245252dex1018.htm" TargetMode="External"/><Relationship Id="rId30" Type="http://schemas.openxmlformats.org/officeDocument/2006/relationships/hyperlink" Target="https://www.sec.gov/Archives/edgar/data/789019/000119312516742796/d245252dex1025.htm" TargetMode="External"/><Relationship Id="rId31" Type="http://schemas.openxmlformats.org/officeDocument/2006/relationships/hyperlink" Target="https://www.sec.gov/Archives/edgar/data/789019/000156459018009307/msft-ex1026_280.htm" TargetMode="External"/><Relationship Id="rId32" Type="http://schemas.openxmlformats.org/officeDocument/2006/relationships/hyperlink" Target="https://www.sec.gov/Archives/edgar/data/789019/000156459018009307/msft-ex1027_281.htm" TargetMode="External"/><Relationship Id="rId33" Type="http://schemas.openxmlformats.org/officeDocument/2006/relationships/hyperlink" Target="https://www.sec.gov/Archives/edgar/data/789019/000119312526191507/msft-ex10_1.htm" TargetMode="External"/><Relationship Id="rId34" Type="http://schemas.openxmlformats.org/officeDocument/2006/relationships/hyperlink" Target="https://www.sec.gov/Archives/edgar/data/789019/000119312526191507/msft-ex10_2.htm" TargetMode="External"/><Relationship Id="rId35" Type="http://schemas.openxmlformats.org/officeDocument/2006/relationships/hyperlink" Target="https://www.sec.gov/Archives/edgar/data/789019/000119312526191507/msft-ex10_3.htm" TargetMode="External"/><Relationship Id="rId36" Type="http://schemas.openxmlformats.org/officeDocument/2006/relationships/hyperlink" Target="https://www.sec.gov/Archives/edgar/data/789019/000119312516742796/d245252dex1017.htm" TargetMode="External"/><Relationship Id="rId37" Type="http://schemas.openxmlformats.org/officeDocument/2006/relationships/hyperlink" Target="https://www.sec.gov/Archives/edgar/data/789019/000095017024087843/msft-ex10_5.htm" TargetMode="External"/><Relationship Id="rId38" Type="http://schemas.openxmlformats.org/officeDocument/2006/relationships/hyperlink" Target="https://www.sec.gov/Archives/edgar/data/789019/000119312526191507/msft-ex10_4.htm" TargetMode="External"/><Relationship Id="rId39" Type="http://schemas.openxmlformats.org/officeDocument/2006/relationships/hyperlink" Target="https://www.sec.gov/Archives/edgar/data/789019/000119312516742796/d245252dex1022.htm" TargetMode="External"/><Relationship Id="rId40" Type="http://schemas.openxmlformats.org/officeDocument/2006/relationships/hyperlink" Target="https://www.sec.gov/Archives/edgar/data/789019/000119312516742796/d245252dex1022.htm" TargetMode="External"/><Relationship Id="rId41" Type="http://schemas.openxmlformats.org/officeDocument/2006/relationships/hyperlink" Target="https://www.sec.gov/Archives/edgar/data/789019/000095017025100235/msft-ex10_7.htm" TargetMode="External"/><Relationship Id="rId42" Type="http://schemas.openxmlformats.org/officeDocument/2006/relationships/hyperlink" Target="https://www.sec.gov/Archives/edgar/data/789019/000095017025100235/msft-ex10_8.htm" TargetMode="External"/><Relationship Id="rId43" Type="http://schemas.openxmlformats.org/officeDocument/2006/relationships/hyperlink" Target="https://www.sec.gov/Archives/edgar/data/789019/000119312514035080/d669538dex101.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57511</Words>
  <Characters>326058</Characters>
  <CharactersWithSpaces>388291</CharactersWithSpaces>
  <Paragraphs>15751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