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List Teri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MICROSOFT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MICROSOFT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98052-6399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MICROSOFT CORP</w:t>
              </w:r>
            </w:hyperlink>
            <w:r>
              <w:rPr/>
              <w:t xml:space="preserve"> [ </w:t>
            </w:r>
            <w:r>
              <w:rPr>
                <w:rFonts w:ascii="Times;serif" w:hAnsi="Times;serif"/>
                <w:color w:val="0000FF"/>
                <w:sz w:val="24"/>
                <w:shd w:fill="FFFFFF" w:val="clear"/>
              </w:rPr>
              <w:t>MSFT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1071"/>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42.639</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23,117.153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Microsoft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Dividend equivalent rights accrue when and as dividends are paid on the Company's common stock and become exercisable proportionately with the restricted stock units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are fully vested. Delivery of the shares to the reporting person will be made 30 days after the date of the reporting person's separation from service to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Julia Stark, Attorney-in-fact for Teri List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9370" TargetMode="External"/><Relationship Id="rId5" Type="http://schemas.openxmlformats.org/officeDocument/2006/relationships/hyperlink" Target="http://www.sec.gov/cgi-bin/browse-edgar?action=getcompany&amp;CIK=0000789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3570</Characters>
  <CharactersWithSpaces>4150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