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208915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 SECURITIES AND EXCHANGE COMMISSION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2437130</wp:posOffset>
            </wp:positionH>
            <wp:positionV relativeFrom="paragraph">
              <wp:posOffset>139065</wp:posOffset>
            </wp:positionV>
            <wp:extent cx="13030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SCHEDULE 14A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Securities Exchange Act of 1934 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2437130</wp:posOffset>
            </wp:positionH>
            <wp:positionV relativeFrom="paragraph">
              <wp:posOffset>139065</wp:posOffset>
            </wp:positionV>
            <wp:extent cx="13030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220" w:hanging="216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122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20" w:hanging="216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2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220" w:hanging="216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220" w:hanging="216"/>
        <w:spacing w:after="0"/>
        <w:tabs>
          <w:tab w:leader="none" w:pos="2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220" w:hanging="216"/>
        <w:spacing w:after="0"/>
        <w:tabs>
          <w:tab w:leader="none" w:pos="2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under §240.14a-12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20" w:type="dxa"/>
            <w:vAlign w:val="bottom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Microsoft Corporation</w:t>
            </w:r>
          </w:p>
        </w:tc>
      </w:tr>
      <w:tr>
        <w:trPr>
          <w:trHeight w:val="196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20" w:type="dxa"/>
            <w:vAlign w:val="bottom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(Name of Registrant as Specified In Its Charter)</w:t>
            </w:r>
          </w:p>
        </w:tc>
      </w:tr>
      <w:tr>
        <w:trPr>
          <w:trHeight w:val="378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20" w:type="dxa"/>
            <w:vAlign w:val="bottom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(Name of Person(s) Filing Proxy Statement, if other than the Registrant)</w:t>
            </w:r>
          </w:p>
        </w:tc>
      </w:tr>
      <w:tr>
        <w:trPr>
          <w:trHeight w:val="411"/>
        </w:trPr>
        <w:tc>
          <w:tcPr>
            <w:tcW w:w="9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Payment of Filing Fee (Check all boxes that apply):</w:t>
            </w:r>
          </w:p>
        </w:tc>
      </w:tr>
      <w:tr>
        <w:trPr>
          <w:trHeight w:val="305"/>
        </w:trPr>
        <w:tc>
          <w:tcPr>
            <w:tcW w:w="300" w:type="dxa"/>
            <w:vAlign w:val="bottom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☒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  </w:t>
            </w:r>
          </w:p>
        </w:tc>
        <w:tc>
          <w:tcPr>
            <w:tcW w:w="9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 fee required</w:t>
            </w:r>
          </w:p>
        </w:tc>
      </w:tr>
      <w:tr>
        <w:trPr>
          <w:trHeight w:val="419"/>
        </w:trPr>
        <w:tc>
          <w:tcPr>
            <w:tcW w:w="300" w:type="dxa"/>
            <w:vAlign w:val="bottom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☐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  </w:t>
            </w:r>
          </w:p>
        </w:tc>
        <w:tc>
          <w:tcPr>
            <w:tcW w:w="9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Fee paid previously with preliminary materials</w:t>
            </w:r>
          </w:p>
        </w:tc>
      </w:tr>
      <w:tr>
        <w:trPr>
          <w:trHeight w:val="418"/>
        </w:trPr>
        <w:tc>
          <w:tcPr>
            <w:tcW w:w="300" w:type="dxa"/>
            <w:vAlign w:val="bottom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☐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  </w:t>
            </w:r>
          </w:p>
        </w:tc>
        <w:tc>
          <w:tcPr>
            <w:tcW w:w="9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Fee computed on table in exhibit required by Item 25(b) per Exchange Act Rules 14a-6(i)(1) and 0-11</w:t>
            </w:r>
          </w:p>
        </w:tc>
      </w:tr>
      <w:tr>
        <w:trPr>
          <w:trHeight w:val="218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8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720"/>
          </w:cols>
          <w:pgMar w:left="1080" w:top="403" w:right="109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2024-10-24T15:57:13Z</dcterms:created>
  <dcterms:modified xsi:type="dcterms:W3CDTF">2024-10-24T15:57:13Z</dcterms:modified>
</cp:coreProperties>
</file>