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STANTON JOHN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84,179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which is fully vested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John W. Stanton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r>
        <w:rPr/>
      </w:r>
      <w:bookmarkStart w:id="2" w:name="exhibit24.txt"/>
      <w:bookmarkStart w:id="3" w:name="ksexhibit24"/>
      <w:bookmarkStart w:id="4" w:name="exhibit24.txt"/>
      <w:bookmarkStart w:id="5" w:name="ksexhibit24"/>
      <w:bookmarkEnd w:id="4"/>
      <w:bookmarkEnd w:id="5"/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16,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F Street, N.E.</w:t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Re:     Microsoft Corporation -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To whom it may concern: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revoke my prior Microsoft Corporation -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will confirm that, effective as of the date above, I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each of the individuals listed below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to, on my behalf, execute and file the Statement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Beneficial Ownership of Securities (Form 4)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Annual Statement of Changes in Beneficial Ownership (Form 5),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with transactions in Microsoft Corporation securities,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my Attorney-In-Fact.  Such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either (i) I am no longer subject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16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or (ii) I have provided you with written notice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withdrawing this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individuals who are authorized to act as my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this Power of Attorney are as follows: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Benjamin O. Orndorff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Keith R. Dolliver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is effective immediately upon filing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Commission and for purposes of my future Form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 5 filings relating to Microsoft securities and transactions.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John W. Stanton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 W. Stanton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04858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797</Words>
  <Characters>4284</Characters>
  <CharactersWithSpaces>4985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